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0F776" w14:textId="11A337C7" w:rsidR="003C5CE1" w:rsidRPr="0067257F" w:rsidRDefault="007E0485" w:rsidP="0067257F">
      <w:pPr>
        <w:spacing w:after="0"/>
        <w:rPr>
          <w:vanish/>
        </w:rPr>
      </w:pPr>
      <w:bookmarkStart w:id="0" w:name="_Hlk40441170"/>
      <w:r w:rsidRPr="00400193">
        <w:rPr>
          <w:rFonts w:ascii="Times New Roman" w:hAnsi="Times New Roman"/>
          <w:b/>
          <w:bCs/>
          <w:noProof/>
          <w:sz w:val="36"/>
          <w:szCs w:val="36"/>
          <w:lang w:val="en-US"/>
        </w:rPr>
        <w:drawing>
          <wp:anchor distT="0" distB="0" distL="114300" distR="114300" simplePos="0" relativeHeight="251758592" behindDoc="0" locked="0" layoutInCell="1" allowOverlap="1" wp14:anchorId="616F967D" wp14:editId="3FD7A690">
            <wp:simplePos x="0" y="0"/>
            <wp:positionH relativeFrom="column">
              <wp:posOffset>962025</wp:posOffset>
            </wp:positionH>
            <wp:positionV relativeFrom="paragraph">
              <wp:posOffset>-581025</wp:posOffset>
            </wp:positionV>
            <wp:extent cx="3895090" cy="971550"/>
            <wp:effectExtent l="0" t="0" r="0" b="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95090" cy="971550"/>
                    </a:xfrm>
                    <a:prstGeom prst="rect">
                      <a:avLst/>
                    </a:prstGeom>
                    <a:noFill/>
                  </pic:spPr>
                </pic:pic>
              </a:graphicData>
            </a:graphic>
            <wp14:sizeRelH relativeFrom="page">
              <wp14:pctWidth>0</wp14:pctWidth>
            </wp14:sizeRelH>
            <wp14:sizeRelV relativeFrom="page">
              <wp14:pctHeight>0</wp14:pctHeight>
            </wp14:sizeRelV>
          </wp:anchor>
        </w:drawing>
      </w:r>
    </w:p>
    <w:tbl>
      <w:tblPr>
        <w:tblpPr w:leftFromText="187" w:rightFromText="187" w:vertAnchor="page" w:horzAnchor="margin" w:tblpY="1550"/>
        <w:tblW w:w="5126" w:type="pct"/>
        <w:tblCellMar>
          <w:left w:w="144" w:type="dxa"/>
          <w:right w:w="115" w:type="dxa"/>
        </w:tblCellMar>
        <w:tblLook w:val="04A0" w:firstRow="1" w:lastRow="0" w:firstColumn="1" w:lastColumn="0" w:noHBand="0" w:noVBand="1"/>
      </w:tblPr>
      <w:tblGrid>
        <w:gridCol w:w="9253"/>
      </w:tblGrid>
      <w:tr w:rsidR="00400193" w:rsidRPr="00400193" w14:paraId="27DA29AD" w14:textId="77777777" w:rsidTr="002A1D1B">
        <w:trPr>
          <w:trHeight w:val="1898"/>
        </w:trPr>
        <w:tc>
          <w:tcPr>
            <w:tcW w:w="9253" w:type="dxa"/>
            <w:tcMar>
              <w:top w:w="216" w:type="dxa"/>
              <w:left w:w="115" w:type="dxa"/>
              <w:bottom w:w="216" w:type="dxa"/>
              <w:right w:w="115" w:type="dxa"/>
            </w:tcMar>
          </w:tcPr>
          <w:p w14:paraId="6F324607" w14:textId="18459DAD" w:rsidR="003C5CE1" w:rsidRDefault="003C5CE1" w:rsidP="002A1D1B">
            <w:pPr>
              <w:jc w:val="center"/>
            </w:pPr>
          </w:p>
          <w:p w14:paraId="41BEACEC" w14:textId="77777777" w:rsidR="007E0485" w:rsidRPr="00400193" w:rsidRDefault="007E0485" w:rsidP="002A1D1B">
            <w:pPr>
              <w:jc w:val="center"/>
            </w:pPr>
          </w:p>
          <w:p w14:paraId="036471A6" w14:textId="77777777" w:rsidR="007E0485" w:rsidRPr="00400193" w:rsidRDefault="007E0485" w:rsidP="007E0485">
            <w:pPr>
              <w:pStyle w:val="NoSpacing"/>
              <w:spacing w:line="216" w:lineRule="auto"/>
              <w:jc w:val="center"/>
              <w:rPr>
                <w:rFonts w:asciiTheme="majorBidi" w:hAnsiTheme="majorBidi" w:cstheme="majorBidi"/>
                <w:b/>
                <w:bCs/>
                <w:sz w:val="36"/>
                <w:szCs w:val="36"/>
              </w:rPr>
            </w:pPr>
            <w:r w:rsidRPr="00400193">
              <w:rPr>
                <w:rFonts w:asciiTheme="majorBidi" w:hAnsiTheme="majorBidi" w:cstheme="majorBidi"/>
                <w:b/>
                <w:bCs/>
                <w:sz w:val="36"/>
                <w:szCs w:val="36"/>
              </w:rPr>
              <w:t>Developing a Framework for Measuring Organisational Cyber Resilience Against External and Internal Cyber Threats</w:t>
            </w:r>
          </w:p>
          <w:p w14:paraId="76B5646A" w14:textId="77777777" w:rsidR="003C5CE1" w:rsidRPr="00400193" w:rsidRDefault="003C5CE1" w:rsidP="002A1D1B">
            <w:pPr>
              <w:pStyle w:val="NoSpacing"/>
              <w:jc w:val="center"/>
              <w:rPr>
                <w:sz w:val="24"/>
              </w:rPr>
            </w:pPr>
          </w:p>
        </w:tc>
      </w:tr>
      <w:tr w:rsidR="00400193" w:rsidRPr="00400193" w14:paraId="59622B8D" w14:textId="77777777" w:rsidTr="002A1D1B">
        <w:trPr>
          <w:trHeight w:val="3796"/>
        </w:trPr>
        <w:tc>
          <w:tcPr>
            <w:tcW w:w="9253" w:type="dxa"/>
          </w:tcPr>
          <w:p w14:paraId="267EC6AB" w14:textId="03338864" w:rsidR="003C5CE1" w:rsidRDefault="003C5CE1" w:rsidP="002A1D1B">
            <w:pPr>
              <w:pStyle w:val="NoSpacing"/>
              <w:spacing w:line="216" w:lineRule="auto"/>
              <w:jc w:val="center"/>
              <w:rPr>
                <w:rFonts w:asciiTheme="majorBidi" w:hAnsiTheme="majorBidi" w:cstheme="majorBidi"/>
                <w:b/>
                <w:bCs/>
                <w:sz w:val="36"/>
                <w:szCs w:val="36"/>
              </w:rPr>
            </w:pPr>
            <w:bookmarkStart w:id="1" w:name="_Hlk43583229"/>
          </w:p>
          <w:p w14:paraId="6B041FD2" w14:textId="77777777" w:rsidR="007E0485" w:rsidRDefault="007E0485" w:rsidP="002A1D1B">
            <w:pPr>
              <w:pStyle w:val="NoSpacing"/>
              <w:spacing w:line="216" w:lineRule="auto"/>
              <w:jc w:val="center"/>
              <w:rPr>
                <w:rFonts w:asciiTheme="majorBidi" w:hAnsiTheme="majorBidi" w:cstheme="majorBidi"/>
                <w:b/>
                <w:bCs/>
                <w:sz w:val="36"/>
                <w:szCs w:val="36"/>
              </w:rPr>
            </w:pPr>
          </w:p>
          <w:p w14:paraId="78900130" w14:textId="77777777" w:rsidR="007E0485" w:rsidRPr="00400193" w:rsidRDefault="007E0485" w:rsidP="002A1D1B">
            <w:pPr>
              <w:pStyle w:val="NoSpacing"/>
              <w:spacing w:line="216" w:lineRule="auto"/>
              <w:jc w:val="center"/>
              <w:rPr>
                <w:rFonts w:asciiTheme="majorBidi" w:hAnsiTheme="majorBidi" w:cstheme="majorBidi"/>
                <w:b/>
                <w:bCs/>
                <w:sz w:val="36"/>
                <w:szCs w:val="36"/>
              </w:rPr>
            </w:pPr>
          </w:p>
          <w:p w14:paraId="689863C3" w14:textId="77777777" w:rsidR="003C5CE1" w:rsidRPr="00400193" w:rsidRDefault="003C5CE1" w:rsidP="002A1D1B">
            <w:pPr>
              <w:pStyle w:val="NoSpacing"/>
              <w:spacing w:line="216" w:lineRule="auto"/>
              <w:jc w:val="center"/>
              <w:rPr>
                <w:rFonts w:asciiTheme="majorBidi" w:hAnsiTheme="majorBidi" w:cstheme="majorBidi"/>
                <w:b/>
                <w:bCs/>
                <w:sz w:val="36"/>
                <w:szCs w:val="36"/>
                <w:lang w:bidi="ar-AE"/>
              </w:rPr>
            </w:pPr>
            <w:r w:rsidRPr="00400193">
              <w:rPr>
                <w:rFonts w:asciiTheme="majorBidi" w:hAnsiTheme="majorBidi" w:cstheme="majorBidi" w:hint="cs"/>
                <w:b/>
                <w:bCs/>
                <w:sz w:val="36"/>
                <w:szCs w:val="36"/>
                <w:rtl/>
                <w:lang w:bidi="ar-AE"/>
              </w:rPr>
              <w:t>تطوي</w:t>
            </w:r>
            <w:r w:rsidRPr="00400193">
              <w:rPr>
                <w:rFonts w:asciiTheme="majorBidi" w:hAnsiTheme="majorBidi" w:cstheme="majorBidi"/>
                <w:b/>
                <w:bCs/>
                <w:sz w:val="36"/>
                <w:szCs w:val="36"/>
                <w:rtl/>
                <w:lang w:bidi="ar-AE"/>
              </w:rPr>
              <w:t>ر إطار لقياس المرونة السيبرانية</w:t>
            </w:r>
            <w:r w:rsidRPr="00400193">
              <w:rPr>
                <w:rFonts w:asciiTheme="majorBidi" w:hAnsiTheme="majorBidi" w:cstheme="majorBidi" w:hint="cs"/>
                <w:b/>
                <w:bCs/>
                <w:sz w:val="36"/>
                <w:szCs w:val="36"/>
                <w:rtl/>
                <w:lang w:bidi="ar-AE"/>
              </w:rPr>
              <w:t xml:space="preserve"> للمؤسسات</w:t>
            </w:r>
            <w:r w:rsidRPr="00400193">
              <w:rPr>
                <w:rFonts w:asciiTheme="majorBidi" w:hAnsiTheme="majorBidi" w:cstheme="majorBidi"/>
                <w:b/>
                <w:bCs/>
                <w:sz w:val="36"/>
                <w:szCs w:val="36"/>
                <w:rtl/>
                <w:lang w:bidi="ar-AE"/>
              </w:rPr>
              <w:t xml:space="preserve"> ضد التهديدات</w:t>
            </w:r>
            <w:r w:rsidRPr="00400193">
              <w:rPr>
                <w:rFonts w:asciiTheme="majorBidi" w:hAnsiTheme="majorBidi" w:cstheme="majorBidi" w:hint="cs"/>
                <w:b/>
                <w:bCs/>
                <w:sz w:val="36"/>
                <w:szCs w:val="36"/>
                <w:rtl/>
                <w:lang w:bidi="ar-AE"/>
              </w:rPr>
              <w:t xml:space="preserve"> السيبرانية</w:t>
            </w:r>
            <w:r w:rsidRPr="00400193">
              <w:rPr>
                <w:rFonts w:asciiTheme="majorBidi" w:hAnsiTheme="majorBidi" w:cstheme="majorBidi"/>
                <w:b/>
                <w:bCs/>
                <w:sz w:val="36"/>
                <w:szCs w:val="36"/>
                <w:rtl/>
                <w:lang w:bidi="ar-AE"/>
              </w:rPr>
              <w:t xml:space="preserve"> الداخلية والخارجية</w:t>
            </w:r>
          </w:p>
          <w:p w14:paraId="39382148" w14:textId="77777777" w:rsidR="003C5CE1" w:rsidRPr="00400193" w:rsidRDefault="003C5CE1" w:rsidP="002A1D1B">
            <w:pPr>
              <w:pStyle w:val="NoSpacing"/>
              <w:spacing w:line="216" w:lineRule="auto"/>
              <w:jc w:val="center"/>
              <w:rPr>
                <w:b/>
                <w:bCs/>
                <w:sz w:val="28"/>
                <w:szCs w:val="28"/>
              </w:rPr>
            </w:pPr>
          </w:p>
          <w:p w14:paraId="3961A125" w14:textId="0D5CB558" w:rsidR="003C5CE1" w:rsidRDefault="003C5CE1" w:rsidP="002A1D1B">
            <w:pPr>
              <w:pStyle w:val="NoSpacing"/>
              <w:spacing w:line="216" w:lineRule="auto"/>
              <w:jc w:val="center"/>
              <w:rPr>
                <w:rFonts w:asciiTheme="majorBidi" w:hAnsiTheme="majorBidi" w:cstheme="majorBidi"/>
                <w:b/>
                <w:bCs/>
                <w:sz w:val="36"/>
                <w:szCs w:val="36"/>
                <w:lang w:bidi="ar-AE"/>
              </w:rPr>
            </w:pPr>
          </w:p>
          <w:p w14:paraId="38A59C34" w14:textId="77777777" w:rsidR="007E0485" w:rsidRPr="00400193" w:rsidRDefault="007E0485" w:rsidP="002A1D1B">
            <w:pPr>
              <w:pStyle w:val="NoSpacing"/>
              <w:spacing w:line="216" w:lineRule="auto"/>
              <w:jc w:val="center"/>
              <w:rPr>
                <w:rFonts w:asciiTheme="majorBidi" w:hAnsiTheme="majorBidi" w:cstheme="majorBidi"/>
                <w:b/>
                <w:bCs/>
                <w:sz w:val="36"/>
                <w:szCs w:val="36"/>
                <w:lang w:bidi="ar-AE"/>
              </w:rPr>
            </w:pPr>
          </w:p>
          <w:p w14:paraId="6D260BDE" w14:textId="57898B37" w:rsidR="003C5CE1" w:rsidRPr="007E0485" w:rsidRDefault="003C5CE1" w:rsidP="007E0485">
            <w:pPr>
              <w:pStyle w:val="NoSpacing"/>
              <w:spacing w:line="360" w:lineRule="auto"/>
              <w:contextualSpacing/>
              <w:jc w:val="center"/>
              <w:rPr>
                <w:rFonts w:asciiTheme="majorBidi" w:hAnsiTheme="majorBidi" w:cstheme="majorBidi"/>
                <w:b/>
                <w:bCs/>
                <w:sz w:val="36"/>
                <w:szCs w:val="36"/>
              </w:rPr>
            </w:pPr>
            <w:r w:rsidRPr="00400193">
              <w:rPr>
                <w:rFonts w:asciiTheme="majorBidi" w:hAnsiTheme="majorBidi" w:cstheme="majorBidi"/>
                <w:b/>
                <w:bCs/>
                <w:sz w:val="36"/>
                <w:szCs w:val="36"/>
              </w:rPr>
              <w:t>by</w:t>
            </w:r>
          </w:p>
          <w:p w14:paraId="67A2390F" w14:textId="77777777" w:rsidR="003C5CE1" w:rsidRPr="00400193" w:rsidRDefault="003C5CE1" w:rsidP="007E0485">
            <w:pPr>
              <w:pStyle w:val="NoSpacing"/>
              <w:spacing w:line="360" w:lineRule="auto"/>
              <w:contextualSpacing/>
              <w:jc w:val="center"/>
              <w:rPr>
                <w:rFonts w:asciiTheme="majorBidi" w:hAnsiTheme="majorBidi" w:cstheme="majorBidi"/>
                <w:b/>
                <w:bCs/>
                <w:sz w:val="36"/>
                <w:szCs w:val="36"/>
              </w:rPr>
            </w:pPr>
            <w:r w:rsidRPr="00400193">
              <w:rPr>
                <w:rFonts w:asciiTheme="majorBidi" w:hAnsiTheme="majorBidi" w:cstheme="majorBidi"/>
                <w:b/>
                <w:bCs/>
                <w:sz w:val="36"/>
                <w:szCs w:val="36"/>
              </w:rPr>
              <w:t xml:space="preserve">SAEED HAMDAN MOHAMED RASHED ALSHEHHI </w:t>
            </w:r>
          </w:p>
          <w:p w14:paraId="5573E690" w14:textId="77777777" w:rsidR="003C5CE1" w:rsidRPr="00400193" w:rsidRDefault="003C5CE1" w:rsidP="002A1D1B">
            <w:pPr>
              <w:pStyle w:val="NoSpacing"/>
              <w:jc w:val="center"/>
              <w:rPr>
                <w:rFonts w:ascii="Times New Roman" w:hAnsi="Times New Roman" w:cs="Times New Roman"/>
                <w:b/>
                <w:bCs/>
                <w:sz w:val="36"/>
                <w:szCs w:val="36"/>
              </w:rPr>
            </w:pPr>
          </w:p>
          <w:p w14:paraId="5A6114A7" w14:textId="77777777" w:rsidR="003C5CE1" w:rsidRPr="00400193" w:rsidRDefault="003C5CE1" w:rsidP="002A1D1B">
            <w:pPr>
              <w:pStyle w:val="NoSpacing"/>
              <w:jc w:val="center"/>
              <w:rPr>
                <w:rFonts w:asciiTheme="majorBidi" w:hAnsiTheme="majorBidi" w:cstheme="majorBidi"/>
                <w:b/>
                <w:bCs/>
                <w:sz w:val="36"/>
                <w:szCs w:val="36"/>
              </w:rPr>
            </w:pPr>
          </w:p>
        </w:tc>
      </w:tr>
      <w:tr w:rsidR="00400193" w:rsidRPr="00400193" w14:paraId="1B02C8D8" w14:textId="77777777" w:rsidTr="002A1D1B">
        <w:trPr>
          <w:trHeight w:val="3414"/>
        </w:trPr>
        <w:tc>
          <w:tcPr>
            <w:tcW w:w="9253" w:type="dxa"/>
            <w:tcMar>
              <w:top w:w="216" w:type="dxa"/>
              <w:left w:w="115" w:type="dxa"/>
              <w:bottom w:w="216" w:type="dxa"/>
              <w:right w:w="115" w:type="dxa"/>
            </w:tcMar>
          </w:tcPr>
          <w:p w14:paraId="262D94BE" w14:textId="77777777" w:rsidR="003C5CE1" w:rsidRPr="00400193" w:rsidRDefault="003C5CE1" w:rsidP="002A1D1B">
            <w:pPr>
              <w:contextualSpacing/>
              <w:jc w:val="center"/>
              <w:rPr>
                <w:rFonts w:ascii="Times New Roman" w:hAnsi="Times New Roman"/>
                <w:b/>
                <w:bCs/>
                <w:sz w:val="32"/>
                <w:szCs w:val="32"/>
              </w:rPr>
            </w:pPr>
            <w:r w:rsidRPr="00400193">
              <w:rPr>
                <w:rFonts w:ascii="Times New Roman" w:hAnsi="Times New Roman"/>
                <w:b/>
                <w:bCs/>
                <w:sz w:val="32"/>
                <w:szCs w:val="32"/>
              </w:rPr>
              <w:t>A thesis submitted in fulfilment</w:t>
            </w:r>
          </w:p>
          <w:p w14:paraId="3DB012AB" w14:textId="77777777" w:rsidR="003C5CE1" w:rsidRPr="00400193" w:rsidRDefault="003C5CE1" w:rsidP="002A1D1B">
            <w:pPr>
              <w:contextualSpacing/>
              <w:jc w:val="center"/>
              <w:rPr>
                <w:rFonts w:ascii="Times New Roman" w:hAnsi="Times New Roman"/>
                <w:b/>
                <w:bCs/>
                <w:sz w:val="32"/>
                <w:szCs w:val="32"/>
              </w:rPr>
            </w:pPr>
            <w:r w:rsidRPr="00400193">
              <w:rPr>
                <w:rFonts w:ascii="Times New Roman" w:hAnsi="Times New Roman"/>
                <w:b/>
                <w:bCs/>
                <w:sz w:val="32"/>
                <w:szCs w:val="32"/>
              </w:rPr>
              <w:t>of the requirements for the degree of</w:t>
            </w:r>
          </w:p>
          <w:p w14:paraId="26C8F533" w14:textId="77777777" w:rsidR="003C5CE1" w:rsidRPr="00400193" w:rsidRDefault="003C5CE1" w:rsidP="002A1D1B">
            <w:pPr>
              <w:contextualSpacing/>
              <w:jc w:val="center"/>
              <w:rPr>
                <w:rFonts w:asciiTheme="majorBidi" w:hAnsiTheme="majorBidi" w:cstheme="majorBidi"/>
                <w:b/>
                <w:bCs/>
                <w:sz w:val="32"/>
                <w:szCs w:val="32"/>
              </w:rPr>
            </w:pPr>
            <w:r w:rsidRPr="00400193">
              <w:rPr>
                <w:rFonts w:asciiTheme="majorBidi" w:hAnsiTheme="majorBidi" w:cstheme="majorBidi"/>
                <w:b/>
                <w:bCs/>
                <w:sz w:val="32"/>
                <w:szCs w:val="32"/>
              </w:rPr>
              <w:t>DOCTOR OF PHILOSOPHY IN PROJECT MANAGEMENT</w:t>
            </w:r>
          </w:p>
          <w:p w14:paraId="06737F85" w14:textId="77777777" w:rsidR="003C5CE1" w:rsidRPr="00400193" w:rsidRDefault="003C5CE1" w:rsidP="002A1D1B">
            <w:pPr>
              <w:contextualSpacing/>
              <w:jc w:val="center"/>
              <w:rPr>
                <w:rFonts w:ascii="Times New Roman" w:hAnsi="Times New Roman"/>
                <w:b/>
                <w:bCs/>
                <w:sz w:val="32"/>
                <w:szCs w:val="32"/>
              </w:rPr>
            </w:pPr>
            <w:r w:rsidRPr="00400193">
              <w:rPr>
                <w:rFonts w:ascii="Times New Roman" w:hAnsi="Times New Roman"/>
                <w:b/>
                <w:bCs/>
                <w:sz w:val="32"/>
                <w:szCs w:val="32"/>
              </w:rPr>
              <w:t>at</w:t>
            </w:r>
          </w:p>
          <w:p w14:paraId="17EFCA90" w14:textId="77777777" w:rsidR="003C5CE1" w:rsidRPr="00400193" w:rsidRDefault="003C5CE1" w:rsidP="002A1D1B">
            <w:pPr>
              <w:contextualSpacing/>
              <w:jc w:val="center"/>
              <w:rPr>
                <w:rFonts w:ascii="Times New Roman" w:hAnsi="Times New Roman"/>
                <w:b/>
                <w:bCs/>
                <w:sz w:val="32"/>
                <w:szCs w:val="32"/>
              </w:rPr>
            </w:pPr>
            <w:r w:rsidRPr="00400193">
              <w:rPr>
                <w:rFonts w:ascii="Times New Roman" w:hAnsi="Times New Roman"/>
                <w:b/>
                <w:bCs/>
                <w:sz w:val="32"/>
                <w:szCs w:val="32"/>
              </w:rPr>
              <w:t>The British University in Dubai</w:t>
            </w:r>
          </w:p>
          <w:p w14:paraId="6CAFA089" w14:textId="0DF2BBCC" w:rsidR="003C5CE1" w:rsidRDefault="003C5CE1" w:rsidP="002A1D1B">
            <w:pPr>
              <w:pStyle w:val="NoSpacing"/>
              <w:jc w:val="center"/>
              <w:rPr>
                <w:rFonts w:asciiTheme="majorBidi" w:hAnsiTheme="majorBidi" w:cstheme="majorBidi"/>
                <w:b/>
                <w:bCs/>
                <w:sz w:val="32"/>
                <w:szCs w:val="32"/>
              </w:rPr>
            </w:pPr>
          </w:p>
          <w:p w14:paraId="341B3051" w14:textId="1219578A" w:rsidR="00A775D6" w:rsidRDefault="00A775D6" w:rsidP="002A1D1B">
            <w:pPr>
              <w:pStyle w:val="NoSpacing"/>
              <w:jc w:val="center"/>
              <w:rPr>
                <w:rFonts w:asciiTheme="majorBidi" w:hAnsiTheme="majorBidi" w:cstheme="majorBidi"/>
                <w:b/>
                <w:bCs/>
                <w:sz w:val="32"/>
                <w:szCs w:val="32"/>
              </w:rPr>
            </w:pPr>
          </w:p>
          <w:p w14:paraId="714000E0" w14:textId="77777777" w:rsidR="00A775D6" w:rsidRDefault="00A775D6" w:rsidP="002A1D1B">
            <w:pPr>
              <w:pStyle w:val="NoSpacing"/>
              <w:jc w:val="center"/>
              <w:rPr>
                <w:rFonts w:asciiTheme="majorBidi" w:hAnsiTheme="majorBidi" w:cstheme="majorBidi"/>
                <w:b/>
                <w:bCs/>
                <w:sz w:val="32"/>
                <w:szCs w:val="32"/>
              </w:rPr>
            </w:pPr>
          </w:p>
          <w:p w14:paraId="653AC775" w14:textId="7728A0D9" w:rsidR="0067257F" w:rsidRPr="00400193" w:rsidRDefault="0067257F" w:rsidP="002A1D1B">
            <w:pPr>
              <w:pStyle w:val="NoSpacing"/>
              <w:jc w:val="center"/>
              <w:rPr>
                <w:rFonts w:asciiTheme="majorBidi" w:hAnsiTheme="majorBidi" w:cstheme="majorBidi"/>
                <w:b/>
                <w:bCs/>
                <w:sz w:val="32"/>
                <w:szCs w:val="32"/>
              </w:rPr>
            </w:pPr>
          </w:p>
        </w:tc>
      </w:tr>
    </w:tbl>
    <w:p w14:paraId="28826CD8" w14:textId="67720AFF" w:rsidR="003C5CE1" w:rsidRPr="0067257F" w:rsidRDefault="003C5CE1" w:rsidP="0067257F">
      <w:pPr>
        <w:spacing w:line="259" w:lineRule="auto"/>
        <w:jc w:val="center"/>
        <w:rPr>
          <w:rFonts w:asciiTheme="majorBidi" w:hAnsiTheme="majorBidi" w:cstheme="majorBidi"/>
          <w:b/>
          <w:bCs/>
          <w:sz w:val="32"/>
          <w:szCs w:val="32"/>
        </w:rPr>
      </w:pPr>
      <w:r w:rsidRPr="00400193">
        <w:rPr>
          <w:rFonts w:asciiTheme="majorBidi" w:hAnsiTheme="majorBidi" w:cstheme="majorBidi"/>
          <w:b/>
          <w:bCs/>
          <w:sz w:val="32"/>
          <w:szCs w:val="32"/>
        </w:rPr>
        <w:t>July 2020</w:t>
      </w:r>
      <w:bookmarkEnd w:id="1"/>
    </w:p>
    <w:p w14:paraId="2E9658BC" w14:textId="77777777" w:rsidR="003C5CE1" w:rsidRPr="00400193" w:rsidRDefault="003C5CE1" w:rsidP="003C5CE1">
      <w:pPr>
        <w:spacing w:line="259" w:lineRule="auto"/>
        <w:jc w:val="left"/>
        <w:rPr>
          <w:rFonts w:ascii="Garamond" w:hAnsi="Garamond"/>
          <w:szCs w:val="20"/>
        </w:rPr>
      </w:pPr>
      <w:r w:rsidRPr="00400193">
        <w:rPr>
          <w:noProof/>
          <w:lang w:val="en-US"/>
        </w:rPr>
        <w:lastRenderedPageBreak/>
        <w:drawing>
          <wp:anchor distT="0" distB="0" distL="114300" distR="114300" simplePos="0" relativeHeight="251757568" behindDoc="0" locked="0" layoutInCell="1" allowOverlap="1" wp14:anchorId="17893F25" wp14:editId="07483D45">
            <wp:simplePos x="0" y="0"/>
            <wp:positionH relativeFrom="column">
              <wp:posOffset>1054735</wp:posOffset>
            </wp:positionH>
            <wp:positionV relativeFrom="paragraph">
              <wp:posOffset>-373380</wp:posOffset>
            </wp:positionV>
            <wp:extent cx="3886200" cy="914400"/>
            <wp:effectExtent l="0" t="0" r="0" b="0"/>
            <wp:wrapNone/>
            <wp:docPr id="230" name="Picture 230" descr="Description: logo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logoBUI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8620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D6FBF6" w14:textId="77777777" w:rsidR="003C5CE1" w:rsidRPr="00400193" w:rsidRDefault="003C5CE1" w:rsidP="003C5CE1">
      <w:pPr>
        <w:spacing w:after="0" w:line="240" w:lineRule="auto"/>
        <w:rPr>
          <w:rFonts w:ascii="Garamond" w:hAnsi="Garamond"/>
          <w:szCs w:val="20"/>
        </w:rPr>
      </w:pPr>
    </w:p>
    <w:p w14:paraId="4A8CFA23" w14:textId="77777777" w:rsidR="003C5CE1" w:rsidRPr="00400193" w:rsidRDefault="003C5CE1" w:rsidP="003C5CE1">
      <w:pPr>
        <w:spacing w:after="0" w:line="240" w:lineRule="auto"/>
        <w:rPr>
          <w:rFonts w:ascii="Garamond" w:hAnsi="Garamond"/>
          <w:szCs w:val="20"/>
        </w:rPr>
      </w:pPr>
    </w:p>
    <w:p w14:paraId="1D64EE87" w14:textId="77777777" w:rsidR="003C5CE1" w:rsidRPr="00400193" w:rsidRDefault="003C5CE1" w:rsidP="003C5CE1">
      <w:pPr>
        <w:spacing w:after="0" w:line="240" w:lineRule="auto"/>
        <w:rPr>
          <w:rFonts w:ascii="Garamond" w:hAnsi="Garamond"/>
          <w:szCs w:val="20"/>
        </w:rPr>
      </w:pPr>
    </w:p>
    <w:p w14:paraId="441F7467" w14:textId="77777777" w:rsidR="003C5CE1" w:rsidRPr="00400193" w:rsidRDefault="003C5CE1" w:rsidP="003C5CE1">
      <w:pPr>
        <w:pStyle w:val="NoSpacing"/>
        <w:spacing w:line="216" w:lineRule="auto"/>
        <w:jc w:val="center"/>
        <w:rPr>
          <w:rFonts w:ascii="Times New Roman" w:hAnsi="Times New Roman" w:cs="Times New Roman"/>
          <w:b/>
          <w:bCs/>
          <w:sz w:val="28"/>
          <w:szCs w:val="28"/>
        </w:rPr>
      </w:pPr>
      <w:r w:rsidRPr="00400193">
        <w:rPr>
          <w:rFonts w:ascii="Times New Roman" w:hAnsi="Times New Roman" w:cs="Times New Roman"/>
          <w:b/>
          <w:bCs/>
          <w:sz w:val="28"/>
          <w:szCs w:val="28"/>
        </w:rPr>
        <w:t>Developing a Framework for Measuring Organisational Cyber Resilience Against External and Internal Cyber Threats</w:t>
      </w:r>
    </w:p>
    <w:p w14:paraId="05C17893" w14:textId="77777777" w:rsidR="003C5CE1" w:rsidRPr="00400193" w:rsidRDefault="003C5CE1" w:rsidP="003C5CE1">
      <w:pPr>
        <w:spacing w:after="0" w:line="240" w:lineRule="auto"/>
        <w:jc w:val="center"/>
        <w:rPr>
          <w:rFonts w:ascii="Times New Roman" w:hAnsi="Times New Roman"/>
          <w:b/>
          <w:bCs/>
          <w:sz w:val="28"/>
          <w:szCs w:val="28"/>
        </w:rPr>
      </w:pPr>
    </w:p>
    <w:p w14:paraId="6A3B5B1E" w14:textId="77777777" w:rsidR="003C5CE1" w:rsidRPr="00400193" w:rsidRDefault="003C5CE1" w:rsidP="003C5CE1">
      <w:pPr>
        <w:spacing w:after="0" w:line="240" w:lineRule="auto"/>
        <w:jc w:val="center"/>
        <w:rPr>
          <w:rFonts w:ascii="Times New Roman" w:hAnsi="Times New Roman"/>
          <w:b/>
          <w:bCs/>
          <w:sz w:val="28"/>
          <w:szCs w:val="28"/>
        </w:rPr>
      </w:pPr>
    </w:p>
    <w:p w14:paraId="02238530" w14:textId="77777777" w:rsidR="003C5CE1" w:rsidRPr="00400193" w:rsidRDefault="003C5CE1" w:rsidP="003C5CE1">
      <w:pPr>
        <w:bidi/>
        <w:spacing w:after="0" w:line="240" w:lineRule="auto"/>
        <w:jc w:val="left"/>
        <w:textAlignment w:val="top"/>
        <w:rPr>
          <w:rFonts w:ascii="Times New Roman" w:hAnsi="Times New Roman"/>
          <w:b/>
          <w:bCs/>
          <w:sz w:val="28"/>
          <w:szCs w:val="28"/>
        </w:rPr>
      </w:pPr>
    </w:p>
    <w:p w14:paraId="27B93C82" w14:textId="77777777" w:rsidR="003C5CE1" w:rsidRPr="00400193" w:rsidRDefault="003C5CE1" w:rsidP="003C5CE1">
      <w:pPr>
        <w:bidi/>
        <w:spacing w:after="0" w:line="240" w:lineRule="auto"/>
        <w:jc w:val="center"/>
        <w:textAlignment w:val="top"/>
        <w:rPr>
          <w:rFonts w:ascii="Times New Roman" w:hAnsi="Times New Roman" w:cs="Times New Roman"/>
          <w:b/>
          <w:bCs/>
          <w:sz w:val="28"/>
          <w:szCs w:val="28"/>
        </w:rPr>
      </w:pPr>
      <w:r w:rsidRPr="00400193">
        <w:rPr>
          <w:rFonts w:ascii="Times New Roman" w:hAnsi="Times New Roman" w:cs="Times New Roman" w:hint="cs"/>
          <w:b/>
          <w:bCs/>
          <w:sz w:val="28"/>
          <w:szCs w:val="28"/>
          <w:rtl/>
        </w:rPr>
        <w:t>تطوي</w:t>
      </w:r>
      <w:r w:rsidRPr="00400193">
        <w:rPr>
          <w:rFonts w:ascii="Times New Roman" w:hAnsi="Times New Roman" w:cs="Times New Roman"/>
          <w:b/>
          <w:bCs/>
          <w:sz w:val="28"/>
          <w:szCs w:val="28"/>
          <w:rtl/>
        </w:rPr>
        <w:t>ر إطار لقياس المرونة السيبرانية</w:t>
      </w:r>
      <w:r w:rsidRPr="00400193">
        <w:rPr>
          <w:rFonts w:ascii="Times New Roman" w:hAnsi="Times New Roman" w:cs="Times New Roman" w:hint="cs"/>
          <w:b/>
          <w:bCs/>
          <w:sz w:val="28"/>
          <w:szCs w:val="28"/>
          <w:rtl/>
        </w:rPr>
        <w:t xml:space="preserve"> للمؤسسات</w:t>
      </w:r>
      <w:r w:rsidRPr="00400193">
        <w:rPr>
          <w:rFonts w:ascii="Times New Roman" w:hAnsi="Times New Roman" w:cs="Times New Roman"/>
          <w:b/>
          <w:bCs/>
          <w:sz w:val="28"/>
          <w:szCs w:val="28"/>
          <w:rtl/>
        </w:rPr>
        <w:t xml:space="preserve"> ضد التهديدات</w:t>
      </w:r>
      <w:r w:rsidRPr="00400193">
        <w:rPr>
          <w:rFonts w:ascii="Times New Roman" w:hAnsi="Times New Roman" w:cs="Times New Roman" w:hint="cs"/>
          <w:b/>
          <w:bCs/>
          <w:sz w:val="28"/>
          <w:szCs w:val="28"/>
          <w:rtl/>
        </w:rPr>
        <w:t xml:space="preserve"> السيبرانية</w:t>
      </w:r>
      <w:r w:rsidRPr="00400193">
        <w:rPr>
          <w:rFonts w:ascii="Times New Roman" w:hAnsi="Times New Roman" w:cs="Times New Roman"/>
          <w:b/>
          <w:bCs/>
          <w:sz w:val="28"/>
          <w:szCs w:val="28"/>
          <w:rtl/>
        </w:rPr>
        <w:t xml:space="preserve"> الداخلية والخارجية</w:t>
      </w:r>
    </w:p>
    <w:p w14:paraId="0853184E" w14:textId="77777777" w:rsidR="003C5CE1" w:rsidRPr="00400193" w:rsidRDefault="003C5CE1" w:rsidP="003C5CE1">
      <w:pPr>
        <w:bidi/>
        <w:spacing w:after="0" w:line="240" w:lineRule="auto"/>
        <w:jc w:val="center"/>
        <w:textAlignment w:val="top"/>
        <w:rPr>
          <w:rFonts w:ascii="Times New Roman" w:hAnsi="Times New Roman"/>
          <w:b/>
          <w:bCs/>
          <w:sz w:val="28"/>
          <w:szCs w:val="28"/>
        </w:rPr>
      </w:pPr>
    </w:p>
    <w:p w14:paraId="76D820FB" w14:textId="77777777" w:rsidR="003C5CE1" w:rsidRPr="00400193" w:rsidRDefault="003C5CE1" w:rsidP="003C5CE1">
      <w:pPr>
        <w:spacing w:after="0" w:line="240" w:lineRule="auto"/>
        <w:rPr>
          <w:rFonts w:ascii="Times New Roman" w:hAnsi="Times New Roman"/>
          <w:b/>
          <w:bCs/>
          <w:szCs w:val="24"/>
        </w:rPr>
      </w:pPr>
    </w:p>
    <w:p w14:paraId="5C76234F" w14:textId="77777777" w:rsidR="003C5CE1" w:rsidRPr="00400193" w:rsidRDefault="003C5CE1" w:rsidP="003C5CE1">
      <w:pPr>
        <w:spacing w:after="0" w:line="240" w:lineRule="auto"/>
        <w:jc w:val="center"/>
        <w:rPr>
          <w:rFonts w:ascii="Times New Roman" w:hAnsi="Times New Roman"/>
          <w:b/>
          <w:bCs/>
          <w:szCs w:val="24"/>
        </w:rPr>
      </w:pPr>
      <w:r w:rsidRPr="00400193">
        <w:rPr>
          <w:rFonts w:ascii="Times New Roman" w:hAnsi="Times New Roman"/>
          <w:b/>
          <w:bCs/>
          <w:szCs w:val="24"/>
        </w:rPr>
        <w:t>by</w:t>
      </w:r>
    </w:p>
    <w:p w14:paraId="3B357DB8" w14:textId="77777777" w:rsidR="003C5CE1" w:rsidRPr="00400193" w:rsidRDefault="003C5CE1" w:rsidP="003C5CE1">
      <w:pPr>
        <w:spacing w:after="0" w:line="240" w:lineRule="auto"/>
        <w:jc w:val="center"/>
        <w:rPr>
          <w:rFonts w:ascii="Times New Roman" w:hAnsi="Times New Roman"/>
          <w:b/>
          <w:bCs/>
          <w:szCs w:val="24"/>
        </w:rPr>
      </w:pPr>
    </w:p>
    <w:p w14:paraId="0E24C487" w14:textId="77777777" w:rsidR="003C5CE1" w:rsidRPr="00400193" w:rsidRDefault="003C5CE1" w:rsidP="003C5CE1">
      <w:pPr>
        <w:spacing w:after="0"/>
        <w:jc w:val="center"/>
        <w:rPr>
          <w:rFonts w:ascii="Times New Roman" w:hAnsi="Times New Roman" w:cs="Times New Roman"/>
          <w:b/>
          <w:bCs/>
          <w:szCs w:val="24"/>
        </w:rPr>
      </w:pPr>
      <w:r w:rsidRPr="00400193">
        <w:rPr>
          <w:rFonts w:ascii="Times New Roman" w:hAnsi="Times New Roman" w:cs="Times New Roman"/>
          <w:b/>
          <w:bCs/>
          <w:szCs w:val="24"/>
        </w:rPr>
        <w:t xml:space="preserve">SAEED HAMDAN MOHAMED RASHED ALSHEHHI </w:t>
      </w:r>
    </w:p>
    <w:p w14:paraId="339429DD" w14:textId="77777777" w:rsidR="003C5CE1" w:rsidRPr="00400193" w:rsidRDefault="003C5CE1" w:rsidP="003C5CE1">
      <w:pPr>
        <w:spacing w:after="0"/>
        <w:jc w:val="center"/>
        <w:rPr>
          <w:rFonts w:ascii="Times New Roman" w:hAnsi="Times New Roman"/>
          <w:b/>
          <w:bCs/>
          <w:szCs w:val="24"/>
        </w:rPr>
      </w:pPr>
    </w:p>
    <w:p w14:paraId="5616CD50" w14:textId="77777777" w:rsidR="003C5CE1" w:rsidRPr="00400193" w:rsidRDefault="003C5CE1" w:rsidP="003C5CE1">
      <w:pPr>
        <w:spacing w:after="0" w:line="240" w:lineRule="auto"/>
        <w:jc w:val="center"/>
        <w:rPr>
          <w:rFonts w:ascii="Times New Roman" w:hAnsi="Times New Roman"/>
          <w:b/>
          <w:bCs/>
          <w:szCs w:val="24"/>
        </w:rPr>
      </w:pPr>
    </w:p>
    <w:p w14:paraId="43CF6196" w14:textId="77777777" w:rsidR="003C5CE1" w:rsidRPr="00400193" w:rsidRDefault="003C5CE1" w:rsidP="003C5CE1">
      <w:pPr>
        <w:spacing w:after="0"/>
        <w:jc w:val="center"/>
        <w:rPr>
          <w:rFonts w:ascii="Times New Roman" w:hAnsi="Times New Roman"/>
          <w:szCs w:val="24"/>
        </w:rPr>
      </w:pPr>
    </w:p>
    <w:p w14:paraId="05DF8413" w14:textId="77777777" w:rsidR="003C5CE1" w:rsidRPr="00400193" w:rsidRDefault="003C5CE1" w:rsidP="003C5CE1">
      <w:pPr>
        <w:pStyle w:val="NormalWeb"/>
        <w:shd w:val="clear" w:color="auto" w:fill="FCFCF7"/>
        <w:spacing w:before="0" w:beforeAutospacing="0" w:after="150" w:afterAutospacing="0"/>
        <w:jc w:val="center"/>
        <w:rPr>
          <w:b/>
          <w:bCs/>
          <w:lang w:eastAsia="en-US"/>
        </w:rPr>
      </w:pPr>
      <w:r w:rsidRPr="00400193">
        <w:rPr>
          <w:b/>
          <w:bCs/>
        </w:rPr>
        <w:t xml:space="preserve">A thesis submitted to the Faculty </w:t>
      </w:r>
      <w:r w:rsidRPr="00400193">
        <w:rPr>
          <w:b/>
          <w:bCs/>
          <w:lang w:eastAsia="en-US"/>
        </w:rPr>
        <w:t>of Engineering and Informatics</w:t>
      </w:r>
    </w:p>
    <w:p w14:paraId="6ADA7270" w14:textId="77777777" w:rsidR="003C5CE1" w:rsidRPr="00400193" w:rsidRDefault="003C5CE1" w:rsidP="003C5CE1">
      <w:pPr>
        <w:spacing w:after="0"/>
        <w:jc w:val="center"/>
        <w:rPr>
          <w:rFonts w:ascii="Times New Roman" w:hAnsi="Times New Roman"/>
          <w:b/>
          <w:bCs/>
          <w:szCs w:val="24"/>
        </w:rPr>
      </w:pPr>
      <w:r w:rsidRPr="00400193">
        <w:rPr>
          <w:rFonts w:ascii="Times New Roman" w:hAnsi="Times New Roman"/>
          <w:b/>
          <w:bCs/>
          <w:szCs w:val="24"/>
        </w:rPr>
        <w:t xml:space="preserve">in fulfilment of the requirements for the degree of  </w:t>
      </w:r>
    </w:p>
    <w:p w14:paraId="596532F7" w14:textId="77777777" w:rsidR="003C5CE1" w:rsidRPr="00400193" w:rsidRDefault="003C5CE1" w:rsidP="003C5CE1">
      <w:pPr>
        <w:spacing w:after="0"/>
        <w:jc w:val="center"/>
        <w:rPr>
          <w:rFonts w:ascii="Times New Roman" w:hAnsi="Times New Roman" w:cs="Times New Roman"/>
          <w:b/>
          <w:bCs/>
          <w:szCs w:val="24"/>
        </w:rPr>
      </w:pPr>
      <w:r w:rsidRPr="00400193">
        <w:rPr>
          <w:rFonts w:ascii="Times New Roman" w:hAnsi="Times New Roman" w:cs="Times New Roman"/>
          <w:b/>
          <w:bCs/>
          <w:szCs w:val="24"/>
        </w:rPr>
        <w:t>DOCTOR OF PHILOSOPHY IN PROJECT MANAGEMENT</w:t>
      </w:r>
    </w:p>
    <w:p w14:paraId="1A610660" w14:textId="77777777" w:rsidR="003C5CE1" w:rsidRPr="00400193" w:rsidRDefault="003C5CE1" w:rsidP="003C5CE1">
      <w:pPr>
        <w:spacing w:after="0"/>
        <w:jc w:val="center"/>
        <w:rPr>
          <w:rFonts w:ascii="Times New Roman" w:hAnsi="Times New Roman"/>
          <w:b/>
          <w:bCs/>
          <w:szCs w:val="24"/>
          <w:lang w:val="en-US"/>
        </w:rPr>
      </w:pPr>
    </w:p>
    <w:p w14:paraId="173E3FC8" w14:textId="77777777" w:rsidR="003C5CE1" w:rsidRPr="00400193" w:rsidRDefault="003C5CE1" w:rsidP="003C5CE1">
      <w:pPr>
        <w:spacing w:after="0"/>
        <w:jc w:val="center"/>
        <w:rPr>
          <w:rFonts w:ascii="Times New Roman" w:hAnsi="Times New Roman"/>
          <w:b/>
          <w:bCs/>
          <w:szCs w:val="24"/>
        </w:rPr>
      </w:pPr>
      <w:r w:rsidRPr="00400193">
        <w:rPr>
          <w:rFonts w:ascii="Times New Roman" w:hAnsi="Times New Roman"/>
          <w:b/>
          <w:bCs/>
          <w:szCs w:val="24"/>
        </w:rPr>
        <w:t>at</w:t>
      </w:r>
    </w:p>
    <w:p w14:paraId="4A21AA41" w14:textId="77777777" w:rsidR="003C5CE1" w:rsidRPr="00400193" w:rsidRDefault="003C5CE1" w:rsidP="003C5CE1">
      <w:pPr>
        <w:spacing w:after="0"/>
        <w:jc w:val="center"/>
        <w:rPr>
          <w:rFonts w:ascii="Times New Roman" w:hAnsi="Times New Roman"/>
          <w:b/>
          <w:bCs/>
          <w:szCs w:val="24"/>
        </w:rPr>
      </w:pPr>
      <w:r w:rsidRPr="00400193">
        <w:rPr>
          <w:rFonts w:ascii="Times New Roman" w:hAnsi="Times New Roman"/>
          <w:b/>
          <w:bCs/>
          <w:szCs w:val="24"/>
        </w:rPr>
        <w:t>The British University in Dubai</w:t>
      </w:r>
    </w:p>
    <w:p w14:paraId="088D6E36" w14:textId="77777777" w:rsidR="003C5CE1" w:rsidRPr="00400193" w:rsidRDefault="003C5CE1" w:rsidP="003C5CE1">
      <w:pPr>
        <w:spacing w:after="0" w:line="240" w:lineRule="auto"/>
        <w:jc w:val="center"/>
        <w:rPr>
          <w:rFonts w:ascii="Times New Roman" w:hAnsi="Times New Roman"/>
          <w:b/>
          <w:bCs/>
          <w:szCs w:val="24"/>
        </w:rPr>
      </w:pPr>
      <w:r w:rsidRPr="00400193">
        <w:rPr>
          <w:rFonts w:ascii="Times New Roman" w:hAnsi="Times New Roman"/>
          <w:b/>
          <w:bCs/>
          <w:szCs w:val="24"/>
        </w:rPr>
        <w:t>July 2020</w:t>
      </w:r>
    </w:p>
    <w:p w14:paraId="34C9C4FD" w14:textId="77777777" w:rsidR="003C5CE1" w:rsidRPr="00400193" w:rsidRDefault="003C5CE1" w:rsidP="003C5CE1">
      <w:pPr>
        <w:spacing w:after="0" w:line="240" w:lineRule="auto"/>
        <w:jc w:val="center"/>
        <w:rPr>
          <w:rFonts w:ascii="Times New Roman" w:hAnsi="Times New Roman"/>
          <w:szCs w:val="24"/>
        </w:rPr>
      </w:pPr>
    </w:p>
    <w:p w14:paraId="3B9700AB" w14:textId="77777777" w:rsidR="003C5CE1" w:rsidRPr="00400193" w:rsidRDefault="003C5CE1" w:rsidP="003C5CE1">
      <w:pPr>
        <w:spacing w:after="0" w:line="240" w:lineRule="auto"/>
        <w:jc w:val="center"/>
        <w:rPr>
          <w:rFonts w:ascii="Times New Roman" w:hAnsi="Times New Roman"/>
          <w:b/>
          <w:bCs/>
          <w:szCs w:val="24"/>
        </w:rPr>
      </w:pPr>
      <w:r w:rsidRPr="00400193">
        <w:rPr>
          <w:rFonts w:ascii="Times New Roman" w:hAnsi="Times New Roman"/>
          <w:b/>
          <w:bCs/>
          <w:szCs w:val="24"/>
        </w:rPr>
        <w:t>Thesis Supervisor</w:t>
      </w:r>
    </w:p>
    <w:p w14:paraId="2B016309" w14:textId="77777777" w:rsidR="003C5CE1" w:rsidRPr="00400193" w:rsidRDefault="003C5CE1" w:rsidP="003C5CE1">
      <w:pPr>
        <w:spacing w:after="0" w:line="240" w:lineRule="auto"/>
        <w:jc w:val="center"/>
        <w:rPr>
          <w:rFonts w:ascii="Times New Roman" w:hAnsi="Times New Roman"/>
          <w:b/>
          <w:bCs/>
          <w:szCs w:val="24"/>
        </w:rPr>
      </w:pPr>
      <w:r w:rsidRPr="00400193">
        <w:rPr>
          <w:rFonts w:ascii="Times New Roman" w:hAnsi="Times New Roman"/>
          <w:b/>
          <w:bCs/>
          <w:szCs w:val="24"/>
        </w:rPr>
        <w:t>Dr Khalid Al Marri</w:t>
      </w:r>
    </w:p>
    <w:p w14:paraId="6F410B9C" w14:textId="77777777" w:rsidR="003C5CE1" w:rsidRPr="00400193" w:rsidRDefault="003C5CE1" w:rsidP="003C5CE1">
      <w:pPr>
        <w:spacing w:after="0" w:line="240" w:lineRule="auto"/>
        <w:jc w:val="center"/>
        <w:rPr>
          <w:rFonts w:ascii="Times New Roman" w:hAnsi="Times New Roman"/>
          <w:szCs w:val="24"/>
        </w:rPr>
      </w:pPr>
    </w:p>
    <w:p w14:paraId="2D675A7B" w14:textId="77777777" w:rsidR="003C5CE1" w:rsidRPr="00400193" w:rsidRDefault="003C5CE1" w:rsidP="003C5CE1">
      <w:pPr>
        <w:spacing w:after="0" w:line="240" w:lineRule="auto"/>
        <w:jc w:val="center"/>
        <w:rPr>
          <w:rFonts w:ascii="Times New Roman" w:hAnsi="Times New Roman"/>
          <w:szCs w:val="24"/>
        </w:rPr>
      </w:pPr>
    </w:p>
    <w:p w14:paraId="7106EF6E" w14:textId="77777777" w:rsidR="003C5CE1" w:rsidRPr="00400193" w:rsidRDefault="003C5CE1" w:rsidP="003C5CE1">
      <w:pPr>
        <w:spacing w:after="0" w:line="240" w:lineRule="auto"/>
        <w:rPr>
          <w:rFonts w:ascii="Times New Roman" w:hAnsi="Times New Roman"/>
          <w:b/>
          <w:bCs/>
          <w:szCs w:val="24"/>
        </w:rPr>
      </w:pPr>
      <w:r w:rsidRPr="00400193">
        <w:rPr>
          <w:rFonts w:ascii="Times New Roman" w:hAnsi="Times New Roman"/>
          <w:b/>
          <w:bCs/>
          <w:szCs w:val="24"/>
        </w:rPr>
        <w:t>Approved for award:</w:t>
      </w:r>
    </w:p>
    <w:p w14:paraId="321C4B7E" w14:textId="77777777" w:rsidR="003C5CE1" w:rsidRPr="00400193" w:rsidRDefault="003C5CE1" w:rsidP="003C5CE1">
      <w:pPr>
        <w:spacing w:after="0" w:line="240" w:lineRule="auto"/>
        <w:jc w:val="center"/>
        <w:rPr>
          <w:rFonts w:ascii="Times New Roman" w:hAnsi="Times New Roman"/>
          <w:szCs w:val="24"/>
        </w:rPr>
      </w:pPr>
    </w:p>
    <w:p w14:paraId="0288F66C"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____________________________</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________________________</w:t>
      </w:r>
    </w:p>
    <w:p w14:paraId="5B6231F3"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 xml:space="preserve">Name </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Name</w:t>
      </w:r>
    </w:p>
    <w:p w14:paraId="61231144"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Designation</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Designation</w:t>
      </w:r>
    </w:p>
    <w:p w14:paraId="195A5451"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39616F82"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69FF9E06"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____________________________</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________________________</w:t>
      </w:r>
    </w:p>
    <w:p w14:paraId="0E5E372E"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 xml:space="preserve">Name </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Name</w:t>
      </w:r>
    </w:p>
    <w:p w14:paraId="4F77A1DF"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Designation</w:t>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r>
      <w:r w:rsidRPr="00400193">
        <w:rPr>
          <w:rFonts w:ascii="Times New Roman" w:hAnsi="Times New Roman"/>
          <w:szCs w:val="24"/>
        </w:rPr>
        <w:tab/>
        <w:t>Designation</w:t>
      </w:r>
    </w:p>
    <w:p w14:paraId="3B89D0C3"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311AA022"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657E0347"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Date: ____________</w:t>
      </w:r>
    </w:p>
    <w:p w14:paraId="2E50AD36" w14:textId="77777777" w:rsidR="003C5CE1" w:rsidRPr="00400193" w:rsidRDefault="003C5CE1" w:rsidP="003C5CE1">
      <w:pPr>
        <w:spacing w:line="259" w:lineRule="auto"/>
        <w:jc w:val="left"/>
      </w:pPr>
      <w:r w:rsidRPr="00400193">
        <w:br w:type="page"/>
      </w:r>
    </w:p>
    <w:p w14:paraId="6811B21A" w14:textId="77777777" w:rsidR="003C5CE1" w:rsidRPr="00400193" w:rsidRDefault="003C5CE1" w:rsidP="003C5CE1">
      <w:pPr>
        <w:spacing w:before="100" w:beforeAutospacing="1" w:after="100" w:afterAutospacing="1" w:line="240" w:lineRule="auto"/>
        <w:jc w:val="center"/>
        <w:rPr>
          <w:rFonts w:ascii="Times New Roman" w:hAnsi="Times New Roman"/>
          <w:b/>
          <w:bCs/>
          <w:sz w:val="28"/>
          <w:szCs w:val="28"/>
          <w:lang w:eastAsia="en-GB"/>
        </w:rPr>
      </w:pPr>
      <w:r w:rsidRPr="00400193">
        <w:rPr>
          <w:rFonts w:ascii="Times New Roman" w:hAnsi="Times New Roman"/>
          <w:b/>
          <w:bCs/>
          <w:sz w:val="28"/>
          <w:szCs w:val="28"/>
          <w:lang w:eastAsia="en-GB"/>
        </w:rPr>
        <w:lastRenderedPageBreak/>
        <w:t>DECLARATION</w:t>
      </w:r>
    </w:p>
    <w:p w14:paraId="09EA8636" w14:textId="77777777" w:rsidR="003C5CE1" w:rsidRPr="00400193" w:rsidRDefault="003C5CE1" w:rsidP="003C5CE1">
      <w:pPr>
        <w:spacing w:before="100" w:beforeAutospacing="1" w:after="100" w:afterAutospacing="1" w:line="240" w:lineRule="auto"/>
        <w:jc w:val="center"/>
        <w:rPr>
          <w:rFonts w:ascii="Times New Roman" w:hAnsi="Times New Roman"/>
          <w:b/>
          <w:bCs/>
          <w:sz w:val="28"/>
          <w:szCs w:val="28"/>
          <w:lang w:eastAsia="en-GB"/>
        </w:rPr>
      </w:pPr>
    </w:p>
    <w:p w14:paraId="052B7547" w14:textId="77777777" w:rsidR="003C5CE1" w:rsidRPr="00400193" w:rsidRDefault="003C5CE1" w:rsidP="003C5CE1">
      <w:pPr>
        <w:spacing w:before="100" w:beforeAutospacing="1" w:after="100" w:afterAutospacing="1" w:line="240" w:lineRule="auto"/>
        <w:rPr>
          <w:b/>
          <w:bCs/>
          <w:szCs w:val="24"/>
          <w:lang w:eastAsia="en-GB"/>
        </w:rPr>
      </w:pPr>
    </w:p>
    <w:p w14:paraId="6F3EC5FC" w14:textId="77777777" w:rsidR="003C5CE1" w:rsidRPr="00400193" w:rsidRDefault="003C5CE1" w:rsidP="003C5CE1">
      <w:pPr>
        <w:spacing w:before="100" w:beforeAutospacing="1" w:after="100" w:afterAutospacing="1" w:line="240" w:lineRule="auto"/>
        <w:rPr>
          <w:rFonts w:ascii="Times New Roman" w:hAnsi="Times New Roman"/>
          <w:szCs w:val="24"/>
          <w:lang w:eastAsia="en-GB"/>
        </w:rPr>
      </w:pPr>
      <w:r w:rsidRPr="00400193">
        <w:rPr>
          <w:rFonts w:ascii="Times New Roman" w:hAnsi="Times New Roman"/>
          <w:szCs w:val="24"/>
          <w:lang w:eastAsia="en-GB"/>
        </w:rPr>
        <w:t>I warrant that the content of this research is the direct result of my own work and that any use made in it of published or unpublished copyright material falls within the limits permitted by international copyright conventions.</w:t>
      </w:r>
    </w:p>
    <w:p w14:paraId="563E404B" w14:textId="77777777" w:rsidR="003C5CE1" w:rsidRPr="00400193" w:rsidRDefault="003C5CE1" w:rsidP="003C5CE1">
      <w:pPr>
        <w:spacing w:before="100" w:beforeAutospacing="1" w:after="100" w:afterAutospacing="1" w:line="240" w:lineRule="auto"/>
        <w:rPr>
          <w:rFonts w:ascii="Times New Roman" w:hAnsi="Times New Roman"/>
          <w:szCs w:val="24"/>
          <w:lang w:eastAsia="en-GB"/>
        </w:rPr>
      </w:pPr>
      <w:r w:rsidRPr="00400193">
        <w:rPr>
          <w:rFonts w:ascii="Times New Roman" w:hAnsi="Times New Roman"/>
          <w:szCs w:val="24"/>
          <w:lang w:eastAsia="en-GB"/>
        </w:rPr>
        <w:t>I understand that a copy of my research will be deposited in the University Library for permanent retention.</w:t>
      </w:r>
    </w:p>
    <w:p w14:paraId="2D355EE1" w14:textId="77777777" w:rsidR="003C5CE1" w:rsidRPr="00400193" w:rsidRDefault="003C5CE1" w:rsidP="003C5CE1">
      <w:pPr>
        <w:spacing w:before="100" w:beforeAutospacing="1" w:after="100" w:afterAutospacing="1" w:line="240" w:lineRule="auto"/>
        <w:rPr>
          <w:rFonts w:ascii="Times New Roman" w:hAnsi="Times New Roman"/>
          <w:szCs w:val="24"/>
          <w:lang w:eastAsia="en-GB"/>
        </w:rPr>
      </w:pPr>
      <w:r w:rsidRPr="00400193">
        <w:rPr>
          <w:rFonts w:ascii="Times New Roman" w:hAnsi="Times New Roman"/>
          <w:szCs w:val="24"/>
          <w:lang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7385AB36" w14:textId="77777777" w:rsidR="003C5CE1" w:rsidRPr="00400193" w:rsidRDefault="003C5CE1" w:rsidP="003C5CE1">
      <w:pPr>
        <w:spacing w:before="100" w:beforeAutospacing="1" w:after="100" w:afterAutospacing="1" w:line="240" w:lineRule="auto"/>
        <w:rPr>
          <w:rFonts w:ascii="Times New Roman" w:hAnsi="Times New Roman"/>
          <w:szCs w:val="24"/>
          <w:lang w:eastAsia="en-GB"/>
        </w:rPr>
      </w:pPr>
      <w:r w:rsidRPr="00400193">
        <w:rPr>
          <w:rFonts w:ascii="Times New Roman" w:hAnsi="Times New Roman"/>
          <w:szCs w:val="24"/>
          <w:lang w:eastAsia="en-GB"/>
        </w:rPr>
        <w:t>I understand that The British University in Dubai may make a digital copy available in the institutional repository.</w:t>
      </w:r>
    </w:p>
    <w:p w14:paraId="6A062FC6" w14:textId="77777777" w:rsidR="003C5CE1" w:rsidRPr="00400193" w:rsidRDefault="003C5CE1" w:rsidP="003C5CE1">
      <w:pPr>
        <w:spacing w:before="100" w:beforeAutospacing="1" w:after="100" w:afterAutospacing="1" w:line="240" w:lineRule="auto"/>
        <w:rPr>
          <w:rFonts w:ascii="Times New Roman" w:hAnsi="Times New Roman"/>
          <w:szCs w:val="24"/>
          <w:lang w:eastAsia="en-GB"/>
        </w:rPr>
      </w:pPr>
      <w:r w:rsidRPr="00400193">
        <w:rPr>
          <w:rFonts w:ascii="Times New Roman" w:hAnsi="Times New Roman"/>
          <w:szCs w:val="24"/>
          <w:lang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0A63B432" w14:textId="77777777" w:rsidR="003C5CE1" w:rsidRPr="00400193" w:rsidRDefault="003C5CE1" w:rsidP="003C5CE1">
      <w:pPr>
        <w:spacing w:after="0" w:line="240" w:lineRule="auto"/>
        <w:rPr>
          <w:rFonts w:ascii="Times New Roman" w:hAnsi="Times New Roman"/>
          <w:szCs w:val="24"/>
        </w:rPr>
      </w:pPr>
    </w:p>
    <w:p w14:paraId="2E049FE8"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02775489"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_______________________</w:t>
      </w:r>
    </w:p>
    <w:p w14:paraId="36F2C9A9" w14:textId="77777777" w:rsidR="003C5CE1" w:rsidRPr="00400193" w:rsidRDefault="003C5CE1" w:rsidP="003C5CE1">
      <w:pPr>
        <w:autoSpaceDE w:val="0"/>
        <w:autoSpaceDN w:val="0"/>
        <w:adjustRightInd w:val="0"/>
        <w:spacing w:after="0" w:line="240" w:lineRule="auto"/>
        <w:rPr>
          <w:rFonts w:ascii="Times New Roman" w:hAnsi="Times New Roman"/>
          <w:szCs w:val="24"/>
        </w:rPr>
      </w:pPr>
      <w:r w:rsidRPr="00400193">
        <w:rPr>
          <w:rFonts w:ascii="Times New Roman" w:hAnsi="Times New Roman"/>
          <w:szCs w:val="24"/>
        </w:rPr>
        <w:t>Signature of the student</w:t>
      </w:r>
    </w:p>
    <w:p w14:paraId="1B2F3396"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7CDACE24" w14:textId="77777777" w:rsidR="003C5CE1" w:rsidRPr="00400193" w:rsidRDefault="003C5CE1" w:rsidP="003C5CE1">
      <w:pPr>
        <w:autoSpaceDE w:val="0"/>
        <w:autoSpaceDN w:val="0"/>
        <w:adjustRightInd w:val="0"/>
        <w:spacing w:after="0" w:line="240" w:lineRule="auto"/>
        <w:rPr>
          <w:rFonts w:ascii="Times New Roman" w:hAnsi="Times New Roman"/>
          <w:szCs w:val="24"/>
        </w:rPr>
      </w:pPr>
    </w:p>
    <w:p w14:paraId="7123344F" w14:textId="77777777" w:rsidR="003C5CE1" w:rsidRPr="00400193" w:rsidRDefault="003C5CE1" w:rsidP="003C5CE1"/>
    <w:p w14:paraId="023BB0E3" w14:textId="77777777" w:rsidR="00070C91" w:rsidRDefault="003C5CE1" w:rsidP="003C5CE1">
      <w:pPr>
        <w:keepNext/>
        <w:keepLines/>
        <w:spacing w:after="720"/>
        <w:jc w:val="center"/>
        <w:outlineLvl w:val="0"/>
      </w:pPr>
      <w:r w:rsidRPr="00400193">
        <w:br w:type="page"/>
      </w:r>
      <w:bookmarkStart w:id="2" w:name="_Toc61894629"/>
    </w:p>
    <w:p w14:paraId="758FECDE" w14:textId="77777777" w:rsidR="00070C91" w:rsidRDefault="00070C91" w:rsidP="003C5CE1">
      <w:pPr>
        <w:keepNext/>
        <w:keepLines/>
        <w:spacing w:after="720"/>
        <w:jc w:val="center"/>
        <w:outlineLvl w:val="0"/>
      </w:pPr>
    </w:p>
    <w:p w14:paraId="6E9AB701" w14:textId="7B9DF369" w:rsidR="003C5CE1" w:rsidRPr="00400193" w:rsidRDefault="003C5CE1" w:rsidP="003C5CE1">
      <w:pPr>
        <w:keepNext/>
        <w:keepLines/>
        <w:spacing w:after="720"/>
        <w:jc w:val="center"/>
        <w:outlineLvl w:val="0"/>
        <w:rPr>
          <w:rFonts w:ascii="Times New Roman" w:hAnsi="Times New Roman"/>
          <w:b/>
          <w:bCs/>
          <w:caps/>
          <w:snapToGrid w:val="0"/>
          <w:kern w:val="28"/>
          <w:sz w:val="28"/>
          <w:szCs w:val="28"/>
        </w:rPr>
      </w:pPr>
      <w:r w:rsidRPr="00400193">
        <w:rPr>
          <w:rFonts w:ascii="Times New Roman" w:hAnsi="Times New Roman"/>
          <w:b/>
          <w:bCs/>
          <w:caps/>
          <w:snapToGrid w:val="0"/>
          <w:kern w:val="28"/>
          <w:sz w:val="28"/>
          <w:szCs w:val="28"/>
        </w:rPr>
        <w:t>COPYRIGHT AND INFORMATION TO USERS</w:t>
      </w:r>
      <w:bookmarkEnd w:id="2"/>
    </w:p>
    <w:p w14:paraId="406B8864" w14:textId="77777777" w:rsidR="003C5CE1" w:rsidRPr="00400193" w:rsidRDefault="003C5CE1" w:rsidP="003C5CE1">
      <w:pPr>
        <w:spacing w:after="120" w:line="240" w:lineRule="auto"/>
        <w:rPr>
          <w:rFonts w:ascii="Times New Roman" w:hAnsi="Times New Roman"/>
          <w:szCs w:val="24"/>
        </w:rPr>
      </w:pPr>
      <w:r w:rsidRPr="00400193">
        <w:rPr>
          <w:rFonts w:ascii="Times New Roman" w:hAnsi="Times New Roman"/>
          <w:szCs w:val="24"/>
        </w:rPr>
        <w:t>The author whose copyright is declared on the title page of the work has granted to the British University in Dubai the right to lend his/her research work to users of its library and to make partial or single copies for educational and research use.</w:t>
      </w:r>
    </w:p>
    <w:p w14:paraId="785C34DF" w14:textId="77777777" w:rsidR="003C5CE1" w:rsidRPr="00400193" w:rsidRDefault="003C5CE1" w:rsidP="003C5CE1">
      <w:pPr>
        <w:spacing w:after="120" w:line="240" w:lineRule="auto"/>
        <w:rPr>
          <w:rFonts w:ascii="Times New Roman" w:hAnsi="Times New Roman"/>
          <w:szCs w:val="24"/>
        </w:rPr>
      </w:pPr>
    </w:p>
    <w:p w14:paraId="04655955" w14:textId="77777777" w:rsidR="003C5CE1" w:rsidRPr="00400193" w:rsidRDefault="003C5CE1" w:rsidP="003C5CE1">
      <w:pPr>
        <w:spacing w:after="120" w:line="240" w:lineRule="auto"/>
        <w:rPr>
          <w:rFonts w:ascii="Times New Roman" w:hAnsi="Times New Roman"/>
          <w:szCs w:val="24"/>
        </w:rPr>
      </w:pPr>
      <w:r w:rsidRPr="00400193">
        <w:rPr>
          <w:rFonts w:ascii="Times New Roman" w:hAnsi="Times New Roman"/>
          <w:szCs w:val="24"/>
        </w:rPr>
        <w:t>The author has also granted permission to the University to keep or make a digital copy for similar use and for the purpose of preservation of the work digitally.</w:t>
      </w:r>
    </w:p>
    <w:p w14:paraId="3F20D158" w14:textId="77777777" w:rsidR="003C5CE1" w:rsidRPr="00400193" w:rsidRDefault="003C5CE1" w:rsidP="003C5CE1">
      <w:pPr>
        <w:spacing w:after="120" w:line="240" w:lineRule="auto"/>
        <w:rPr>
          <w:rFonts w:ascii="Times New Roman" w:hAnsi="Times New Roman"/>
          <w:szCs w:val="24"/>
        </w:rPr>
      </w:pPr>
    </w:p>
    <w:p w14:paraId="690BF109" w14:textId="77777777" w:rsidR="003C5CE1" w:rsidRPr="00400193" w:rsidRDefault="003C5CE1" w:rsidP="003C5CE1">
      <w:pPr>
        <w:spacing w:after="0" w:line="240" w:lineRule="auto"/>
        <w:rPr>
          <w:rFonts w:ascii="Times New Roman" w:hAnsi="Times New Roman"/>
          <w:szCs w:val="24"/>
        </w:rPr>
      </w:pPr>
      <w:r w:rsidRPr="00400193">
        <w:rPr>
          <w:rFonts w:ascii="Times New Roman" w:hAnsi="Times New Roman"/>
          <w:szCs w:val="24"/>
        </w:rPr>
        <w:t>Multiple copying of this work for scholarly purposes may be granted by either the author, the Registrar or the Dean only.</w:t>
      </w:r>
    </w:p>
    <w:p w14:paraId="0A2ADED5" w14:textId="77777777" w:rsidR="003C5CE1" w:rsidRPr="00400193" w:rsidRDefault="003C5CE1" w:rsidP="003C5CE1">
      <w:pPr>
        <w:spacing w:after="0" w:line="240" w:lineRule="auto"/>
        <w:rPr>
          <w:rFonts w:ascii="Times New Roman" w:hAnsi="Times New Roman"/>
          <w:szCs w:val="24"/>
        </w:rPr>
      </w:pPr>
    </w:p>
    <w:p w14:paraId="29B34ED2" w14:textId="77777777" w:rsidR="003C5CE1" w:rsidRPr="00400193" w:rsidRDefault="003C5CE1" w:rsidP="003C5CE1">
      <w:pPr>
        <w:spacing w:after="0" w:line="240" w:lineRule="auto"/>
        <w:rPr>
          <w:rFonts w:ascii="Times New Roman" w:hAnsi="Times New Roman"/>
          <w:szCs w:val="24"/>
        </w:rPr>
      </w:pPr>
    </w:p>
    <w:p w14:paraId="5EE3A607" w14:textId="77777777" w:rsidR="003C5CE1" w:rsidRPr="00400193" w:rsidRDefault="003C5CE1" w:rsidP="003C5CE1">
      <w:pPr>
        <w:spacing w:after="0" w:line="240" w:lineRule="auto"/>
        <w:rPr>
          <w:rFonts w:ascii="Times New Roman" w:hAnsi="Times New Roman"/>
          <w:szCs w:val="24"/>
        </w:rPr>
      </w:pPr>
      <w:r w:rsidRPr="00400193">
        <w:rPr>
          <w:rFonts w:ascii="Times New Roman" w:hAnsi="Times New Roman"/>
          <w:szCs w:val="24"/>
        </w:rPr>
        <w:t>Copying for financial gain shall only be allowed with the author’s express permission.</w:t>
      </w:r>
    </w:p>
    <w:p w14:paraId="5E654F48" w14:textId="77777777" w:rsidR="003C5CE1" w:rsidRPr="00400193" w:rsidRDefault="003C5CE1" w:rsidP="003C5CE1">
      <w:pPr>
        <w:spacing w:after="0" w:line="240" w:lineRule="auto"/>
        <w:rPr>
          <w:rFonts w:ascii="Times New Roman" w:hAnsi="Times New Roman"/>
          <w:szCs w:val="24"/>
        </w:rPr>
      </w:pPr>
    </w:p>
    <w:p w14:paraId="6F9F56D8" w14:textId="77777777" w:rsidR="003C5CE1" w:rsidRPr="00400193" w:rsidRDefault="003C5CE1" w:rsidP="003C5CE1">
      <w:pPr>
        <w:spacing w:after="0" w:line="240" w:lineRule="auto"/>
        <w:rPr>
          <w:rFonts w:ascii="Times New Roman" w:hAnsi="Times New Roman"/>
          <w:szCs w:val="24"/>
        </w:rPr>
      </w:pPr>
    </w:p>
    <w:p w14:paraId="4ED38691" w14:textId="77777777" w:rsidR="003C5CE1" w:rsidRPr="00400193" w:rsidRDefault="003C5CE1" w:rsidP="003C5CE1">
      <w:pPr>
        <w:spacing w:after="0" w:line="240" w:lineRule="auto"/>
        <w:rPr>
          <w:rFonts w:ascii="Times New Roman" w:hAnsi="Times New Roman"/>
          <w:szCs w:val="24"/>
        </w:rPr>
      </w:pPr>
      <w:r w:rsidRPr="00400193">
        <w:rPr>
          <w:rFonts w:ascii="Times New Roman" w:hAnsi="Times New Roman"/>
          <w:szCs w:val="24"/>
        </w:rPr>
        <w:t>Any use of this work in whole or in part shall respect the moral rights of the author to be acknowledged and to reflect in good faith and without detriment the meaning of the content, and the original authorship.</w:t>
      </w:r>
    </w:p>
    <w:p w14:paraId="2061A830" w14:textId="37600D8F" w:rsidR="006E3616" w:rsidRPr="00400193" w:rsidRDefault="003C5CE1" w:rsidP="00141D53">
      <w:pPr>
        <w:spacing w:line="259" w:lineRule="auto"/>
        <w:jc w:val="left"/>
        <w:rPr>
          <w:rFonts w:eastAsia="Arial Unicode MS" w:cs="Times New Roman"/>
          <w:szCs w:val="24"/>
        </w:rPr>
        <w:sectPr w:rsidR="006E3616" w:rsidRPr="00400193" w:rsidSect="003B5486">
          <w:footerReference w:type="default" r:id="rId10"/>
          <w:pgSz w:w="11906" w:h="16838"/>
          <w:pgMar w:top="1440" w:right="1440" w:bottom="1440" w:left="1440" w:header="0" w:footer="397" w:gutter="0"/>
          <w:pgNumType w:fmt="lowerRoman" w:start="1"/>
          <w:cols w:space="708"/>
          <w:docGrid w:linePitch="360"/>
        </w:sectPr>
      </w:pPr>
      <w:r w:rsidRPr="00400193">
        <w:rPr>
          <w:rFonts w:eastAsia="Arial Unicode MS" w:cs="Times New Roman"/>
          <w:szCs w:val="24"/>
        </w:rPr>
        <w:br w:type="page"/>
      </w:r>
    </w:p>
    <w:p w14:paraId="27DDD24D" w14:textId="7BC5103F" w:rsidR="006E3616" w:rsidRPr="00400193" w:rsidRDefault="006E3616" w:rsidP="00365BC6">
      <w:pPr>
        <w:pStyle w:val="Heading1"/>
        <w:numPr>
          <w:ilvl w:val="0"/>
          <w:numId w:val="0"/>
        </w:numPr>
        <w:spacing w:line="276" w:lineRule="auto"/>
        <w:jc w:val="both"/>
        <w:rPr>
          <w:rFonts w:eastAsia="Calibri"/>
          <w:sz w:val="28"/>
          <w:szCs w:val="28"/>
        </w:rPr>
      </w:pPr>
      <w:bookmarkStart w:id="3" w:name="_Toc40631723"/>
      <w:bookmarkStart w:id="4" w:name="_Toc61894630"/>
      <w:bookmarkEnd w:id="0"/>
      <w:r w:rsidRPr="00400193">
        <w:rPr>
          <w:rFonts w:eastAsia="Calibri"/>
        </w:rPr>
        <w:lastRenderedPageBreak/>
        <w:t>Abstract</w:t>
      </w:r>
      <w:bookmarkEnd w:id="3"/>
      <w:bookmarkEnd w:id="4"/>
    </w:p>
    <w:p w14:paraId="6778EA3D" w14:textId="35D75F47" w:rsidR="00897A44" w:rsidRPr="00400193" w:rsidRDefault="00897A44" w:rsidP="00365BC6">
      <w:pPr>
        <w:spacing w:before="120" w:after="120" w:line="276" w:lineRule="auto"/>
        <w:rPr>
          <w:rFonts w:eastAsia="SimSun" w:cs="Times New Roman"/>
          <w:bCs/>
          <w:szCs w:val="26"/>
          <w:highlight w:val="yellow"/>
          <w:lang w:eastAsia="zh-CN"/>
        </w:rPr>
      </w:pPr>
      <w:r w:rsidRPr="00400193">
        <w:rPr>
          <w:rFonts w:eastAsia="SimSun" w:cs="Times New Roman"/>
          <w:bCs/>
          <w:szCs w:val="26"/>
          <w:lang w:eastAsia="zh-CN"/>
        </w:rPr>
        <w:t xml:space="preserve">This </w:t>
      </w:r>
      <w:r w:rsidR="00416CCA" w:rsidRPr="00400193">
        <w:rPr>
          <w:rFonts w:eastAsia="SimSun" w:cs="Times New Roman"/>
          <w:bCs/>
          <w:szCs w:val="26"/>
          <w:lang w:eastAsia="zh-CN"/>
        </w:rPr>
        <w:t xml:space="preserve">dissertation </w:t>
      </w:r>
      <w:r w:rsidRPr="00400193">
        <w:rPr>
          <w:rFonts w:eastAsia="SimSun" w:cs="Times New Roman"/>
          <w:bCs/>
          <w:szCs w:val="26"/>
          <w:lang w:eastAsia="zh-CN"/>
        </w:rPr>
        <w:t xml:space="preserve">empirically examines the level of resilience and readiness for cyber-risks in public sector organisations within the United Arab Emirates (UAE) to provide managers with proactive mechanism to improve the cyber-resilience of their organisations. Moreover, the study aims to synthesize the extant literature and identifies new framework that filling the gaps in the current practices. </w:t>
      </w:r>
    </w:p>
    <w:p w14:paraId="24BF0F49" w14:textId="72E657AB" w:rsidR="00897A44" w:rsidRPr="00400193" w:rsidRDefault="00897A44" w:rsidP="00897A44">
      <w:pPr>
        <w:spacing w:before="120" w:after="120" w:line="240" w:lineRule="auto"/>
        <w:rPr>
          <w:rFonts w:eastAsia="SimSun" w:cs="Times New Roman"/>
          <w:bCs/>
          <w:szCs w:val="26"/>
          <w:lang w:eastAsia="zh-CN"/>
        </w:rPr>
      </w:pPr>
      <w:r w:rsidRPr="00400193">
        <w:rPr>
          <w:rFonts w:eastAsia="SimSun" w:cs="Times New Roman"/>
          <w:bCs/>
          <w:szCs w:val="26"/>
          <w:lang w:eastAsia="zh-CN"/>
        </w:rPr>
        <w:t xml:space="preserve">The importance of this study stemmed from the fact that cyber threats </w:t>
      </w:r>
      <w:r w:rsidR="00ED49F2" w:rsidRPr="00400193">
        <w:rPr>
          <w:rFonts w:eastAsia="SimSun" w:cs="Times New Roman"/>
          <w:bCs/>
          <w:szCs w:val="26"/>
          <w:lang w:eastAsia="zh-CN"/>
        </w:rPr>
        <w:t xml:space="preserve">are </w:t>
      </w:r>
      <w:r w:rsidRPr="00400193">
        <w:rPr>
          <w:rFonts w:eastAsia="SimSun" w:cs="Times New Roman"/>
          <w:bCs/>
          <w:szCs w:val="26"/>
          <w:lang w:eastAsia="zh-CN"/>
        </w:rPr>
        <w:t xml:space="preserve">becoming </w:t>
      </w:r>
      <w:r w:rsidR="00ED49F2" w:rsidRPr="00400193">
        <w:rPr>
          <w:rFonts w:eastAsia="SimSun" w:cs="Times New Roman"/>
          <w:bCs/>
          <w:szCs w:val="26"/>
          <w:lang w:eastAsia="zh-CN"/>
        </w:rPr>
        <w:t xml:space="preserve">a significant global concern prompting </w:t>
      </w:r>
      <w:r w:rsidRPr="00400193">
        <w:rPr>
          <w:rFonts w:eastAsia="SimSun" w:cs="Times New Roman"/>
          <w:bCs/>
          <w:szCs w:val="26"/>
          <w:lang w:eastAsia="zh-CN"/>
        </w:rPr>
        <w:t xml:space="preserve">the importance of developing a </w:t>
      </w:r>
      <w:bookmarkStart w:id="5" w:name="_Hlk55676462"/>
      <w:r w:rsidR="00651D89" w:rsidRPr="00400193">
        <w:rPr>
          <w:rFonts w:eastAsia="SimSun" w:cs="Times New Roman"/>
          <w:bCs/>
          <w:szCs w:val="26"/>
          <w:lang w:eastAsia="zh-CN"/>
        </w:rPr>
        <w:t>reliable</w:t>
      </w:r>
      <w:r w:rsidRPr="00400193">
        <w:rPr>
          <w:rFonts w:eastAsia="SimSun" w:cs="Times New Roman"/>
          <w:bCs/>
          <w:szCs w:val="26"/>
          <w:lang w:eastAsia="zh-CN"/>
        </w:rPr>
        <w:t xml:space="preserve"> </w:t>
      </w:r>
      <w:bookmarkEnd w:id="5"/>
      <w:r w:rsidRPr="00400193">
        <w:rPr>
          <w:rFonts w:eastAsia="SimSun" w:cs="Times New Roman"/>
          <w:bCs/>
          <w:szCs w:val="26"/>
          <w:lang w:eastAsia="zh-CN"/>
        </w:rPr>
        <w:t>resilience mechanism to counter cyber threats and risks in the UAE public sector organisations.</w:t>
      </w:r>
    </w:p>
    <w:p w14:paraId="50BA374A" w14:textId="623BADCB" w:rsidR="00897A44" w:rsidRPr="00400193" w:rsidRDefault="00897A44" w:rsidP="00897A44">
      <w:pPr>
        <w:spacing w:before="120" w:after="120" w:line="240" w:lineRule="auto"/>
        <w:rPr>
          <w:rFonts w:eastAsia="SimSun" w:cs="Times New Roman"/>
          <w:bCs/>
          <w:szCs w:val="26"/>
          <w:lang w:eastAsia="zh-CN"/>
        </w:rPr>
      </w:pPr>
      <w:r w:rsidRPr="00400193">
        <w:rPr>
          <w:rFonts w:eastAsia="SimSun" w:cs="Times New Roman"/>
          <w:bCs/>
          <w:szCs w:val="26"/>
          <w:lang w:eastAsia="zh-CN"/>
        </w:rPr>
        <w:t>Therefore, the study address</w:t>
      </w:r>
      <w:r w:rsidR="00ED49F2" w:rsidRPr="00400193">
        <w:rPr>
          <w:rFonts w:eastAsia="SimSun" w:cs="Times New Roman"/>
          <w:bCs/>
          <w:szCs w:val="26"/>
          <w:lang w:eastAsia="zh-CN"/>
        </w:rPr>
        <w:t>ed</w:t>
      </w:r>
      <w:r w:rsidRPr="00400193">
        <w:rPr>
          <w:rFonts w:eastAsia="SimSun" w:cs="Times New Roman"/>
          <w:bCs/>
          <w:szCs w:val="26"/>
          <w:lang w:eastAsia="zh-CN"/>
        </w:rPr>
        <w:t xml:space="preserve"> four distinct challenges</w:t>
      </w:r>
      <w:r w:rsidR="00ED49F2" w:rsidRPr="00400193">
        <w:rPr>
          <w:rFonts w:eastAsia="SimSun" w:cs="Times New Roman"/>
          <w:bCs/>
          <w:szCs w:val="26"/>
          <w:lang w:eastAsia="zh-CN"/>
        </w:rPr>
        <w:t xml:space="preserve"> in order to develop the framework for the UAE; </w:t>
      </w:r>
      <w:r w:rsidRPr="00400193">
        <w:rPr>
          <w:rFonts w:eastAsia="SimSun" w:cs="Times New Roman"/>
          <w:bCs/>
          <w:szCs w:val="26"/>
          <w:lang w:eastAsia="zh-CN"/>
        </w:rPr>
        <w:t xml:space="preserve">providing tools for </w:t>
      </w:r>
      <w:r w:rsidR="00ED49F2" w:rsidRPr="00400193">
        <w:rPr>
          <w:rFonts w:eastAsia="SimSun" w:cs="Times New Roman"/>
          <w:bCs/>
          <w:szCs w:val="26"/>
          <w:lang w:eastAsia="zh-CN"/>
        </w:rPr>
        <w:t xml:space="preserve">the </w:t>
      </w:r>
      <w:r w:rsidRPr="00400193">
        <w:rPr>
          <w:rFonts w:eastAsia="SimSun" w:cs="Times New Roman"/>
          <w:bCs/>
          <w:szCs w:val="26"/>
          <w:lang w:eastAsia="zh-CN"/>
        </w:rPr>
        <w:t>management, accepting the human factors of cyber-security, exploring the correlation between the risks, and examining the moderating effect of organisational resilience on cyber-risk.</w:t>
      </w:r>
    </w:p>
    <w:p w14:paraId="12E7EE92" w14:textId="1A9C5F2F" w:rsidR="00897A44" w:rsidRPr="00400193" w:rsidRDefault="00767263" w:rsidP="00897A44">
      <w:pPr>
        <w:spacing w:before="120" w:after="120" w:line="240" w:lineRule="auto"/>
        <w:rPr>
          <w:rFonts w:eastAsia="SimSun" w:cs="Times New Roman"/>
          <w:bCs/>
          <w:szCs w:val="26"/>
          <w:lang w:eastAsia="zh-CN"/>
        </w:rPr>
      </w:pPr>
      <w:r w:rsidRPr="00400193">
        <w:rPr>
          <w:rFonts w:eastAsia="SimSun" w:cs="Times New Roman"/>
          <w:bCs/>
          <w:szCs w:val="26"/>
          <w:lang w:eastAsia="zh-CN"/>
        </w:rPr>
        <w:t xml:space="preserve">Using a positivist/realist philosophy and an inductive approach to the data. The quantitative approach was chosen to quantify the attributes of the study variables with a motive to prove the tested hypothesis. </w:t>
      </w:r>
    </w:p>
    <w:p w14:paraId="66B824F6" w14:textId="3D11DE41" w:rsidR="00897A44" w:rsidRPr="00400193" w:rsidRDefault="00897A44" w:rsidP="00897A44">
      <w:pPr>
        <w:spacing w:before="120" w:after="120" w:line="240" w:lineRule="auto"/>
        <w:rPr>
          <w:rFonts w:eastAsia="SimSun" w:cs="Times New Roman"/>
          <w:bCs/>
          <w:szCs w:val="26"/>
          <w:lang w:eastAsia="zh-CN"/>
        </w:rPr>
      </w:pPr>
      <w:r w:rsidRPr="00400193">
        <w:rPr>
          <w:rFonts w:eastAsia="SimSun" w:cs="Times New Roman"/>
          <w:bCs/>
          <w:szCs w:val="26"/>
          <w:lang w:eastAsia="zh-CN"/>
        </w:rPr>
        <w:t xml:space="preserve">A qualitative analysis would not have allowed this unless the same person carried out the later examination. Having a number or percentage gives the manager a clearer picture. This approach </w:t>
      </w:r>
      <w:r w:rsidR="00FD2D26" w:rsidRPr="00400193">
        <w:rPr>
          <w:rFonts w:eastAsia="SimSun" w:cs="Times New Roman"/>
          <w:bCs/>
          <w:szCs w:val="26"/>
          <w:lang w:eastAsia="zh-CN"/>
        </w:rPr>
        <w:t>has</w:t>
      </w:r>
      <w:r w:rsidRPr="00400193">
        <w:rPr>
          <w:rFonts w:eastAsia="SimSun" w:cs="Times New Roman"/>
          <w:bCs/>
          <w:szCs w:val="26"/>
          <w:lang w:eastAsia="zh-CN"/>
        </w:rPr>
        <w:t xml:space="preserve"> been successfully used in other research into cyber-resilience. The relevant epistemology and ontology for the research are also explained fully in the methodology section.</w:t>
      </w:r>
    </w:p>
    <w:p w14:paraId="4DB1FB7B" w14:textId="0A8FCE51" w:rsidR="006E3616" w:rsidRPr="00400193" w:rsidRDefault="006E3616" w:rsidP="006E3616">
      <w:pPr>
        <w:spacing w:before="120" w:after="120" w:line="240" w:lineRule="auto"/>
        <w:rPr>
          <w:rFonts w:eastAsia="SimSun" w:cs="Times New Roman"/>
          <w:bCs/>
          <w:szCs w:val="26"/>
          <w:lang w:eastAsia="zh-CN"/>
        </w:rPr>
      </w:pPr>
      <w:r w:rsidRPr="00400193">
        <w:rPr>
          <w:rFonts w:eastAsia="SimSun" w:cs="Times New Roman"/>
          <w:bCs/>
          <w:szCs w:val="26"/>
          <w:lang w:eastAsia="zh-CN"/>
        </w:rPr>
        <w:t xml:space="preserve">An online questionnaire was used to gather quantitative data from employees in different UAE public sector organisations. Exploratory factor analysis (EFA) and multiple regression analysis were used to analyse 207 variables. </w:t>
      </w:r>
    </w:p>
    <w:p w14:paraId="400974AD" w14:textId="5217E6C2" w:rsidR="006E3616" w:rsidRPr="00400193" w:rsidRDefault="006E3616" w:rsidP="006E3616">
      <w:pPr>
        <w:spacing w:before="120" w:after="120" w:line="240" w:lineRule="auto"/>
        <w:rPr>
          <w:rFonts w:eastAsia="SimSun" w:cs="Times New Roman"/>
          <w:bCs/>
          <w:szCs w:val="26"/>
          <w:lang w:eastAsia="zh-CN"/>
        </w:rPr>
      </w:pPr>
      <w:r w:rsidRPr="00400193">
        <w:rPr>
          <w:rFonts w:eastAsia="SimSun" w:cs="Times New Roman"/>
          <w:bCs/>
          <w:szCs w:val="26"/>
          <w:lang w:eastAsia="zh-CN"/>
        </w:rPr>
        <w:t>The EFA was used to evaluate the underlyin</w:t>
      </w:r>
      <w:r w:rsidR="00645EA1" w:rsidRPr="00400193">
        <w:rPr>
          <w:rFonts w:eastAsia="SimSun" w:cs="Times New Roman"/>
          <w:bCs/>
          <w:szCs w:val="26"/>
          <w:lang w:eastAsia="zh-CN"/>
        </w:rPr>
        <w:t>g</w:t>
      </w:r>
      <w:r w:rsidRPr="00400193">
        <w:rPr>
          <w:rFonts w:eastAsia="SimSun" w:cs="Times New Roman"/>
          <w:bCs/>
          <w:szCs w:val="26"/>
          <w:lang w:eastAsia="zh-CN"/>
        </w:rPr>
        <w:t xml:space="preserve"> factor structure of a correlation matrix, and to build a theory. This helped to identify the latent factors underlying the manifest variables, and the relationships between latent and manifest variables. After the EFA, a multilinear regression analysis was used to further examine the study hypotheses that emerged from the factor analysis. </w:t>
      </w:r>
    </w:p>
    <w:p w14:paraId="45CDE644" w14:textId="0FC31665" w:rsidR="006E3616" w:rsidRPr="00400193" w:rsidRDefault="006E3616" w:rsidP="006E3616">
      <w:pPr>
        <w:spacing w:before="120" w:after="120" w:line="240" w:lineRule="auto"/>
        <w:rPr>
          <w:rFonts w:eastAsia="SimSun" w:cs="Times New Roman"/>
          <w:bCs/>
          <w:szCs w:val="26"/>
          <w:lang w:eastAsia="zh-CN"/>
        </w:rPr>
      </w:pPr>
      <w:r w:rsidRPr="00400193">
        <w:rPr>
          <w:rFonts w:eastAsia="SimSun" w:cs="Times New Roman"/>
          <w:bCs/>
          <w:szCs w:val="26"/>
          <w:lang w:eastAsia="zh-CN"/>
        </w:rPr>
        <w:t xml:space="preserve">The findings suggest that all the public sector organisations in the UAE have a satisfactory level of resilience to potential cyber-threats. There was a high level of awareness among UAE public sector employees of cyber-threats and risks, which could contribute to readiness and resilience to cyber-threats or attacks. This suggests that there may be a relationship between the level of employee awareness and readiness to deal with cyber-threats, and the organisations’ overall resilience and readiness. </w:t>
      </w:r>
    </w:p>
    <w:p w14:paraId="07079B3E" w14:textId="7A8F0D8A" w:rsidR="006E3616" w:rsidRPr="00400193" w:rsidRDefault="006E3616" w:rsidP="006E3616">
      <w:pPr>
        <w:spacing w:before="120" w:after="120" w:line="240" w:lineRule="auto"/>
        <w:rPr>
          <w:rFonts w:eastAsia="SimSun" w:cs="Times New Roman"/>
          <w:bCs/>
          <w:szCs w:val="26"/>
          <w:lang w:eastAsia="zh-CN"/>
        </w:rPr>
      </w:pPr>
      <w:r w:rsidRPr="00400193">
        <w:rPr>
          <w:rFonts w:eastAsia="SimSun" w:cs="Times New Roman"/>
          <w:bCs/>
          <w:szCs w:val="26"/>
          <w:lang w:eastAsia="zh-CN"/>
        </w:rPr>
        <w:t>This study contributes to the literature on cyber-resilience best practices. It provides organisations in the UAE public sector with a conceptual model to enable them to evaluate and identify potential weaknesses in their readiness for and resilience to cyber-threats.</w:t>
      </w:r>
      <w:r w:rsidR="006539B2" w:rsidRPr="00400193">
        <w:rPr>
          <w:rFonts w:eastAsia="SimSun" w:cs="Times New Roman"/>
          <w:bCs/>
          <w:szCs w:val="26"/>
          <w:lang w:eastAsia="zh-CN"/>
        </w:rPr>
        <w:t xml:space="preserve"> The feedback from the pilot study suggests that the specialists spoken to believe that this is </w:t>
      </w:r>
      <w:r w:rsidR="00DD07A5" w:rsidRPr="00400193">
        <w:rPr>
          <w:rFonts w:eastAsia="SimSun" w:cs="Times New Roman"/>
          <w:bCs/>
          <w:szCs w:val="26"/>
          <w:lang w:eastAsia="zh-CN"/>
        </w:rPr>
        <w:t>one of the first</w:t>
      </w:r>
      <w:r w:rsidRPr="00400193">
        <w:rPr>
          <w:rFonts w:eastAsia="SimSun" w:cs="Times New Roman"/>
          <w:bCs/>
          <w:szCs w:val="26"/>
          <w:lang w:eastAsia="zh-CN"/>
        </w:rPr>
        <w:t xml:space="preserve"> empirical studies to establish a relationship between the level of employee awareness and readiness to deal with cyber-threats, and the level of organisational resilience and readiness in UAE public sector organisations. </w:t>
      </w:r>
    </w:p>
    <w:p w14:paraId="49DB5983" w14:textId="77777777" w:rsidR="006E3616" w:rsidRPr="00400193" w:rsidRDefault="006E3616" w:rsidP="006E3616">
      <w:pPr>
        <w:spacing w:before="120" w:after="120" w:line="240" w:lineRule="auto"/>
        <w:rPr>
          <w:rFonts w:eastAsia="SimSun" w:cs="Times New Roman"/>
          <w:bCs/>
          <w:szCs w:val="26"/>
          <w:lang w:eastAsia="zh-CN"/>
        </w:rPr>
      </w:pPr>
    </w:p>
    <w:p w14:paraId="7C661606" w14:textId="141A1D3A" w:rsidR="006E3616" w:rsidRPr="00400193" w:rsidRDefault="006E3616" w:rsidP="00337EA0">
      <w:pPr>
        <w:spacing w:before="120" w:after="120" w:line="276" w:lineRule="auto"/>
        <w:jc w:val="right"/>
        <w:rPr>
          <w:rFonts w:eastAsia="SimSun" w:cs="Times New Roman"/>
          <w:bCs/>
          <w:sz w:val="40"/>
          <w:szCs w:val="40"/>
          <w:lang w:eastAsia="zh-CN"/>
        </w:rPr>
      </w:pPr>
      <w:r w:rsidRPr="00400193">
        <w:rPr>
          <w:rFonts w:eastAsia="SimSun" w:cs="Times New Roman"/>
          <w:bCs/>
          <w:sz w:val="40"/>
          <w:szCs w:val="40"/>
          <w:rtl/>
          <w:lang w:eastAsia="zh-CN"/>
        </w:rPr>
        <w:t>نبذة مختصرة</w:t>
      </w:r>
    </w:p>
    <w:p w14:paraId="291B7FFC" w14:textId="64005707" w:rsidR="00225C1F" w:rsidRPr="00400193" w:rsidRDefault="004E0CB0" w:rsidP="00337EA0">
      <w:pPr>
        <w:bidi/>
        <w:spacing w:before="120" w:after="120" w:line="276" w:lineRule="auto"/>
        <w:rPr>
          <w:rFonts w:asciiTheme="majorBidi" w:eastAsia="SimSun" w:hAnsiTheme="majorBidi" w:cstheme="majorBidi"/>
          <w:bCs/>
          <w:szCs w:val="24"/>
          <w:rtl/>
          <w:lang w:eastAsia="zh-CN" w:bidi="ar-AE"/>
        </w:rPr>
      </w:pPr>
      <w:bookmarkStart w:id="6" w:name="_GoBack"/>
      <w:r w:rsidRPr="00400193">
        <w:rPr>
          <w:rFonts w:asciiTheme="majorBidi" w:eastAsia="SimSun" w:hAnsiTheme="majorBidi" w:cstheme="majorBidi" w:hint="cs"/>
          <w:bCs/>
          <w:szCs w:val="24"/>
          <w:rtl/>
          <w:lang w:eastAsia="zh-CN" w:bidi="ar-AE"/>
        </w:rPr>
        <w:t>تدرس</w:t>
      </w:r>
      <w:r w:rsidR="003A2847" w:rsidRPr="00400193">
        <w:rPr>
          <w:rFonts w:asciiTheme="majorBidi" w:eastAsia="SimSun" w:hAnsiTheme="majorBidi" w:cstheme="majorBidi"/>
          <w:bCs/>
          <w:szCs w:val="24"/>
          <w:rtl/>
          <w:lang w:eastAsia="zh-CN" w:bidi="ar-AE"/>
        </w:rPr>
        <w:t xml:space="preserve"> </w:t>
      </w:r>
      <w:r w:rsidR="00225C1F" w:rsidRPr="00400193">
        <w:rPr>
          <w:rFonts w:asciiTheme="majorBidi" w:eastAsia="SimSun" w:hAnsiTheme="majorBidi" w:cstheme="majorBidi"/>
          <w:bCs/>
          <w:szCs w:val="24"/>
          <w:rtl/>
          <w:lang w:eastAsia="zh-CN" w:bidi="ar-AE"/>
        </w:rPr>
        <w:t>هذه الأطروحة</w:t>
      </w:r>
      <w:r w:rsidR="005D568C" w:rsidRPr="00400193">
        <w:rPr>
          <w:rFonts w:asciiTheme="majorBidi" w:eastAsia="SimSun" w:hAnsiTheme="majorBidi" w:cstheme="majorBidi"/>
          <w:bCs/>
          <w:szCs w:val="24"/>
          <w:rtl/>
          <w:lang w:eastAsia="zh-CN" w:bidi="ar-AE"/>
        </w:rPr>
        <w:t xml:space="preserve"> </w:t>
      </w:r>
      <w:r w:rsidR="00225C1F" w:rsidRPr="00400193">
        <w:rPr>
          <w:rFonts w:asciiTheme="majorBidi" w:eastAsia="SimSun" w:hAnsiTheme="majorBidi" w:cstheme="majorBidi"/>
          <w:bCs/>
          <w:szCs w:val="24"/>
          <w:rtl/>
          <w:lang w:eastAsia="zh-CN" w:bidi="ar-AE"/>
        </w:rPr>
        <w:t>تجريبي</w:t>
      </w:r>
      <w:r w:rsidR="00623BC5" w:rsidRPr="00400193">
        <w:rPr>
          <w:rFonts w:asciiTheme="majorBidi" w:eastAsia="SimSun" w:hAnsiTheme="majorBidi" w:cstheme="majorBidi"/>
          <w:bCs/>
          <w:szCs w:val="24"/>
          <w:rtl/>
          <w:lang w:eastAsia="zh-CN" w:bidi="ar-AE"/>
        </w:rPr>
        <w:t>اً</w:t>
      </w:r>
      <w:r w:rsidR="00225C1F" w:rsidRPr="00400193">
        <w:rPr>
          <w:rFonts w:asciiTheme="majorBidi" w:eastAsia="SimSun" w:hAnsiTheme="majorBidi" w:cstheme="majorBidi"/>
          <w:bCs/>
          <w:szCs w:val="24"/>
          <w:rtl/>
          <w:lang w:eastAsia="zh-CN" w:bidi="ar-AE"/>
        </w:rPr>
        <w:t xml:space="preserve"> قياس مستوى المرونة والاستعداد لمؤسسات القطاع العام العاملة في دولة الإمارات العربية المتحدة أمام التهديدات والهجمات السيبرانية الداخلية والخارجية</w:t>
      </w:r>
      <w:r w:rsidR="00225C1F" w:rsidRPr="00400193">
        <w:rPr>
          <w:rFonts w:asciiTheme="majorBidi" w:eastAsia="SimSun" w:hAnsiTheme="majorBidi" w:cstheme="majorBidi"/>
          <w:bCs/>
          <w:szCs w:val="24"/>
          <w:lang w:eastAsia="zh-CN" w:bidi="ar-AE"/>
        </w:rPr>
        <w:t xml:space="preserve">. </w:t>
      </w:r>
    </w:p>
    <w:p w14:paraId="1F099F45" w14:textId="77777777" w:rsidR="00225C1F" w:rsidRPr="00400193" w:rsidRDefault="00225C1F" w:rsidP="00225C1F">
      <w:pPr>
        <w:bidi/>
        <w:spacing w:before="120" w:after="120" w:line="240" w:lineRule="auto"/>
        <w:rPr>
          <w:rFonts w:asciiTheme="majorBidi" w:eastAsia="SimSun" w:hAnsiTheme="majorBidi" w:cstheme="majorBidi"/>
          <w:bCs/>
          <w:szCs w:val="24"/>
          <w:rtl/>
          <w:lang w:eastAsia="zh-CN" w:bidi="ar-AE"/>
        </w:rPr>
      </w:pPr>
      <w:r w:rsidRPr="00400193">
        <w:rPr>
          <w:rFonts w:asciiTheme="majorBidi" w:eastAsia="SimSun" w:hAnsiTheme="majorBidi" w:cstheme="majorBidi"/>
          <w:bCs/>
          <w:szCs w:val="24"/>
          <w:rtl/>
          <w:lang w:eastAsia="zh-CN" w:bidi="ar-AE"/>
        </w:rPr>
        <w:t>حيث تهدف الدراسة إلى تقييم الوضع الحالي لمستوى مرونة هذه المؤسسات وقدرتها على التصدي لمختلف التهديدات والمخاطر السيبرانية، وتزويد المدراء بآلية لتحسين مستوى المرونة والاستجابة لهذه المخاطر بشكل استباقي</w:t>
      </w:r>
      <w:r w:rsidRPr="00400193">
        <w:rPr>
          <w:rFonts w:asciiTheme="majorBidi" w:eastAsia="SimSun" w:hAnsiTheme="majorBidi" w:cstheme="majorBidi"/>
          <w:bCs/>
          <w:szCs w:val="24"/>
          <w:lang w:eastAsia="zh-CN" w:bidi="ar-AE"/>
        </w:rPr>
        <w:t xml:space="preserve">. </w:t>
      </w:r>
    </w:p>
    <w:p w14:paraId="4F2FE0CC" w14:textId="52A81169" w:rsidR="00225C1F" w:rsidRPr="00400193" w:rsidRDefault="00225C1F" w:rsidP="00225C1F">
      <w:pPr>
        <w:bidi/>
        <w:spacing w:before="120" w:after="120" w:line="240" w:lineRule="auto"/>
        <w:rPr>
          <w:rFonts w:asciiTheme="majorBidi" w:eastAsia="SimSun" w:hAnsiTheme="majorBidi" w:cstheme="majorBidi"/>
          <w:bCs/>
          <w:szCs w:val="24"/>
          <w:rtl/>
          <w:lang w:eastAsia="zh-CN" w:bidi="ar-AE"/>
        </w:rPr>
      </w:pPr>
      <w:r w:rsidRPr="00400193">
        <w:rPr>
          <w:rFonts w:asciiTheme="majorBidi" w:eastAsia="SimSun" w:hAnsiTheme="majorBidi" w:cstheme="majorBidi"/>
          <w:bCs/>
          <w:szCs w:val="24"/>
          <w:rtl/>
          <w:lang w:eastAsia="zh-CN" w:bidi="ar-AE"/>
        </w:rPr>
        <w:t>واعتمد الباحث نموذجا افتراضيا جديدا يمثل تحسينا للإصدارات الحالية المتاحة، تم بناؤه بعد مراجعة وتحليل الأدبيات المنشورة ذات العلاقة بموضوع التهديدات والهجمات السيبرانية الداخلية والخارجية ودمجها مع البيانات الجديدة التي تم جمعها من خلال الاستبيانات، وتركز مشكلة البحث على أربع محاور تتمثل بتوفير أدوات للإدارة، وقبول العوامل البشرية للأمن السيبراني، وتقييم مستوى العلاقة الاحصائية بين المخاطر، ودراسة عامل التأثير المعتدل للمرونة التنظيمية على المخاطر الإلكترونية</w:t>
      </w:r>
      <w:r w:rsidRPr="00400193">
        <w:rPr>
          <w:rFonts w:asciiTheme="majorBidi" w:eastAsia="SimSun" w:hAnsiTheme="majorBidi" w:cstheme="majorBidi"/>
          <w:bCs/>
          <w:szCs w:val="24"/>
          <w:lang w:eastAsia="zh-CN" w:bidi="ar-AE"/>
        </w:rPr>
        <w:t xml:space="preserve">  </w:t>
      </w:r>
    </w:p>
    <w:p w14:paraId="7ACFDDEE" w14:textId="77777777" w:rsidR="00225C1F" w:rsidRPr="00400193" w:rsidRDefault="00225C1F" w:rsidP="00225C1F">
      <w:pPr>
        <w:bidi/>
        <w:spacing w:before="120" w:after="120" w:line="240" w:lineRule="auto"/>
        <w:rPr>
          <w:rFonts w:asciiTheme="majorBidi" w:eastAsia="SimSun" w:hAnsiTheme="majorBidi" w:cstheme="majorBidi"/>
          <w:bCs/>
          <w:szCs w:val="24"/>
          <w:rtl/>
          <w:lang w:eastAsia="zh-CN" w:bidi="ar-AE"/>
        </w:rPr>
      </w:pPr>
      <w:r w:rsidRPr="00400193">
        <w:rPr>
          <w:rFonts w:asciiTheme="majorBidi" w:eastAsia="SimSun" w:hAnsiTheme="majorBidi" w:cstheme="majorBidi"/>
          <w:bCs/>
          <w:szCs w:val="24"/>
          <w:rtl/>
          <w:lang w:eastAsia="zh-CN" w:bidi="ar-AE"/>
        </w:rPr>
        <w:t>تتناول الدراسة تقييم مستوى المرونة والاستعداد لمؤسسات القطاع العام من خلال الاعتماد على فلسفة الوضعية / الواقعية نظرا لوجود الباحث في قلب الميدان ، تتبنى منهج استقرائي للبيانات من خلال استبيان تم تطويره ومشاركته مع عينه الدراسة لجمع البيانات الكمية واستخدام كل من تحليل العوامل وتحليل بيانات الانحدار، عن طريق الانحدار المتعدد لتحليل عدد 207 متغير، بالإضافة لاستخدام تحليل العوامل الاستكشافية</w:t>
      </w:r>
      <w:r w:rsidRPr="00400193">
        <w:rPr>
          <w:rFonts w:asciiTheme="majorBidi" w:eastAsia="SimSun" w:hAnsiTheme="majorBidi" w:cstheme="majorBidi"/>
          <w:bCs/>
          <w:szCs w:val="24"/>
          <w:lang w:eastAsia="zh-CN" w:bidi="ar-AE"/>
        </w:rPr>
        <w:t xml:space="preserve"> (EFA) </w:t>
      </w:r>
      <w:r w:rsidRPr="00400193">
        <w:rPr>
          <w:rFonts w:asciiTheme="majorBidi" w:eastAsia="SimSun" w:hAnsiTheme="majorBidi" w:cstheme="majorBidi"/>
          <w:bCs/>
          <w:szCs w:val="24"/>
          <w:rtl/>
          <w:lang w:eastAsia="zh-CN" w:bidi="ar-AE"/>
        </w:rPr>
        <w:t>لتقييم هيكل العوامل الأساسية لمصفوفة الارتباط وبناء النظرية ولتحديد العوامل الباطنية والكامنة وراء المتغيرات الظاهرة بالإضافة إلى أنماط العلاقات ما بين المتغيرات الباطنية والظاهرة</w:t>
      </w:r>
      <w:r w:rsidRPr="00400193">
        <w:rPr>
          <w:rFonts w:asciiTheme="majorBidi" w:eastAsia="SimSun" w:hAnsiTheme="majorBidi" w:cstheme="majorBidi"/>
          <w:bCs/>
          <w:szCs w:val="24"/>
          <w:lang w:eastAsia="zh-CN" w:bidi="ar-AE"/>
        </w:rPr>
        <w:t xml:space="preserve"> . </w:t>
      </w:r>
    </w:p>
    <w:p w14:paraId="1381DBEA" w14:textId="77777777" w:rsidR="00225C1F" w:rsidRPr="00400193" w:rsidRDefault="00225C1F" w:rsidP="00225C1F">
      <w:pPr>
        <w:bidi/>
        <w:spacing w:before="120" w:after="120" w:line="240" w:lineRule="auto"/>
        <w:rPr>
          <w:rFonts w:asciiTheme="majorBidi" w:eastAsia="SimSun" w:hAnsiTheme="majorBidi" w:cstheme="majorBidi"/>
          <w:bCs/>
          <w:szCs w:val="24"/>
          <w:rtl/>
          <w:lang w:eastAsia="zh-CN" w:bidi="ar-AE"/>
        </w:rPr>
      </w:pPr>
      <w:r w:rsidRPr="00400193">
        <w:rPr>
          <w:rFonts w:asciiTheme="majorBidi" w:eastAsia="SimSun" w:hAnsiTheme="majorBidi" w:cstheme="majorBidi"/>
          <w:bCs/>
          <w:szCs w:val="24"/>
          <w:rtl/>
          <w:lang w:eastAsia="zh-CN" w:bidi="ar-AE"/>
        </w:rPr>
        <w:t>تشير النتائج إلى أن جميع مؤسسات القطاع العام في دولة الإمارات العربية المتحدة لديها مستوى مقبول من المرونة لمواجهة التهديدات السيبرانية المحتملة، كما تكشف النتائج عن وجود مستوى عالي من الوعي بين موظفي القطاع العام في الدولة بالتهديدات والمخاطر السيبرانية، والتي يمكن أن تكون عاملا آخر يساهم في رفع جاهزية مؤسسات القطاع العام ومرونتها أمام التهديدات أو الهجمات السيبرانية ، مما يشير إلى وجود علاقة إيجابية بين مستوى وعي الموظفين وجاهزيتهم للتعامل مع التهديدات السيبرانية ومستوى مرونة وجاهزية المؤسسات</w:t>
      </w:r>
      <w:r w:rsidRPr="00400193">
        <w:rPr>
          <w:rFonts w:asciiTheme="majorBidi" w:eastAsia="SimSun" w:hAnsiTheme="majorBidi" w:cstheme="majorBidi"/>
          <w:bCs/>
          <w:szCs w:val="24"/>
          <w:lang w:eastAsia="zh-CN" w:bidi="ar-AE"/>
        </w:rPr>
        <w:t xml:space="preserve"> . </w:t>
      </w:r>
    </w:p>
    <w:p w14:paraId="77DE5B93" w14:textId="04ADC27C" w:rsidR="00CF4FF9" w:rsidRDefault="00225C1F" w:rsidP="00225C1F">
      <w:pPr>
        <w:bidi/>
        <w:spacing w:before="120" w:after="120" w:line="240" w:lineRule="auto"/>
        <w:rPr>
          <w:rFonts w:asciiTheme="majorBidi" w:eastAsia="SimSun" w:hAnsiTheme="majorBidi" w:cstheme="majorBidi"/>
          <w:bCs/>
          <w:szCs w:val="24"/>
          <w:lang w:eastAsia="zh-CN" w:bidi="ar-AE"/>
        </w:rPr>
      </w:pPr>
      <w:r w:rsidRPr="00400193">
        <w:rPr>
          <w:rFonts w:asciiTheme="majorBidi" w:eastAsia="SimSun" w:hAnsiTheme="majorBidi" w:cstheme="majorBidi"/>
          <w:bCs/>
          <w:szCs w:val="24"/>
          <w:rtl/>
          <w:lang w:eastAsia="zh-CN" w:bidi="ar-AE"/>
        </w:rPr>
        <w:t>تساهم هذه الدراسة في المرجعيات الأدبية ذات العلاقة بموضوع المرونة السيبرانية، وتزود المؤسسات العاملة في القطاع العام في دولة الإمارات العربية المتحدة بنموذج مفاهيمي لتقييم وتحديد الضعف المحتمل في الجاهزية والمرونة تجاه التهديدات السيبرانية، بالإضافة إلى أنها واحدة من أوائل الدراسات التجريبية لقياس العلاقة ما بين مستوى وعي الموظفين وجاهزيتهم للتعامل مع التهديدات السيبرانية ومستوى الاستعداد والمرونة في مؤسسات القطاع العام العاملة في الدولة</w:t>
      </w:r>
      <w:r w:rsidRPr="00400193">
        <w:rPr>
          <w:rFonts w:asciiTheme="majorBidi" w:eastAsia="SimSun" w:hAnsiTheme="majorBidi" w:cstheme="majorBidi"/>
          <w:bCs/>
          <w:szCs w:val="24"/>
          <w:lang w:eastAsia="zh-CN" w:bidi="ar-AE"/>
        </w:rPr>
        <w:t xml:space="preserve">. </w:t>
      </w:r>
    </w:p>
    <w:bookmarkEnd w:id="6"/>
    <w:p w14:paraId="190ACFA3" w14:textId="77777777" w:rsidR="00CF4FF9" w:rsidRDefault="00CF4FF9">
      <w:pPr>
        <w:spacing w:line="259" w:lineRule="auto"/>
        <w:jc w:val="left"/>
        <w:rPr>
          <w:rFonts w:asciiTheme="majorBidi" w:eastAsia="SimSun" w:hAnsiTheme="majorBidi" w:cstheme="majorBidi"/>
          <w:bCs/>
          <w:szCs w:val="24"/>
          <w:lang w:eastAsia="zh-CN" w:bidi="ar-AE"/>
        </w:rPr>
      </w:pPr>
      <w:r>
        <w:rPr>
          <w:rFonts w:asciiTheme="majorBidi" w:eastAsia="SimSun" w:hAnsiTheme="majorBidi" w:cstheme="majorBidi"/>
          <w:bCs/>
          <w:szCs w:val="24"/>
          <w:lang w:eastAsia="zh-CN" w:bidi="ar-AE"/>
        </w:rPr>
        <w:br w:type="page"/>
      </w:r>
    </w:p>
    <w:p w14:paraId="1AF5BC3A" w14:textId="6C9D46A0" w:rsidR="00BB7C18" w:rsidRPr="00400193" w:rsidRDefault="000B6BE9" w:rsidP="00BB7C18">
      <w:pPr>
        <w:pStyle w:val="Heading1"/>
        <w:numPr>
          <w:ilvl w:val="0"/>
          <w:numId w:val="0"/>
        </w:numPr>
        <w:spacing w:line="276" w:lineRule="auto"/>
        <w:jc w:val="both"/>
        <w:rPr>
          <w:rFonts w:eastAsia="Calibri"/>
          <w:sz w:val="28"/>
          <w:szCs w:val="28"/>
        </w:rPr>
      </w:pPr>
      <w:bookmarkStart w:id="7" w:name="_Toc61894631"/>
      <w:r>
        <w:rPr>
          <w:rFonts w:eastAsia="Calibri"/>
          <w:sz w:val="28"/>
          <w:szCs w:val="28"/>
        </w:rPr>
        <w:lastRenderedPageBreak/>
        <w:t>Ackno</w:t>
      </w:r>
      <w:r w:rsidR="00A55B81">
        <w:rPr>
          <w:rFonts w:eastAsia="Calibri"/>
          <w:sz w:val="28"/>
          <w:szCs w:val="28"/>
        </w:rPr>
        <w:t>wledgements</w:t>
      </w:r>
      <w:bookmarkEnd w:id="7"/>
    </w:p>
    <w:p w14:paraId="267F8212" w14:textId="77777777" w:rsidR="00225C1F" w:rsidRPr="00400193" w:rsidRDefault="00225C1F" w:rsidP="00CF4FF9">
      <w:pPr>
        <w:bidi/>
        <w:spacing w:before="120" w:after="120" w:line="240" w:lineRule="auto"/>
        <w:jc w:val="right"/>
        <w:rPr>
          <w:rFonts w:asciiTheme="majorBidi" w:eastAsia="SimSun" w:hAnsiTheme="majorBidi" w:cstheme="majorBidi"/>
          <w:bCs/>
          <w:szCs w:val="24"/>
          <w:rtl/>
          <w:lang w:eastAsia="zh-CN" w:bidi="ar-AE"/>
        </w:rPr>
      </w:pPr>
    </w:p>
    <w:p w14:paraId="3C650519" w14:textId="77777777" w:rsidR="008B4BD4" w:rsidRPr="003D77E4" w:rsidRDefault="008B4BD4" w:rsidP="008B4BD4">
      <w:pPr>
        <w:spacing w:after="120" w:line="240" w:lineRule="auto"/>
        <w:rPr>
          <w:rFonts w:ascii="Times New Roman" w:hAnsi="Times New Roman"/>
          <w:szCs w:val="24"/>
          <w:lang w:bidi="ar-AE"/>
        </w:rPr>
      </w:pPr>
    </w:p>
    <w:p w14:paraId="5F48D6B1" w14:textId="6320DB1E" w:rsidR="003D77E4" w:rsidRDefault="003D77E4" w:rsidP="008B4BD4">
      <w:pPr>
        <w:spacing w:after="120" w:line="240" w:lineRule="auto"/>
        <w:rPr>
          <w:rFonts w:ascii="Times New Roman" w:hAnsi="Times New Roman"/>
          <w:szCs w:val="24"/>
        </w:rPr>
      </w:pPr>
      <w:r w:rsidRPr="003D77E4">
        <w:rPr>
          <w:rFonts w:ascii="Times New Roman" w:hAnsi="Times New Roman"/>
          <w:szCs w:val="24"/>
        </w:rPr>
        <w:t xml:space="preserve">I would like to express my special thanks of gratitude to my director of studies (DOS), </w:t>
      </w:r>
      <w:r w:rsidR="00C60181" w:rsidRPr="003D77E4">
        <w:rPr>
          <w:rFonts w:ascii="Times New Roman" w:hAnsi="Times New Roman"/>
          <w:szCs w:val="24"/>
        </w:rPr>
        <w:t>Dr</w:t>
      </w:r>
      <w:r w:rsidRPr="003D77E4">
        <w:rPr>
          <w:rFonts w:ascii="Times New Roman" w:hAnsi="Times New Roman"/>
          <w:szCs w:val="24"/>
        </w:rPr>
        <w:t xml:space="preserve"> Khalid Almarri whose guidance, support and encouragement has been invaluable throughout the process. He has taught me the methodology to carry out the research and to present the research works as clearly as possible. It was a great privilege and honor to work and study under his guidance. I am extremely grateful for what he has offered me. </w:t>
      </w:r>
    </w:p>
    <w:p w14:paraId="22227066" w14:textId="77777777" w:rsidR="008B4BD4" w:rsidRPr="003D77E4" w:rsidRDefault="008B4BD4" w:rsidP="008B4BD4">
      <w:pPr>
        <w:spacing w:after="120" w:line="240" w:lineRule="auto"/>
        <w:rPr>
          <w:rFonts w:ascii="Times New Roman" w:hAnsi="Times New Roman"/>
          <w:szCs w:val="24"/>
        </w:rPr>
      </w:pPr>
    </w:p>
    <w:p w14:paraId="08612962" w14:textId="735472D7" w:rsidR="003D77E4" w:rsidRPr="003D77E4" w:rsidRDefault="00313242" w:rsidP="008B4BD4">
      <w:pPr>
        <w:spacing w:after="120" w:line="240" w:lineRule="auto"/>
        <w:rPr>
          <w:rFonts w:ascii="Times New Roman" w:hAnsi="Times New Roman"/>
          <w:szCs w:val="24"/>
        </w:rPr>
      </w:pPr>
      <w:r>
        <w:rPr>
          <w:rFonts w:ascii="Times New Roman" w:hAnsi="Times New Roman"/>
          <w:szCs w:val="24"/>
        </w:rPr>
        <w:t>Thanks also</w:t>
      </w:r>
      <w:r w:rsidR="003D77E4" w:rsidRPr="003D77E4">
        <w:rPr>
          <w:rFonts w:ascii="Times New Roman" w:hAnsi="Times New Roman"/>
          <w:szCs w:val="24"/>
        </w:rPr>
        <w:t xml:space="preserve"> to my caring, loving, and supportive wife: my deepest gratitude. Your encouragement when the times got rough are much appreciated and noted. It was a great comfort and relief to know that you were always there when needed. My heartfelt thanks.</w:t>
      </w:r>
    </w:p>
    <w:p w14:paraId="619C548E" w14:textId="77777777" w:rsidR="006E3616" w:rsidRPr="00400193" w:rsidRDefault="006E3616" w:rsidP="003D77E4">
      <w:pPr>
        <w:spacing w:before="120" w:after="120" w:line="240" w:lineRule="auto"/>
        <w:jc w:val="left"/>
        <w:rPr>
          <w:rFonts w:eastAsia="SimSun" w:cs="Times New Roman"/>
          <w:bCs/>
          <w:sz w:val="32"/>
          <w:szCs w:val="32"/>
          <w:rtl/>
          <w:lang w:eastAsia="zh-CN"/>
        </w:rPr>
      </w:pPr>
    </w:p>
    <w:p w14:paraId="4564ABB8" w14:textId="77777777" w:rsidR="006E3616" w:rsidRPr="00273CE0" w:rsidRDefault="006E3616" w:rsidP="006E3616">
      <w:pPr>
        <w:spacing w:before="120" w:after="120" w:line="240" w:lineRule="auto"/>
        <w:jc w:val="right"/>
        <w:rPr>
          <w:rFonts w:eastAsia="SimSun" w:cs="Times New Roman"/>
          <w:bCs/>
          <w:sz w:val="32"/>
          <w:szCs w:val="32"/>
          <w:rtl/>
          <w:lang w:val="en-US" w:eastAsia="zh-CN" w:bidi="ar-AE"/>
        </w:rPr>
      </w:pPr>
    </w:p>
    <w:p w14:paraId="421C8D68" w14:textId="77777777" w:rsidR="006E3616" w:rsidRPr="00400193" w:rsidRDefault="006E3616" w:rsidP="006E3616">
      <w:pPr>
        <w:spacing w:before="120" w:after="120" w:line="240" w:lineRule="auto"/>
        <w:jc w:val="right"/>
        <w:rPr>
          <w:rFonts w:eastAsia="SimSun" w:cs="Times New Roman"/>
          <w:bCs/>
          <w:sz w:val="32"/>
          <w:szCs w:val="32"/>
          <w:lang w:eastAsia="zh-CN"/>
        </w:rPr>
      </w:pPr>
    </w:p>
    <w:p w14:paraId="63A91B0E" w14:textId="180BE9BC" w:rsidR="006E3616" w:rsidRPr="00400193" w:rsidRDefault="006E3616" w:rsidP="00615B70">
      <w:pPr>
        <w:spacing w:after="0" w:line="240" w:lineRule="auto"/>
        <w:jc w:val="left"/>
        <w:rPr>
          <w:rFonts w:eastAsia="SimSun" w:cs="Times New Roman"/>
          <w:bCs/>
          <w:sz w:val="32"/>
          <w:szCs w:val="32"/>
          <w:lang w:eastAsia="zh-CN"/>
        </w:rPr>
      </w:pPr>
      <w:r w:rsidRPr="00400193">
        <w:br w:type="page"/>
      </w:r>
    </w:p>
    <w:p w14:paraId="1BD1A217" w14:textId="77777777" w:rsidR="00070C91" w:rsidRDefault="00070C91" w:rsidP="002C636F">
      <w:pPr>
        <w:pStyle w:val="Heading1"/>
        <w:numPr>
          <w:ilvl w:val="0"/>
          <w:numId w:val="0"/>
        </w:numPr>
        <w:jc w:val="both"/>
        <w:sectPr w:rsidR="00070C91" w:rsidSect="003B5486">
          <w:headerReference w:type="default" r:id="rId11"/>
          <w:footerReference w:type="default" r:id="rId12"/>
          <w:pgSz w:w="11906" w:h="16838"/>
          <w:pgMar w:top="1440" w:right="1440" w:bottom="1440" w:left="1440" w:header="0" w:footer="397" w:gutter="0"/>
          <w:pgNumType w:fmt="lowerRoman" w:start="1"/>
          <w:cols w:space="708"/>
          <w:docGrid w:linePitch="360"/>
        </w:sectPr>
      </w:pPr>
      <w:bookmarkStart w:id="8" w:name="_Toc61894632"/>
    </w:p>
    <w:p w14:paraId="697FCCDD" w14:textId="2F424158" w:rsidR="006E3616" w:rsidRPr="00400193" w:rsidRDefault="006E3616" w:rsidP="002C636F">
      <w:pPr>
        <w:pStyle w:val="Heading1"/>
        <w:numPr>
          <w:ilvl w:val="0"/>
          <w:numId w:val="0"/>
        </w:numPr>
        <w:jc w:val="both"/>
      </w:pPr>
      <w:r w:rsidRPr="00400193">
        <w:lastRenderedPageBreak/>
        <w:t>Contents</w:t>
      </w:r>
      <w:bookmarkEnd w:id="8"/>
    </w:p>
    <w:p w14:paraId="59173529" w14:textId="16726416" w:rsidR="00D45ED1" w:rsidRDefault="002C636F" w:rsidP="004772C9">
      <w:pPr>
        <w:pStyle w:val="TOC1"/>
        <w:rPr>
          <w:rFonts w:asciiTheme="minorHAnsi" w:eastAsiaTheme="minorEastAsia" w:hAnsiTheme="minorHAnsi" w:cstheme="minorBidi"/>
          <w:noProof/>
          <w:sz w:val="22"/>
          <w:lang w:val="en-US"/>
        </w:rPr>
      </w:pPr>
      <w:r w:rsidRPr="00400193">
        <w:fldChar w:fldCharType="begin"/>
      </w:r>
      <w:r w:rsidRPr="00400193">
        <w:instrText xml:space="preserve"> TOC \o "1-5" \h \z \u </w:instrText>
      </w:r>
      <w:r w:rsidRPr="00400193">
        <w:fldChar w:fldCharType="separate"/>
      </w:r>
      <w:hyperlink w:anchor="_Toc61894630" w:history="1">
        <w:r w:rsidR="00D45ED1" w:rsidRPr="00F746A2">
          <w:rPr>
            <w:rStyle w:val="Hyperlink"/>
            <w:rFonts w:eastAsia="Calibri"/>
            <w:noProof/>
          </w:rPr>
          <w:t>Abstract</w:t>
        </w:r>
        <w:r w:rsidR="00D45ED1">
          <w:rPr>
            <w:noProof/>
            <w:webHidden/>
          </w:rPr>
          <w:tab/>
        </w:r>
      </w:hyperlink>
    </w:p>
    <w:p w14:paraId="6A5F3B89" w14:textId="3D30A4C8" w:rsidR="00D45ED1" w:rsidRDefault="00724BEE">
      <w:pPr>
        <w:pStyle w:val="TOC1"/>
        <w:rPr>
          <w:rFonts w:asciiTheme="minorHAnsi" w:eastAsiaTheme="minorEastAsia" w:hAnsiTheme="minorHAnsi" w:cstheme="minorBidi"/>
          <w:noProof/>
          <w:sz w:val="22"/>
          <w:lang w:val="en-US"/>
        </w:rPr>
      </w:pPr>
      <w:hyperlink w:anchor="_Toc61894631" w:history="1">
        <w:r w:rsidR="00D45ED1" w:rsidRPr="00F746A2">
          <w:rPr>
            <w:rStyle w:val="Hyperlink"/>
            <w:rFonts w:eastAsia="Calibri"/>
            <w:noProof/>
          </w:rPr>
          <w:t>Acknowledgements</w:t>
        </w:r>
        <w:r w:rsidR="00D45ED1">
          <w:rPr>
            <w:noProof/>
            <w:webHidden/>
          </w:rPr>
          <w:tab/>
        </w:r>
      </w:hyperlink>
    </w:p>
    <w:p w14:paraId="627BE836" w14:textId="65BAE8A9" w:rsidR="00D45ED1" w:rsidRDefault="00724BEE">
      <w:pPr>
        <w:pStyle w:val="TOC1"/>
        <w:rPr>
          <w:rFonts w:asciiTheme="minorHAnsi" w:eastAsiaTheme="minorEastAsia" w:hAnsiTheme="minorHAnsi" w:cstheme="minorBidi"/>
          <w:noProof/>
          <w:sz w:val="22"/>
          <w:lang w:val="en-US"/>
        </w:rPr>
      </w:pPr>
      <w:hyperlink w:anchor="_Toc61894632" w:history="1">
        <w:r w:rsidR="00D45ED1" w:rsidRPr="00F746A2">
          <w:rPr>
            <w:rStyle w:val="Hyperlink"/>
            <w:noProof/>
          </w:rPr>
          <w:t>Contents</w:t>
        </w:r>
        <w:r w:rsidR="00D45ED1">
          <w:rPr>
            <w:noProof/>
            <w:webHidden/>
          </w:rPr>
          <w:tab/>
        </w:r>
        <w:r w:rsidR="00D45ED1">
          <w:rPr>
            <w:noProof/>
            <w:webHidden/>
          </w:rPr>
          <w:fldChar w:fldCharType="begin"/>
        </w:r>
        <w:r w:rsidR="00D45ED1">
          <w:rPr>
            <w:noProof/>
            <w:webHidden/>
          </w:rPr>
          <w:instrText xml:space="preserve"> PAGEREF _Toc61894632 \h </w:instrText>
        </w:r>
        <w:r w:rsidR="00D45ED1">
          <w:rPr>
            <w:noProof/>
            <w:webHidden/>
          </w:rPr>
        </w:r>
        <w:r w:rsidR="00D45ED1">
          <w:rPr>
            <w:noProof/>
            <w:webHidden/>
          </w:rPr>
          <w:fldChar w:fldCharType="separate"/>
        </w:r>
        <w:r w:rsidR="00513D91">
          <w:rPr>
            <w:noProof/>
            <w:webHidden/>
          </w:rPr>
          <w:t>i</w:t>
        </w:r>
        <w:r w:rsidR="00D45ED1">
          <w:rPr>
            <w:noProof/>
            <w:webHidden/>
          </w:rPr>
          <w:fldChar w:fldCharType="end"/>
        </w:r>
      </w:hyperlink>
    </w:p>
    <w:p w14:paraId="4688399B" w14:textId="4A7EEAC8" w:rsidR="00D45ED1" w:rsidRDefault="00724BEE">
      <w:pPr>
        <w:pStyle w:val="TOC1"/>
        <w:rPr>
          <w:rFonts w:asciiTheme="minorHAnsi" w:eastAsiaTheme="minorEastAsia" w:hAnsiTheme="minorHAnsi" w:cstheme="minorBidi"/>
          <w:noProof/>
          <w:sz w:val="22"/>
          <w:lang w:val="en-US"/>
        </w:rPr>
      </w:pPr>
      <w:hyperlink w:anchor="_Toc61894633" w:history="1">
        <w:r w:rsidR="00D45ED1" w:rsidRPr="00F746A2">
          <w:rPr>
            <w:rStyle w:val="Hyperlink"/>
            <w:noProof/>
          </w:rPr>
          <w:t>List of Appendices</w:t>
        </w:r>
        <w:r w:rsidR="00D45ED1">
          <w:rPr>
            <w:noProof/>
            <w:webHidden/>
          </w:rPr>
          <w:tab/>
        </w:r>
        <w:r w:rsidR="00D45ED1">
          <w:rPr>
            <w:noProof/>
            <w:webHidden/>
          </w:rPr>
          <w:fldChar w:fldCharType="begin"/>
        </w:r>
        <w:r w:rsidR="00D45ED1">
          <w:rPr>
            <w:noProof/>
            <w:webHidden/>
          </w:rPr>
          <w:instrText xml:space="preserve"> PAGEREF _Toc61894633 \h </w:instrText>
        </w:r>
        <w:r w:rsidR="00D45ED1">
          <w:rPr>
            <w:noProof/>
            <w:webHidden/>
          </w:rPr>
        </w:r>
        <w:r w:rsidR="00D45ED1">
          <w:rPr>
            <w:noProof/>
            <w:webHidden/>
          </w:rPr>
          <w:fldChar w:fldCharType="separate"/>
        </w:r>
        <w:r w:rsidR="00513D91">
          <w:rPr>
            <w:noProof/>
            <w:webHidden/>
          </w:rPr>
          <w:t>viii</w:t>
        </w:r>
        <w:r w:rsidR="00D45ED1">
          <w:rPr>
            <w:noProof/>
            <w:webHidden/>
          </w:rPr>
          <w:fldChar w:fldCharType="end"/>
        </w:r>
      </w:hyperlink>
    </w:p>
    <w:p w14:paraId="7316CEEA" w14:textId="0D6A278A" w:rsidR="00D45ED1" w:rsidRDefault="00724BEE">
      <w:pPr>
        <w:pStyle w:val="TOC1"/>
        <w:rPr>
          <w:rFonts w:asciiTheme="minorHAnsi" w:eastAsiaTheme="minorEastAsia" w:hAnsiTheme="minorHAnsi" w:cstheme="minorBidi"/>
          <w:noProof/>
          <w:sz w:val="22"/>
          <w:lang w:val="en-US"/>
        </w:rPr>
      </w:pPr>
      <w:hyperlink w:anchor="_Toc61894634" w:history="1">
        <w:r w:rsidR="00D45ED1" w:rsidRPr="00F746A2">
          <w:rPr>
            <w:rStyle w:val="Hyperlink"/>
            <w:noProof/>
          </w:rPr>
          <w:t>List of Figures</w:t>
        </w:r>
        <w:r w:rsidR="00D45ED1">
          <w:rPr>
            <w:noProof/>
            <w:webHidden/>
          </w:rPr>
          <w:tab/>
        </w:r>
        <w:r w:rsidR="00D45ED1">
          <w:rPr>
            <w:noProof/>
            <w:webHidden/>
          </w:rPr>
          <w:fldChar w:fldCharType="begin"/>
        </w:r>
        <w:r w:rsidR="00D45ED1">
          <w:rPr>
            <w:noProof/>
            <w:webHidden/>
          </w:rPr>
          <w:instrText xml:space="preserve"> PAGEREF _Toc61894634 \h </w:instrText>
        </w:r>
        <w:r w:rsidR="00D45ED1">
          <w:rPr>
            <w:noProof/>
            <w:webHidden/>
          </w:rPr>
        </w:r>
        <w:r w:rsidR="00D45ED1">
          <w:rPr>
            <w:noProof/>
            <w:webHidden/>
          </w:rPr>
          <w:fldChar w:fldCharType="separate"/>
        </w:r>
        <w:r w:rsidR="00513D91">
          <w:rPr>
            <w:noProof/>
            <w:webHidden/>
          </w:rPr>
          <w:t>ix</w:t>
        </w:r>
        <w:r w:rsidR="00D45ED1">
          <w:rPr>
            <w:noProof/>
            <w:webHidden/>
          </w:rPr>
          <w:fldChar w:fldCharType="end"/>
        </w:r>
      </w:hyperlink>
    </w:p>
    <w:p w14:paraId="4D0CDE85" w14:textId="34BF6E6E" w:rsidR="00D45ED1" w:rsidRDefault="00724BEE">
      <w:pPr>
        <w:pStyle w:val="TOC1"/>
        <w:rPr>
          <w:rFonts w:asciiTheme="minorHAnsi" w:eastAsiaTheme="minorEastAsia" w:hAnsiTheme="minorHAnsi" w:cstheme="minorBidi"/>
          <w:noProof/>
          <w:sz w:val="22"/>
          <w:lang w:val="en-US"/>
        </w:rPr>
      </w:pPr>
      <w:hyperlink w:anchor="_Toc61894635" w:history="1">
        <w:r w:rsidR="00D45ED1" w:rsidRPr="00F746A2">
          <w:rPr>
            <w:rStyle w:val="Hyperlink"/>
            <w:noProof/>
          </w:rPr>
          <w:t>List of Tables</w:t>
        </w:r>
        <w:r w:rsidR="00D45ED1">
          <w:rPr>
            <w:noProof/>
            <w:webHidden/>
          </w:rPr>
          <w:tab/>
        </w:r>
        <w:r w:rsidR="00D45ED1">
          <w:rPr>
            <w:noProof/>
            <w:webHidden/>
          </w:rPr>
          <w:fldChar w:fldCharType="begin"/>
        </w:r>
        <w:r w:rsidR="00D45ED1">
          <w:rPr>
            <w:noProof/>
            <w:webHidden/>
          </w:rPr>
          <w:instrText xml:space="preserve"> PAGEREF _Toc61894635 \h </w:instrText>
        </w:r>
        <w:r w:rsidR="00D45ED1">
          <w:rPr>
            <w:noProof/>
            <w:webHidden/>
          </w:rPr>
        </w:r>
        <w:r w:rsidR="00D45ED1">
          <w:rPr>
            <w:noProof/>
            <w:webHidden/>
          </w:rPr>
          <w:fldChar w:fldCharType="separate"/>
        </w:r>
        <w:r w:rsidR="00513D91">
          <w:rPr>
            <w:noProof/>
            <w:webHidden/>
          </w:rPr>
          <w:t>xiii</w:t>
        </w:r>
        <w:r w:rsidR="00D45ED1">
          <w:rPr>
            <w:noProof/>
            <w:webHidden/>
          </w:rPr>
          <w:fldChar w:fldCharType="end"/>
        </w:r>
      </w:hyperlink>
    </w:p>
    <w:p w14:paraId="01C1635F" w14:textId="2E61B1FD" w:rsidR="00D45ED1" w:rsidRDefault="00724BEE">
      <w:pPr>
        <w:pStyle w:val="TOC1"/>
        <w:rPr>
          <w:rFonts w:asciiTheme="minorHAnsi" w:eastAsiaTheme="minorEastAsia" w:hAnsiTheme="minorHAnsi" w:cstheme="minorBidi"/>
          <w:noProof/>
          <w:sz w:val="22"/>
          <w:lang w:val="en-US"/>
        </w:rPr>
      </w:pPr>
      <w:hyperlink w:anchor="_Toc61894636" w:history="1">
        <w:r w:rsidR="00D45ED1" w:rsidRPr="00F746A2">
          <w:rPr>
            <w:rStyle w:val="Hyperlink"/>
            <w:rFonts w:eastAsia="Calibri"/>
            <w:noProof/>
          </w:rPr>
          <w:t>Glossary and Abbreviations</w:t>
        </w:r>
        <w:r w:rsidR="00D45ED1">
          <w:rPr>
            <w:noProof/>
            <w:webHidden/>
          </w:rPr>
          <w:tab/>
        </w:r>
        <w:r w:rsidR="00D45ED1">
          <w:rPr>
            <w:noProof/>
            <w:webHidden/>
          </w:rPr>
          <w:fldChar w:fldCharType="begin"/>
        </w:r>
        <w:r w:rsidR="00D45ED1">
          <w:rPr>
            <w:noProof/>
            <w:webHidden/>
          </w:rPr>
          <w:instrText xml:space="preserve"> PAGEREF _Toc61894636 \h </w:instrText>
        </w:r>
        <w:r w:rsidR="00D45ED1">
          <w:rPr>
            <w:noProof/>
            <w:webHidden/>
          </w:rPr>
        </w:r>
        <w:r w:rsidR="00D45ED1">
          <w:rPr>
            <w:noProof/>
            <w:webHidden/>
          </w:rPr>
          <w:fldChar w:fldCharType="separate"/>
        </w:r>
        <w:r w:rsidR="00513D91">
          <w:rPr>
            <w:noProof/>
            <w:webHidden/>
          </w:rPr>
          <w:t>xviii</w:t>
        </w:r>
        <w:r w:rsidR="00D45ED1">
          <w:rPr>
            <w:noProof/>
            <w:webHidden/>
          </w:rPr>
          <w:fldChar w:fldCharType="end"/>
        </w:r>
      </w:hyperlink>
    </w:p>
    <w:p w14:paraId="730DD8D3" w14:textId="77C0BF6B" w:rsidR="00D45ED1" w:rsidRDefault="00724BEE">
      <w:pPr>
        <w:pStyle w:val="TOC1"/>
        <w:rPr>
          <w:rFonts w:asciiTheme="minorHAnsi" w:eastAsiaTheme="minorEastAsia" w:hAnsiTheme="minorHAnsi" w:cstheme="minorBidi"/>
          <w:noProof/>
          <w:sz w:val="22"/>
          <w:lang w:val="en-US"/>
        </w:rPr>
      </w:pPr>
      <w:hyperlink w:anchor="_Toc61894637" w:history="1">
        <w:r w:rsidR="00D45ED1" w:rsidRPr="00F746A2">
          <w:rPr>
            <w:rStyle w:val="Hyperlink"/>
            <w:rFonts w:eastAsia="Arial Unicode MS"/>
            <w:bCs/>
            <w:noProof/>
          </w:rPr>
          <w:t>Chapter 1</w:t>
        </w:r>
        <w:r w:rsidR="00D45ED1" w:rsidRPr="00F746A2">
          <w:rPr>
            <w:rStyle w:val="Hyperlink"/>
            <w:rFonts w:eastAsia="Arial Unicode MS"/>
            <w:iCs/>
            <w:noProof/>
          </w:rPr>
          <w:t xml:space="preserve"> I</w:t>
        </w:r>
        <w:r w:rsidR="00D45ED1" w:rsidRPr="00F746A2">
          <w:rPr>
            <w:rStyle w:val="Hyperlink"/>
            <w:rFonts w:eastAsia="Arial Unicode MS"/>
            <w:noProof/>
          </w:rPr>
          <w:t>ntroduction</w:t>
        </w:r>
        <w:r w:rsidR="00D45ED1">
          <w:rPr>
            <w:noProof/>
            <w:webHidden/>
          </w:rPr>
          <w:tab/>
        </w:r>
        <w:r w:rsidR="00D45ED1">
          <w:rPr>
            <w:noProof/>
            <w:webHidden/>
          </w:rPr>
          <w:fldChar w:fldCharType="begin"/>
        </w:r>
        <w:r w:rsidR="00D45ED1">
          <w:rPr>
            <w:noProof/>
            <w:webHidden/>
          </w:rPr>
          <w:instrText xml:space="preserve"> PAGEREF _Toc61894637 \h </w:instrText>
        </w:r>
        <w:r w:rsidR="00D45ED1">
          <w:rPr>
            <w:noProof/>
            <w:webHidden/>
          </w:rPr>
        </w:r>
        <w:r w:rsidR="00D45ED1">
          <w:rPr>
            <w:noProof/>
            <w:webHidden/>
          </w:rPr>
          <w:fldChar w:fldCharType="separate"/>
        </w:r>
        <w:r w:rsidR="00513D91">
          <w:rPr>
            <w:noProof/>
            <w:webHidden/>
          </w:rPr>
          <w:t>1</w:t>
        </w:r>
        <w:r w:rsidR="00D45ED1">
          <w:rPr>
            <w:noProof/>
            <w:webHidden/>
          </w:rPr>
          <w:fldChar w:fldCharType="end"/>
        </w:r>
      </w:hyperlink>
    </w:p>
    <w:p w14:paraId="75440206" w14:textId="6D729C3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38" w:history="1">
        <w:r w:rsidR="00D45ED1" w:rsidRPr="00F746A2">
          <w:rPr>
            <w:rStyle w:val="Hyperlink"/>
            <w:rFonts w:eastAsia="Arial Unicode MS"/>
            <w:noProof/>
          </w:rPr>
          <w:t>1.1 Introduction</w:t>
        </w:r>
        <w:r w:rsidR="00D45ED1">
          <w:rPr>
            <w:noProof/>
            <w:webHidden/>
          </w:rPr>
          <w:tab/>
        </w:r>
        <w:r w:rsidR="00D45ED1">
          <w:rPr>
            <w:noProof/>
            <w:webHidden/>
          </w:rPr>
          <w:fldChar w:fldCharType="begin"/>
        </w:r>
        <w:r w:rsidR="00D45ED1">
          <w:rPr>
            <w:noProof/>
            <w:webHidden/>
          </w:rPr>
          <w:instrText xml:space="preserve"> PAGEREF _Toc61894638 \h </w:instrText>
        </w:r>
        <w:r w:rsidR="00D45ED1">
          <w:rPr>
            <w:noProof/>
            <w:webHidden/>
          </w:rPr>
        </w:r>
        <w:r w:rsidR="00D45ED1">
          <w:rPr>
            <w:noProof/>
            <w:webHidden/>
          </w:rPr>
          <w:fldChar w:fldCharType="separate"/>
        </w:r>
        <w:r w:rsidR="00513D91">
          <w:rPr>
            <w:noProof/>
            <w:webHidden/>
          </w:rPr>
          <w:t>1</w:t>
        </w:r>
        <w:r w:rsidR="00D45ED1">
          <w:rPr>
            <w:noProof/>
            <w:webHidden/>
          </w:rPr>
          <w:fldChar w:fldCharType="end"/>
        </w:r>
      </w:hyperlink>
    </w:p>
    <w:p w14:paraId="4D0E9C2F" w14:textId="53933CF3"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39" w:history="1">
        <w:r w:rsidR="00D45ED1" w:rsidRPr="00F746A2">
          <w:rPr>
            <w:rStyle w:val="Hyperlink"/>
            <w:rFonts w:eastAsia="Arial Unicode MS"/>
            <w:noProof/>
          </w:rPr>
          <w:t>1.2 Rationale and Background of Study</w:t>
        </w:r>
        <w:r w:rsidR="00D45ED1">
          <w:rPr>
            <w:noProof/>
            <w:webHidden/>
          </w:rPr>
          <w:tab/>
        </w:r>
        <w:r w:rsidR="00D45ED1">
          <w:rPr>
            <w:noProof/>
            <w:webHidden/>
          </w:rPr>
          <w:fldChar w:fldCharType="begin"/>
        </w:r>
        <w:r w:rsidR="00D45ED1">
          <w:rPr>
            <w:noProof/>
            <w:webHidden/>
          </w:rPr>
          <w:instrText xml:space="preserve"> PAGEREF _Toc61894639 \h </w:instrText>
        </w:r>
        <w:r w:rsidR="00D45ED1">
          <w:rPr>
            <w:noProof/>
            <w:webHidden/>
          </w:rPr>
        </w:r>
        <w:r w:rsidR="00D45ED1">
          <w:rPr>
            <w:noProof/>
            <w:webHidden/>
          </w:rPr>
          <w:fldChar w:fldCharType="separate"/>
        </w:r>
        <w:r w:rsidR="00513D91">
          <w:rPr>
            <w:noProof/>
            <w:webHidden/>
          </w:rPr>
          <w:t>1</w:t>
        </w:r>
        <w:r w:rsidR="00D45ED1">
          <w:rPr>
            <w:noProof/>
            <w:webHidden/>
          </w:rPr>
          <w:fldChar w:fldCharType="end"/>
        </w:r>
      </w:hyperlink>
    </w:p>
    <w:p w14:paraId="448AA897" w14:textId="72A14C7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0" w:history="1">
        <w:r w:rsidR="00D45ED1" w:rsidRPr="00F746A2">
          <w:rPr>
            <w:rStyle w:val="Hyperlink"/>
            <w:rFonts w:eastAsia="Arial Unicode MS"/>
            <w:noProof/>
          </w:rPr>
          <w:t>1.3 Research Problem Statement</w:t>
        </w:r>
        <w:r w:rsidR="00D45ED1">
          <w:rPr>
            <w:noProof/>
            <w:webHidden/>
          </w:rPr>
          <w:tab/>
        </w:r>
        <w:r w:rsidR="00D45ED1">
          <w:rPr>
            <w:noProof/>
            <w:webHidden/>
          </w:rPr>
          <w:fldChar w:fldCharType="begin"/>
        </w:r>
        <w:r w:rsidR="00D45ED1">
          <w:rPr>
            <w:noProof/>
            <w:webHidden/>
          </w:rPr>
          <w:instrText xml:space="preserve"> PAGEREF _Toc61894640 \h </w:instrText>
        </w:r>
        <w:r w:rsidR="00D45ED1">
          <w:rPr>
            <w:noProof/>
            <w:webHidden/>
          </w:rPr>
        </w:r>
        <w:r w:rsidR="00D45ED1">
          <w:rPr>
            <w:noProof/>
            <w:webHidden/>
          </w:rPr>
          <w:fldChar w:fldCharType="separate"/>
        </w:r>
        <w:r w:rsidR="00513D91">
          <w:rPr>
            <w:noProof/>
            <w:webHidden/>
          </w:rPr>
          <w:t>5</w:t>
        </w:r>
        <w:r w:rsidR="00D45ED1">
          <w:rPr>
            <w:noProof/>
            <w:webHidden/>
          </w:rPr>
          <w:fldChar w:fldCharType="end"/>
        </w:r>
      </w:hyperlink>
    </w:p>
    <w:p w14:paraId="167289D1" w14:textId="13C2DD63"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1" w:history="1">
        <w:r w:rsidR="00D45ED1" w:rsidRPr="00F746A2">
          <w:rPr>
            <w:rStyle w:val="Hyperlink"/>
            <w:rFonts w:eastAsia="Arial Unicode MS"/>
            <w:noProof/>
          </w:rPr>
          <w:t>1.4 Research Aim and Objectives</w:t>
        </w:r>
        <w:r w:rsidR="00D45ED1">
          <w:rPr>
            <w:noProof/>
            <w:webHidden/>
          </w:rPr>
          <w:tab/>
        </w:r>
        <w:r w:rsidR="00D45ED1">
          <w:rPr>
            <w:noProof/>
            <w:webHidden/>
          </w:rPr>
          <w:fldChar w:fldCharType="begin"/>
        </w:r>
        <w:r w:rsidR="00D45ED1">
          <w:rPr>
            <w:noProof/>
            <w:webHidden/>
          </w:rPr>
          <w:instrText xml:space="preserve"> PAGEREF _Toc61894641 \h </w:instrText>
        </w:r>
        <w:r w:rsidR="00D45ED1">
          <w:rPr>
            <w:noProof/>
            <w:webHidden/>
          </w:rPr>
        </w:r>
        <w:r w:rsidR="00D45ED1">
          <w:rPr>
            <w:noProof/>
            <w:webHidden/>
          </w:rPr>
          <w:fldChar w:fldCharType="separate"/>
        </w:r>
        <w:r w:rsidR="00513D91">
          <w:rPr>
            <w:noProof/>
            <w:webHidden/>
          </w:rPr>
          <w:t>7</w:t>
        </w:r>
        <w:r w:rsidR="00D45ED1">
          <w:rPr>
            <w:noProof/>
            <w:webHidden/>
          </w:rPr>
          <w:fldChar w:fldCharType="end"/>
        </w:r>
      </w:hyperlink>
    </w:p>
    <w:p w14:paraId="431DCC0D" w14:textId="539C75A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2" w:history="1">
        <w:r w:rsidR="00D45ED1" w:rsidRPr="00F746A2">
          <w:rPr>
            <w:rStyle w:val="Hyperlink"/>
            <w:rFonts w:eastAsia="Arial Unicode MS"/>
            <w:noProof/>
          </w:rPr>
          <w:t>1.5 Research Question(s)</w:t>
        </w:r>
        <w:r w:rsidR="00D45ED1">
          <w:rPr>
            <w:noProof/>
            <w:webHidden/>
          </w:rPr>
          <w:tab/>
        </w:r>
        <w:r w:rsidR="00D45ED1">
          <w:rPr>
            <w:noProof/>
            <w:webHidden/>
          </w:rPr>
          <w:fldChar w:fldCharType="begin"/>
        </w:r>
        <w:r w:rsidR="00D45ED1">
          <w:rPr>
            <w:noProof/>
            <w:webHidden/>
          </w:rPr>
          <w:instrText xml:space="preserve"> PAGEREF _Toc61894642 \h </w:instrText>
        </w:r>
        <w:r w:rsidR="00D45ED1">
          <w:rPr>
            <w:noProof/>
            <w:webHidden/>
          </w:rPr>
        </w:r>
        <w:r w:rsidR="00D45ED1">
          <w:rPr>
            <w:noProof/>
            <w:webHidden/>
          </w:rPr>
          <w:fldChar w:fldCharType="separate"/>
        </w:r>
        <w:r w:rsidR="00513D91">
          <w:rPr>
            <w:noProof/>
            <w:webHidden/>
          </w:rPr>
          <w:t>8</w:t>
        </w:r>
        <w:r w:rsidR="00D45ED1">
          <w:rPr>
            <w:noProof/>
            <w:webHidden/>
          </w:rPr>
          <w:fldChar w:fldCharType="end"/>
        </w:r>
      </w:hyperlink>
    </w:p>
    <w:p w14:paraId="6929E03E" w14:textId="0B63CE50"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3" w:history="1">
        <w:r w:rsidR="00D45ED1" w:rsidRPr="00F746A2">
          <w:rPr>
            <w:rStyle w:val="Hyperlink"/>
            <w:rFonts w:eastAsia="Arial Unicode MS"/>
            <w:noProof/>
          </w:rPr>
          <w:t>1.6 Organisation and Structure of the Research Study</w:t>
        </w:r>
        <w:r w:rsidR="00D45ED1">
          <w:rPr>
            <w:noProof/>
            <w:webHidden/>
          </w:rPr>
          <w:tab/>
        </w:r>
        <w:r w:rsidR="00D45ED1">
          <w:rPr>
            <w:noProof/>
            <w:webHidden/>
          </w:rPr>
          <w:fldChar w:fldCharType="begin"/>
        </w:r>
        <w:r w:rsidR="00D45ED1">
          <w:rPr>
            <w:noProof/>
            <w:webHidden/>
          </w:rPr>
          <w:instrText xml:space="preserve"> PAGEREF _Toc61894643 \h </w:instrText>
        </w:r>
        <w:r w:rsidR="00D45ED1">
          <w:rPr>
            <w:noProof/>
            <w:webHidden/>
          </w:rPr>
        </w:r>
        <w:r w:rsidR="00D45ED1">
          <w:rPr>
            <w:noProof/>
            <w:webHidden/>
          </w:rPr>
          <w:fldChar w:fldCharType="separate"/>
        </w:r>
        <w:r w:rsidR="00513D91">
          <w:rPr>
            <w:noProof/>
            <w:webHidden/>
          </w:rPr>
          <w:t>9</w:t>
        </w:r>
        <w:r w:rsidR="00D45ED1">
          <w:rPr>
            <w:noProof/>
            <w:webHidden/>
          </w:rPr>
          <w:fldChar w:fldCharType="end"/>
        </w:r>
      </w:hyperlink>
    </w:p>
    <w:p w14:paraId="068C9C58" w14:textId="272A058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4" w:history="1">
        <w:r w:rsidR="00D45ED1" w:rsidRPr="00F746A2">
          <w:rPr>
            <w:rStyle w:val="Hyperlink"/>
            <w:rFonts w:eastAsia="Arial Unicode MS"/>
            <w:noProof/>
          </w:rPr>
          <w:t>1.7 Summary</w:t>
        </w:r>
        <w:r w:rsidR="00D45ED1">
          <w:rPr>
            <w:noProof/>
            <w:webHidden/>
          </w:rPr>
          <w:tab/>
        </w:r>
        <w:r w:rsidR="00D45ED1">
          <w:rPr>
            <w:noProof/>
            <w:webHidden/>
          </w:rPr>
          <w:fldChar w:fldCharType="begin"/>
        </w:r>
        <w:r w:rsidR="00D45ED1">
          <w:rPr>
            <w:noProof/>
            <w:webHidden/>
          </w:rPr>
          <w:instrText xml:space="preserve"> PAGEREF _Toc61894644 \h </w:instrText>
        </w:r>
        <w:r w:rsidR="00D45ED1">
          <w:rPr>
            <w:noProof/>
            <w:webHidden/>
          </w:rPr>
        </w:r>
        <w:r w:rsidR="00D45ED1">
          <w:rPr>
            <w:noProof/>
            <w:webHidden/>
          </w:rPr>
          <w:fldChar w:fldCharType="separate"/>
        </w:r>
        <w:r w:rsidR="00513D91">
          <w:rPr>
            <w:noProof/>
            <w:webHidden/>
          </w:rPr>
          <w:t>10</w:t>
        </w:r>
        <w:r w:rsidR="00D45ED1">
          <w:rPr>
            <w:noProof/>
            <w:webHidden/>
          </w:rPr>
          <w:fldChar w:fldCharType="end"/>
        </w:r>
      </w:hyperlink>
    </w:p>
    <w:p w14:paraId="5B568C12" w14:textId="48E60F85" w:rsidR="00D45ED1" w:rsidRDefault="00724BEE">
      <w:pPr>
        <w:pStyle w:val="TOC1"/>
        <w:rPr>
          <w:rFonts w:asciiTheme="minorHAnsi" w:eastAsiaTheme="minorEastAsia" w:hAnsiTheme="minorHAnsi" w:cstheme="minorBidi"/>
          <w:noProof/>
          <w:sz w:val="22"/>
          <w:lang w:val="en-US"/>
        </w:rPr>
      </w:pPr>
      <w:hyperlink w:anchor="_Toc61894645" w:history="1">
        <w:r w:rsidR="00D45ED1" w:rsidRPr="00F746A2">
          <w:rPr>
            <w:rStyle w:val="Hyperlink"/>
            <w:rFonts w:eastAsia="Arial Unicode MS"/>
            <w:bCs/>
            <w:noProof/>
          </w:rPr>
          <w:t>Chapter 2</w:t>
        </w:r>
        <w:r w:rsidR="00D45ED1" w:rsidRPr="00F746A2">
          <w:rPr>
            <w:rStyle w:val="Hyperlink"/>
            <w:rFonts w:eastAsia="Arial Unicode MS"/>
            <w:noProof/>
          </w:rPr>
          <w:t xml:space="preserve"> Literature Review</w:t>
        </w:r>
        <w:r w:rsidR="00D45ED1">
          <w:rPr>
            <w:noProof/>
            <w:webHidden/>
          </w:rPr>
          <w:tab/>
        </w:r>
        <w:r w:rsidR="00D45ED1">
          <w:rPr>
            <w:noProof/>
            <w:webHidden/>
          </w:rPr>
          <w:fldChar w:fldCharType="begin"/>
        </w:r>
        <w:r w:rsidR="00D45ED1">
          <w:rPr>
            <w:noProof/>
            <w:webHidden/>
          </w:rPr>
          <w:instrText xml:space="preserve"> PAGEREF _Toc61894645 \h </w:instrText>
        </w:r>
        <w:r w:rsidR="00D45ED1">
          <w:rPr>
            <w:noProof/>
            <w:webHidden/>
          </w:rPr>
        </w:r>
        <w:r w:rsidR="00D45ED1">
          <w:rPr>
            <w:noProof/>
            <w:webHidden/>
          </w:rPr>
          <w:fldChar w:fldCharType="separate"/>
        </w:r>
        <w:r w:rsidR="00513D91">
          <w:rPr>
            <w:noProof/>
            <w:webHidden/>
          </w:rPr>
          <w:t>11</w:t>
        </w:r>
        <w:r w:rsidR="00D45ED1">
          <w:rPr>
            <w:noProof/>
            <w:webHidden/>
          </w:rPr>
          <w:fldChar w:fldCharType="end"/>
        </w:r>
      </w:hyperlink>
    </w:p>
    <w:p w14:paraId="22487FE8" w14:textId="712E657D"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6" w:history="1">
        <w:r w:rsidR="00D45ED1" w:rsidRPr="00F746A2">
          <w:rPr>
            <w:rStyle w:val="Hyperlink"/>
            <w:rFonts w:eastAsia="Arial Unicode MS"/>
            <w:noProof/>
          </w:rPr>
          <w:t>2.1 Introduction</w:t>
        </w:r>
        <w:r w:rsidR="00D45ED1">
          <w:rPr>
            <w:noProof/>
            <w:webHidden/>
          </w:rPr>
          <w:tab/>
        </w:r>
        <w:r w:rsidR="00D45ED1">
          <w:rPr>
            <w:noProof/>
            <w:webHidden/>
          </w:rPr>
          <w:fldChar w:fldCharType="begin"/>
        </w:r>
        <w:r w:rsidR="00D45ED1">
          <w:rPr>
            <w:noProof/>
            <w:webHidden/>
          </w:rPr>
          <w:instrText xml:space="preserve"> PAGEREF _Toc61894646 \h </w:instrText>
        </w:r>
        <w:r w:rsidR="00D45ED1">
          <w:rPr>
            <w:noProof/>
            <w:webHidden/>
          </w:rPr>
        </w:r>
        <w:r w:rsidR="00D45ED1">
          <w:rPr>
            <w:noProof/>
            <w:webHidden/>
          </w:rPr>
          <w:fldChar w:fldCharType="separate"/>
        </w:r>
        <w:r w:rsidR="00513D91">
          <w:rPr>
            <w:noProof/>
            <w:webHidden/>
          </w:rPr>
          <w:t>11</w:t>
        </w:r>
        <w:r w:rsidR="00D45ED1">
          <w:rPr>
            <w:noProof/>
            <w:webHidden/>
          </w:rPr>
          <w:fldChar w:fldCharType="end"/>
        </w:r>
      </w:hyperlink>
    </w:p>
    <w:p w14:paraId="525FBA4D" w14:textId="46DA46F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7" w:history="1">
        <w:r w:rsidR="00D45ED1" w:rsidRPr="00F746A2">
          <w:rPr>
            <w:rStyle w:val="Hyperlink"/>
            <w:rFonts w:eastAsia="Arial Unicode MS"/>
            <w:noProof/>
          </w:rPr>
          <w:t>2.2 Definitions of Cyber Resilience</w:t>
        </w:r>
        <w:r w:rsidR="00D45ED1">
          <w:rPr>
            <w:noProof/>
            <w:webHidden/>
          </w:rPr>
          <w:tab/>
        </w:r>
        <w:r w:rsidR="00D45ED1">
          <w:rPr>
            <w:noProof/>
            <w:webHidden/>
          </w:rPr>
          <w:fldChar w:fldCharType="begin"/>
        </w:r>
        <w:r w:rsidR="00D45ED1">
          <w:rPr>
            <w:noProof/>
            <w:webHidden/>
          </w:rPr>
          <w:instrText xml:space="preserve"> PAGEREF _Toc61894647 \h </w:instrText>
        </w:r>
        <w:r w:rsidR="00D45ED1">
          <w:rPr>
            <w:noProof/>
            <w:webHidden/>
          </w:rPr>
        </w:r>
        <w:r w:rsidR="00D45ED1">
          <w:rPr>
            <w:noProof/>
            <w:webHidden/>
          </w:rPr>
          <w:fldChar w:fldCharType="separate"/>
        </w:r>
        <w:r w:rsidR="00513D91">
          <w:rPr>
            <w:noProof/>
            <w:webHidden/>
          </w:rPr>
          <w:t>11</w:t>
        </w:r>
        <w:r w:rsidR="00D45ED1">
          <w:rPr>
            <w:noProof/>
            <w:webHidden/>
          </w:rPr>
          <w:fldChar w:fldCharType="end"/>
        </w:r>
      </w:hyperlink>
    </w:p>
    <w:p w14:paraId="3D7AFFB4" w14:textId="6AFF095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48" w:history="1">
        <w:r w:rsidR="00D45ED1" w:rsidRPr="00F746A2">
          <w:rPr>
            <w:rStyle w:val="Hyperlink"/>
            <w:bCs/>
            <w:noProof/>
            <w14:scene3d>
              <w14:camera w14:prst="orthographicFront"/>
              <w14:lightRig w14:rig="threePt" w14:dir="t">
                <w14:rot w14:lat="0" w14:lon="0" w14:rev="0"/>
              </w14:lightRig>
            </w14:scene3d>
          </w:rPr>
          <w:t>2.2.1</w:t>
        </w:r>
        <w:r w:rsidR="00D45ED1" w:rsidRPr="00F746A2">
          <w:rPr>
            <w:rStyle w:val="Hyperlink"/>
            <w:noProof/>
          </w:rPr>
          <w:t xml:space="preserve"> A Taxonomy of Cyber-Risk, Cyber-Resilience, and Cyber-Security</w:t>
        </w:r>
        <w:r w:rsidR="00D45ED1">
          <w:rPr>
            <w:noProof/>
            <w:webHidden/>
          </w:rPr>
          <w:tab/>
        </w:r>
        <w:r w:rsidR="00D45ED1">
          <w:rPr>
            <w:noProof/>
            <w:webHidden/>
          </w:rPr>
          <w:fldChar w:fldCharType="begin"/>
        </w:r>
        <w:r w:rsidR="00D45ED1">
          <w:rPr>
            <w:noProof/>
            <w:webHidden/>
          </w:rPr>
          <w:instrText xml:space="preserve"> PAGEREF _Toc61894648 \h </w:instrText>
        </w:r>
        <w:r w:rsidR="00D45ED1">
          <w:rPr>
            <w:noProof/>
            <w:webHidden/>
          </w:rPr>
        </w:r>
        <w:r w:rsidR="00D45ED1">
          <w:rPr>
            <w:noProof/>
            <w:webHidden/>
          </w:rPr>
          <w:fldChar w:fldCharType="separate"/>
        </w:r>
        <w:r w:rsidR="00513D91">
          <w:rPr>
            <w:noProof/>
            <w:webHidden/>
          </w:rPr>
          <w:t>12</w:t>
        </w:r>
        <w:r w:rsidR="00D45ED1">
          <w:rPr>
            <w:noProof/>
            <w:webHidden/>
          </w:rPr>
          <w:fldChar w:fldCharType="end"/>
        </w:r>
      </w:hyperlink>
    </w:p>
    <w:p w14:paraId="32B06D2A" w14:textId="0C6B8D3F"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49" w:history="1">
        <w:r w:rsidR="00D45ED1" w:rsidRPr="00F746A2">
          <w:rPr>
            <w:rStyle w:val="Hyperlink"/>
            <w:noProof/>
          </w:rPr>
          <w:t>2.3 Cyber-risk and Security</w:t>
        </w:r>
        <w:r w:rsidR="00D45ED1">
          <w:rPr>
            <w:noProof/>
            <w:webHidden/>
          </w:rPr>
          <w:tab/>
        </w:r>
        <w:r w:rsidR="00D45ED1">
          <w:rPr>
            <w:noProof/>
            <w:webHidden/>
          </w:rPr>
          <w:fldChar w:fldCharType="begin"/>
        </w:r>
        <w:r w:rsidR="00D45ED1">
          <w:rPr>
            <w:noProof/>
            <w:webHidden/>
          </w:rPr>
          <w:instrText xml:space="preserve"> PAGEREF _Toc61894649 \h </w:instrText>
        </w:r>
        <w:r w:rsidR="00D45ED1">
          <w:rPr>
            <w:noProof/>
            <w:webHidden/>
          </w:rPr>
        </w:r>
        <w:r w:rsidR="00D45ED1">
          <w:rPr>
            <w:noProof/>
            <w:webHidden/>
          </w:rPr>
          <w:fldChar w:fldCharType="separate"/>
        </w:r>
        <w:r w:rsidR="00513D91">
          <w:rPr>
            <w:noProof/>
            <w:webHidden/>
          </w:rPr>
          <w:t>13</w:t>
        </w:r>
        <w:r w:rsidR="00D45ED1">
          <w:rPr>
            <w:noProof/>
            <w:webHidden/>
          </w:rPr>
          <w:fldChar w:fldCharType="end"/>
        </w:r>
      </w:hyperlink>
    </w:p>
    <w:p w14:paraId="3558B6C1" w14:textId="17E74765"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50" w:history="1">
        <w:r w:rsidR="00D45ED1" w:rsidRPr="00F746A2">
          <w:rPr>
            <w:rStyle w:val="Hyperlink"/>
            <w:rFonts w:eastAsia="Arial Unicode MS"/>
            <w:bCs/>
            <w:noProof/>
            <w14:scene3d>
              <w14:camera w14:prst="orthographicFront"/>
              <w14:lightRig w14:rig="threePt" w14:dir="t">
                <w14:rot w14:lat="0" w14:lon="0" w14:rev="0"/>
              </w14:lightRig>
            </w14:scene3d>
          </w:rPr>
          <w:t>2.3.1</w:t>
        </w:r>
        <w:r w:rsidR="00D45ED1" w:rsidRPr="00F746A2">
          <w:rPr>
            <w:rStyle w:val="Hyperlink"/>
            <w:rFonts w:eastAsia="Arial Unicode MS"/>
            <w:noProof/>
          </w:rPr>
          <w:t xml:space="preserve"> Cyber-Security and IT Departments</w:t>
        </w:r>
        <w:r w:rsidR="00D45ED1">
          <w:rPr>
            <w:noProof/>
            <w:webHidden/>
          </w:rPr>
          <w:tab/>
        </w:r>
        <w:r w:rsidR="00D45ED1">
          <w:rPr>
            <w:noProof/>
            <w:webHidden/>
          </w:rPr>
          <w:fldChar w:fldCharType="begin"/>
        </w:r>
        <w:r w:rsidR="00D45ED1">
          <w:rPr>
            <w:noProof/>
            <w:webHidden/>
          </w:rPr>
          <w:instrText xml:space="preserve"> PAGEREF _Toc61894650 \h </w:instrText>
        </w:r>
        <w:r w:rsidR="00D45ED1">
          <w:rPr>
            <w:noProof/>
            <w:webHidden/>
          </w:rPr>
        </w:r>
        <w:r w:rsidR="00D45ED1">
          <w:rPr>
            <w:noProof/>
            <w:webHidden/>
          </w:rPr>
          <w:fldChar w:fldCharType="separate"/>
        </w:r>
        <w:r w:rsidR="00513D91">
          <w:rPr>
            <w:noProof/>
            <w:webHidden/>
          </w:rPr>
          <w:t>14</w:t>
        </w:r>
        <w:r w:rsidR="00D45ED1">
          <w:rPr>
            <w:noProof/>
            <w:webHidden/>
          </w:rPr>
          <w:fldChar w:fldCharType="end"/>
        </w:r>
      </w:hyperlink>
    </w:p>
    <w:p w14:paraId="2767E36E" w14:textId="550E5318"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51" w:history="1">
        <w:r w:rsidR="00D45ED1" w:rsidRPr="00F746A2">
          <w:rPr>
            <w:rStyle w:val="Hyperlink"/>
            <w:rFonts w:eastAsia="Arial Unicode MS"/>
            <w:noProof/>
          </w:rPr>
          <w:t>2.4 Existing Frameworks for Cyber-Risk Management</w:t>
        </w:r>
        <w:r w:rsidR="00D45ED1">
          <w:rPr>
            <w:noProof/>
            <w:webHidden/>
          </w:rPr>
          <w:tab/>
        </w:r>
        <w:r w:rsidR="00D45ED1">
          <w:rPr>
            <w:noProof/>
            <w:webHidden/>
          </w:rPr>
          <w:fldChar w:fldCharType="begin"/>
        </w:r>
        <w:r w:rsidR="00D45ED1">
          <w:rPr>
            <w:noProof/>
            <w:webHidden/>
          </w:rPr>
          <w:instrText xml:space="preserve"> PAGEREF _Toc61894651 \h </w:instrText>
        </w:r>
        <w:r w:rsidR="00D45ED1">
          <w:rPr>
            <w:noProof/>
            <w:webHidden/>
          </w:rPr>
        </w:r>
        <w:r w:rsidR="00D45ED1">
          <w:rPr>
            <w:noProof/>
            <w:webHidden/>
          </w:rPr>
          <w:fldChar w:fldCharType="separate"/>
        </w:r>
        <w:r w:rsidR="00513D91">
          <w:rPr>
            <w:noProof/>
            <w:webHidden/>
          </w:rPr>
          <w:t>15</w:t>
        </w:r>
        <w:r w:rsidR="00D45ED1">
          <w:rPr>
            <w:noProof/>
            <w:webHidden/>
          </w:rPr>
          <w:fldChar w:fldCharType="end"/>
        </w:r>
      </w:hyperlink>
    </w:p>
    <w:p w14:paraId="578CBA37" w14:textId="3C9A3A62"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52" w:history="1">
        <w:r w:rsidR="00D45ED1" w:rsidRPr="00F746A2">
          <w:rPr>
            <w:rStyle w:val="Hyperlink"/>
            <w:rFonts w:eastAsia="Arial Unicode MS"/>
            <w:bCs/>
            <w:noProof/>
            <w14:scene3d>
              <w14:camera w14:prst="orthographicFront"/>
              <w14:lightRig w14:rig="threePt" w14:dir="t">
                <w14:rot w14:lat="0" w14:lon="0" w14:rev="0"/>
              </w14:lightRig>
            </w14:scene3d>
          </w:rPr>
          <w:t>2.4.1</w:t>
        </w:r>
        <w:r w:rsidR="00D45ED1" w:rsidRPr="00F746A2">
          <w:rPr>
            <w:rStyle w:val="Hyperlink"/>
            <w:rFonts w:eastAsia="Arial Unicode MS"/>
            <w:noProof/>
          </w:rPr>
          <w:t xml:space="preserve"> Basics of Cyber-Risk Management</w:t>
        </w:r>
        <w:r w:rsidR="00D45ED1">
          <w:rPr>
            <w:noProof/>
            <w:webHidden/>
          </w:rPr>
          <w:tab/>
        </w:r>
        <w:r w:rsidR="00D45ED1">
          <w:rPr>
            <w:noProof/>
            <w:webHidden/>
          </w:rPr>
          <w:fldChar w:fldCharType="begin"/>
        </w:r>
        <w:r w:rsidR="00D45ED1">
          <w:rPr>
            <w:noProof/>
            <w:webHidden/>
          </w:rPr>
          <w:instrText xml:space="preserve"> PAGEREF _Toc61894652 \h </w:instrText>
        </w:r>
        <w:r w:rsidR="00D45ED1">
          <w:rPr>
            <w:noProof/>
            <w:webHidden/>
          </w:rPr>
        </w:r>
        <w:r w:rsidR="00D45ED1">
          <w:rPr>
            <w:noProof/>
            <w:webHidden/>
          </w:rPr>
          <w:fldChar w:fldCharType="separate"/>
        </w:r>
        <w:r w:rsidR="00513D91">
          <w:rPr>
            <w:noProof/>
            <w:webHidden/>
          </w:rPr>
          <w:t>16</w:t>
        </w:r>
        <w:r w:rsidR="00D45ED1">
          <w:rPr>
            <w:noProof/>
            <w:webHidden/>
          </w:rPr>
          <w:fldChar w:fldCharType="end"/>
        </w:r>
      </w:hyperlink>
    </w:p>
    <w:p w14:paraId="4CD0C638" w14:textId="2BC63EA4"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53" w:history="1">
        <w:r w:rsidR="00D45ED1" w:rsidRPr="00F746A2">
          <w:rPr>
            <w:rStyle w:val="Hyperlink"/>
            <w:rFonts w:eastAsia="Arial Unicode MS"/>
            <w:bCs/>
            <w:noProof/>
            <w14:scene3d>
              <w14:camera w14:prst="orthographicFront"/>
              <w14:lightRig w14:rig="threePt" w14:dir="t">
                <w14:rot w14:lat="0" w14:lon="0" w14:rev="0"/>
              </w14:lightRig>
            </w14:scene3d>
          </w:rPr>
          <w:t>2.4.2</w:t>
        </w:r>
        <w:r w:rsidR="00D45ED1" w:rsidRPr="00F746A2">
          <w:rPr>
            <w:rStyle w:val="Hyperlink"/>
            <w:rFonts w:eastAsia="Arial Unicode MS"/>
            <w:noProof/>
          </w:rPr>
          <w:t xml:space="preserve"> Resilience</w:t>
        </w:r>
        <w:r w:rsidR="00D45ED1">
          <w:rPr>
            <w:noProof/>
            <w:webHidden/>
          </w:rPr>
          <w:tab/>
        </w:r>
        <w:r w:rsidR="00D45ED1">
          <w:rPr>
            <w:noProof/>
            <w:webHidden/>
          </w:rPr>
          <w:fldChar w:fldCharType="begin"/>
        </w:r>
        <w:r w:rsidR="00D45ED1">
          <w:rPr>
            <w:noProof/>
            <w:webHidden/>
          </w:rPr>
          <w:instrText xml:space="preserve"> PAGEREF _Toc61894653 \h </w:instrText>
        </w:r>
        <w:r w:rsidR="00D45ED1">
          <w:rPr>
            <w:noProof/>
            <w:webHidden/>
          </w:rPr>
        </w:r>
        <w:r w:rsidR="00D45ED1">
          <w:rPr>
            <w:noProof/>
            <w:webHidden/>
          </w:rPr>
          <w:fldChar w:fldCharType="separate"/>
        </w:r>
        <w:r w:rsidR="00513D91">
          <w:rPr>
            <w:noProof/>
            <w:webHidden/>
          </w:rPr>
          <w:t>16</w:t>
        </w:r>
        <w:r w:rsidR="00D45ED1">
          <w:rPr>
            <w:noProof/>
            <w:webHidden/>
          </w:rPr>
          <w:fldChar w:fldCharType="end"/>
        </w:r>
      </w:hyperlink>
    </w:p>
    <w:p w14:paraId="00511DF3" w14:textId="166E7338"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54" w:history="1">
        <w:r w:rsidR="00D45ED1" w:rsidRPr="00F746A2">
          <w:rPr>
            <w:rStyle w:val="Hyperlink"/>
            <w:noProof/>
          </w:rPr>
          <w:t>2.5 Emerging Cyber-Risks</w:t>
        </w:r>
        <w:r w:rsidR="00D45ED1">
          <w:rPr>
            <w:noProof/>
            <w:webHidden/>
          </w:rPr>
          <w:tab/>
        </w:r>
        <w:r w:rsidR="00D45ED1">
          <w:rPr>
            <w:noProof/>
            <w:webHidden/>
          </w:rPr>
          <w:fldChar w:fldCharType="begin"/>
        </w:r>
        <w:r w:rsidR="00D45ED1">
          <w:rPr>
            <w:noProof/>
            <w:webHidden/>
          </w:rPr>
          <w:instrText xml:space="preserve"> PAGEREF _Toc61894654 \h </w:instrText>
        </w:r>
        <w:r w:rsidR="00D45ED1">
          <w:rPr>
            <w:noProof/>
            <w:webHidden/>
          </w:rPr>
        </w:r>
        <w:r w:rsidR="00D45ED1">
          <w:rPr>
            <w:noProof/>
            <w:webHidden/>
          </w:rPr>
          <w:fldChar w:fldCharType="separate"/>
        </w:r>
        <w:r w:rsidR="00513D91">
          <w:rPr>
            <w:noProof/>
            <w:webHidden/>
          </w:rPr>
          <w:t>18</w:t>
        </w:r>
        <w:r w:rsidR="00D45ED1">
          <w:rPr>
            <w:noProof/>
            <w:webHidden/>
          </w:rPr>
          <w:fldChar w:fldCharType="end"/>
        </w:r>
      </w:hyperlink>
    </w:p>
    <w:p w14:paraId="42F6B151" w14:textId="41061177"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55" w:history="1">
        <w:r w:rsidR="00D45ED1" w:rsidRPr="00F746A2">
          <w:rPr>
            <w:rStyle w:val="Hyperlink"/>
            <w:noProof/>
          </w:rPr>
          <w:t>2.6 Patterns of cyber-attacks</w:t>
        </w:r>
        <w:r w:rsidR="00D45ED1">
          <w:rPr>
            <w:noProof/>
            <w:webHidden/>
          </w:rPr>
          <w:tab/>
        </w:r>
        <w:r w:rsidR="00D45ED1">
          <w:rPr>
            <w:noProof/>
            <w:webHidden/>
          </w:rPr>
          <w:fldChar w:fldCharType="begin"/>
        </w:r>
        <w:r w:rsidR="00D45ED1">
          <w:rPr>
            <w:noProof/>
            <w:webHidden/>
          </w:rPr>
          <w:instrText xml:space="preserve"> PAGEREF _Toc61894655 \h </w:instrText>
        </w:r>
        <w:r w:rsidR="00D45ED1">
          <w:rPr>
            <w:noProof/>
            <w:webHidden/>
          </w:rPr>
        </w:r>
        <w:r w:rsidR="00D45ED1">
          <w:rPr>
            <w:noProof/>
            <w:webHidden/>
          </w:rPr>
          <w:fldChar w:fldCharType="separate"/>
        </w:r>
        <w:r w:rsidR="00513D91">
          <w:rPr>
            <w:noProof/>
            <w:webHidden/>
          </w:rPr>
          <w:t>18</w:t>
        </w:r>
        <w:r w:rsidR="00D45ED1">
          <w:rPr>
            <w:noProof/>
            <w:webHidden/>
          </w:rPr>
          <w:fldChar w:fldCharType="end"/>
        </w:r>
      </w:hyperlink>
    </w:p>
    <w:p w14:paraId="0CFD598E" w14:textId="2C9D5C0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56" w:history="1">
        <w:r w:rsidR="00D45ED1" w:rsidRPr="00F746A2">
          <w:rPr>
            <w:rStyle w:val="Hyperlink"/>
            <w:bCs/>
            <w:noProof/>
            <w14:scene3d>
              <w14:camera w14:prst="orthographicFront"/>
              <w14:lightRig w14:rig="threePt" w14:dir="t">
                <w14:rot w14:lat="0" w14:lon="0" w14:rev="0"/>
              </w14:lightRig>
            </w14:scene3d>
          </w:rPr>
          <w:t>2.6.1</w:t>
        </w:r>
        <w:r w:rsidR="00D45ED1" w:rsidRPr="00F746A2">
          <w:rPr>
            <w:rStyle w:val="Hyperlink"/>
            <w:noProof/>
          </w:rPr>
          <w:t xml:space="preserve"> The GCHQ Simplified Process</w:t>
        </w:r>
        <w:r w:rsidR="00D45ED1">
          <w:rPr>
            <w:noProof/>
            <w:webHidden/>
          </w:rPr>
          <w:tab/>
        </w:r>
        <w:r w:rsidR="00D45ED1">
          <w:rPr>
            <w:noProof/>
            <w:webHidden/>
          </w:rPr>
          <w:fldChar w:fldCharType="begin"/>
        </w:r>
        <w:r w:rsidR="00D45ED1">
          <w:rPr>
            <w:noProof/>
            <w:webHidden/>
          </w:rPr>
          <w:instrText xml:space="preserve"> PAGEREF _Toc61894656 \h </w:instrText>
        </w:r>
        <w:r w:rsidR="00D45ED1">
          <w:rPr>
            <w:noProof/>
            <w:webHidden/>
          </w:rPr>
        </w:r>
        <w:r w:rsidR="00D45ED1">
          <w:rPr>
            <w:noProof/>
            <w:webHidden/>
          </w:rPr>
          <w:fldChar w:fldCharType="separate"/>
        </w:r>
        <w:r w:rsidR="00513D91">
          <w:rPr>
            <w:noProof/>
            <w:webHidden/>
          </w:rPr>
          <w:t>19</w:t>
        </w:r>
        <w:r w:rsidR="00D45ED1">
          <w:rPr>
            <w:noProof/>
            <w:webHidden/>
          </w:rPr>
          <w:fldChar w:fldCharType="end"/>
        </w:r>
      </w:hyperlink>
    </w:p>
    <w:p w14:paraId="6E615860" w14:textId="71257430"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57" w:history="1">
        <w:r w:rsidR="00D45ED1" w:rsidRPr="00F746A2">
          <w:rPr>
            <w:rStyle w:val="Hyperlink"/>
            <w:bCs/>
            <w:noProof/>
          </w:rPr>
          <w:t>2.6.1.1</w:t>
        </w:r>
        <w:r w:rsidR="00D45ED1" w:rsidRPr="00F746A2">
          <w:rPr>
            <w:rStyle w:val="Hyperlink"/>
            <w:noProof/>
          </w:rPr>
          <w:t xml:space="preserve"> Survey</w:t>
        </w:r>
        <w:r w:rsidR="00D45ED1">
          <w:rPr>
            <w:noProof/>
            <w:webHidden/>
          </w:rPr>
          <w:tab/>
        </w:r>
        <w:r w:rsidR="00D45ED1">
          <w:rPr>
            <w:noProof/>
            <w:webHidden/>
          </w:rPr>
          <w:fldChar w:fldCharType="begin"/>
        </w:r>
        <w:r w:rsidR="00D45ED1">
          <w:rPr>
            <w:noProof/>
            <w:webHidden/>
          </w:rPr>
          <w:instrText xml:space="preserve"> PAGEREF _Toc61894657 \h </w:instrText>
        </w:r>
        <w:r w:rsidR="00D45ED1">
          <w:rPr>
            <w:noProof/>
            <w:webHidden/>
          </w:rPr>
        </w:r>
        <w:r w:rsidR="00D45ED1">
          <w:rPr>
            <w:noProof/>
            <w:webHidden/>
          </w:rPr>
          <w:fldChar w:fldCharType="separate"/>
        </w:r>
        <w:r w:rsidR="00513D91">
          <w:rPr>
            <w:noProof/>
            <w:webHidden/>
          </w:rPr>
          <w:t>19</w:t>
        </w:r>
        <w:r w:rsidR="00D45ED1">
          <w:rPr>
            <w:noProof/>
            <w:webHidden/>
          </w:rPr>
          <w:fldChar w:fldCharType="end"/>
        </w:r>
      </w:hyperlink>
    </w:p>
    <w:p w14:paraId="27885922" w14:textId="21CFE16B"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58" w:history="1">
        <w:r w:rsidR="00D45ED1" w:rsidRPr="00F746A2">
          <w:rPr>
            <w:rStyle w:val="Hyperlink"/>
            <w:bCs/>
            <w:noProof/>
          </w:rPr>
          <w:t>2.6.1.2</w:t>
        </w:r>
        <w:r w:rsidR="00D45ED1" w:rsidRPr="00F746A2">
          <w:rPr>
            <w:rStyle w:val="Hyperlink"/>
            <w:noProof/>
          </w:rPr>
          <w:t xml:space="preserve"> Delivery</w:t>
        </w:r>
        <w:r w:rsidR="00D45ED1">
          <w:rPr>
            <w:noProof/>
            <w:webHidden/>
          </w:rPr>
          <w:tab/>
        </w:r>
        <w:r w:rsidR="00D45ED1">
          <w:rPr>
            <w:noProof/>
            <w:webHidden/>
          </w:rPr>
          <w:fldChar w:fldCharType="begin"/>
        </w:r>
        <w:r w:rsidR="00D45ED1">
          <w:rPr>
            <w:noProof/>
            <w:webHidden/>
          </w:rPr>
          <w:instrText xml:space="preserve"> PAGEREF _Toc61894658 \h </w:instrText>
        </w:r>
        <w:r w:rsidR="00D45ED1">
          <w:rPr>
            <w:noProof/>
            <w:webHidden/>
          </w:rPr>
        </w:r>
        <w:r w:rsidR="00D45ED1">
          <w:rPr>
            <w:noProof/>
            <w:webHidden/>
          </w:rPr>
          <w:fldChar w:fldCharType="separate"/>
        </w:r>
        <w:r w:rsidR="00513D91">
          <w:rPr>
            <w:noProof/>
            <w:webHidden/>
          </w:rPr>
          <w:t>20</w:t>
        </w:r>
        <w:r w:rsidR="00D45ED1">
          <w:rPr>
            <w:noProof/>
            <w:webHidden/>
          </w:rPr>
          <w:fldChar w:fldCharType="end"/>
        </w:r>
      </w:hyperlink>
    </w:p>
    <w:p w14:paraId="34D02360" w14:textId="3E822244"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59" w:history="1">
        <w:r w:rsidR="00D45ED1" w:rsidRPr="00F746A2">
          <w:rPr>
            <w:rStyle w:val="Hyperlink"/>
            <w:bCs/>
            <w:noProof/>
          </w:rPr>
          <w:t>2.6.1.3</w:t>
        </w:r>
        <w:r w:rsidR="00D45ED1" w:rsidRPr="00F746A2">
          <w:rPr>
            <w:rStyle w:val="Hyperlink"/>
            <w:noProof/>
          </w:rPr>
          <w:t xml:space="preserve"> Breach</w:t>
        </w:r>
        <w:r w:rsidR="00D45ED1">
          <w:rPr>
            <w:noProof/>
            <w:webHidden/>
          </w:rPr>
          <w:tab/>
        </w:r>
        <w:r w:rsidR="00D45ED1">
          <w:rPr>
            <w:noProof/>
            <w:webHidden/>
          </w:rPr>
          <w:fldChar w:fldCharType="begin"/>
        </w:r>
        <w:r w:rsidR="00D45ED1">
          <w:rPr>
            <w:noProof/>
            <w:webHidden/>
          </w:rPr>
          <w:instrText xml:space="preserve"> PAGEREF _Toc61894659 \h </w:instrText>
        </w:r>
        <w:r w:rsidR="00D45ED1">
          <w:rPr>
            <w:noProof/>
            <w:webHidden/>
          </w:rPr>
        </w:r>
        <w:r w:rsidR="00D45ED1">
          <w:rPr>
            <w:noProof/>
            <w:webHidden/>
          </w:rPr>
          <w:fldChar w:fldCharType="separate"/>
        </w:r>
        <w:r w:rsidR="00513D91">
          <w:rPr>
            <w:noProof/>
            <w:webHidden/>
          </w:rPr>
          <w:t>20</w:t>
        </w:r>
        <w:r w:rsidR="00D45ED1">
          <w:rPr>
            <w:noProof/>
            <w:webHidden/>
          </w:rPr>
          <w:fldChar w:fldCharType="end"/>
        </w:r>
      </w:hyperlink>
    </w:p>
    <w:p w14:paraId="2FE9F24B" w14:textId="547EA777"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60" w:history="1">
        <w:r w:rsidR="00D45ED1" w:rsidRPr="00F746A2">
          <w:rPr>
            <w:rStyle w:val="Hyperlink"/>
            <w:bCs/>
            <w:noProof/>
          </w:rPr>
          <w:t>2.6.1.4</w:t>
        </w:r>
        <w:r w:rsidR="00D45ED1" w:rsidRPr="00F746A2">
          <w:rPr>
            <w:rStyle w:val="Hyperlink"/>
            <w:noProof/>
          </w:rPr>
          <w:t xml:space="preserve"> Affect</w:t>
        </w:r>
        <w:r w:rsidR="00D45ED1">
          <w:rPr>
            <w:noProof/>
            <w:webHidden/>
          </w:rPr>
          <w:tab/>
        </w:r>
        <w:r w:rsidR="00D45ED1">
          <w:rPr>
            <w:noProof/>
            <w:webHidden/>
          </w:rPr>
          <w:fldChar w:fldCharType="begin"/>
        </w:r>
        <w:r w:rsidR="00D45ED1">
          <w:rPr>
            <w:noProof/>
            <w:webHidden/>
          </w:rPr>
          <w:instrText xml:space="preserve"> PAGEREF _Toc61894660 \h </w:instrText>
        </w:r>
        <w:r w:rsidR="00D45ED1">
          <w:rPr>
            <w:noProof/>
            <w:webHidden/>
          </w:rPr>
        </w:r>
        <w:r w:rsidR="00D45ED1">
          <w:rPr>
            <w:noProof/>
            <w:webHidden/>
          </w:rPr>
          <w:fldChar w:fldCharType="separate"/>
        </w:r>
        <w:r w:rsidR="00513D91">
          <w:rPr>
            <w:noProof/>
            <w:webHidden/>
          </w:rPr>
          <w:t>20</w:t>
        </w:r>
        <w:r w:rsidR="00D45ED1">
          <w:rPr>
            <w:noProof/>
            <w:webHidden/>
          </w:rPr>
          <w:fldChar w:fldCharType="end"/>
        </w:r>
      </w:hyperlink>
    </w:p>
    <w:p w14:paraId="3D00E79C" w14:textId="56CE263B"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61" w:history="1">
        <w:r w:rsidR="00D45ED1" w:rsidRPr="00F746A2">
          <w:rPr>
            <w:rStyle w:val="Hyperlink"/>
            <w:noProof/>
          </w:rPr>
          <w:t>2.7 Trends</w:t>
        </w:r>
        <w:r w:rsidR="00D45ED1">
          <w:rPr>
            <w:noProof/>
            <w:webHidden/>
          </w:rPr>
          <w:tab/>
        </w:r>
        <w:r w:rsidR="00D45ED1">
          <w:rPr>
            <w:noProof/>
            <w:webHidden/>
          </w:rPr>
          <w:fldChar w:fldCharType="begin"/>
        </w:r>
        <w:r w:rsidR="00D45ED1">
          <w:rPr>
            <w:noProof/>
            <w:webHidden/>
          </w:rPr>
          <w:instrText xml:space="preserve"> PAGEREF _Toc61894661 \h </w:instrText>
        </w:r>
        <w:r w:rsidR="00D45ED1">
          <w:rPr>
            <w:noProof/>
            <w:webHidden/>
          </w:rPr>
        </w:r>
        <w:r w:rsidR="00D45ED1">
          <w:rPr>
            <w:noProof/>
            <w:webHidden/>
          </w:rPr>
          <w:fldChar w:fldCharType="separate"/>
        </w:r>
        <w:r w:rsidR="00513D91">
          <w:rPr>
            <w:noProof/>
            <w:webHidden/>
          </w:rPr>
          <w:t>20</w:t>
        </w:r>
        <w:r w:rsidR="00D45ED1">
          <w:rPr>
            <w:noProof/>
            <w:webHidden/>
          </w:rPr>
          <w:fldChar w:fldCharType="end"/>
        </w:r>
      </w:hyperlink>
    </w:p>
    <w:p w14:paraId="66C226A2" w14:textId="26CBA1C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62" w:history="1">
        <w:r w:rsidR="00D45ED1" w:rsidRPr="00F746A2">
          <w:rPr>
            <w:rStyle w:val="Hyperlink"/>
            <w:noProof/>
          </w:rPr>
          <w:t>2.8 Terrorism and cyber-attacks</w:t>
        </w:r>
        <w:r w:rsidR="00D45ED1">
          <w:rPr>
            <w:noProof/>
            <w:webHidden/>
          </w:rPr>
          <w:tab/>
        </w:r>
        <w:r w:rsidR="00D45ED1">
          <w:rPr>
            <w:noProof/>
            <w:webHidden/>
          </w:rPr>
          <w:fldChar w:fldCharType="begin"/>
        </w:r>
        <w:r w:rsidR="00D45ED1">
          <w:rPr>
            <w:noProof/>
            <w:webHidden/>
          </w:rPr>
          <w:instrText xml:space="preserve"> PAGEREF _Toc61894662 \h </w:instrText>
        </w:r>
        <w:r w:rsidR="00D45ED1">
          <w:rPr>
            <w:noProof/>
            <w:webHidden/>
          </w:rPr>
        </w:r>
        <w:r w:rsidR="00D45ED1">
          <w:rPr>
            <w:noProof/>
            <w:webHidden/>
          </w:rPr>
          <w:fldChar w:fldCharType="separate"/>
        </w:r>
        <w:r w:rsidR="00513D91">
          <w:rPr>
            <w:noProof/>
            <w:webHidden/>
          </w:rPr>
          <w:t>22</w:t>
        </w:r>
        <w:r w:rsidR="00D45ED1">
          <w:rPr>
            <w:noProof/>
            <w:webHidden/>
          </w:rPr>
          <w:fldChar w:fldCharType="end"/>
        </w:r>
      </w:hyperlink>
    </w:p>
    <w:p w14:paraId="41510252" w14:textId="2AA86A51"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63" w:history="1">
        <w:r w:rsidR="00D45ED1" w:rsidRPr="00F746A2">
          <w:rPr>
            <w:rStyle w:val="Hyperlink"/>
            <w:noProof/>
          </w:rPr>
          <w:t>2.9 The Development of Cyber-Risk Management Frameworks</w:t>
        </w:r>
        <w:r w:rsidR="00D45ED1">
          <w:rPr>
            <w:noProof/>
            <w:webHidden/>
          </w:rPr>
          <w:tab/>
        </w:r>
        <w:r w:rsidR="00D45ED1">
          <w:rPr>
            <w:noProof/>
            <w:webHidden/>
          </w:rPr>
          <w:fldChar w:fldCharType="begin"/>
        </w:r>
        <w:r w:rsidR="00D45ED1">
          <w:rPr>
            <w:noProof/>
            <w:webHidden/>
          </w:rPr>
          <w:instrText xml:space="preserve"> PAGEREF _Toc61894663 \h </w:instrText>
        </w:r>
        <w:r w:rsidR="00D45ED1">
          <w:rPr>
            <w:noProof/>
            <w:webHidden/>
          </w:rPr>
        </w:r>
        <w:r w:rsidR="00D45ED1">
          <w:rPr>
            <w:noProof/>
            <w:webHidden/>
          </w:rPr>
          <w:fldChar w:fldCharType="separate"/>
        </w:r>
        <w:r w:rsidR="00513D91">
          <w:rPr>
            <w:noProof/>
            <w:webHidden/>
          </w:rPr>
          <w:t>22</w:t>
        </w:r>
        <w:r w:rsidR="00D45ED1">
          <w:rPr>
            <w:noProof/>
            <w:webHidden/>
          </w:rPr>
          <w:fldChar w:fldCharType="end"/>
        </w:r>
      </w:hyperlink>
    </w:p>
    <w:p w14:paraId="5BD2EC16" w14:textId="552C1E3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4" w:history="1">
        <w:r w:rsidR="00D45ED1" w:rsidRPr="00F746A2">
          <w:rPr>
            <w:rStyle w:val="Hyperlink"/>
            <w:bCs/>
            <w:noProof/>
            <w:lang w:eastAsia="zh-CN" w:bidi="hi-IN"/>
            <w14:scene3d>
              <w14:camera w14:prst="orthographicFront"/>
              <w14:lightRig w14:rig="threePt" w14:dir="t">
                <w14:rot w14:lat="0" w14:lon="0" w14:rev="0"/>
              </w14:lightRig>
            </w14:scene3d>
          </w:rPr>
          <w:t>2.9.1</w:t>
        </w:r>
        <w:r w:rsidR="00D45ED1" w:rsidRPr="00F746A2">
          <w:rPr>
            <w:rStyle w:val="Hyperlink"/>
            <w:noProof/>
            <w:lang w:eastAsia="zh-CN" w:bidi="hi-IN"/>
          </w:rPr>
          <w:t xml:space="preserve"> The Importance of a CRM Framework</w:t>
        </w:r>
        <w:r w:rsidR="00D45ED1">
          <w:rPr>
            <w:noProof/>
            <w:webHidden/>
          </w:rPr>
          <w:tab/>
        </w:r>
        <w:r w:rsidR="00D45ED1">
          <w:rPr>
            <w:noProof/>
            <w:webHidden/>
          </w:rPr>
          <w:fldChar w:fldCharType="begin"/>
        </w:r>
        <w:r w:rsidR="00D45ED1">
          <w:rPr>
            <w:noProof/>
            <w:webHidden/>
          </w:rPr>
          <w:instrText xml:space="preserve"> PAGEREF _Toc61894664 \h </w:instrText>
        </w:r>
        <w:r w:rsidR="00D45ED1">
          <w:rPr>
            <w:noProof/>
            <w:webHidden/>
          </w:rPr>
        </w:r>
        <w:r w:rsidR="00D45ED1">
          <w:rPr>
            <w:noProof/>
            <w:webHidden/>
          </w:rPr>
          <w:fldChar w:fldCharType="separate"/>
        </w:r>
        <w:r w:rsidR="00513D91">
          <w:rPr>
            <w:noProof/>
            <w:webHidden/>
          </w:rPr>
          <w:t>25</w:t>
        </w:r>
        <w:r w:rsidR="00D45ED1">
          <w:rPr>
            <w:noProof/>
            <w:webHidden/>
          </w:rPr>
          <w:fldChar w:fldCharType="end"/>
        </w:r>
      </w:hyperlink>
    </w:p>
    <w:p w14:paraId="45B80233" w14:textId="234A00B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5" w:history="1">
        <w:r w:rsidR="00D45ED1" w:rsidRPr="00F746A2">
          <w:rPr>
            <w:rStyle w:val="Hyperlink"/>
            <w:bCs/>
            <w:noProof/>
            <w:lang w:eastAsia="zh-CN" w:bidi="hi-IN"/>
            <w14:scene3d>
              <w14:camera w14:prst="orthographicFront"/>
              <w14:lightRig w14:rig="threePt" w14:dir="t">
                <w14:rot w14:lat="0" w14:lon="0" w14:rev="0"/>
              </w14:lightRig>
            </w14:scene3d>
          </w:rPr>
          <w:t>2.9.2</w:t>
        </w:r>
        <w:r w:rsidR="00D45ED1" w:rsidRPr="00F746A2">
          <w:rPr>
            <w:rStyle w:val="Hyperlink"/>
            <w:noProof/>
            <w:lang w:eastAsia="zh-CN" w:bidi="hi-IN"/>
          </w:rPr>
          <w:t xml:space="preserve"> Past and Present Challenges to CRM</w:t>
        </w:r>
        <w:r w:rsidR="00D45ED1">
          <w:rPr>
            <w:noProof/>
            <w:webHidden/>
          </w:rPr>
          <w:tab/>
        </w:r>
        <w:r w:rsidR="00D45ED1">
          <w:rPr>
            <w:noProof/>
            <w:webHidden/>
          </w:rPr>
          <w:fldChar w:fldCharType="begin"/>
        </w:r>
        <w:r w:rsidR="00D45ED1">
          <w:rPr>
            <w:noProof/>
            <w:webHidden/>
          </w:rPr>
          <w:instrText xml:space="preserve"> PAGEREF _Toc61894665 \h </w:instrText>
        </w:r>
        <w:r w:rsidR="00D45ED1">
          <w:rPr>
            <w:noProof/>
            <w:webHidden/>
          </w:rPr>
        </w:r>
        <w:r w:rsidR="00D45ED1">
          <w:rPr>
            <w:noProof/>
            <w:webHidden/>
          </w:rPr>
          <w:fldChar w:fldCharType="separate"/>
        </w:r>
        <w:r w:rsidR="00513D91">
          <w:rPr>
            <w:noProof/>
            <w:webHidden/>
          </w:rPr>
          <w:t>29</w:t>
        </w:r>
        <w:r w:rsidR="00D45ED1">
          <w:rPr>
            <w:noProof/>
            <w:webHidden/>
          </w:rPr>
          <w:fldChar w:fldCharType="end"/>
        </w:r>
      </w:hyperlink>
    </w:p>
    <w:p w14:paraId="3F39422F" w14:textId="5518DFF0"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6" w:history="1">
        <w:r w:rsidR="00D45ED1" w:rsidRPr="00F746A2">
          <w:rPr>
            <w:rStyle w:val="Hyperlink"/>
            <w:bCs/>
            <w:noProof/>
            <w:lang w:eastAsia="zh-CN" w:bidi="hi-IN"/>
            <w14:scene3d>
              <w14:camera w14:prst="orthographicFront"/>
              <w14:lightRig w14:rig="threePt" w14:dir="t">
                <w14:rot w14:lat="0" w14:lon="0" w14:rev="0"/>
              </w14:lightRig>
            </w14:scene3d>
          </w:rPr>
          <w:t>2.9.3</w:t>
        </w:r>
        <w:r w:rsidR="00D45ED1" w:rsidRPr="00F746A2">
          <w:rPr>
            <w:rStyle w:val="Hyperlink"/>
            <w:noProof/>
            <w:lang w:eastAsia="zh-CN" w:bidi="hi-IN"/>
          </w:rPr>
          <w:t xml:space="preserve"> Risk Detection and Evaluation in CRM</w:t>
        </w:r>
        <w:r w:rsidR="00D45ED1">
          <w:rPr>
            <w:noProof/>
            <w:webHidden/>
          </w:rPr>
          <w:tab/>
        </w:r>
        <w:r w:rsidR="00D45ED1">
          <w:rPr>
            <w:noProof/>
            <w:webHidden/>
          </w:rPr>
          <w:fldChar w:fldCharType="begin"/>
        </w:r>
        <w:r w:rsidR="00D45ED1">
          <w:rPr>
            <w:noProof/>
            <w:webHidden/>
          </w:rPr>
          <w:instrText xml:space="preserve"> PAGEREF _Toc61894666 \h </w:instrText>
        </w:r>
        <w:r w:rsidR="00D45ED1">
          <w:rPr>
            <w:noProof/>
            <w:webHidden/>
          </w:rPr>
        </w:r>
        <w:r w:rsidR="00D45ED1">
          <w:rPr>
            <w:noProof/>
            <w:webHidden/>
          </w:rPr>
          <w:fldChar w:fldCharType="separate"/>
        </w:r>
        <w:r w:rsidR="00513D91">
          <w:rPr>
            <w:noProof/>
            <w:webHidden/>
          </w:rPr>
          <w:t>30</w:t>
        </w:r>
        <w:r w:rsidR="00D45ED1">
          <w:rPr>
            <w:noProof/>
            <w:webHidden/>
          </w:rPr>
          <w:fldChar w:fldCharType="end"/>
        </w:r>
      </w:hyperlink>
    </w:p>
    <w:p w14:paraId="12ACCEE2" w14:textId="448034C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7" w:history="1">
        <w:r w:rsidR="00D45ED1" w:rsidRPr="00F746A2">
          <w:rPr>
            <w:rStyle w:val="Hyperlink"/>
            <w:bCs/>
            <w:noProof/>
            <w:lang w:eastAsia="zh-CN" w:bidi="hi-IN"/>
            <w14:scene3d>
              <w14:camera w14:prst="orthographicFront"/>
              <w14:lightRig w14:rig="threePt" w14:dir="t">
                <w14:rot w14:lat="0" w14:lon="0" w14:rev="0"/>
              </w14:lightRig>
            </w14:scene3d>
          </w:rPr>
          <w:t>2.9.4</w:t>
        </w:r>
        <w:r w:rsidR="00D45ED1" w:rsidRPr="00F746A2">
          <w:rPr>
            <w:rStyle w:val="Hyperlink"/>
            <w:noProof/>
            <w:lang w:eastAsia="zh-CN" w:bidi="hi-IN"/>
          </w:rPr>
          <w:t xml:space="preserve"> Data Mining and other Legal Activities</w:t>
        </w:r>
        <w:r w:rsidR="00D45ED1">
          <w:rPr>
            <w:noProof/>
            <w:webHidden/>
          </w:rPr>
          <w:tab/>
        </w:r>
        <w:r w:rsidR="00D45ED1">
          <w:rPr>
            <w:noProof/>
            <w:webHidden/>
          </w:rPr>
          <w:fldChar w:fldCharType="begin"/>
        </w:r>
        <w:r w:rsidR="00D45ED1">
          <w:rPr>
            <w:noProof/>
            <w:webHidden/>
          </w:rPr>
          <w:instrText xml:space="preserve"> PAGEREF _Toc61894667 \h </w:instrText>
        </w:r>
        <w:r w:rsidR="00D45ED1">
          <w:rPr>
            <w:noProof/>
            <w:webHidden/>
          </w:rPr>
        </w:r>
        <w:r w:rsidR="00D45ED1">
          <w:rPr>
            <w:noProof/>
            <w:webHidden/>
          </w:rPr>
          <w:fldChar w:fldCharType="separate"/>
        </w:r>
        <w:r w:rsidR="00513D91">
          <w:rPr>
            <w:noProof/>
            <w:webHidden/>
          </w:rPr>
          <w:t>32</w:t>
        </w:r>
        <w:r w:rsidR="00D45ED1">
          <w:rPr>
            <w:noProof/>
            <w:webHidden/>
          </w:rPr>
          <w:fldChar w:fldCharType="end"/>
        </w:r>
      </w:hyperlink>
    </w:p>
    <w:p w14:paraId="0A89645C" w14:textId="7170A575"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8" w:history="1">
        <w:r w:rsidR="00D45ED1" w:rsidRPr="00F746A2">
          <w:rPr>
            <w:rStyle w:val="Hyperlink"/>
            <w:bCs/>
            <w:noProof/>
            <w:lang w:eastAsia="zh-CN" w:bidi="hi-IN"/>
            <w14:scene3d>
              <w14:camera w14:prst="orthographicFront"/>
              <w14:lightRig w14:rig="threePt" w14:dir="t">
                <w14:rot w14:lat="0" w14:lon="0" w14:rev="0"/>
              </w14:lightRig>
            </w14:scene3d>
          </w:rPr>
          <w:t>2.9.5</w:t>
        </w:r>
        <w:r w:rsidR="00D45ED1" w:rsidRPr="00F746A2">
          <w:rPr>
            <w:rStyle w:val="Hyperlink"/>
            <w:noProof/>
            <w:lang w:eastAsia="zh-CN" w:bidi="hi-IN"/>
          </w:rPr>
          <w:t xml:space="preserve"> CRM and Strategic Planning</w:t>
        </w:r>
        <w:r w:rsidR="00D45ED1">
          <w:rPr>
            <w:noProof/>
            <w:webHidden/>
          </w:rPr>
          <w:tab/>
        </w:r>
        <w:r w:rsidR="00D45ED1">
          <w:rPr>
            <w:noProof/>
            <w:webHidden/>
          </w:rPr>
          <w:fldChar w:fldCharType="begin"/>
        </w:r>
        <w:r w:rsidR="00D45ED1">
          <w:rPr>
            <w:noProof/>
            <w:webHidden/>
          </w:rPr>
          <w:instrText xml:space="preserve"> PAGEREF _Toc61894668 \h </w:instrText>
        </w:r>
        <w:r w:rsidR="00D45ED1">
          <w:rPr>
            <w:noProof/>
            <w:webHidden/>
          </w:rPr>
        </w:r>
        <w:r w:rsidR="00D45ED1">
          <w:rPr>
            <w:noProof/>
            <w:webHidden/>
          </w:rPr>
          <w:fldChar w:fldCharType="separate"/>
        </w:r>
        <w:r w:rsidR="00513D91">
          <w:rPr>
            <w:noProof/>
            <w:webHidden/>
          </w:rPr>
          <w:t>33</w:t>
        </w:r>
        <w:r w:rsidR="00D45ED1">
          <w:rPr>
            <w:noProof/>
            <w:webHidden/>
          </w:rPr>
          <w:fldChar w:fldCharType="end"/>
        </w:r>
      </w:hyperlink>
    </w:p>
    <w:p w14:paraId="53DBCFFF" w14:textId="7B36A33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69" w:history="1">
        <w:r w:rsidR="00D45ED1" w:rsidRPr="00F746A2">
          <w:rPr>
            <w:rStyle w:val="Hyperlink"/>
            <w:bCs/>
            <w:noProof/>
            <w:lang w:eastAsia="zh-CN" w:bidi="hi-IN"/>
            <w14:scene3d>
              <w14:camera w14:prst="orthographicFront"/>
              <w14:lightRig w14:rig="threePt" w14:dir="t">
                <w14:rot w14:lat="0" w14:lon="0" w14:rev="0"/>
              </w14:lightRig>
            </w14:scene3d>
          </w:rPr>
          <w:t>2.9.6</w:t>
        </w:r>
        <w:r w:rsidR="00D45ED1" w:rsidRPr="00F746A2">
          <w:rPr>
            <w:rStyle w:val="Hyperlink"/>
            <w:noProof/>
          </w:rPr>
          <w:t xml:space="preserve"> Using</w:t>
        </w:r>
        <w:r w:rsidR="00D45ED1" w:rsidRPr="00F746A2">
          <w:rPr>
            <w:rStyle w:val="Hyperlink"/>
            <w:noProof/>
            <w:lang w:eastAsia="zh-CN" w:bidi="hi-IN"/>
          </w:rPr>
          <w:t xml:space="preserve"> CRM to ‘Add Value’</w:t>
        </w:r>
        <w:r w:rsidR="00D45ED1">
          <w:rPr>
            <w:noProof/>
            <w:webHidden/>
          </w:rPr>
          <w:tab/>
        </w:r>
        <w:r w:rsidR="00D45ED1">
          <w:rPr>
            <w:noProof/>
            <w:webHidden/>
          </w:rPr>
          <w:fldChar w:fldCharType="begin"/>
        </w:r>
        <w:r w:rsidR="00D45ED1">
          <w:rPr>
            <w:noProof/>
            <w:webHidden/>
          </w:rPr>
          <w:instrText xml:space="preserve"> PAGEREF _Toc61894669 \h </w:instrText>
        </w:r>
        <w:r w:rsidR="00D45ED1">
          <w:rPr>
            <w:noProof/>
            <w:webHidden/>
          </w:rPr>
        </w:r>
        <w:r w:rsidR="00D45ED1">
          <w:rPr>
            <w:noProof/>
            <w:webHidden/>
          </w:rPr>
          <w:fldChar w:fldCharType="separate"/>
        </w:r>
        <w:r w:rsidR="00513D91">
          <w:rPr>
            <w:noProof/>
            <w:webHidden/>
          </w:rPr>
          <w:t>34</w:t>
        </w:r>
        <w:r w:rsidR="00D45ED1">
          <w:rPr>
            <w:noProof/>
            <w:webHidden/>
          </w:rPr>
          <w:fldChar w:fldCharType="end"/>
        </w:r>
      </w:hyperlink>
    </w:p>
    <w:p w14:paraId="32C75AC8" w14:textId="26BC7D0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70" w:history="1">
        <w:r w:rsidR="00D45ED1" w:rsidRPr="00F746A2">
          <w:rPr>
            <w:rStyle w:val="Hyperlink"/>
            <w:bCs/>
            <w:noProof/>
            <w:lang w:eastAsia="zh-CN" w:bidi="hi-IN"/>
            <w14:scene3d>
              <w14:camera w14:prst="orthographicFront"/>
              <w14:lightRig w14:rig="threePt" w14:dir="t">
                <w14:rot w14:lat="0" w14:lon="0" w14:rev="0"/>
              </w14:lightRig>
            </w14:scene3d>
          </w:rPr>
          <w:t>2.9.7</w:t>
        </w:r>
        <w:r w:rsidR="00D45ED1" w:rsidRPr="00F746A2">
          <w:rPr>
            <w:rStyle w:val="Hyperlink"/>
            <w:noProof/>
            <w:lang w:eastAsia="zh-CN" w:bidi="hi-IN"/>
          </w:rPr>
          <w:t xml:space="preserve"> The Need for a </w:t>
        </w:r>
        <w:r w:rsidR="00D45ED1" w:rsidRPr="00F746A2">
          <w:rPr>
            <w:rStyle w:val="Hyperlink"/>
            <w:noProof/>
          </w:rPr>
          <w:t>Culture</w:t>
        </w:r>
        <w:r w:rsidR="00D45ED1" w:rsidRPr="00F746A2">
          <w:rPr>
            <w:rStyle w:val="Hyperlink"/>
            <w:noProof/>
            <w:lang w:eastAsia="zh-CN" w:bidi="hi-IN"/>
          </w:rPr>
          <w:t xml:space="preserve"> of CRM</w:t>
        </w:r>
        <w:r w:rsidR="00D45ED1">
          <w:rPr>
            <w:noProof/>
            <w:webHidden/>
          </w:rPr>
          <w:tab/>
        </w:r>
        <w:r w:rsidR="00D45ED1">
          <w:rPr>
            <w:noProof/>
            <w:webHidden/>
          </w:rPr>
          <w:fldChar w:fldCharType="begin"/>
        </w:r>
        <w:r w:rsidR="00D45ED1">
          <w:rPr>
            <w:noProof/>
            <w:webHidden/>
          </w:rPr>
          <w:instrText xml:space="preserve"> PAGEREF _Toc61894670 \h </w:instrText>
        </w:r>
        <w:r w:rsidR="00D45ED1">
          <w:rPr>
            <w:noProof/>
            <w:webHidden/>
          </w:rPr>
        </w:r>
        <w:r w:rsidR="00D45ED1">
          <w:rPr>
            <w:noProof/>
            <w:webHidden/>
          </w:rPr>
          <w:fldChar w:fldCharType="separate"/>
        </w:r>
        <w:r w:rsidR="00513D91">
          <w:rPr>
            <w:noProof/>
            <w:webHidden/>
          </w:rPr>
          <w:t>35</w:t>
        </w:r>
        <w:r w:rsidR="00D45ED1">
          <w:rPr>
            <w:noProof/>
            <w:webHidden/>
          </w:rPr>
          <w:fldChar w:fldCharType="end"/>
        </w:r>
      </w:hyperlink>
    </w:p>
    <w:p w14:paraId="24F268C6" w14:textId="2AC2EEB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71" w:history="1">
        <w:r w:rsidR="00D45ED1" w:rsidRPr="00F746A2">
          <w:rPr>
            <w:rStyle w:val="Hyperlink"/>
            <w:bCs/>
            <w:noProof/>
            <w:lang w:eastAsia="zh-CN" w:bidi="hi-IN"/>
            <w14:scene3d>
              <w14:camera w14:prst="orthographicFront"/>
              <w14:lightRig w14:rig="threePt" w14:dir="t">
                <w14:rot w14:lat="0" w14:lon="0" w14:rev="0"/>
              </w14:lightRig>
            </w14:scene3d>
          </w:rPr>
          <w:t>2.9.8</w:t>
        </w:r>
        <w:r w:rsidR="00D45ED1" w:rsidRPr="00F746A2">
          <w:rPr>
            <w:rStyle w:val="Hyperlink"/>
            <w:noProof/>
            <w:lang w:eastAsia="zh-CN" w:bidi="hi-IN"/>
          </w:rPr>
          <w:t xml:space="preserve"> CRM Frameworks and Board Level Involvement</w:t>
        </w:r>
        <w:r w:rsidR="00D45ED1">
          <w:rPr>
            <w:noProof/>
            <w:webHidden/>
          </w:rPr>
          <w:tab/>
        </w:r>
        <w:r w:rsidR="00D45ED1">
          <w:rPr>
            <w:noProof/>
            <w:webHidden/>
          </w:rPr>
          <w:fldChar w:fldCharType="begin"/>
        </w:r>
        <w:r w:rsidR="00D45ED1">
          <w:rPr>
            <w:noProof/>
            <w:webHidden/>
          </w:rPr>
          <w:instrText xml:space="preserve"> PAGEREF _Toc61894671 \h </w:instrText>
        </w:r>
        <w:r w:rsidR="00D45ED1">
          <w:rPr>
            <w:noProof/>
            <w:webHidden/>
          </w:rPr>
        </w:r>
        <w:r w:rsidR="00D45ED1">
          <w:rPr>
            <w:noProof/>
            <w:webHidden/>
          </w:rPr>
          <w:fldChar w:fldCharType="separate"/>
        </w:r>
        <w:r w:rsidR="00513D91">
          <w:rPr>
            <w:noProof/>
            <w:webHidden/>
          </w:rPr>
          <w:t>38</w:t>
        </w:r>
        <w:r w:rsidR="00D45ED1">
          <w:rPr>
            <w:noProof/>
            <w:webHidden/>
          </w:rPr>
          <w:fldChar w:fldCharType="end"/>
        </w:r>
      </w:hyperlink>
    </w:p>
    <w:p w14:paraId="02AA3DAA" w14:textId="0EF91160"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72" w:history="1">
        <w:r w:rsidR="00D45ED1" w:rsidRPr="00F746A2">
          <w:rPr>
            <w:rStyle w:val="Hyperlink"/>
            <w:bCs/>
            <w:noProof/>
            <w:lang w:eastAsia="zh-CN" w:bidi="hi-IN"/>
            <w14:scene3d>
              <w14:camera w14:prst="orthographicFront"/>
              <w14:lightRig w14:rig="threePt" w14:dir="t">
                <w14:rot w14:lat="0" w14:lon="0" w14:rev="0"/>
              </w14:lightRig>
            </w14:scene3d>
          </w:rPr>
          <w:t>2.9.9</w:t>
        </w:r>
        <w:r w:rsidR="00D45ED1" w:rsidRPr="00F746A2">
          <w:rPr>
            <w:rStyle w:val="Hyperlink"/>
            <w:noProof/>
            <w:lang w:eastAsia="zh-CN" w:bidi="hi-IN"/>
          </w:rPr>
          <w:t xml:space="preserve"> The Cultural Aspects of CRM Implementation</w:t>
        </w:r>
        <w:r w:rsidR="00D45ED1">
          <w:rPr>
            <w:noProof/>
            <w:webHidden/>
          </w:rPr>
          <w:tab/>
        </w:r>
        <w:r w:rsidR="00D45ED1">
          <w:rPr>
            <w:noProof/>
            <w:webHidden/>
          </w:rPr>
          <w:fldChar w:fldCharType="begin"/>
        </w:r>
        <w:r w:rsidR="00D45ED1">
          <w:rPr>
            <w:noProof/>
            <w:webHidden/>
          </w:rPr>
          <w:instrText xml:space="preserve"> PAGEREF _Toc61894672 \h </w:instrText>
        </w:r>
        <w:r w:rsidR="00D45ED1">
          <w:rPr>
            <w:noProof/>
            <w:webHidden/>
          </w:rPr>
        </w:r>
        <w:r w:rsidR="00D45ED1">
          <w:rPr>
            <w:noProof/>
            <w:webHidden/>
          </w:rPr>
          <w:fldChar w:fldCharType="separate"/>
        </w:r>
        <w:r w:rsidR="00513D91">
          <w:rPr>
            <w:noProof/>
            <w:webHidden/>
          </w:rPr>
          <w:t>39</w:t>
        </w:r>
        <w:r w:rsidR="00D45ED1">
          <w:rPr>
            <w:noProof/>
            <w:webHidden/>
          </w:rPr>
          <w:fldChar w:fldCharType="end"/>
        </w:r>
      </w:hyperlink>
    </w:p>
    <w:p w14:paraId="580C4C0B" w14:textId="798671F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73" w:history="1">
        <w:r w:rsidR="00D45ED1" w:rsidRPr="00F746A2">
          <w:rPr>
            <w:rStyle w:val="Hyperlink"/>
            <w:bCs/>
            <w:noProof/>
            <w:lang w:eastAsia="zh-CN" w:bidi="hi-IN"/>
            <w14:scene3d>
              <w14:camera w14:prst="orthographicFront"/>
              <w14:lightRig w14:rig="threePt" w14:dir="t">
                <w14:rot w14:lat="0" w14:lon="0" w14:rev="0"/>
              </w14:lightRig>
            </w14:scene3d>
          </w:rPr>
          <w:t>2.9.10</w:t>
        </w:r>
        <w:r w:rsidR="00D45ED1" w:rsidRPr="00F746A2">
          <w:rPr>
            <w:rStyle w:val="Hyperlink"/>
            <w:noProof/>
            <w:lang w:eastAsia="zh-CN" w:bidi="hi-IN"/>
          </w:rPr>
          <w:t xml:space="preserve"> The </w:t>
        </w:r>
        <w:r w:rsidR="00D45ED1" w:rsidRPr="00F746A2">
          <w:rPr>
            <w:rStyle w:val="Hyperlink"/>
            <w:noProof/>
          </w:rPr>
          <w:t>Dubai</w:t>
        </w:r>
        <w:r w:rsidR="00D45ED1" w:rsidRPr="00F746A2">
          <w:rPr>
            <w:rStyle w:val="Hyperlink"/>
            <w:noProof/>
            <w:lang w:eastAsia="zh-CN" w:bidi="hi-IN"/>
          </w:rPr>
          <w:t xml:space="preserve"> Vision of Cyber Safety</w:t>
        </w:r>
        <w:r w:rsidR="00D45ED1">
          <w:rPr>
            <w:noProof/>
            <w:webHidden/>
          </w:rPr>
          <w:tab/>
        </w:r>
        <w:r w:rsidR="00D45ED1">
          <w:rPr>
            <w:noProof/>
            <w:webHidden/>
          </w:rPr>
          <w:fldChar w:fldCharType="begin"/>
        </w:r>
        <w:r w:rsidR="00D45ED1">
          <w:rPr>
            <w:noProof/>
            <w:webHidden/>
          </w:rPr>
          <w:instrText xml:space="preserve"> PAGEREF _Toc61894673 \h </w:instrText>
        </w:r>
        <w:r w:rsidR="00D45ED1">
          <w:rPr>
            <w:noProof/>
            <w:webHidden/>
          </w:rPr>
        </w:r>
        <w:r w:rsidR="00D45ED1">
          <w:rPr>
            <w:noProof/>
            <w:webHidden/>
          </w:rPr>
          <w:fldChar w:fldCharType="separate"/>
        </w:r>
        <w:r w:rsidR="00513D91">
          <w:rPr>
            <w:noProof/>
            <w:webHidden/>
          </w:rPr>
          <w:t>39</w:t>
        </w:r>
        <w:r w:rsidR="00D45ED1">
          <w:rPr>
            <w:noProof/>
            <w:webHidden/>
          </w:rPr>
          <w:fldChar w:fldCharType="end"/>
        </w:r>
      </w:hyperlink>
    </w:p>
    <w:p w14:paraId="6ACE1F0F" w14:textId="141B5570"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74" w:history="1">
        <w:r w:rsidR="00D45ED1" w:rsidRPr="00F746A2">
          <w:rPr>
            <w:rStyle w:val="Hyperlink"/>
            <w:noProof/>
            <w:lang w:eastAsia="zh-CN" w:bidi="hi-IN"/>
          </w:rPr>
          <w:t>2.10 ERM Issues in the Financial Sector</w:t>
        </w:r>
        <w:r w:rsidR="00D45ED1">
          <w:rPr>
            <w:noProof/>
            <w:webHidden/>
          </w:rPr>
          <w:tab/>
        </w:r>
        <w:r w:rsidR="00D45ED1">
          <w:rPr>
            <w:noProof/>
            <w:webHidden/>
          </w:rPr>
          <w:fldChar w:fldCharType="begin"/>
        </w:r>
        <w:r w:rsidR="00D45ED1">
          <w:rPr>
            <w:noProof/>
            <w:webHidden/>
          </w:rPr>
          <w:instrText xml:space="preserve"> PAGEREF _Toc61894674 \h </w:instrText>
        </w:r>
        <w:r w:rsidR="00D45ED1">
          <w:rPr>
            <w:noProof/>
            <w:webHidden/>
          </w:rPr>
        </w:r>
        <w:r w:rsidR="00D45ED1">
          <w:rPr>
            <w:noProof/>
            <w:webHidden/>
          </w:rPr>
          <w:fldChar w:fldCharType="separate"/>
        </w:r>
        <w:r w:rsidR="00513D91">
          <w:rPr>
            <w:noProof/>
            <w:webHidden/>
          </w:rPr>
          <w:t>40</w:t>
        </w:r>
        <w:r w:rsidR="00D45ED1">
          <w:rPr>
            <w:noProof/>
            <w:webHidden/>
          </w:rPr>
          <w:fldChar w:fldCharType="end"/>
        </w:r>
      </w:hyperlink>
    </w:p>
    <w:p w14:paraId="008A63DC" w14:textId="254B2226"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75" w:history="1">
        <w:r w:rsidR="00D45ED1" w:rsidRPr="00F746A2">
          <w:rPr>
            <w:rStyle w:val="Hyperlink"/>
            <w:noProof/>
            <w:lang w:eastAsia="zh-CN" w:bidi="hi-IN"/>
          </w:rPr>
          <w:t>2.11 Gap in CRM – Why a New Framework is Required</w:t>
        </w:r>
        <w:r w:rsidR="00D45ED1">
          <w:rPr>
            <w:noProof/>
            <w:webHidden/>
          </w:rPr>
          <w:tab/>
        </w:r>
        <w:r w:rsidR="00D45ED1">
          <w:rPr>
            <w:noProof/>
            <w:webHidden/>
          </w:rPr>
          <w:fldChar w:fldCharType="begin"/>
        </w:r>
        <w:r w:rsidR="00D45ED1">
          <w:rPr>
            <w:noProof/>
            <w:webHidden/>
          </w:rPr>
          <w:instrText xml:space="preserve"> PAGEREF _Toc61894675 \h </w:instrText>
        </w:r>
        <w:r w:rsidR="00D45ED1">
          <w:rPr>
            <w:noProof/>
            <w:webHidden/>
          </w:rPr>
        </w:r>
        <w:r w:rsidR="00D45ED1">
          <w:rPr>
            <w:noProof/>
            <w:webHidden/>
          </w:rPr>
          <w:fldChar w:fldCharType="separate"/>
        </w:r>
        <w:r w:rsidR="00513D91">
          <w:rPr>
            <w:noProof/>
            <w:webHidden/>
          </w:rPr>
          <w:t>43</w:t>
        </w:r>
        <w:r w:rsidR="00D45ED1">
          <w:rPr>
            <w:noProof/>
            <w:webHidden/>
          </w:rPr>
          <w:fldChar w:fldCharType="end"/>
        </w:r>
      </w:hyperlink>
    </w:p>
    <w:p w14:paraId="5825A77E" w14:textId="1F8691C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76" w:history="1">
        <w:r w:rsidR="00D45ED1" w:rsidRPr="00F746A2">
          <w:rPr>
            <w:rStyle w:val="Hyperlink"/>
            <w:noProof/>
            <w:lang w:eastAsia="zh-CN" w:bidi="hi-IN"/>
          </w:rPr>
          <w:t>2.12 Summary</w:t>
        </w:r>
        <w:r w:rsidR="00D45ED1">
          <w:rPr>
            <w:noProof/>
            <w:webHidden/>
          </w:rPr>
          <w:tab/>
        </w:r>
        <w:r w:rsidR="00D45ED1">
          <w:rPr>
            <w:noProof/>
            <w:webHidden/>
          </w:rPr>
          <w:fldChar w:fldCharType="begin"/>
        </w:r>
        <w:r w:rsidR="00D45ED1">
          <w:rPr>
            <w:noProof/>
            <w:webHidden/>
          </w:rPr>
          <w:instrText xml:space="preserve"> PAGEREF _Toc61894676 \h </w:instrText>
        </w:r>
        <w:r w:rsidR="00D45ED1">
          <w:rPr>
            <w:noProof/>
            <w:webHidden/>
          </w:rPr>
        </w:r>
        <w:r w:rsidR="00D45ED1">
          <w:rPr>
            <w:noProof/>
            <w:webHidden/>
          </w:rPr>
          <w:fldChar w:fldCharType="separate"/>
        </w:r>
        <w:r w:rsidR="00513D91">
          <w:rPr>
            <w:noProof/>
            <w:webHidden/>
          </w:rPr>
          <w:t>46</w:t>
        </w:r>
        <w:r w:rsidR="00D45ED1">
          <w:rPr>
            <w:noProof/>
            <w:webHidden/>
          </w:rPr>
          <w:fldChar w:fldCharType="end"/>
        </w:r>
      </w:hyperlink>
    </w:p>
    <w:p w14:paraId="37976BEF" w14:textId="40399045" w:rsidR="00D45ED1" w:rsidRDefault="00724BEE">
      <w:pPr>
        <w:pStyle w:val="TOC1"/>
        <w:rPr>
          <w:rFonts w:asciiTheme="minorHAnsi" w:eastAsiaTheme="minorEastAsia" w:hAnsiTheme="minorHAnsi" w:cstheme="minorBidi"/>
          <w:noProof/>
          <w:sz w:val="22"/>
          <w:lang w:val="en-US"/>
        </w:rPr>
      </w:pPr>
      <w:hyperlink w:anchor="_Toc61894677" w:history="1">
        <w:r w:rsidR="00D45ED1" w:rsidRPr="00F746A2">
          <w:rPr>
            <w:rStyle w:val="Hyperlink"/>
            <w:bCs/>
            <w:noProof/>
            <w:lang w:eastAsia="zh-CN" w:bidi="hi-IN"/>
          </w:rPr>
          <w:t>Chapter 3</w:t>
        </w:r>
        <w:r w:rsidR="00D45ED1" w:rsidRPr="00F746A2">
          <w:rPr>
            <w:rStyle w:val="Hyperlink"/>
            <w:noProof/>
            <w:lang w:eastAsia="zh-CN" w:bidi="hi-IN"/>
          </w:rPr>
          <w:t xml:space="preserve"> Conceptual Framework</w:t>
        </w:r>
        <w:r w:rsidR="00D45ED1">
          <w:rPr>
            <w:noProof/>
            <w:webHidden/>
          </w:rPr>
          <w:tab/>
        </w:r>
        <w:r w:rsidR="00D45ED1">
          <w:rPr>
            <w:noProof/>
            <w:webHidden/>
          </w:rPr>
          <w:fldChar w:fldCharType="begin"/>
        </w:r>
        <w:r w:rsidR="00D45ED1">
          <w:rPr>
            <w:noProof/>
            <w:webHidden/>
          </w:rPr>
          <w:instrText xml:space="preserve"> PAGEREF _Toc61894677 \h </w:instrText>
        </w:r>
        <w:r w:rsidR="00D45ED1">
          <w:rPr>
            <w:noProof/>
            <w:webHidden/>
          </w:rPr>
        </w:r>
        <w:r w:rsidR="00D45ED1">
          <w:rPr>
            <w:noProof/>
            <w:webHidden/>
          </w:rPr>
          <w:fldChar w:fldCharType="separate"/>
        </w:r>
        <w:r w:rsidR="00513D91">
          <w:rPr>
            <w:noProof/>
            <w:webHidden/>
          </w:rPr>
          <w:t>49</w:t>
        </w:r>
        <w:r w:rsidR="00D45ED1">
          <w:rPr>
            <w:noProof/>
            <w:webHidden/>
          </w:rPr>
          <w:fldChar w:fldCharType="end"/>
        </w:r>
      </w:hyperlink>
    </w:p>
    <w:p w14:paraId="471488FD" w14:textId="34A3BACF"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78" w:history="1">
        <w:r w:rsidR="00D45ED1" w:rsidRPr="00F746A2">
          <w:rPr>
            <w:rStyle w:val="Hyperlink"/>
            <w:noProof/>
            <w:lang w:eastAsia="zh-CN" w:bidi="hi-IN"/>
          </w:rPr>
          <w:t>3.1 Introduction</w:t>
        </w:r>
        <w:r w:rsidR="00D45ED1">
          <w:rPr>
            <w:noProof/>
            <w:webHidden/>
          </w:rPr>
          <w:tab/>
        </w:r>
        <w:r w:rsidR="00D45ED1">
          <w:rPr>
            <w:noProof/>
            <w:webHidden/>
          </w:rPr>
          <w:fldChar w:fldCharType="begin"/>
        </w:r>
        <w:r w:rsidR="00D45ED1">
          <w:rPr>
            <w:noProof/>
            <w:webHidden/>
          </w:rPr>
          <w:instrText xml:space="preserve"> PAGEREF _Toc61894678 \h </w:instrText>
        </w:r>
        <w:r w:rsidR="00D45ED1">
          <w:rPr>
            <w:noProof/>
            <w:webHidden/>
          </w:rPr>
        </w:r>
        <w:r w:rsidR="00D45ED1">
          <w:rPr>
            <w:noProof/>
            <w:webHidden/>
          </w:rPr>
          <w:fldChar w:fldCharType="separate"/>
        </w:r>
        <w:r w:rsidR="00513D91">
          <w:rPr>
            <w:noProof/>
            <w:webHidden/>
          </w:rPr>
          <w:t>49</w:t>
        </w:r>
        <w:r w:rsidR="00D45ED1">
          <w:rPr>
            <w:noProof/>
            <w:webHidden/>
          </w:rPr>
          <w:fldChar w:fldCharType="end"/>
        </w:r>
      </w:hyperlink>
    </w:p>
    <w:p w14:paraId="79D83197" w14:textId="6DBD790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679" w:history="1">
        <w:r w:rsidR="00D45ED1" w:rsidRPr="00F746A2">
          <w:rPr>
            <w:rStyle w:val="Hyperlink"/>
            <w:noProof/>
            <w:lang w:eastAsia="zh-CN" w:bidi="hi-IN"/>
          </w:rPr>
          <w:t>3.2 Theoretical Development</w:t>
        </w:r>
        <w:r w:rsidR="00D45ED1">
          <w:rPr>
            <w:noProof/>
            <w:webHidden/>
          </w:rPr>
          <w:tab/>
        </w:r>
        <w:r w:rsidR="00D45ED1">
          <w:rPr>
            <w:noProof/>
            <w:webHidden/>
          </w:rPr>
          <w:fldChar w:fldCharType="begin"/>
        </w:r>
        <w:r w:rsidR="00D45ED1">
          <w:rPr>
            <w:noProof/>
            <w:webHidden/>
          </w:rPr>
          <w:instrText xml:space="preserve"> PAGEREF _Toc61894679 \h </w:instrText>
        </w:r>
        <w:r w:rsidR="00D45ED1">
          <w:rPr>
            <w:noProof/>
            <w:webHidden/>
          </w:rPr>
        </w:r>
        <w:r w:rsidR="00D45ED1">
          <w:rPr>
            <w:noProof/>
            <w:webHidden/>
          </w:rPr>
          <w:fldChar w:fldCharType="separate"/>
        </w:r>
        <w:r w:rsidR="00513D91">
          <w:rPr>
            <w:noProof/>
            <w:webHidden/>
          </w:rPr>
          <w:t>49</w:t>
        </w:r>
        <w:r w:rsidR="00D45ED1">
          <w:rPr>
            <w:noProof/>
            <w:webHidden/>
          </w:rPr>
          <w:fldChar w:fldCharType="end"/>
        </w:r>
      </w:hyperlink>
    </w:p>
    <w:p w14:paraId="75F36C55" w14:textId="55DE101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80" w:history="1">
        <w:r w:rsidR="00D45ED1" w:rsidRPr="00F746A2">
          <w:rPr>
            <w:rStyle w:val="Hyperlink"/>
            <w:rFonts w:eastAsia="Arial Unicode MS"/>
            <w:bCs/>
            <w:noProof/>
            <w14:scene3d>
              <w14:camera w14:prst="orthographicFront"/>
              <w14:lightRig w14:rig="threePt" w14:dir="t">
                <w14:rot w14:lat="0" w14:lon="0" w14:rev="0"/>
              </w14:lightRig>
            </w14:scene3d>
          </w:rPr>
          <w:t>3.2.1</w:t>
        </w:r>
        <w:r w:rsidR="00D45ED1" w:rsidRPr="00F746A2">
          <w:rPr>
            <w:rStyle w:val="Hyperlink"/>
            <w:rFonts w:eastAsia="Arial Unicode MS"/>
            <w:noProof/>
          </w:rPr>
          <w:t xml:space="preserve"> Theoretical Perspective</w:t>
        </w:r>
        <w:r w:rsidR="00D45ED1">
          <w:rPr>
            <w:noProof/>
            <w:webHidden/>
          </w:rPr>
          <w:tab/>
        </w:r>
        <w:r w:rsidR="00D45ED1">
          <w:rPr>
            <w:noProof/>
            <w:webHidden/>
          </w:rPr>
          <w:fldChar w:fldCharType="begin"/>
        </w:r>
        <w:r w:rsidR="00D45ED1">
          <w:rPr>
            <w:noProof/>
            <w:webHidden/>
          </w:rPr>
          <w:instrText xml:space="preserve"> PAGEREF _Toc61894680 \h </w:instrText>
        </w:r>
        <w:r w:rsidR="00D45ED1">
          <w:rPr>
            <w:noProof/>
            <w:webHidden/>
          </w:rPr>
        </w:r>
        <w:r w:rsidR="00D45ED1">
          <w:rPr>
            <w:noProof/>
            <w:webHidden/>
          </w:rPr>
          <w:fldChar w:fldCharType="separate"/>
        </w:r>
        <w:r w:rsidR="00513D91">
          <w:rPr>
            <w:noProof/>
            <w:webHidden/>
          </w:rPr>
          <w:t>50</w:t>
        </w:r>
        <w:r w:rsidR="00D45ED1">
          <w:rPr>
            <w:noProof/>
            <w:webHidden/>
          </w:rPr>
          <w:fldChar w:fldCharType="end"/>
        </w:r>
      </w:hyperlink>
    </w:p>
    <w:p w14:paraId="168FEA19" w14:textId="4FE9BC63"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81" w:history="1">
        <w:r w:rsidR="00D45ED1" w:rsidRPr="00F746A2">
          <w:rPr>
            <w:rStyle w:val="Hyperlink"/>
            <w:bCs/>
            <w:noProof/>
          </w:rPr>
          <w:t>3.2.1.1</w:t>
        </w:r>
        <w:r w:rsidR="00D45ED1" w:rsidRPr="00F746A2">
          <w:rPr>
            <w:rStyle w:val="Hyperlink"/>
            <w:noProof/>
          </w:rPr>
          <w:t xml:space="preserve"> Cyber-Risk Management (CRM)</w:t>
        </w:r>
        <w:r w:rsidR="00D45ED1">
          <w:rPr>
            <w:noProof/>
            <w:webHidden/>
          </w:rPr>
          <w:tab/>
        </w:r>
        <w:r w:rsidR="00D45ED1">
          <w:rPr>
            <w:noProof/>
            <w:webHidden/>
          </w:rPr>
          <w:fldChar w:fldCharType="begin"/>
        </w:r>
        <w:r w:rsidR="00D45ED1">
          <w:rPr>
            <w:noProof/>
            <w:webHidden/>
          </w:rPr>
          <w:instrText xml:space="preserve"> PAGEREF _Toc61894681 \h </w:instrText>
        </w:r>
        <w:r w:rsidR="00D45ED1">
          <w:rPr>
            <w:noProof/>
            <w:webHidden/>
          </w:rPr>
        </w:r>
        <w:r w:rsidR="00D45ED1">
          <w:rPr>
            <w:noProof/>
            <w:webHidden/>
          </w:rPr>
          <w:fldChar w:fldCharType="separate"/>
        </w:r>
        <w:r w:rsidR="00513D91">
          <w:rPr>
            <w:noProof/>
            <w:webHidden/>
          </w:rPr>
          <w:t>50</w:t>
        </w:r>
        <w:r w:rsidR="00D45ED1">
          <w:rPr>
            <w:noProof/>
            <w:webHidden/>
          </w:rPr>
          <w:fldChar w:fldCharType="end"/>
        </w:r>
      </w:hyperlink>
    </w:p>
    <w:p w14:paraId="2A14863E" w14:textId="71A35D5C"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82" w:history="1">
        <w:r w:rsidR="00D45ED1" w:rsidRPr="00F746A2">
          <w:rPr>
            <w:rStyle w:val="Hyperlink"/>
            <w:bCs/>
            <w:noProof/>
          </w:rPr>
          <w:t>3.2.1.2</w:t>
        </w:r>
        <w:r w:rsidR="00D45ED1" w:rsidRPr="00F746A2">
          <w:rPr>
            <w:rStyle w:val="Hyperlink"/>
            <w:noProof/>
          </w:rPr>
          <w:t xml:space="preserve"> Vulnerabilities and Weaknesses</w:t>
        </w:r>
        <w:r w:rsidR="00D45ED1">
          <w:rPr>
            <w:noProof/>
            <w:webHidden/>
          </w:rPr>
          <w:tab/>
        </w:r>
        <w:r w:rsidR="00D45ED1">
          <w:rPr>
            <w:noProof/>
            <w:webHidden/>
          </w:rPr>
          <w:fldChar w:fldCharType="begin"/>
        </w:r>
        <w:r w:rsidR="00D45ED1">
          <w:rPr>
            <w:noProof/>
            <w:webHidden/>
          </w:rPr>
          <w:instrText xml:space="preserve"> PAGEREF _Toc61894682 \h </w:instrText>
        </w:r>
        <w:r w:rsidR="00D45ED1">
          <w:rPr>
            <w:noProof/>
            <w:webHidden/>
          </w:rPr>
        </w:r>
        <w:r w:rsidR="00D45ED1">
          <w:rPr>
            <w:noProof/>
            <w:webHidden/>
          </w:rPr>
          <w:fldChar w:fldCharType="separate"/>
        </w:r>
        <w:r w:rsidR="00513D91">
          <w:rPr>
            <w:noProof/>
            <w:webHidden/>
          </w:rPr>
          <w:t>50</w:t>
        </w:r>
        <w:r w:rsidR="00D45ED1">
          <w:rPr>
            <w:noProof/>
            <w:webHidden/>
          </w:rPr>
          <w:fldChar w:fldCharType="end"/>
        </w:r>
      </w:hyperlink>
    </w:p>
    <w:p w14:paraId="706EC519" w14:textId="678A53FC"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83" w:history="1">
        <w:r w:rsidR="00D45ED1" w:rsidRPr="00F746A2">
          <w:rPr>
            <w:rStyle w:val="Hyperlink"/>
            <w:bCs/>
            <w:noProof/>
          </w:rPr>
          <w:t>3.2.1.3</w:t>
        </w:r>
        <w:r w:rsidR="00D45ED1" w:rsidRPr="00F746A2">
          <w:rPr>
            <w:rStyle w:val="Hyperlink"/>
            <w:noProof/>
          </w:rPr>
          <w:t xml:space="preserve"> Response in Place</w:t>
        </w:r>
        <w:r w:rsidR="00D45ED1">
          <w:rPr>
            <w:noProof/>
            <w:webHidden/>
          </w:rPr>
          <w:tab/>
        </w:r>
        <w:r w:rsidR="00D45ED1">
          <w:rPr>
            <w:noProof/>
            <w:webHidden/>
          </w:rPr>
          <w:fldChar w:fldCharType="begin"/>
        </w:r>
        <w:r w:rsidR="00D45ED1">
          <w:rPr>
            <w:noProof/>
            <w:webHidden/>
          </w:rPr>
          <w:instrText xml:space="preserve"> PAGEREF _Toc61894683 \h </w:instrText>
        </w:r>
        <w:r w:rsidR="00D45ED1">
          <w:rPr>
            <w:noProof/>
            <w:webHidden/>
          </w:rPr>
        </w:r>
        <w:r w:rsidR="00D45ED1">
          <w:rPr>
            <w:noProof/>
            <w:webHidden/>
          </w:rPr>
          <w:fldChar w:fldCharType="separate"/>
        </w:r>
        <w:r w:rsidR="00513D91">
          <w:rPr>
            <w:noProof/>
            <w:webHidden/>
          </w:rPr>
          <w:t>51</w:t>
        </w:r>
        <w:r w:rsidR="00D45ED1">
          <w:rPr>
            <w:noProof/>
            <w:webHidden/>
          </w:rPr>
          <w:fldChar w:fldCharType="end"/>
        </w:r>
      </w:hyperlink>
    </w:p>
    <w:p w14:paraId="648C4259" w14:textId="61D696B5"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84" w:history="1">
        <w:r w:rsidR="00D45ED1" w:rsidRPr="00F746A2">
          <w:rPr>
            <w:rStyle w:val="Hyperlink"/>
            <w:bCs/>
            <w:noProof/>
          </w:rPr>
          <w:t>3.2.1.4</w:t>
        </w:r>
        <w:r w:rsidR="00D45ED1" w:rsidRPr="00F746A2">
          <w:rPr>
            <w:rStyle w:val="Hyperlink"/>
            <w:noProof/>
          </w:rPr>
          <w:t xml:space="preserve"> Organisational Resilience</w:t>
        </w:r>
        <w:r w:rsidR="00D45ED1">
          <w:rPr>
            <w:noProof/>
            <w:webHidden/>
          </w:rPr>
          <w:tab/>
        </w:r>
        <w:r w:rsidR="00D45ED1">
          <w:rPr>
            <w:noProof/>
            <w:webHidden/>
          </w:rPr>
          <w:fldChar w:fldCharType="begin"/>
        </w:r>
        <w:r w:rsidR="00D45ED1">
          <w:rPr>
            <w:noProof/>
            <w:webHidden/>
          </w:rPr>
          <w:instrText xml:space="preserve"> PAGEREF _Toc61894684 \h </w:instrText>
        </w:r>
        <w:r w:rsidR="00D45ED1">
          <w:rPr>
            <w:noProof/>
            <w:webHidden/>
          </w:rPr>
        </w:r>
        <w:r w:rsidR="00D45ED1">
          <w:rPr>
            <w:noProof/>
            <w:webHidden/>
          </w:rPr>
          <w:fldChar w:fldCharType="separate"/>
        </w:r>
        <w:r w:rsidR="00513D91">
          <w:rPr>
            <w:noProof/>
            <w:webHidden/>
          </w:rPr>
          <w:t>51</w:t>
        </w:r>
        <w:r w:rsidR="00D45ED1">
          <w:rPr>
            <w:noProof/>
            <w:webHidden/>
          </w:rPr>
          <w:fldChar w:fldCharType="end"/>
        </w:r>
      </w:hyperlink>
    </w:p>
    <w:p w14:paraId="73DA2A51" w14:textId="044CC3A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685" w:history="1">
        <w:r w:rsidR="00D45ED1" w:rsidRPr="00F746A2">
          <w:rPr>
            <w:rStyle w:val="Hyperlink"/>
            <w:bCs/>
            <w:noProof/>
            <w:lang w:eastAsia="zh-CN" w:bidi="hi-IN"/>
            <w14:scene3d>
              <w14:camera w14:prst="orthographicFront"/>
              <w14:lightRig w14:rig="threePt" w14:dir="t">
                <w14:rot w14:lat="0" w14:lon="0" w14:rev="0"/>
              </w14:lightRig>
            </w14:scene3d>
          </w:rPr>
          <w:t>3.2.2</w:t>
        </w:r>
        <w:r w:rsidR="00D45ED1" w:rsidRPr="00F746A2">
          <w:rPr>
            <w:rStyle w:val="Hyperlink"/>
            <w:noProof/>
            <w:lang w:eastAsia="zh-CN" w:bidi="hi-IN"/>
          </w:rPr>
          <w:t xml:space="preserve"> Cyber-Risk and External and Internal Threats</w:t>
        </w:r>
        <w:r w:rsidR="00D45ED1">
          <w:rPr>
            <w:noProof/>
            <w:webHidden/>
          </w:rPr>
          <w:tab/>
        </w:r>
        <w:r w:rsidR="00D45ED1">
          <w:rPr>
            <w:noProof/>
            <w:webHidden/>
          </w:rPr>
          <w:fldChar w:fldCharType="begin"/>
        </w:r>
        <w:r w:rsidR="00D45ED1">
          <w:rPr>
            <w:noProof/>
            <w:webHidden/>
          </w:rPr>
          <w:instrText xml:space="preserve"> PAGEREF _Toc61894685 \h </w:instrText>
        </w:r>
        <w:r w:rsidR="00D45ED1">
          <w:rPr>
            <w:noProof/>
            <w:webHidden/>
          </w:rPr>
        </w:r>
        <w:r w:rsidR="00D45ED1">
          <w:rPr>
            <w:noProof/>
            <w:webHidden/>
          </w:rPr>
          <w:fldChar w:fldCharType="separate"/>
        </w:r>
        <w:r w:rsidR="00513D91">
          <w:rPr>
            <w:noProof/>
            <w:webHidden/>
          </w:rPr>
          <w:t>52</w:t>
        </w:r>
        <w:r w:rsidR="00D45ED1">
          <w:rPr>
            <w:noProof/>
            <w:webHidden/>
          </w:rPr>
          <w:fldChar w:fldCharType="end"/>
        </w:r>
      </w:hyperlink>
    </w:p>
    <w:p w14:paraId="13966B67" w14:textId="756B717C"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86" w:history="1">
        <w:r w:rsidR="00D45ED1" w:rsidRPr="00F746A2">
          <w:rPr>
            <w:rStyle w:val="Hyperlink"/>
            <w:bCs/>
            <w:noProof/>
            <w:lang w:eastAsia="zh-CN" w:bidi="hi-IN"/>
          </w:rPr>
          <w:t>3.2.2.1</w:t>
        </w:r>
        <w:r w:rsidR="00D45ED1" w:rsidRPr="00F746A2">
          <w:rPr>
            <w:rStyle w:val="Hyperlink"/>
            <w:noProof/>
            <w:lang w:eastAsia="zh-CN" w:bidi="hi-IN"/>
          </w:rPr>
          <w:t xml:space="preserve"> External Factors</w:t>
        </w:r>
        <w:r w:rsidR="00D45ED1">
          <w:rPr>
            <w:noProof/>
            <w:webHidden/>
          </w:rPr>
          <w:tab/>
        </w:r>
        <w:r w:rsidR="00D45ED1">
          <w:rPr>
            <w:noProof/>
            <w:webHidden/>
          </w:rPr>
          <w:fldChar w:fldCharType="begin"/>
        </w:r>
        <w:r w:rsidR="00D45ED1">
          <w:rPr>
            <w:noProof/>
            <w:webHidden/>
          </w:rPr>
          <w:instrText xml:space="preserve"> PAGEREF _Toc61894686 \h </w:instrText>
        </w:r>
        <w:r w:rsidR="00D45ED1">
          <w:rPr>
            <w:noProof/>
            <w:webHidden/>
          </w:rPr>
        </w:r>
        <w:r w:rsidR="00D45ED1">
          <w:rPr>
            <w:noProof/>
            <w:webHidden/>
          </w:rPr>
          <w:fldChar w:fldCharType="separate"/>
        </w:r>
        <w:r w:rsidR="00513D91">
          <w:rPr>
            <w:noProof/>
            <w:webHidden/>
          </w:rPr>
          <w:t>53</w:t>
        </w:r>
        <w:r w:rsidR="00D45ED1">
          <w:rPr>
            <w:noProof/>
            <w:webHidden/>
          </w:rPr>
          <w:fldChar w:fldCharType="end"/>
        </w:r>
      </w:hyperlink>
    </w:p>
    <w:p w14:paraId="0CA2F935" w14:textId="609157FC"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87" w:history="1">
        <w:r w:rsidR="00D45ED1" w:rsidRPr="00F746A2">
          <w:rPr>
            <w:rStyle w:val="Hyperlink"/>
            <w:noProof/>
            <w:lang w:eastAsia="zh-CN" w:bidi="hi-IN"/>
          </w:rPr>
          <w:t xml:space="preserve">3.2.2.1.1 Cyber </w:t>
        </w:r>
        <w:r w:rsidR="00D45ED1" w:rsidRPr="00F746A2">
          <w:rPr>
            <w:rStyle w:val="Hyperlink"/>
            <w:noProof/>
          </w:rPr>
          <w:t>Terrorism</w:t>
        </w:r>
        <w:r w:rsidR="00D45ED1">
          <w:rPr>
            <w:noProof/>
            <w:webHidden/>
          </w:rPr>
          <w:tab/>
        </w:r>
        <w:r w:rsidR="00D45ED1">
          <w:rPr>
            <w:noProof/>
            <w:webHidden/>
          </w:rPr>
          <w:fldChar w:fldCharType="begin"/>
        </w:r>
        <w:r w:rsidR="00D45ED1">
          <w:rPr>
            <w:noProof/>
            <w:webHidden/>
          </w:rPr>
          <w:instrText xml:space="preserve"> PAGEREF _Toc61894687 \h </w:instrText>
        </w:r>
        <w:r w:rsidR="00D45ED1">
          <w:rPr>
            <w:noProof/>
            <w:webHidden/>
          </w:rPr>
        </w:r>
        <w:r w:rsidR="00D45ED1">
          <w:rPr>
            <w:noProof/>
            <w:webHidden/>
          </w:rPr>
          <w:fldChar w:fldCharType="separate"/>
        </w:r>
        <w:r w:rsidR="00513D91">
          <w:rPr>
            <w:noProof/>
            <w:webHidden/>
          </w:rPr>
          <w:t>53</w:t>
        </w:r>
        <w:r w:rsidR="00D45ED1">
          <w:rPr>
            <w:noProof/>
            <w:webHidden/>
          </w:rPr>
          <w:fldChar w:fldCharType="end"/>
        </w:r>
      </w:hyperlink>
    </w:p>
    <w:p w14:paraId="633F0EDD" w14:textId="047100DC"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88" w:history="1">
        <w:r w:rsidR="00D45ED1" w:rsidRPr="00F746A2">
          <w:rPr>
            <w:rStyle w:val="Hyperlink"/>
            <w:noProof/>
            <w:lang w:eastAsia="zh-CN" w:bidi="hi-IN"/>
          </w:rPr>
          <w:t>3.2.2.1.2 Hacktivism</w:t>
        </w:r>
        <w:r w:rsidR="00D45ED1">
          <w:rPr>
            <w:noProof/>
            <w:webHidden/>
          </w:rPr>
          <w:tab/>
        </w:r>
        <w:r w:rsidR="00D45ED1">
          <w:rPr>
            <w:noProof/>
            <w:webHidden/>
          </w:rPr>
          <w:fldChar w:fldCharType="begin"/>
        </w:r>
        <w:r w:rsidR="00D45ED1">
          <w:rPr>
            <w:noProof/>
            <w:webHidden/>
          </w:rPr>
          <w:instrText xml:space="preserve"> PAGEREF _Toc61894688 \h </w:instrText>
        </w:r>
        <w:r w:rsidR="00D45ED1">
          <w:rPr>
            <w:noProof/>
            <w:webHidden/>
          </w:rPr>
        </w:r>
        <w:r w:rsidR="00D45ED1">
          <w:rPr>
            <w:noProof/>
            <w:webHidden/>
          </w:rPr>
          <w:fldChar w:fldCharType="separate"/>
        </w:r>
        <w:r w:rsidR="00513D91">
          <w:rPr>
            <w:noProof/>
            <w:webHidden/>
          </w:rPr>
          <w:t>55</w:t>
        </w:r>
        <w:r w:rsidR="00D45ED1">
          <w:rPr>
            <w:noProof/>
            <w:webHidden/>
          </w:rPr>
          <w:fldChar w:fldCharType="end"/>
        </w:r>
      </w:hyperlink>
    </w:p>
    <w:p w14:paraId="052A1F5D" w14:textId="2AECC540"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89" w:history="1">
        <w:r w:rsidR="00D45ED1" w:rsidRPr="00F746A2">
          <w:rPr>
            <w:rStyle w:val="Hyperlink"/>
            <w:noProof/>
            <w:lang w:eastAsia="zh-CN" w:bidi="hi-IN"/>
          </w:rPr>
          <w:t>3.2.2.1.3 Phishing</w:t>
        </w:r>
        <w:r w:rsidR="00D45ED1">
          <w:rPr>
            <w:noProof/>
            <w:webHidden/>
          </w:rPr>
          <w:tab/>
        </w:r>
        <w:r w:rsidR="00D45ED1">
          <w:rPr>
            <w:noProof/>
            <w:webHidden/>
          </w:rPr>
          <w:fldChar w:fldCharType="begin"/>
        </w:r>
        <w:r w:rsidR="00D45ED1">
          <w:rPr>
            <w:noProof/>
            <w:webHidden/>
          </w:rPr>
          <w:instrText xml:space="preserve"> PAGEREF _Toc61894689 \h </w:instrText>
        </w:r>
        <w:r w:rsidR="00D45ED1">
          <w:rPr>
            <w:noProof/>
            <w:webHidden/>
          </w:rPr>
        </w:r>
        <w:r w:rsidR="00D45ED1">
          <w:rPr>
            <w:noProof/>
            <w:webHidden/>
          </w:rPr>
          <w:fldChar w:fldCharType="separate"/>
        </w:r>
        <w:r w:rsidR="00513D91">
          <w:rPr>
            <w:noProof/>
            <w:webHidden/>
          </w:rPr>
          <w:t>57</w:t>
        </w:r>
        <w:r w:rsidR="00D45ED1">
          <w:rPr>
            <w:noProof/>
            <w:webHidden/>
          </w:rPr>
          <w:fldChar w:fldCharType="end"/>
        </w:r>
      </w:hyperlink>
    </w:p>
    <w:p w14:paraId="3C01D58D" w14:textId="0209E2B8"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0" w:history="1">
        <w:r w:rsidR="00D45ED1" w:rsidRPr="00F746A2">
          <w:rPr>
            <w:rStyle w:val="Hyperlink"/>
            <w:noProof/>
            <w:lang w:eastAsia="zh-CN" w:bidi="hi-IN"/>
          </w:rPr>
          <w:t>3.2.2.1.4 Financial Fraud</w:t>
        </w:r>
        <w:r w:rsidR="00D45ED1">
          <w:rPr>
            <w:noProof/>
            <w:webHidden/>
          </w:rPr>
          <w:tab/>
        </w:r>
        <w:r w:rsidR="00D45ED1">
          <w:rPr>
            <w:noProof/>
            <w:webHidden/>
          </w:rPr>
          <w:fldChar w:fldCharType="begin"/>
        </w:r>
        <w:r w:rsidR="00D45ED1">
          <w:rPr>
            <w:noProof/>
            <w:webHidden/>
          </w:rPr>
          <w:instrText xml:space="preserve"> PAGEREF _Toc61894690 \h </w:instrText>
        </w:r>
        <w:r w:rsidR="00D45ED1">
          <w:rPr>
            <w:noProof/>
            <w:webHidden/>
          </w:rPr>
        </w:r>
        <w:r w:rsidR="00D45ED1">
          <w:rPr>
            <w:noProof/>
            <w:webHidden/>
          </w:rPr>
          <w:fldChar w:fldCharType="separate"/>
        </w:r>
        <w:r w:rsidR="00513D91">
          <w:rPr>
            <w:noProof/>
            <w:webHidden/>
          </w:rPr>
          <w:t>58</w:t>
        </w:r>
        <w:r w:rsidR="00D45ED1">
          <w:rPr>
            <w:noProof/>
            <w:webHidden/>
          </w:rPr>
          <w:fldChar w:fldCharType="end"/>
        </w:r>
      </w:hyperlink>
    </w:p>
    <w:p w14:paraId="2D6A66DA" w14:textId="0E016334"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1" w:history="1">
        <w:r w:rsidR="00D45ED1" w:rsidRPr="00F746A2">
          <w:rPr>
            <w:rStyle w:val="Hyperlink"/>
            <w:noProof/>
            <w:lang w:eastAsia="zh-CN" w:bidi="hi-IN"/>
          </w:rPr>
          <w:t>3.2.2.1.5 Criminal Acts</w:t>
        </w:r>
        <w:r w:rsidR="00D45ED1">
          <w:rPr>
            <w:noProof/>
            <w:webHidden/>
          </w:rPr>
          <w:tab/>
        </w:r>
        <w:r w:rsidR="00D45ED1">
          <w:rPr>
            <w:noProof/>
            <w:webHidden/>
          </w:rPr>
          <w:fldChar w:fldCharType="begin"/>
        </w:r>
        <w:r w:rsidR="00D45ED1">
          <w:rPr>
            <w:noProof/>
            <w:webHidden/>
          </w:rPr>
          <w:instrText xml:space="preserve"> PAGEREF _Toc61894691 \h </w:instrText>
        </w:r>
        <w:r w:rsidR="00D45ED1">
          <w:rPr>
            <w:noProof/>
            <w:webHidden/>
          </w:rPr>
        </w:r>
        <w:r w:rsidR="00D45ED1">
          <w:rPr>
            <w:noProof/>
            <w:webHidden/>
          </w:rPr>
          <w:fldChar w:fldCharType="separate"/>
        </w:r>
        <w:r w:rsidR="00513D91">
          <w:rPr>
            <w:noProof/>
            <w:webHidden/>
          </w:rPr>
          <w:t>60</w:t>
        </w:r>
        <w:r w:rsidR="00D45ED1">
          <w:rPr>
            <w:noProof/>
            <w:webHidden/>
          </w:rPr>
          <w:fldChar w:fldCharType="end"/>
        </w:r>
      </w:hyperlink>
    </w:p>
    <w:p w14:paraId="65F890DC" w14:textId="374FD88D"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92" w:history="1">
        <w:r w:rsidR="00D45ED1" w:rsidRPr="00F746A2">
          <w:rPr>
            <w:rStyle w:val="Hyperlink"/>
            <w:bCs/>
            <w:noProof/>
            <w:lang w:eastAsia="zh-CN" w:bidi="hi-IN"/>
          </w:rPr>
          <w:t>3.2.2.2</w:t>
        </w:r>
        <w:r w:rsidR="00D45ED1" w:rsidRPr="00F746A2">
          <w:rPr>
            <w:rStyle w:val="Hyperlink"/>
            <w:noProof/>
            <w:lang w:eastAsia="zh-CN" w:bidi="hi-IN"/>
          </w:rPr>
          <w:t xml:space="preserve"> Internal Threats</w:t>
        </w:r>
        <w:r w:rsidR="00D45ED1">
          <w:rPr>
            <w:noProof/>
            <w:webHidden/>
          </w:rPr>
          <w:tab/>
        </w:r>
        <w:r w:rsidR="00D45ED1">
          <w:rPr>
            <w:noProof/>
            <w:webHidden/>
          </w:rPr>
          <w:fldChar w:fldCharType="begin"/>
        </w:r>
        <w:r w:rsidR="00D45ED1">
          <w:rPr>
            <w:noProof/>
            <w:webHidden/>
          </w:rPr>
          <w:instrText xml:space="preserve"> PAGEREF _Toc61894692 \h </w:instrText>
        </w:r>
        <w:r w:rsidR="00D45ED1">
          <w:rPr>
            <w:noProof/>
            <w:webHidden/>
          </w:rPr>
        </w:r>
        <w:r w:rsidR="00D45ED1">
          <w:rPr>
            <w:noProof/>
            <w:webHidden/>
          </w:rPr>
          <w:fldChar w:fldCharType="separate"/>
        </w:r>
        <w:r w:rsidR="00513D91">
          <w:rPr>
            <w:noProof/>
            <w:webHidden/>
          </w:rPr>
          <w:t>61</w:t>
        </w:r>
        <w:r w:rsidR="00D45ED1">
          <w:rPr>
            <w:noProof/>
            <w:webHidden/>
          </w:rPr>
          <w:fldChar w:fldCharType="end"/>
        </w:r>
      </w:hyperlink>
    </w:p>
    <w:p w14:paraId="0BDA35B2" w14:textId="354519C1"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3" w:history="1">
        <w:r w:rsidR="00D45ED1" w:rsidRPr="00F746A2">
          <w:rPr>
            <w:rStyle w:val="Hyperlink"/>
            <w:noProof/>
            <w:lang w:eastAsia="zh-CN" w:bidi="hi-IN"/>
          </w:rPr>
          <w:t>3.2.2.2.1 Threat Awareness</w:t>
        </w:r>
        <w:r w:rsidR="00D45ED1">
          <w:rPr>
            <w:noProof/>
            <w:webHidden/>
          </w:rPr>
          <w:tab/>
        </w:r>
        <w:r w:rsidR="00D45ED1">
          <w:rPr>
            <w:noProof/>
            <w:webHidden/>
          </w:rPr>
          <w:fldChar w:fldCharType="begin"/>
        </w:r>
        <w:r w:rsidR="00D45ED1">
          <w:rPr>
            <w:noProof/>
            <w:webHidden/>
          </w:rPr>
          <w:instrText xml:space="preserve"> PAGEREF _Toc61894693 \h </w:instrText>
        </w:r>
        <w:r w:rsidR="00D45ED1">
          <w:rPr>
            <w:noProof/>
            <w:webHidden/>
          </w:rPr>
        </w:r>
        <w:r w:rsidR="00D45ED1">
          <w:rPr>
            <w:noProof/>
            <w:webHidden/>
          </w:rPr>
          <w:fldChar w:fldCharType="separate"/>
        </w:r>
        <w:r w:rsidR="00513D91">
          <w:rPr>
            <w:noProof/>
            <w:webHidden/>
          </w:rPr>
          <w:t>61</w:t>
        </w:r>
        <w:r w:rsidR="00D45ED1">
          <w:rPr>
            <w:noProof/>
            <w:webHidden/>
          </w:rPr>
          <w:fldChar w:fldCharType="end"/>
        </w:r>
      </w:hyperlink>
    </w:p>
    <w:p w14:paraId="4D4AA51C" w14:textId="4A56D009"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4" w:history="1">
        <w:r w:rsidR="00D45ED1" w:rsidRPr="00F746A2">
          <w:rPr>
            <w:rStyle w:val="Hyperlink"/>
            <w:noProof/>
            <w:lang w:eastAsia="zh-CN" w:bidi="hi-IN"/>
          </w:rPr>
          <w:t>3.2.2.2.2 Risk Culture</w:t>
        </w:r>
        <w:r w:rsidR="00D45ED1">
          <w:rPr>
            <w:noProof/>
            <w:webHidden/>
          </w:rPr>
          <w:tab/>
        </w:r>
        <w:r w:rsidR="00D45ED1">
          <w:rPr>
            <w:noProof/>
            <w:webHidden/>
          </w:rPr>
          <w:fldChar w:fldCharType="begin"/>
        </w:r>
        <w:r w:rsidR="00D45ED1">
          <w:rPr>
            <w:noProof/>
            <w:webHidden/>
          </w:rPr>
          <w:instrText xml:space="preserve"> PAGEREF _Toc61894694 \h </w:instrText>
        </w:r>
        <w:r w:rsidR="00D45ED1">
          <w:rPr>
            <w:noProof/>
            <w:webHidden/>
          </w:rPr>
        </w:r>
        <w:r w:rsidR="00D45ED1">
          <w:rPr>
            <w:noProof/>
            <w:webHidden/>
          </w:rPr>
          <w:fldChar w:fldCharType="separate"/>
        </w:r>
        <w:r w:rsidR="00513D91">
          <w:rPr>
            <w:noProof/>
            <w:webHidden/>
          </w:rPr>
          <w:t>62</w:t>
        </w:r>
        <w:r w:rsidR="00D45ED1">
          <w:rPr>
            <w:noProof/>
            <w:webHidden/>
          </w:rPr>
          <w:fldChar w:fldCharType="end"/>
        </w:r>
      </w:hyperlink>
    </w:p>
    <w:p w14:paraId="43AD0CE5" w14:textId="57D5B0DD"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5" w:history="1">
        <w:r w:rsidR="00D45ED1" w:rsidRPr="00F746A2">
          <w:rPr>
            <w:rStyle w:val="Hyperlink"/>
            <w:noProof/>
            <w:lang w:eastAsia="zh-CN" w:bidi="hi-IN"/>
          </w:rPr>
          <w:t>3.2.2.2.3 Laziness</w:t>
        </w:r>
        <w:r w:rsidR="00D45ED1">
          <w:rPr>
            <w:noProof/>
            <w:webHidden/>
          </w:rPr>
          <w:tab/>
        </w:r>
        <w:r w:rsidR="00D45ED1">
          <w:rPr>
            <w:noProof/>
            <w:webHidden/>
          </w:rPr>
          <w:fldChar w:fldCharType="begin"/>
        </w:r>
        <w:r w:rsidR="00D45ED1">
          <w:rPr>
            <w:noProof/>
            <w:webHidden/>
          </w:rPr>
          <w:instrText xml:space="preserve"> PAGEREF _Toc61894695 \h </w:instrText>
        </w:r>
        <w:r w:rsidR="00D45ED1">
          <w:rPr>
            <w:noProof/>
            <w:webHidden/>
          </w:rPr>
        </w:r>
        <w:r w:rsidR="00D45ED1">
          <w:rPr>
            <w:noProof/>
            <w:webHidden/>
          </w:rPr>
          <w:fldChar w:fldCharType="separate"/>
        </w:r>
        <w:r w:rsidR="00513D91">
          <w:rPr>
            <w:noProof/>
            <w:webHidden/>
          </w:rPr>
          <w:t>64</w:t>
        </w:r>
        <w:r w:rsidR="00D45ED1">
          <w:rPr>
            <w:noProof/>
            <w:webHidden/>
          </w:rPr>
          <w:fldChar w:fldCharType="end"/>
        </w:r>
      </w:hyperlink>
    </w:p>
    <w:p w14:paraId="60D49258" w14:textId="3B219B64"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6" w:history="1">
        <w:r w:rsidR="00D45ED1" w:rsidRPr="00F746A2">
          <w:rPr>
            <w:rStyle w:val="Hyperlink"/>
            <w:noProof/>
            <w:lang w:eastAsia="zh-CN" w:bidi="hi-IN"/>
          </w:rPr>
          <w:t>3.2.2.2.4 Financial Fraud</w:t>
        </w:r>
        <w:r w:rsidR="00D45ED1">
          <w:rPr>
            <w:noProof/>
            <w:webHidden/>
          </w:rPr>
          <w:tab/>
        </w:r>
        <w:r w:rsidR="00D45ED1">
          <w:rPr>
            <w:noProof/>
            <w:webHidden/>
          </w:rPr>
          <w:fldChar w:fldCharType="begin"/>
        </w:r>
        <w:r w:rsidR="00D45ED1">
          <w:rPr>
            <w:noProof/>
            <w:webHidden/>
          </w:rPr>
          <w:instrText xml:space="preserve"> PAGEREF _Toc61894696 \h </w:instrText>
        </w:r>
        <w:r w:rsidR="00D45ED1">
          <w:rPr>
            <w:noProof/>
            <w:webHidden/>
          </w:rPr>
        </w:r>
        <w:r w:rsidR="00D45ED1">
          <w:rPr>
            <w:noProof/>
            <w:webHidden/>
          </w:rPr>
          <w:fldChar w:fldCharType="separate"/>
        </w:r>
        <w:r w:rsidR="00513D91">
          <w:rPr>
            <w:noProof/>
            <w:webHidden/>
          </w:rPr>
          <w:t>66</w:t>
        </w:r>
        <w:r w:rsidR="00D45ED1">
          <w:rPr>
            <w:noProof/>
            <w:webHidden/>
          </w:rPr>
          <w:fldChar w:fldCharType="end"/>
        </w:r>
      </w:hyperlink>
    </w:p>
    <w:p w14:paraId="55FF1C0D" w14:textId="6D5E4087"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7" w:history="1">
        <w:r w:rsidR="00D45ED1" w:rsidRPr="00F746A2">
          <w:rPr>
            <w:rStyle w:val="Hyperlink"/>
            <w:noProof/>
            <w:lang w:eastAsia="zh-CN" w:bidi="hi-IN"/>
          </w:rPr>
          <w:t>3.2.2.2.5 Criminal Acts</w:t>
        </w:r>
        <w:r w:rsidR="00D45ED1">
          <w:rPr>
            <w:noProof/>
            <w:webHidden/>
          </w:rPr>
          <w:tab/>
        </w:r>
        <w:r w:rsidR="00D45ED1">
          <w:rPr>
            <w:noProof/>
            <w:webHidden/>
          </w:rPr>
          <w:fldChar w:fldCharType="begin"/>
        </w:r>
        <w:r w:rsidR="00D45ED1">
          <w:rPr>
            <w:noProof/>
            <w:webHidden/>
          </w:rPr>
          <w:instrText xml:space="preserve"> PAGEREF _Toc61894697 \h </w:instrText>
        </w:r>
        <w:r w:rsidR="00D45ED1">
          <w:rPr>
            <w:noProof/>
            <w:webHidden/>
          </w:rPr>
        </w:r>
        <w:r w:rsidR="00D45ED1">
          <w:rPr>
            <w:noProof/>
            <w:webHidden/>
          </w:rPr>
          <w:fldChar w:fldCharType="separate"/>
        </w:r>
        <w:r w:rsidR="00513D91">
          <w:rPr>
            <w:noProof/>
            <w:webHidden/>
          </w:rPr>
          <w:t>67</w:t>
        </w:r>
        <w:r w:rsidR="00D45ED1">
          <w:rPr>
            <w:noProof/>
            <w:webHidden/>
          </w:rPr>
          <w:fldChar w:fldCharType="end"/>
        </w:r>
      </w:hyperlink>
    </w:p>
    <w:p w14:paraId="36E3EFA5" w14:textId="414F3694"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698" w:history="1">
        <w:r w:rsidR="00D45ED1" w:rsidRPr="00F746A2">
          <w:rPr>
            <w:rStyle w:val="Hyperlink"/>
            <w:bCs/>
            <w:noProof/>
            <w:lang w:eastAsia="zh-CN" w:bidi="hi-IN"/>
          </w:rPr>
          <w:t>3.2.2.3</w:t>
        </w:r>
        <w:r w:rsidR="00D45ED1" w:rsidRPr="00F746A2">
          <w:rPr>
            <w:rStyle w:val="Hyperlink"/>
            <w:noProof/>
            <w:lang w:eastAsia="zh-CN" w:bidi="hi-IN"/>
          </w:rPr>
          <w:t xml:space="preserve"> Vulnerabilities and Weaknesses</w:t>
        </w:r>
        <w:r w:rsidR="00D45ED1">
          <w:rPr>
            <w:noProof/>
            <w:webHidden/>
          </w:rPr>
          <w:tab/>
        </w:r>
        <w:r w:rsidR="00D45ED1">
          <w:rPr>
            <w:noProof/>
            <w:webHidden/>
          </w:rPr>
          <w:fldChar w:fldCharType="begin"/>
        </w:r>
        <w:r w:rsidR="00D45ED1">
          <w:rPr>
            <w:noProof/>
            <w:webHidden/>
          </w:rPr>
          <w:instrText xml:space="preserve"> PAGEREF _Toc61894698 \h </w:instrText>
        </w:r>
        <w:r w:rsidR="00D45ED1">
          <w:rPr>
            <w:noProof/>
            <w:webHidden/>
          </w:rPr>
        </w:r>
        <w:r w:rsidR="00D45ED1">
          <w:rPr>
            <w:noProof/>
            <w:webHidden/>
          </w:rPr>
          <w:fldChar w:fldCharType="separate"/>
        </w:r>
        <w:r w:rsidR="00513D91">
          <w:rPr>
            <w:noProof/>
            <w:webHidden/>
          </w:rPr>
          <w:t>67</w:t>
        </w:r>
        <w:r w:rsidR="00D45ED1">
          <w:rPr>
            <w:noProof/>
            <w:webHidden/>
          </w:rPr>
          <w:fldChar w:fldCharType="end"/>
        </w:r>
      </w:hyperlink>
    </w:p>
    <w:p w14:paraId="616D6D5F" w14:textId="2C2D416B"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699" w:history="1">
        <w:r w:rsidR="00D45ED1" w:rsidRPr="00F746A2">
          <w:rPr>
            <w:rStyle w:val="Hyperlink"/>
            <w:noProof/>
            <w:lang w:eastAsia="zh-CN" w:bidi="hi-IN"/>
          </w:rPr>
          <w:t>3.2.2.3.1 Human Factors as a Vulnerability or Weakness</w:t>
        </w:r>
        <w:r w:rsidR="00D45ED1">
          <w:rPr>
            <w:noProof/>
            <w:webHidden/>
          </w:rPr>
          <w:tab/>
        </w:r>
        <w:r w:rsidR="00D45ED1">
          <w:rPr>
            <w:noProof/>
            <w:webHidden/>
          </w:rPr>
          <w:fldChar w:fldCharType="begin"/>
        </w:r>
        <w:r w:rsidR="00D45ED1">
          <w:rPr>
            <w:noProof/>
            <w:webHidden/>
          </w:rPr>
          <w:instrText xml:space="preserve"> PAGEREF _Toc61894699 \h </w:instrText>
        </w:r>
        <w:r w:rsidR="00D45ED1">
          <w:rPr>
            <w:noProof/>
            <w:webHidden/>
          </w:rPr>
        </w:r>
        <w:r w:rsidR="00D45ED1">
          <w:rPr>
            <w:noProof/>
            <w:webHidden/>
          </w:rPr>
          <w:fldChar w:fldCharType="separate"/>
        </w:r>
        <w:r w:rsidR="00513D91">
          <w:rPr>
            <w:noProof/>
            <w:webHidden/>
          </w:rPr>
          <w:t>69</w:t>
        </w:r>
        <w:r w:rsidR="00D45ED1">
          <w:rPr>
            <w:noProof/>
            <w:webHidden/>
          </w:rPr>
          <w:fldChar w:fldCharType="end"/>
        </w:r>
      </w:hyperlink>
    </w:p>
    <w:p w14:paraId="3E09CCF3" w14:textId="2CF34DEF"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700" w:history="1">
        <w:r w:rsidR="00D45ED1" w:rsidRPr="00F746A2">
          <w:rPr>
            <w:rStyle w:val="Hyperlink"/>
            <w:noProof/>
            <w:lang w:eastAsia="zh-CN" w:bidi="hi-IN"/>
          </w:rPr>
          <w:t>3.2.2.3.2 Process as a Vulnerability or Weakness</w:t>
        </w:r>
        <w:r w:rsidR="00D45ED1">
          <w:rPr>
            <w:noProof/>
            <w:webHidden/>
          </w:rPr>
          <w:tab/>
        </w:r>
        <w:r w:rsidR="00D45ED1">
          <w:rPr>
            <w:noProof/>
            <w:webHidden/>
          </w:rPr>
          <w:fldChar w:fldCharType="begin"/>
        </w:r>
        <w:r w:rsidR="00D45ED1">
          <w:rPr>
            <w:noProof/>
            <w:webHidden/>
          </w:rPr>
          <w:instrText xml:space="preserve"> PAGEREF _Toc61894700 \h </w:instrText>
        </w:r>
        <w:r w:rsidR="00D45ED1">
          <w:rPr>
            <w:noProof/>
            <w:webHidden/>
          </w:rPr>
        </w:r>
        <w:r w:rsidR="00D45ED1">
          <w:rPr>
            <w:noProof/>
            <w:webHidden/>
          </w:rPr>
          <w:fldChar w:fldCharType="separate"/>
        </w:r>
        <w:r w:rsidR="00513D91">
          <w:rPr>
            <w:noProof/>
            <w:webHidden/>
          </w:rPr>
          <w:t>70</w:t>
        </w:r>
        <w:r w:rsidR="00D45ED1">
          <w:rPr>
            <w:noProof/>
            <w:webHidden/>
          </w:rPr>
          <w:fldChar w:fldCharType="end"/>
        </w:r>
      </w:hyperlink>
    </w:p>
    <w:p w14:paraId="19084E49" w14:textId="3BAE5C29"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701" w:history="1">
        <w:r w:rsidR="00D45ED1" w:rsidRPr="00F746A2">
          <w:rPr>
            <w:rStyle w:val="Hyperlink"/>
            <w:noProof/>
            <w:lang w:eastAsia="zh-CN" w:bidi="hi-IN"/>
          </w:rPr>
          <w:t>3.2.2.3.3 Technology as a Vulnerability or Weakness</w:t>
        </w:r>
        <w:r w:rsidR="00D45ED1">
          <w:rPr>
            <w:noProof/>
            <w:webHidden/>
          </w:rPr>
          <w:tab/>
        </w:r>
        <w:r w:rsidR="00D45ED1">
          <w:rPr>
            <w:noProof/>
            <w:webHidden/>
          </w:rPr>
          <w:fldChar w:fldCharType="begin"/>
        </w:r>
        <w:r w:rsidR="00D45ED1">
          <w:rPr>
            <w:noProof/>
            <w:webHidden/>
          </w:rPr>
          <w:instrText xml:space="preserve"> PAGEREF _Toc61894701 \h </w:instrText>
        </w:r>
        <w:r w:rsidR="00D45ED1">
          <w:rPr>
            <w:noProof/>
            <w:webHidden/>
          </w:rPr>
        </w:r>
        <w:r w:rsidR="00D45ED1">
          <w:rPr>
            <w:noProof/>
            <w:webHidden/>
          </w:rPr>
          <w:fldChar w:fldCharType="separate"/>
        </w:r>
        <w:r w:rsidR="00513D91">
          <w:rPr>
            <w:noProof/>
            <w:webHidden/>
          </w:rPr>
          <w:t>71</w:t>
        </w:r>
        <w:r w:rsidR="00D45ED1">
          <w:rPr>
            <w:noProof/>
            <w:webHidden/>
          </w:rPr>
          <w:fldChar w:fldCharType="end"/>
        </w:r>
      </w:hyperlink>
    </w:p>
    <w:p w14:paraId="6EB00F59" w14:textId="1209D182"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02" w:history="1">
        <w:r w:rsidR="00D45ED1" w:rsidRPr="00F746A2">
          <w:rPr>
            <w:rStyle w:val="Hyperlink"/>
            <w:bCs/>
            <w:noProof/>
            <w:lang w:eastAsia="zh-CN" w:bidi="hi-IN"/>
          </w:rPr>
          <w:t>3.2.2.4</w:t>
        </w:r>
        <w:r w:rsidR="00D45ED1" w:rsidRPr="00F746A2">
          <w:rPr>
            <w:rStyle w:val="Hyperlink"/>
            <w:noProof/>
            <w:lang w:eastAsia="zh-CN" w:bidi="hi-IN"/>
          </w:rPr>
          <w:t xml:space="preserve"> Values at Risk</w:t>
        </w:r>
        <w:r w:rsidR="00D45ED1">
          <w:rPr>
            <w:noProof/>
            <w:webHidden/>
          </w:rPr>
          <w:tab/>
        </w:r>
        <w:r w:rsidR="00D45ED1">
          <w:rPr>
            <w:noProof/>
            <w:webHidden/>
          </w:rPr>
          <w:fldChar w:fldCharType="begin"/>
        </w:r>
        <w:r w:rsidR="00D45ED1">
          <w:rPr>
            <w:noProof/>
            <w:webHidden/>
          </w:rPr>
          <w:instrText xml:space="preserve"> PAGEREF _Toc61894702 \h </w:instrText>
        </w:r>
        <w:r w:rsidR="00D45ED1">
          <w:rPr>
            <w:noProof/>
            <w:webHidden/>
          </w:rPr>
        </w:r>
        <w:r w:rsidR="00D45ED1">
          <w:rPr>
            <w:noProof/>
            <w:webHidden/>
          </w:rPr>
          <w:fldChar w:fldCharType="separate"/>
        </w:r>
        <w:r w:rsidR="00513D91">
          <w:rPr>
            <w:noProof/>
            <w:webHidden/>
          </w:rPr>
          <w:t>72</w:t>
        </w:r>
        <w:r w:rsidR="00D45ED1">
          <w:rPr>
            <w:noProof/>
            <w:webHidden/>
          </w:rPr>
          <w:fldChar w:fldCharType="end"/>
        </w:r>
      </w:hyperlink>
    </w:p>
    <w:p w14:paraId="7349B873" w14:textId="26D97704"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703" w:history="1">
        <w:r w:rsidR="00D45ED1" w:rsidRPr="00F746A2">
          <w:rPr>
            <w:rStyle w:val="Hyperlink"/>
            <w:noProof/>
            <w:lang w:eastAsia="zh-CN" w:bidi="hi-IN"/>
          </w:rPr>
          <w:t>3.2.2.4.1 Assets</w:t>
        </w:r>
        <w:r w:rsidR="00D45ED1">
          <w:rPr>
            <w:noProof/>
            <w:webHidden/>
          </w:rPr>
          <w:tab/>
        </w:r>
        <w:r w:rsidR="00D45ED1">
          <w:rPr>
            <w:noProof/>
            <w:webHidden/>
          </w:rPr>
          <w:fldChar w:fldCharType="begin"/>
        </w:r>
        <w:r w:rsidR="00D45ED1">
          <w:rPr>
            <w:noProof/>
            <w:webHidden/>
          </w:rPr>
          <w:instrText xml:space="preserve"> PAGEREF _Toc61894703 \h </w:instrText>
        </w:r>
        <w:r w:rsidR="00D45ED1">
          <w:rPr>
            <w:noProof/>
            <w:webHidden/>
          </w:rPr>
        </w:r>
        <w:r w:rsidR="00D45ED1">
          <w:rPr>
            <w:noProof/>
            <w:webHidden/>
          </w:rPr>
          <w:fldChar w:fldCharType="separate"/>
        </w:r>
        <w:r w:rsidR="00513D91">
          <w:rPr>
            <w:noProof/>
            <w:webHidden/>
          </w:rPr>
          <w:t>72</w:t>
        </w:r>
        <w:r w:rsidR="00D45ED1">
          <w:rPr>
            <w:noProof/>
            <w:webHidden/>
          </w:rPr>
          <w:fldChar w:fldCharType="end"/>
        </w:r>
      </w:hyperlink>
    </w:p>
    <w:p w14:paraId="6E35FC00" w14:textId="088E04DA"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704" w:history="1">
        <w:r w:rsidR="00D45ED1" w:rsidRPr="00F746A2">
          <w:rPr>
            <w:rStyle w:val="Hyperlink"/>
            <w:noProof/>
            <w:lang w:eastAsia="zh-CN" w:bidi="hi-IN"/>
          </w:rPr>
          <w:t>3.2.2.4.2 Public Safety</w:t>
        </w:r>
        <w:r w:rsidR="00D45ED1">
          <w:rPr>
            <w:noProof/>
            <w:webHidden/>
          </w:rPr>
          <w:tab/>
        </w:r>
        <w:r w:rsidR="00D45ED1">
          <w:rPr>
            <w:noProof/>
            <w:webHidden/>
          </w:rPr>
          <w:fldChar w:fldCharType="begin"/>
        </w:r>
        <w:r w:rsidR="00D45ED1">
          <w:rPr>
            <w:noProof/>
            <w:webHidden/>
          </w:rPr>
          <w:instrText xml:space="preserve"> PAGEREF _Toc61894704 \h </w:instrText>
        </w:r>
        <w:r w:rsidR="00D45ED1">
          <w:rPr>
            <w:noProof/>
            <w:webHidden/>
          </w:rPr>
        </w:r>
        <w:r w:rsidR="00D45ED1">
          <w:rPr>
            <w:noProof/>
            <w:webHidden/>
          </w:rPr>
          <w:fldChar w:fldCharType="separate"/>
        </w:r>
        <w:r w:rsidR="00513D91">
          <w:rPr>
            <w:noProof/>
            <w:webHidden/>
          </w:rPr>
          <w:t>73</w:t>
        </w:r>
        <w:r w:rsidR="00D45ED1">
          <w:rPr>
            <w:noProof/>
            <w:webHidden/>
          </w:rPr>
          <w:fldChar w:fldCharType="end"/>
        </w:r>
      </w:hyperlink>
    </w:p>
    <w:p w14:paraId="28117F51" w14:textId="75B554C9"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05" w:history="1">
        <w:r w:rsidR="00D45ED1" w:rsidRPr="00F746A2">
          <w:rPr>
            <w:rStyle w:val="Hyperlink"/>
            <w:bCs/>
            <w:noProof/>
            <w:lang w:eastAsia="zh-CN" w:bidi="hi-IN"/>
          </w:rPr>
          <w:t>3.2.2.5</w:t>
        </w:r>
        <w:r w:rsidR="00D45ED1" w:rsidRPr="00F746A2">
          <w:rPr>
            <w:rStyle w:val="Hyperlink"/>
            <w:noProof/>
            <w:lang w:eastAsia="zh-CN" w:bidi="hi-IN"/>
          </w:rPr>
          <w:t xml:space="preserve"> The Response</w:t>
        </w:r>
        <w:r w:rsidR="00D45ED1">
          <w:rPr>
            <w:noProof/>
            <w:webHidden/>
          </w:rPr>
          <w:tab/>
        </w:r>
        <w:r w:rsidR="00D45ED1">
          <w:rPr>
            <w:noProof/>
            <w:webHidden/>
          </w:rPr>
          <w:fldChar w:fldCharType="begin"/>
        </w:r>
        <w:r w:rsidR="00D45ED1">
          <w:rPr>
            <w:noProof/>
            <w:webHidden/>
          </w:rPr>
          <w:instrText xml:space="preserve"> PAGEREF _Toc61894705 \h </w:instrText>
        </w:r>
        <w:r w:rsidR="00D45ED1">
          <w:rPr>
            <w:noProof/>
            <w:webHidden/>
          </w:rPr>
        </w:r>
        <w:r w:rsidR="00D45ED1">
          <w:rPr>
            <w:noProof/>
            <w:webHidden/>
          </w:rPr>
          <w:fldChar w:fldCharType="separate"/>
        </w:r>
        <w:r w:rsidR="00513D91">
          <w:rPr>
            <w:noProof/>
            <w:webHidden/>
          </w:rPr>
          <w:t>75</w:t>
        </w:r>
        <w:r w:rsidR="00D45ED1">
          <w:rPr>
            <w:noProof/>
            <w:webHidden/>
          </w:rPr>
          <w:fldChar w:fldCharType="end"/>
        </w:r>
      </w:hyperlink>
    </w:p>
    <w:p w14:paraId="424E0EE2" w14:textId="27D3EABD" w:rsidR="00D45ED1" w:rsidRDefault="00724BEE">
      <w:pPr>
        <w:pStyle w:val="TOC5"/>
        <w:tabs>
          <w:tab w:val="right" w:leader="dot" w:pos="9016"/>
        </w:tabs>
        <w:rPr>
          <w:rFonts w:asciiTheme="minorHAnsi" w:eastAsiaTheme="minorEastAsia" w:hAnsiTheme="minorHAnsi" w:cstheme="minorBidi"/>
          <w:noProof/>
          <w:sz w:val="22"/>
          <w:lang w:val="en-US"/>
        </w:rPr>
      </w:pPr>
      <w:hyperlink w:anchor="_Toc61894706" w:history="1">
        <w:r w:rsidR="00D45ED1" w:rsidRPr="00F746A2">
          <w:rPr>
            <w:rStyle w:val="Hyperlink"/>
            <w:noProof/>
            <w:lang w:eastAsia="zh-CN" w:bidi="hi-IN"/>
          </w:rPr>
          <w:t>3.2.2.5.1 OPSEC Training</w:t>
        </w:r>
        <w:r w:rsidR="00D45ED1">
          <w:rPr>
            <w:noProof/>
            <w:webHidden/>
          </w:rPr>
          <w:tab/>
        </w:r>
        <w:r w:rsidR="00D45ED1">
          <w:rPr>
            <w:noProof/>
            <w:webHidden/>
          </w:rPr>
          <w:fldChar w:fldCharType="begin"/>
        </w:r>
        <w:r w:rsidR="00D45ED1">
          <w:rPr>
            <w:noProof/>
            <w:webHidden/>
          </w:rPr>
          <w:instrText xml:space="preserve"> PAGEREF _Toc61894706 \h </w:instrText>
        </w:r>
        <w:r w:rsidR="00D45ED1">
          <w:rPr>
            <w:noProof/>
            <w:webHidden/>
          </w:rPr>
        </w:r>
        <w:r w:rsidR="00D45ED1">
          <w:rPr>
            <w:noProof/>
            <w:webHidden/>
          </w:rPr>
          <w:fldChar w:fldCharType="separate"/>
        </w:r>
        <w:r w:rsidR="00513D91">
          <w:rPr>
            <w:noProof/>
            <w:webHidden/>
          </w:rPr>
          <w:t>79</w:t>
        </w:r>
        <w:r w:rsidR="00D45ED1">
          <w:rPr>
            <w:noProof/>
            <w:webHidden/>
          </w:rPr>
          <w:fldChar w:fldCharType="end"/>
        </w:r>
      </w:hyperlink>
    </w:p>
    <w:p w14:paraId="479DC061" w14:textId="651A5095"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07" w:history="1">
        <w:r w:rsidR="00D45ED1" w:rsidRPr="00F746A2">
          <w:rPr>
            <w:rStyle w:val="Hyperlink"/>
            <w:bCs/>
            <w:noProof/>
          </w:rPr>
          <w:t>3.2.2.6</w:t>
        </w:r>
        <w:r w:rsidR="00D45ED1" w:rsidRPr="00F746A2">
          <w:rPr>
            <w:rStyle w:val="Hyperlink"/>
            <w:noProof/>
          </w:rPr>
          <w:t xml:space="preserve"> A Summary of the Theoretical Perspectives</w:t>
        </w:r>
        <w:r w:rsidR="00D45ED1">
          <w:rPr>
            <w:noProof/>
            <w:webHidden/>
          </w:rPr>
          <w:tab/>
        </w:r>
        <w:r w:rsidR="00D45ED1">
          <w:rPr>
            <w:noProof/>
            <w:webHidden/>
          </w:rPr>
          <w:fldChar w:fldCharType="begin"/>
        </w:r>
        <w:r w:rsidR="00D45ED1">
          <w:rPr>
            <w:noProof/>
            <w:webHidden/>
          </w:rPr>
          <w:instrText xml:space="preserve"> PAGEREF _Toc61894707 \h </w:instrText>
        </w:r>
        <w:r w:rsidR="00D45ED1">
          <w:rPr>
            <w:noProof/>
            <w:webHidden/>
          </w:rPr>
        </w:r>
        <w:r w:rsidR="00D45ED1">
          <w:rPr>
            <w:noProof/>
            <w:webHidden/>
          </w:rPr>
          <w:fldChar w:fldCharType="separate"/>
        </w:r>
        <w:r w:rsidR="00513D91">
          <w:rPr>
            <w:noProof/>
            <w:webHidden/>
          </w:rPr>
          <w:t>80</w:t>
        </w:r>
        <w:r w:rsidR="00D45ED1">
          <w:rPr>
            <w:noProof/>
            <w:webHidden/>
          </w:rPr>
          <w:fldChar w:fldCharType="end"/>
        </w:r>
      </w:hyperlink>
    </w:p>
    <w:p w14:paraId="09EA1FA2" w14:textId="447B4DA8"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08" w:history="1">
        <w:r w:rsidR="00D45ED1" w:rsidRPr="00F746A2">
          <w:rPr>
            <w:rStyle w:val="Hyperlink"/>
            <w:noProof/>
            <w:lang w:eastAsia="zh-CN" w:bidi="hi-IN"/>
          </w:rPr>
          <w:t>3.3 Proposed Conceptual Framework</w:t>
        </w:r>
        <w:r w:rsidR="00D45ED1">
          <w:rPr>
            <w:noProof/>
            <w:webHidden/>
          </w:rPr>
          <w:tab/>
        </w:r>
        <w:r w:rsidR="00D45ED1">
          <w:rPr>
            <w:noProof/>
            <w:webHidden/>
          </w:rPr>
          <w:fldChar w:fldCharType="begin"/>
        </w:r>
        <w:r w:rsidR="00D45ED1">
          <w:rPr>
            <w:noProof/>
            <w:webHidden/>
          </w:rPr>
          <w:instrText xml:space="preserve"> PAGEREF _Toc61894708 \h </w:instrText>
        </w:r>
        <w:r w:rsidR="00D45ED1">
          <w:rPr>
            <w:noProof/>
            <w:webHidden/>
          </w:rPr>
        </w:r>
        <w:r w:rsidR="00D45ED1">
          <w:rPr>
            <w:noProof/>
            <w:webHidden/>
          </w:rPr>
          <w:fldChar w:fldCharType="separate"/>
        </w:r>
        <w:r w:rsidR="00513D91">
          <w:rPr>
            <w:noProof/>
            <w:webHidden/>
          </w:rPr>
          <w:t>80</w:t>
        </w:r>
        <w:r w:rsidR="00D45ED1">
          <w:rPr>
            <w:noProof/>
            <w:webHidden/>
          </w:rPr>
          <w:fldChar w:fldCharType="end"/>
        </w:r>
      </w:hyperlink>
    </w:p>
    <w:p w14:paraId="75CC4DE2" w14:textId="15FEDE2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09" w:history="1">
        <w:r w:rsidR="00D45ED1" w:rsidRPr="00F746A2">
          <w:rPr>
            <w:rStyle w:val="Hyperlink"/>
            <w:bCs/>
            <w:noProof/>
            <w:lang w:eastAsia="zh-CN" w:bidi="hi-IN"/>
            <w14:scene3d>
              <w14:camera w14:prst="orthographicFront"/>
              <w14:lightRig w14:rig="threePt" w14:dir="t">
                <w14:rot w14:lat="0" w14:lon="0" w14:rev="0"/>
              </w14:lightRig>
            </w14:scene3d>
          </w:rPr>
          <w:t>3.3.1</w:t>
        </w:r>
        <w:r w:rsidR="00D45ED1" w:rsidRPr="00F746A2">
          <w:rPr>
            <w:rStyle w:val="Hyperlink"/>
            <w:noProof/>
            <w:lang w:eastAsia="zh-CN" w:bidi="hi-IN"/>
          </w:rPr>
          <w:t xml:space="preserve"> Development of the Framework</w:t>
        </w:r>
        <w:r w:rsidR="00D45ED1">
          <w:rPr>
            <w:noProof/>
            <w:webHidden/>
          </w:rPr>
          <w:tab/>
        </w:r>
        <w:r w:rsidR="00D45ED1">
          <w:rPr>
            <w:noProof/>
            <w:webHidden/>
          </w:rPr>
          <w:fldChar w:fldCharType="begin"/>
        </w:r>
        <w:r w:rsidR="00D45ED1">
          <w:rPr>
            <w:noProof/>
            <w:webHidden/>
          </w:rPr>
          <w:instrText xml:space="preserve"> PAGEREF _Toc61894709 \h </w:instrText>
        </w:r>
        <w:r w:rsidR="00D45ED1">
          <w:rPr>
            <w:noProof/>
            <w:webHidden/>
          </w:rPr>
        </w:r>
        <w:r w:rsidR="00D45ED1">
          <w:rPr>
            <w:noProof/>
            <w:webHidden/>
          </w:rPr>
          <w:fldChar w:fldCharType="separate"/>
        </w:r>
        <w:r w:rsidR="00513D91">
          <w:rPr>
            <w:noProof/>
            <w:webHidden/>
          </w:rPr>
          <w:t>80</w:t>
        </w:r>
        <w:r w:rsidR="00D45ED1">
          <w:rPr>
            <w:noProof/>
            <w:webHidden/>
          </w:rPr>
          <w:fldChar w:fldCharType="end"/>
        </w:r>
      </w:hyperlink>
    </w:p>
    <w:p w14:paraId="39D4D49B" w14:textId="3BA9EC60"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0" w:history="1">
        <w:r w:rsidR="00D45ED1" w:rsidRPr="00F746A2">
          <w:rPr>
            <w:rStyle w:val="Hyperlink"/>
            <w:noProof/>
            <w:lang w:eastAsia="zh-CN" w:bidi="hi-IN"/>
          </w:rPr>
          <w:t>3.4 Conclusion</w:t>
        </w:r>
        <w:r w:rsidR="00D45ED1">
          <w:rPr>
            <w:noProof/>
            <w:webHidden/>
          </w:rPr>
          <w:tab/>
        </w:r>
        <w:r w:rsidR="00D45ED1">
          <w:rPr>
            <w:noProof/>
            <w:webHidden/>
          </w:rPr>
          <w:fldChar w:fldCharType="begin"/>
        </w:r>
        <w:r w:rsidR="00D45ED1">
          <w:rPr>
            <w:noProof/>
            <w:webHidden/>
          </w:rPr>
          <w:instrText xml:space="preserve"> PAGEREF _Toc61894710 \h </w:instrText>
        </w:r>
        <w:r w:rsidR="00D45ED1">
          <w:rPr>
            <w:noProof/>
            <w:webHidden/>
          </w:rPr>
        </w:r>
        <w:r w:rsidR="00D45ED1">
          <w:rPr>
            <w:noProof/>
            <w:webHidden/>
          </w:rPr>
          <w:fldChar w:fldCharType="separate"/>
        </w:r>
        <w:r w:rsidR="00513D91">
          <w:rPr>
            <w:noProof/>
            <w:webHidden/>
          </w:rPr>
          <w:t>83</w:t>
        </w:r>
        <w:r w:rsidR="00D45ED1">
          <w:rPr>
            <w:noProof/>
            <w:webHidden/>
          </w:rPr>
          <w:fldChar w:fldCharType="end"/>
        </w:r>
      </w:hyperlink>
    </w:p>
    <w:p w14:paraId="34ED21BD" w14:textId="1DCC4DCC" w:rsidR="00D45ED1" w:rsidRDefault="00724BEE">
      <w:pPr>
        <w:pStyle w:val="TOC1"/>
        <w:rPr>
          <w:rFonts w:asciiTheme="minorHAnsi" w:eastAsiaTheme="minorEastAsia" w:hAnsiTheme="minorHAnsi" w:cstheme="minorBidi"/>
          <w:noProof/>
          <w:sz w:val="22"/>
          <w:lang w:val="en-US"/>
        </w:rPr>
      </w:pPr>
      <w:hyperlink w:anchor="_Toc61894711" w:history="1">
        <w:r w:rsidR="00D45ED1" w:rsidRPr="00F746A2">
          <w:rPr>
            <w:rStyle w:val="Hyperlink"/>
            <w:bCs/>
            <w:noProof/>
            <w:lang w:eastAsia="zh-CN" w:bidi="hi-IN"/>
          </w:rPr>
          <w:t>Chapter 4</w:t>
        </w:r>
        <w:r w:rsidR="00D45ED1" w:rsidRPr="00F746A2">
          <w:rPr>
            <w:rStyle w:val="Hyperlink"/>
            <w:noProof/>
            <w:lang w:eastAsia="zh-CN" w:bidi="hi-IN"/>
          </w:rPr>
          <w:t xml:space="preserve"> Methodology</w:t>
        </w:r>
        <w:r w:rsidR="00D45ED1">
          <w:rPr>
            <w:noProof/>
            <w:webHidden/>
          </w:rPr>
          <w:tab/>
        </w:r>
        <w:r w:rsidR="00D45ED1">
          <w:rPr>
            <w:noProof/>
            <w:webHidden/>
          </w:rPr>
          <w:fldChar w:fldCharType="begin"/>
        </w:r>
        <w:r w:rsidR="00D45ED1">
          <w:rPr>
            <w:noProof/>
            <w:webHidden/>
          </w:rPr>
          <w:instrText xml:space="preserve"> PAGEREF _Toc61894711 \h </w:instrText>
        </w:r>
        <w:r w:rsidR="00D45ED1">
          <w:rPr>
            <w:noProof/>
            <w:webHidden/>
          </w:rPr>
        </w:r>
        <w:r w:rsidR="00D45ED1">
          <w:rPr>
            <w:noProof/>
            <w:webHidden/>
          </w:rPr>
          <w:fldChar w:fldCharType="separate"/>
        </w:r>
        <w:r w:rsidR="00513D91">
          <w:rPr>
            <w:noProof/>
            <w:webHidden/>
          </w:rPr>
          <w:t>85</w:t>
        </w:r>
        <w:r w:rsidR="00D45ED1">
          <w:rPr>
            <w:noProof/>
            <w:webHidden/>
          </w:rPr>
          <w:fldChar w:fldCharType="end"/>
        </w:r>
      </w:hyperlink>
    </w:p>
    <w:p w14:paraId="08342AED" w14:textId="2D55720E"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2" w:history="1">
        <w:r w:rsidR="00D45ED1" w:rsidRPr="00F746A2">
          <w:rPr>
            <w:rStyle w:val="Hyperlink"/>
            <w:rFonts w:eastAsia="SimSun"/>
            <w:noProof/>
            <w:lang w:eastAsia="zh-CN"/>
          </w:rPr>
          <w:t>4.1 Introduction</w:t>
        </w:r>
        <w:r w:rsidR="00D45ED1">
          <w:rPr>
            <w:noProof/>
            <w:webHidden/>
          </w:rPr>
          <w:tab/>
        </w:r>
        <w:r w:rsidR="00D45ED1">
          <w:rPr>
            <w:noProof/>
            <w:webHidden/>
          </w:rPr>
          <w:fldChar w:fldCharType="begin"/>
        </w:r>
        <w:r w:rsidR="00D45ED1">
          <w:rPr>
            <w:noProof/>
            <w:webHidden/>
          </w:rPr>
          <w:instrText xml:space="preserve"> PAGEREF _Toc61894712 \h </w:instrText>
        </w:r>
        <w:r w:rsidR="00D45ED1">
          <w:rPr>
            <w:noProof/>
            <w:webHidden/>
          </w:rPr>
        </w:r>
        <w:r w:rsidR="00D45ED1">
          <w:rPr>
            <w:noProof/>
            <w:webHidden/>
          </w:rPr>
          <w:fldChar w:fldCharType="separate"/>
        </w:r>
        <w:r w:rsidR="00513D91">
          <w:rPr>
            <w:noProof/>
            <w:webHidden/>
          </w:rPr>
          <w:t>85</w:t>
        </w:r>
        <w:r w:rsidR="00D45ED1">
          <w:rPr>
            <w:noProof/>
            <w:webHidden/>
          </w:rPr>
          <w:fldChar w:fldCharType="end"/>
        </w:r>
      </w:hyperlink>
    </w:p>
    <w:p w14:paraId="545F82B7" w14:textId="6AFF4FD8"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3" w:history="1">
        <w:r w:rsidR="00D45ED1" w:rsidRPr="00F746A2">
          <w:rPr>
            <w:rStyle w:val="Hyperlink"/>
            <w:rFonts w:eastAsia="SimSun"/>
            <w:noProof/>
            <w:lang w:eastAsia="zh-CN"/>
          </w:rPr>
          <w:t>4.2 Layers of Research</w:t>
        </w:r>
        <w:r w:rsidR="00D45ED1">
          <w:rPr>
            <w:noProof/>
            <w:webHidden/>
          </w:rPr>
          <w:tab/>
        </w:r>
        <w:r w:rsidR="00D45ED1">
          <w:rPr>
            <w:noProof/>
            <w:webHidden/>
          </w:rPr>
          <w:fldChar w:fldCharType="begin"/>
        </w:r>
        <w:r w:rsidR="00D45ED1">
          <w:rPr>
            <w:noProof/>
            <w:webHidden/>
          </w:rPr>
          <w:instrText xml:space="preserve"> PAGEREF _Toc61894713 \h </w:instrText>
        </w:r>
        <w:r w:rsidR="00D45ED1">
          <w:rPr>
            <w:noProof/>
            <w:webHidden/>
          </w:rPr>
        </w:r>
        <w:r w:rsidR="00D45ED1">
          <w:rPr>
            <w:noProof/>
            <w:webHidden/>
          </w:rPr>
          <w:fldChar w:fldCharType="separate"/>
        </w:r>
        <w:r w:rsidR="00513D91">
          <w:rPr>
            <w:noProof/>
            <w:webHidden/>
          </w:rPr>
          <w:t>85</w:t>
        </w:r>
        <w:r w:rsidR="00D45ED1">
          <w:rPr>
            <w:noProof/>
            <w:webHidden/>
          </w:rPr>
          <w:fldChar w:fldCharType="end"/>
        </w:r>
      </w:hyperlink>
    </w:p>
    <w:p w14:paraId="6F267E4B" w14:textId="63B64F22"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4" w:history="1">
        <w:r w:rsidR="00D45ED1" w:rsidRPr="00F746A2">
          <w:rPr>
            <w:rStyle w:val="Hyperlink"/>
            <w:noProof/>
            <w:lang w:eastAsia="zh-CN"/>
          </w:rPr>
          <w:t>4.3 Research Philosophy</w:t>
        </w:r>
        <w:r w:rsidR="00D45ED1">
          <w:rPr>
            <w:noProof/>
            <w:webHidden/>
          </w:rPr>
          <w:tab/>
        </w:r>
        <w:r w:rsidR="00D45ED1">
          <w:rPr>
            <w:noProof/>
            <w:webHidden/>
          </w:rPr>
          <w:fldChar w:fldCharType="begin"/>
        </w:r>
        <w:r w:rsidR="00D45ED1">
          <w:rPr>
            <w:noProof/>
            <w:webHidden/>
          </w:rPr>
          <w:instrText xml:space="preserve"> PAGEREF _Toc61894714 \h </w:instrText>
        </w:r>
        <w:r w:rsidR="00D45ED1">
          <w:rPr>
            <w:noProof/>
            <w:webHidden/>
          </w:rPr>
        </w:r>
        <w:r w:rsidR="00D45ED1">
          <w:rPr>
            <w:noProof/>
            <w:webHidden/>
          </w:rPr>
          <w:fldChar w:fldCharType="separate"/>
        </w:r>
        <w:r w:rsidR="00513D91">
          <w:rPr>
            <w:noProof/>
            <w:webHidden/>
          </w:rPr>
          <w:t>86</w:t>
        </w:r>
        <w:r w:rsidR="00D45ED1">
          <w:rPr>
            <w:noProof/>
            <w:webHidden/>
          </w:rPr>
          <w:fldChar w:fldCharType="end"/>
        </w:r>
      </w:hyperlink>
    </w:p>
    <w:p w14:paraId="32C7FEF4" w14:textId="5987B0C3"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5" w:history="1">
        <w:r w:rsidR="00D45ED1" w:rsidRPr="00F746A2">
          <w:rPr>
            <w:rStyle w:val="Hyperlink"/>
            <w:rFonts w:eastAsia="SimSun"/>
            <w:noProof/>
            <w:lang w:eastAsia="zh-CN"/>
          </w:rPr>
          <w:t>4.4 Research Paradigm</w:t>
        </w:r>
        <w:r w:rsidR="00D45ED1">
          <w:rPr>
            <w:noProof/>
            <w:webHidden/>
          </w:rPr>
          <w:tab/>
        </w:r>
        <w:r w:rsidR="00D45ED1">
          <w:rPr>
            <w:noProof/>
            <w:webHidden/>
          </w:rPr>
          <w:fldChar w:fldCharType="begin"/>
        </w:r>
        <w:r w:rsidR="00D45ED1">
          <w:rPr>
            <w:noProof/>
            <w:webHidden/>
          </w:rPr>
          <w:instrText xml:space="preserve"> PAGEREF _Toc61894715 \h </w:instrText>
        </w:r>
        <w:r w:rsidR="00D45ED1">
          <w:rPr>
            <w:noProof/>
            <w:webHidden/>
          </w:rPr>
        </w:r>
        <w:r w:rsidR="00D45ED1">
          <w:rPr>
            <w:noProof/>
            <w:webHidden/>
          </w:rPr>
          <w:fldChar w:fldCharType="separate"/>
        </w:r>
        <w:r w:rsidR="00513D91">
          <w:rPr>
            <w:noProof/>
            <w:webHidden/>
          </w:rPr>
          <w:t>87</w:t>
        </w:r>
        <w:r w:rsidR="00D45ED1">
          <w:rPr>
            <w:noProof/>
            <w:webHidden/>
          </w:rPr>
          <w:fldChar w:fldCharType="end"/>
        </w:r>
      </w:hyperlink>
    </w:p>
    <w:p w14:paraId="3D8CAC49" w14:textId="46712B61"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6" w:history="1">
        <w:r w:rsidR="00D45ED1" w:rsidRPr="00F746A2">
          <w:rPr>
            <w:rStyle w:val="Hyperlink"/>
            <w:rFonts w:eastAsia="SimSun"/>
            <w:noProof/>
            <w:lang w:eastAsia="zh-CN"/>
          </w:rPr>
          <w:t>4.5 Methodology</w:t>
        </w:r>
        <w:r w:rsidR="00D45ED1">
          <w:rPr>
            <w:noProof/>
            <w:webHidden/>
          </w:rPr>
          <w:tab/>
        </w:r>
        <w:r w:rsidR="00D45ED1">
          <w:rPr>
            <w:noProof/>
            <w:webHidden/>
          </w:rPr>
          <w:fldChar w:fldCharType="begin"/>
        </w:r>
        <w:r w:rsidR="00D45ED1">
          <w:rPr>
            <w:noProof/>
            <w:webHidden/>
          </w:rPr>
          <w:instrText xml:space="preserve"> PAGEREF _Toc61894716 \h </w:instrText>
        </w:r>
        <w:r w:rsidR="00D45ED1">
          <w:rPr>
            <w:noProof/>
            <w:webHidden/>
          </w:rPr>
        </w:r>
        <w:r w:rsidR="00D45ED1">
          <w:rPr>
            <w:noProof/>
            <w:webHidden/>
          </w:rPr>
          <w:fldChar w:fldCharType="separate"/>
        </w:r>
        <w:r w:rsidR="00513D91">
          <w:rPr>
            <w:noProof/>
            <w:webHidden/>
          </w:rPr>
          <w:t>88</w:t>
        </w:r>
        <w:r w:rsidR="00D45ED1">
          <w:rPr>
            <w:noProof/>
            <w:webHidden/>
          </w:rPr>
          <w:fldChar w:fldCharType="end"/>
        </w:r>
      </w:hyperlink>
    </w:p>
    <w:p w14:paraId="58BA3799" w14:textId="732CC2F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7" w:history="1">
        <w:r w:rsidR="00D45ED1" w:rsidRPr="00F746A2">
          <w:rPr>
            <w:rStyle w:val="Hyperlink"/>
            <w:noProof/>
            <w:lang w:eastAsia="zh-CN"/>
          </w:rPr>
          <w:t>4.6 Research Design</w:t>
        </w:r>
        <w:r w:rsidR="00D45ED1">
          <w:rPr>
            <w:noProof/>
            <w:webHidden/>
          </w:rPr>
          <w:tab/>
        </w:r>
        <w:r w:rsidR="00D45ED1">
          <w:rPr>
            <w:noProof/>
            <w:webHidden/>
          </w:rPr>
          <w:fldChar w:fldCharType="begin"/>
        </w:r>
        <w:r w:rsidR="00D45ED1">
          <w:rPr>
            <w:noProof/>
            <w:webHidden/>
          </w:rPr>
          <w:instrText xml:space="preserve"> PAGEREF _Toc61894717 \h </w:instrText>
        </w:r>
        <w:r w:rsidR="00D45ED1">
          <w:rPr>
            <w:noProof/>
            <w:webHidden/>
          </w:rPr>
        </w:r>
        <w:r w:rsidR="00D45ED1">
          <w:rPr>
            <w:noProof/>
            <w:webHidden/>
          </w:rPr>
          <w:fldChar w:fldCharType="separate"/>
        </w:r>
        <w:r w:rsidR="00513D91">
          <w:rPr>
            <w:noProof/>
            <w:webHidden/>
          </w:rPr>
          <w:t>89</w:t>
        </w:r>
        <w:r w:rsidR="00D45ED1">
          <w:rPr>
            <w:noProof/>
            <w:webHidden/>
          </w:rPr>
          <w:fldChar w:fldCharType="end"/>
        </w:r>
      </w:hyperlink>
    </w:p>
    <w:p w14:paraId="7AF3C291" w14:textId="0E4FEEBE"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18" w:history="1">
        <w:r w:rsidR="00D45ED1" w:rsidRPr="00F746A2">
          <w:rPr>
            <w:rStyle w:val="Hyperlink"/>
            <w:rFonts w:eastAsia="SimSun"/>
            <w:noProof/>
            <w:lang w:eastAsia="zh-CN"/>
          </w:rPr>
          <w:t>4.7 Sample Selection</w:t>
        </w:r>
        <w:r w:rsidR="00D45ED1">
          <w:rPr>
            <w:noProof/>
            <w:webHidden/>
          </w:rPr>
          <w:tab/>
        </w:r>
        <w:r w:rsidR="00D45ED1">
          <w:rPr>
            <w:noProof/>
            <w:webHidden/>
          </w:rPr>
          <w:fldChar w:fldCharType="begin"/>
        </w:r>
        <w:r w:rsidR="00D45ED1">
          <w:rPr>
            <w:noProof/>
            <w:webHidden/>
          </w:rPr>
          <w:instrText xml:space="preserve"> PAGEREF _Toc61894718 \h </w:instrText>
        </w:r>
        <w:r w:rsidR="00D45ED1">
          <w:rPr>
            <w:noProof/>
            <w:webHidden/>
          </w:rPr>
        </w:r>
        <w:r w:rsidR="00D45ED1">
          <w:rPr>
            <w:noProof/>
            <w:webHidden/>
          </w:rPr>
          <w:fldChar w:fldCharType="separate"/>
        </w:r>
        <w:r w:rsidR="00513D91">
          <w:rPr>
            <w:noProof/>
            <w:webHidden/>
          </w:rPr>
          <w:t>89</w:t>
        </w:r>
        <w:r w:rsidR="00D45ED1">
          <w:rPr>
            <w:noProof/>
            <w:webHidden/>
          </w:rPr>
          <w:fldChar w:fldCharType="end"/>
        </w:r>
      </w:hyperlink>
    </w:p>
    <w:p w14:paraId="747C3AA5" w14:textId="762D35EA"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19" w:history="1">
        <w:r w:rsidR="00D45ED1" w:rsidRPr="00F746A2">
          <w:rPr>
            <w:rStyle w:val="Hyperlink"/>
            <w:bCs/>
            <w:noProof/>
            <w:lang w:eastAsia="zh-CN"/>
            <w14:scene3d>
              <w14:camera w14:prst="orthographicFront"/>
              <w14:lightRig w14:rig="threePt" w14:dir="t">
                <w14:rot w14:lat="0" w14:lon="0" w14:rev="0"/>
              </w14:lightRig>
            </w14:scene3d>
          </w:rPr>
          <w:t>4.7.1</w:t>
        </w:r>
        <w:r w:rsidR="00D45ED1" w:rsidRPr="00F746A2">
          <w:rPr>
            <w:rStyle w:val="Hyperlink"/>
            <w:noProof/>
            <w:lang w:eastAsia="zh-CN"/>
          </w:rPr>
          <w:t xml:space="preserve"> Justification of Sample Size</w:t>
        </w:r>
        <w:r w:rsidR="00D45ED1">
          <w:rPr>
            <w:noProof/>
            <w:webHidden/>
          </w:rPr>
          <w:tab/>
        </w:r>
        <w:r w:rsidR="00D45ED1">
          <w:rPr>
            <w:noProof/>
            <w:webHidden/>
          </w:rPr>
          <w:fldChar w:fldCharType="begin"/>
        </w:r>
        <w:r w:rsidR="00D45ED1">
          <w:rPr>
            <w:noProof/>
            <w:webHidden/>
          </w:rPr>
          <w:instrText xml:space="preserve"> PAGEREF _Toc61894719 \h </w:instrText>
        </w:r>
        <w:r w:rsidR="00D45ED1">
          <w:rPr>
            <w:noProof/>
            <w:webHidden/>
          </w:rPr>
        </w:r>
        <w:r w:rsidR="00D45ED1">
          <w:rPr>
            <w:noProof/>
            <w:webHidden/>
          </w:rPr>
          <w:fldChar w:fldCharType="separate"/>
        </w:r>
        <w:r w:rsidR="00513D91">
          <w:rPr>
            <w:noProof/>
            <w:webHidden/>
          </w:rPr>
          <w:t>90</w:t>
        </w:r>
        <w:r w:rsidR="00D45ED1">
          <w:rPr>
            <w:noProof/>
            <w:webHidden/>
          </w:rPr>
          <w:fldChar w:fldCharType="end"/>
        </w:r>
      </w:hyperlink>
    </w:p>
    <w:p w14:paraId="5CE2C373" w14:textId="05981E9F"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0" w:history="1">
        <w:r w:rsidR="00D45ED1" w:rsidRPr="00F746A2">
          <w:rPr>
            <w:rStyle w:val="Hyperlink"/>
            <w:bCs/>
            <w:noProof/>
            <w:lang w:eastAsia="zh-CN"/>
            <w14:scene3d>
              <w14:camera w14:prst="orthographicFront"/>
              <w14:lightRig w14:rig="threePt" w14:dir="t">
                <w14:rot w14:lat="0" w14:lon="0" w14:rev="0"/>
              </w14:lightRig>
            </w14:scene3d>
          </w:rPr>
          <w:t>4.7.2</w:t>
        </w:r>
        <w:r w:rsidR="00D45ED1" w:rsidRPr="00F746A2">
          <w:rPr>
            <w:rStyle w:val="Hyperlink"/>
            <w:noProof/>
            <w:lang w:eastAsia="zh-CN"/>
          </w:rPr>
          <w:t xml:space="preserve"> Demographic Information of Sample Population</w:t>
        </w:r>
        <w:r w:rsidR="00D45ED1">
          <w:rPr>
            <w:noProof/>
            <w:webHidden/>
          </w:rPr>
          <w:tab/>
        </w:r>
        <w:r w:rsidR="00D45ED1">
          <w:rPr>
            <w:noProof/>
            <w:webHidden/>
          </w:rPr>
          <w:fldChar w:fldCharType="begin"/>
        </w:r>
        <w:r w:rsidR="00D45ED1">
          <w:rPr>
            <w:noProof/>
            <w:webHidden/>
          </w:rPr>
          <w:instrText xml:space="preserve"> PAGEREF _Toc61894720 \h </w:instrText>
        </w:r>
        <w:r w:rsidR="00D45ED1">
          <w:rPr>
            <w:noProof/>
            <w:webHidden/>
          </w:rPr>
        </w:r>
        <w:r w:rsidR="00D45ED1">
          <w:rPr>
            <w:noProof/>
            <w:webHidden/>
          </w:rPr>
          <w:fldChar w:fldCharType="separate"/>
        </w:r>
        <w:r w:rsidR="00513D91">
          <w:rPr>
            <w:noProof/>
            <w:webHidden/>
          </w:rPr>
          <w:t>91</w:t>
        </w:r>
        <w:r w:rsidR="00D45ED1">
          <w:rPr>
            <w:noProof/>
            <w:webHidden/>
          </w:rPr>
          <w:fldChar w:fldCharType="end"/>
        </w:r>
      </w:hyperlink>
    </w:p>
    <w:p w14:paraId="02710832" w14:textId="119F53CD"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21" w:history="1">
        <w:r w:rsidR="00D45ED1" w:rsidRPr="00F746A2">
          <w:rPr>
            <w:rStyle w:val="Hyperlink"/>
            <w:rFonts w:eastAsia="SimSun"/>
            <w:noProof/>
            <w:lang w:eastAsia="zh-CN"/>
          </w:rPr>
          <w:t>4.8 Basis of Questionnaire</w:t>
        </w:r>
        <w:r w:rsidR="00D45ED1">
          <w:rPr>
            <w:noProof/>
            <w:webHidden/>
          </w:rPr>
          <w:tab/>
        </w:r>
        <w:r w:rsidR="00D45ED1">
          <w:rPr>
            <w:noProof/>
            <w:webHidden/>
          </w:rPr>
          <w:fldChar w:fldCharType="begin"/>
        </w:r>
        <w:r w:rsidR="00D45ED1">
          <w:rPr>
            <w:noProof/>
            <w:webHidden/>
          </w:rPr>
          <w:instrText xml:space="preserve"> PAGEREF _Toc61894721 \h </w:instrText>
        </w:r>
        <w:r w:rsidR="00D45ED1">
          <w:rPr>
            <w:noProof/>
            <w:webHidden/>
          </w:rPr>
        </w:r>
        <w:r w:rsidR="00D45ED1">
          <w:rPr>
            <w:noProof/>
            <w:webHidden/>
          </w:rPr>
          <w:fldChar w:fldCharType="separate"/>
        </w:r>
        <w:r w:rsidR="00513D91">
          <w:rPr>
            <w:noProof/>
            <w:webHidden/>
          </w:rPr>
          <w:t>93</w:t>
        </w:r>
        <w:r w:rsidR="00D45ED1">
          <w:rPr>
            <w:noProof/>
            <w:webHidden/>
          </w:rPr>
          <w:fldChar w:fldCharType="end"/>
        </w:r>
      </w:hyperlink>
    </w:p>
    <w:p w14:paraId="45540B7A" w14:textId="601546A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2" w:history="1">
        <w:r w:rsidR="00D45ED1" w:rsidRPr="00F746A2">
          <w:rPr>
            <w:rStyle w:val="Hyperlink"/>
            <w:bCs/>
            <w:noProof/>
            <w:lang w:eastAsia="zh-CN"/>
            <w14:scene3d>
              <w14:camera w14:prst="orthographicFront"/>
              <w14:lightRig w14:rig="threePt" w14:dir="t">
                <w14:rot w14:lat="0" w14:lon="0" w14:rev="0"/>
              </w14:lightRig>
            </w14:scene3d>
          </w:rPr>
          <w:t>4.8.1</w:t>
        </w:r>
        <w:r w:rsidR="00D45ED1" w:rsidRPr="00F746A2">
          <w:rPr>
            <w:rStyle w:val="Hyperlink"/>
            <w:noProof/>
            <w:lang w:eastAsia="zh-CN"/>
          </w:rPr>
          <w:t xml:space="preserve"> Data Collection – Designing the Instrument</w:t>
        </w:r>
        <w:r w:rsidR="00D45ED1">
          <w:rPr>
            <w:noProof/>
            <w:webHidden/>
          </w:rPr>
          <w:tab/>
        </w:r>
        <w:r w:rsidR="00D45ED1">
          <w:rPr>
            <w:noProof/>
            <w:webHidden/>
          </w:rPr>
          <w:fldChar w:fldCharType="begin"/>
        </w:r>
        <w:r w:rsidR="00D45ED1">
          <w:rPr>
            <w:noProof/>
            <w:webHidden/>
          </w:rPr>
          <w:instrText xml:space="preserve"> PAGEREF _Toc61894722 \h </w:instrText>
        </w:r>
        <w:r w:rsidR="00D45ED1">
          <w:rPr>
            <w:noProof/>
            <w:webHidden/>
          </w:rPr>
        </w:r>
        <w:r w:rsidR="00D45ED1">
          <w:rPr>
            <w:noProof/>
            <w:webHidden/>
          </w:rPr>
          <w:fldChar w:fldCharType="separate"/>
        </w:r>
        <w:r w:rsidR="00513D91">
          <w:rPr>
            <w:noProof/>
            <w:webHidden/>
          </w:rPr>
          <w:t>94</w:t>
        </w:r>
        <w:r w:rsidR="00D45ED1">
          <w:rPr>
            <w:noProof/>
            <w:webHidden/>
          </w:rPr>
          <w:fldChar w:fldCharType="end"/>
        </w:r>
      </w:hyperlink>
    </w:p>
    <w:p w14:paraId="444932B2" w14:textId="781FE7FE"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3" w:history="1">
        <w:r w:rsidR="00D45ED1" w:rsidRPr="00F746A2">
          <w:rPr>
            <w:rStyle w:val="Hyperlink"/>
            <w:bCs/>
            <w:noProof/>
            <w:lang w:eastAsia="zh-CN"/>
            <w14:scene3d>
              <w14:camera w14:prst="orthographicFront"/>
              <w14:lightRig w14:rig="threePt" w14:dir="t">
                <w14:rot w14:lat="0" w14:lon="0" w14:rev="0"/>
              </w14:lightRig>
            </w14:scene3d>
          </w:rPr>
          <w:t>4.8.2</w:t>
        </w:r>
        <w:r w:rsidR="00D45ED1" w:rsidRPr="00F746A2">
          <w:rPr>
            <w:rStyle w:val="Hyperlink"/>
            <w:noProof/>
            <w:lang w:eastAsia="zh-CN"/>
          </w:rPr>
          <w:t xml:space="preserve"> Data Collection – Validating the Instrument</w:t>
        </w:r>
        <w:r w:rsidR="00D45ED1">
          <w:rPr>
            <w:noProof/>
            <w:webHidden/>
          </w:rPr>
          <w:tab/>
        </w:r>
        <w:r w:rsidR="00D45ED1">
          <w:rPr>
            <w:noProof/>
            <w:webHidden/>
          </w:rPr>
          <w:fldChar w:fldCharType="begin"/>
        </w:r>
        <w:r w:rsidR="00D45ED1">
          <w:rPr>
            <w:noProof/>
            <w:webHidden/>
          </w:rPr>
          <w:instrText xml:space="preserve"> PAGEREF _Toc61894723 \h </w:instrText>
        </w:r>
        <w:r w:rsidR="00D45ED1">
          <w:rPr>
            <w:noProof/>
            <w:webHidden/>
          </w:rPr>
        </w:r>
        <w:r w:rsidR="00D45ED1">
          <w:rPr>
            <w:noProof/>
            <w:webHidden/>
          </w:rPr>
          <w:fldChar w:fldCharType="separate"/>
        </w:r>
        <w:r w:rsidR="00513D91">
          <w:rPr>
            <w:noProof/>
            <w:webHidden/>
          </w:rPr>
          <w:t>95</w:t>
        </w:r>
        <w:r w:rsidR="00D45ED1">
          <w:rPr>
            <w:noProof/>
            <w:webHidden/>
          </w:rPr>
          <w:fldChar w:fldCharType="end"/>
        </w:r>
      </w:hyperlink>
    </w:p>
    <w:p w14:paraId="472AAC4F" w14:textId="4F72FD51"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24" w:history="1">
        <w:r w:rsidR="00D45ED1" w:rsidRPr="00F746A2">
          <w:rPr>
            <w:rStyle w:val="Hyperlink"/>
            <w:rFonts w:eastAsia="Calibri"/>
            <w:noProof/>
          </w:rPr>
          <w:t>4.9 Justification or Rationale</w:t>
        </w:r>
        <w:r w:rsidR="00D45ED1">
          <w:rPr>
            <w:noProof/>
            <w:webHidden/>
          </w:rPr>
          <w:tab/>
        </w:r>
        <w:r w:rsidR="00D45ED1">
          <w:rPr>
            <w:noProof/>
            <w:webHidden/>
          </w:rPr>
          <w:fldChar w:fldCharType="begin"/>
        </w:r>
        <w:r w:rsidR="00D45ED1">
          <w:rPr>
            <w:noProof/>
            <w:webHidden/>
          </w:rPr>
          <w:instrText xml:space="preserve"> PAGEREF _Toc61894724 \h </w:instrText>
        </w:r>
        <w:r w:rsidR="00D45ED1">
          <w:rPr>
            <w:noProof/>
            <w:webHidden/>
          </w:rPr>
        </w:r>
        <w:r w:rsidR="00D45ED1">
          <w:rPr>
            <w:noProof/>
            <w:webHidden/>
          </w:rPr>
          <w:fldChar w:fldCharType="separate"/>
        </w:r>
        <w:r w:rsidR="00513D91">
          <w:rPr>
            <w:noProof/>
            <w:webHidden/>
          </w:rPr>
          <w:t>95</w:t>
        </w:r>
        <w:r w:rsidR="00D45ED1">
          <w:rPr>
            <w:noProof/>
            <w:webHidden/>
          </w:rPr>
          <w:fldChar w:fldCharType="end"/>
        </w:r>
      </w:hyperlink>
    </w:p>
    <w:p w14:paraId="4B211DC7" w14:textId="688AB9A7"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25" w:history="1">
        <w:r w:rsidR="00D45ED1" w:rsidRPr="00F746A2">
          <w:rPr>
            <w:rStyle w:val="Hyperlink"/>
            <w:rFonts w:eastAsia="Calibri"/>
            <w:noProof/>
          </w:rPr>
          <w:t>4.10 Quantitative Data Analysis</w:t>
        </w:r>
        <w:r w:rsidR="00D45ED1">
          <w:rPr>
            <w:noProof/>
            <w:webHidden/>
          </w:rPr>
          <w:tab/>
        </w:r>
        <w:r w:rsidR="00D45ED1">
          <w:rPr>
            <w:noProof/>
            <w:webHidden/>
          </w:rPr>
          <w:fldChar w:fldCharType="begin"/>
        </w:r>
        <w:r w:rsidR="00D45ED1">
          <w:rPr>
            <w:noProof/>
            <w:webHidden/>
          </w:rPr>
          <w:instrText xml:space="preserve"> PAGEREF _Toc61894725 \h </w:instrText>
        </w:r>
        <w:r w:rsidR="00D45ED1">
          <w:rPr>
            <w:noProof/>
            <w:webHidden/>
          </w:rPr>
        </w:r>
        <w:r w:rsidR="00D45ED1">
          <w:rPr>
            <w:noProof/>
            <w:webHidden/>
          </w:rPr>
          <w:fldChar w:fldCharType="separate"/>
        </w:r>
        <w:r w:rsidR="00513D91">
          <w:rPr>
            <w:noProof/>
            <w:webHidden/>
          </w:rPr>
          <w:t>97</w:t>
        </w:r>
        <w:r w:rsidR="00D45ED1">
          <w:rPr>
            <w:noProof/>
            <w:webHidden/>
          </w:rPr>
          <w:fldChar w:fldCharType="end"/>
        </w:r>
      </w:hyperlink>
    </w:p>
    <w:p w14:paraId="50803548" w14:textId="121CF7D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26" w:history="1">
        <w:r w:rsidR="00D45ED1" w:rsidRPr="00F746A2">
          <w:rPr>
            <w:rStyle w:val="Hyperlink"/>
            <w:rFonts w:eastAsia="SimSun"/>
            <w:noProof/>
            <w:lang w:eastAsia="zh-CN"/>
          </w:rPr>
          <w:t>4.11 Research Method Justification</w:t>
        </w:r>
        <w:r w:rsidR="00D45ED1">
          <w:rPr>
            <w:noProof/>
            <w:webHidden/>
          </w:rPr>
          <w:tab/>
        </w:r>
        <w:r w:rsidR="00D45ED1">
          <w:rPr>
            <w:noProof/>
            <w:webHidden/>
          </w:rPr>
          <w:fldChar w:fldCharType="begin"/>
        </w:r>
        <w:r w:rsidR="00D45ED1">
          <w:rPr>
            <w:noProof/>
            <w:webHidden/>
          </w:rPr>
          <w:instrText xml:space="preserve"> PAGEREF _Toc61894726 \h </w:instrText>
        </w:r>
        <w:r w:rsidR="00D45ED1">
          <w:rPr>
            <w:noProof/>
            <w:webHidden/>
          </w:rPr>
        </w:r>
        <w:r w:rsidR="00D45ED1">
          <w:rPr>
            <w:noProof/>
            <w:webHidden/>
          </w:rPr>
          <w:fldChar w:fldCharType="separate"/>
        </w:r>
        <w:r w:rsidR="00513D91">
          <w:rPr>
            <w:noProof/>
            <w:webHidden/>
          </w:rPr>
          <w:t>97</w:t>
        </w:r>
        <w:r w:rsidR="00D45ED1">
          <w:rPr>
            <w:noProof/>
            <w:webHidden/>
          </w:rPr>
          <w:fldChar w:fldCharType="end"/>
        </w:r>
      </w:hyperlink>
    </w:p>
    <w:p w14:paraId="6188EAC3" w14:textId="1435218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7" w:history="1">
        <w:r w:rsidR="00D45ED1" w:rsidRPr="00F746A2">
          <w:rPr>
            <w:rStyle w:val="Hyperlink"/>
            <w:rFonts w:eastAsia="Calibri"/>
            <w:bCs/>
            <w:noProof/>
            <w14:scene3d>
              <w14:camera w14:prst="orthographicFront"/>
              <w14:lightRig w14:rig="threePt" w14:dir="t">
                <w14:rot w14:lat="0" w14:lon="0" w14:rev="0"/>
              </w14:lightRig>
            </w14:scene3d>
          </w:rPr>
          <w:t>4.11.1</w:t>
        </w:r>
        <w:r w:rsidR="00D45ED1" w:rsidRPr="00F746A2">
          <w:rPr>
            <w:rStyle w:val="Hyperlink"/>
            <w:rFonts w:eastAsia="Calibri"/>
            <w:noProof/>
          </w:rPr>
          <w:t xml:space="preserve"> Thematic Literature Review and Risk Clustering</w:t>
        </w:r>
        <w:r w:rsidR="00D45ED1">
          <w:rPr>
            <w:noProof/>
            <w:webHidden/>
          </w:rPr>
          <w:tab/>
        </w:r>
        <w:r w:rsidR="00D45ED1">
          <w:rPr>
            <w:noProof/>
            <w:webHidden/>
          </w:rPr>
          <w:fldChar w:fldCharType="begin"/>
        </w:r>
        <w:r w:rsidR="00D45ED1">
          <w:rPr>
            <w:noProof/>
            <w:webHidden/>
          </w:rPr>
          <w:instrText xml:space="preserve"> PAGEREF _Toc61894727 \h </w:instrText>
        </w:r>
        <w:r w:rsidR="00D45ED1">
          <w:rPr>
            <w:noProof/>
            <w:webHidden/>
          </w:rPr>
        </w:r>
        <w:r w:rsidR="00D45ED1">
          <w:rPr>
            <w:noProof/>
            <w:webHidden/>
          </w:rPr>
          <w:fldChar w:fldCharType="separate"/>
        </w:r>
        <w:r w:rsidR="00513D91">
          <w:rPr>
            <w:noProof/>
            <w:webHidden/>
          </w:rPr>
          <w:t>99</w:t>
        </w:r>
        <w:r w:rsidR="00D45ED1">
          <w:rPr>
            <w:noProof/>
            <w:webHidden/>
          </w:rPr>
          <w:fldChar w:fldCharType="end"/>
        </w:r>
      </w:hyperlink>
    </w:p>
    <w:p w14:paraId="5CA33259" w14:textId="1AAA9E8D"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8" w:history="1">
        <w:r w:rsidR="00D45ED1" w:rsidRPr="00F746A2">
          <w:rPr>
            <w:rStyle w:val="Hyperlink"/>
            <w:rFonts w:eastAsia="Calibri"/>
            <w:bCs/>
            <w:noProof/>
            <w14:scene3d>
              <w14:camera w14:prst="orthographicFront"/>
              <w14:lightRig w14:rig="threePt" w14:dir="t">
                <w14:rot w14:lat="0" w14:lon="0" w14:rev="0"/>
              </w14:lightRig>
            </w14:scene3d>
          </w:rPr>
          <w:t>4.11.2</w:t>
        </w:r>
        <w:r w:rsidR="00D45ED1" w:rsidRPr="00F746A2">
          <w:rPr>
            <w:rStyle w:val="Hyperlink"/>
            <w:rFonts w:eastAsia="Calibri"/>
            <w:noProof/>
          </w:rPr>
          <w:t xml:space="preserve"> Identifying Assets at Risk</w:t>
        </w:r>
        <w:r w:rsidR="00D45ED1">
          <w:rPr>
            <w:noProof/>
            <w:webHidden/>
          </w:rPr>
          <w:tab/>
        </w:r>
        <w:r w:rsidR="00D45ED1">
          <w:rPr>
            <w:noProof/>
            <w:webHidden/>
          </w:rPr>
          <w:fldChar w:fldCharType="begin"/>
        </w:r>
        <w:r w:rsidR="00D45ED1">
          <w:rPr>
            <w:noProof/>
            <w:webHidden/>
          </w:rPr>
          <w:instrText xml:space="preserve"> PAGEREF _Toc61894728 \h </w:instrText>
        </w:r>
        <w:r w:rsidR="00D45ED1">
          <w:rPr>
            <w:noProof/>
            <w:webHidden/>
          </w:rPr>
        </w:r>
        <w:r w:rsidR="00D45ED1">
          <w:rPr>
            <w:noProof/>
            <w:webHidden/>
          </w:rPr>
          <w:fldChar w:fldCharType="separate"/>
        </w:r>
        <w:r w:rsidR="00513D91">
          <w:rPr>
            <w:noProof/>
            <w:webHidden/>
          </w:rPr>
          <w:t>99</w:t>
        </w:r>
        <w:r w:rsidR="00D45ED1">
          <w:rPr>
            <w:noProof/>
            <w:webHidden/>
          </w:rPr>
          <w:fldChar w:fldCharType="end"/>
        </w:r>
      </w:hyperlink>
    </w:p>
    <w:p w14:paraId="7BCF75AB" w14:textId="0630DF6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29" w:history="1">
        <w:r w:rsidR="00D45ED1" w:rsidRPr="00F746A2">
          <w:rPr>
            <w:rStyle w:val="Hyperlink"/>
            <w:rFonts w:eastAsia="Calibri"/>
            <w:bCs/>
            <w:noProof/>
            <w14:scene3d>
              <w14:camera w14:prst="orthographicFront"/>
              <w14:lightRig w14:rig="threePt" w14:dir="t">
                <w14:rot w14:lat="0" w14:lon="0" w14:rev="0"/>
              </w14:lightRig>
            </w14:scene3d>
          </w:rPr>
          <w:t>4.11.3</w:t>
        </w:r>
        <w:r w:rsidR="00D45ED1" w:rsidRPr="00F746A2">
          <w:rPr>
            <w:rStyle w:val="Hyperlink"/>
            <w:rFonts w:eastAsia="Calibri"/>
            <w:noProof/>
          </w:rPr>
          <w:t xml:space="preserve"> Identifying Strategies for Mitigation and Resilience</w:t>
        </w:r>
        <w:r w:rsidR="00D45ED1">
          <w:rPr>
            <w:noProof/>
            <w:webHidden/>
          </w:rPr>
          <w:tab/>
        </w:r>
        <w:r w:rsidR="00D45ED1">
          <w:rPr>
            <w:noProof/>
            <w:webHidden/>
          </w:rPr>
          <w:fldChar w:fldCharType="begin"/>
        </w:r>
        <w:r w:rsidR="00D45ED1">
          <w:rPr>
            <w:noProof/>
            <w:webHidden/>
          </w:rPr>
          <w:instrText xml:space="preserve"> PAGEREF _Toc61894729 \h </w:instrText>
        </w:r>
        <w:r w:rsidR="00D45ED1">
          <w:rPr>
            <w:noProof/>
            <w:webHidden/>
          </w:rPr>
        </w:r>
        <w:r w:rsidR="00D45ED1">
          <w:rPr>
            <w:noProof/>
            <w:webHidden/>
          </w:rPr>
          <w:fldChar w:fldCharType="separate"/>
        </w:r>
        <w:r w:rsidR="00513D91">
          <w:rPr>
            <w:noProof/>
            <w:webHidden/>
          </w:rPr>
          <w:t>100</w:t>
        </w:r>
        <w:r w:rsidR="00D45ED1">
          <w:rPr>
            <w:noProof/>
            <w:webHidden/>
          </w:rPr>
          <w:fldChar w:fldCharType="end"/>
        </w:r>
      </w:hyperlink>
    </w:p>
    <w:p w14:paraId="60E20C31" w14:textId="78D35263"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30" w:history="1">
        <w:r w:rsidR="00D45ED1" w:rsidRPr="00F746A2">
          <w:rPr>
            <w:rStyle w:val="Hyperlink"/>
            <w:rFonts w:eastAsia="SimSun"/>
            <w:noProof/>
            <w:lang w:eastAsia="zh-CN"/>
          </w:rPr>
          <w:t>4.12 The Pilot Study</w:t>
        </w:r>
        <w:r w:rsidR="00D45ED1">
          <w:rPr>
            <w:noProof/>
            <w:webHidden/>
          </w:rPr>
          <w:tab/>
        </w:r>
        <w:r w:rsidR="00D45ED1">
          <w:rPr>
            <w:noProof/>
            <w:webHidden/>
          </w:rPr>
          <w:fldChar w:fldCharType="begin"/>
        </w:r>
        <w:r w:rsidR="00D45ED1">
          <w:rPr>
            <w:noProof/>
            <w:webHidden/>
          </w:rPr>
          <w:instrText xml:space="preserve"> PAGEREF _Toc61894730 \h </w:instrText>
        </w:r>
        <w:r w:rsidR="00D45ED1">
          <w:rPr>
            <w:noProof/>
            <w:webHidden/>
          </w:rPr>
        </w:r>
        <w:r w:rsidR="00D45ED1">
          <w:rPr>
            <w:noProof/>
            <w:webHidden/>
          </w:rPr>
          <w:fldChar w:fldCharType="separate"/>
        </w:r>
        <w:r w:rsidR="00513D91">
          <w:rPr>
            <w:noProof/>
            <w:webHidden/>
          </w:rPr>
          <w:t>100</w:t>
        </w:r>
        <w:r w:rsidR="00D45ED1">
          <w:rPr>
            <w:noProof/>
            <w:webHidden/>
          </w:rPr>
          <w:fldChar w:fldCharType="end"/>
        </w:r>
      </w:hyperlink>
    </w:p>
    <w:p w14:paraId="5AFAA35E" w14:textId="7863FB72"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1" w:history="1">
        <w:r w:rsidR="00D45ED1" w:rsidRPr="00F746A2">
          <w:rPr>
            <w:rStyle w:val="Hyperlink"/>
            <w:rFonts w:eastAsia="Calibri"/>
            <w:bCs/>
            <w:noProof/>
            <w14:scene3d>
              <w14:camera w14:prst="orthographicFront"/>
              <w14:lightRig w14:rig="threePt" w14:dir="t">
                <w14:rot w14:lat="0" w14:lon="0" w14:rev="0"/>
              </w14:lightRig>
            </w14:scene3d>
          </w:rPr>
          <w:t>4.12.1</w:t>
        </w:r>
        <w:r w:rsidR="00D45ED1" w:rsidRPr="00F746A2">
          <w:rPr>
            <w:rStyle w:val="Hyperlink"/>
            <w:rFonts w:eastAsia="Calibri"/>
            <w:noProof/>
          </w:rPr>
          <w:t xml:space="preserve"> The Pre-Pilot Surveys</w:t>
        </w:r>
        <w:r w:rsidR="00D45ED1">
          <w:rPr>
            <w:noProof/>
            <w:webHidden/>
          </w:rPr>
          <w:tab/>
        </w:r>
        <w:r w:rsidR="00D45ED1">
          <w:rPr>
            <w:noProof/>
            <w:webHidden/>
          </w:rPr>
          <w:fldChar w:fldCharType="begin"/>
        </w:r>
        <w:r w:rsidR="00D45ED1">
          <w:rPr>
            <w:noProof/>
            <w:webHidden/>
          </w:rPr>
          <w:instrText xml:space="preserve"> PAGEREF _Toc61894731 \h </w:instrText>
        </w:r>
        <w:r w:rsidR="00D45ED1">
          <w:rPr>
            <w:noProof/>
            <w:webHidden/>
          </w:rPr>
        </w:r>
        <w:r w:rsidR="00D45ED1">
          <w:rPr>
            <w:noProof/>
            <w:webHidden/>
          </w:rPr>
          <w:fldChar w:fldCharType="separate"/>
        </w:r>
        <w:r w:rsidR="00513D91">
          <w:rPr>
            <w:noProof/>
            <w:webHidden/>
          </w:rPr>
          <w:t>100</w:t>
        </w:r>
        <w:r w:rsidR="00D45ED1">
          <w:rPr>
            <w:noProof/>
            <w:webHidden/>
          </w:rPr>
          <w:fldChar w:fldCharType="end"/>
        </w:r>
      </w:hyperlink>
    </w:p>
    <w:p w14:paraId="5C5A38BE" w14:textId="0849937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2" w:history="1">
        <w:r w:rsidR="00D45ED1" w:rsidRPr="00F746A2">
          <w:rPr>
            <w:rStyle w:val="Hyperlink"/>
            <w:bCs/>
            <w:noProof/>
            <w:lang w:eastAsia="zh-CN"/>
            <w14:scene3d>
              <w14:camera w14:prst="orthographicFront"/>
              <w14:lightRig w14:rig="threePt" w14:dir="t">
                <w14:rot w14:lat="0" w14:lon="0" w14:rev="0"/>
              </w14:lightRig>
            </w14:scene3d>
          </w:rPr>
          <w:t>4.12.2</w:t>
        </w:r>
        <w:r w:rsidR="00D45ED1" w:rsidRPr="00F746A2">
          <w:rPr>
            <w:rStyle w:val="Hyperlink"/>
            <w:noProof/>
            <w:lang w:eastAsia="zh-CN"/>
          </w:rPr>
          <w:t xml:space="preserve"> Pilot Study Details</w:t>
        </w:r>
        <w:r w:rsidR="00D45ED1">
          <w:rPr>
            <w:noProof/>
            <w:webHidden/>
          </w:rPr>
          <w:tab/>
        </w:r>
        <w:r w:rsidR="00D45ED1">
          <w:rPr>
            <w:noProof/>
            <w:webHidden/>
          </w:rPr>
          <w:fldChar w:fldCharType="begin"/>
        </w:r>
        <w:r w:rsidR="00D45ED1">
          <w:rPr>
            <w:noProof/>
            <w:webHidden/>
          </w:rPr>
          <w:instrText xml:space="preserve"> PAGEREF _Toc61894732 \h </w:instrText>
        </w:r>
        <w:r w:rsidR="00D45ED1">
          <w:rPr>
            <w:noProof/>
            <w:webHidden/>
          </w:rPr>
        </w:r>
        <w:r w:rsidR="00D45ED1">
          <w:rPr>
            <w:noProof/>
            <w:webHidden/>
          </w:rPr>
          <w:fldChar w:fldCharType="separate"/>
        </w:r>
        <w:r w:rsidR="00513D91">
          <w:rPr>
            <w:noProof/>
            <w:webHidden/>
          </w:rPr>
          <w:t>100</w:t>
        </w:r>
        <w:r w:rsidR="00D45ED1">
          <w:rPr>
            <w:noProof/>
            <w:webHidden/>
          </w:rPr>
          <w:fldChar w:fldCharType="end"/>
        </w:r>
      </w:hyperlink>
    </w:p>
    <w:p w14:paraId="0C3FCAEF" w14:textId="3225E129"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33" w:history="1">
        <w:r w:rsidR="00D45ED1" w:rsidRPr="00F746A2">
          <w:rPr>
            <w:rStyle w:val="Hyperlink"/>
            <w:rFonts w:eastAsia="Calibri"/>
            <w:bCs/>
            <w:noProof/>
          </w:rPr>
          <w:t>4.12.2.1</w:t>
        </w:r>
        <w:r w:rsidR="00D45ED1" w:rsidRPr="00F746A2">
          <w:rPr>
            <w:rStyle w:val="Hyperlink"/>
            <w:rFonts w:eastAsia="Calibri"/>
            <w:noProof/>
          </w:rPr>
          <w:t xml:space="preserve"> Initial Contacts and Gaining Access</w:t>
        </w:r>
        <w:r w:rsidR="00D45ED1">
          <w:rPr>
            <w:noProof/>
            <w:webHidden/>
          </w:rPr>
          <w:tab/>
        </w:r>
        <w:r w:rsidR="00D45ED1">
          <w:rPr>
            <w:noProof/>
            <w:webHidden/>
          </w:rPr>
          <w:fldChar w:fldCharType="begin"/>
        </w:r>
        <w:r w:rsidR="00D45ED1">
          <w:rPr>
            <w:noProof/>
            <w:webHidden/>
          </w:rPr>
          <w:instrText xml:space="preserve"> PAGEREF _Toc61894733 \h </w:instrText>
        </w:r>
        <w:r w:rsidR="00D45ED1">
          <w:rPr>
            <w:noProof/>
            <w:webHidden/>
          </w:rPr>
        </w:r>
        <w:r w:rsidR="00D45ED1">
          <w:rPr>
            <w:noProof/>
            <w:webHidden/>
          </w:rPr>
          <w:fldChar w:fldCharType="separate"/>
        </w:r>
        <w:r w:rsidR="00513D91">
          <w:rPr>
            <w:noProof/>
            <w:webHidden/>
          </w:rPr>
          <w:t>102</w:t>
        </w:r>
        <w:r w:rsidR="00D45ED1">
          <w:rPr>
            <w:noProof/>
            <w:webHidden/>
          </w:rPr>
          <w:fldChar w:fldCharType="end"/>
        </w:r>
      </w:hyperlink>
    </w:p>
    <w:p w14:paraId="0658FA9C" w14:textId="0EF7B9C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4" w:history="1">
        <w:r w:rsidR="00D45ED1" w:rsidRPr="00F746A2">
          <w:rPr>
            <w:rStyle w:val="Hyperlink"/>
            <w:rFonts w:eastAsia="Calibri"/>
            <w:bCs/>
            <w:noProof/>
            <w14:scene3d>
              <w14:camera w14:prst="orthographicFront"/>
              <w14:lightRig w14:rig="threePt" w14:dir="t">
                <w14:rot w14:lat="0" w14:lon="0" w14:rev="0"/>
              </w14:lightRig>
            </w14:scene3d>
          </w:rPr>
          <w:t>4.12.3</w:t>
        </w:r>
        <w:r w:rsidR="00D45ED1" w:rsidRPr="00F746A2">
          <w:rPr>
            <w:rStyle w:val="Hyperlink"/>
            <w:rFonts w:eastAsia="Calibri"/>
            <w:noProof/>
          </w:rPr>
          <w:t xml:space="preserve"> The Pilot Survey</w:t>
        </w:r>
        <w:r w:rsidR="00D45ED1">
          <w:rPr>
            <w:noProof/>
            <w:webHidden/>
          </w:rPr>
          <w:tab/>
        </w:r>
        <w:r w:rsidR="00D45ED1">
          <w:rPr>
            <w:noProof/>
            <w:webHidden/>
          </w:rPr>
          <w:fldChar w:fldCharType="begin"/>
        </w:r>
        <w:r w:rsidR="00D45ED1">
          <w:rPr>
            <w:noProof/>
            <w:webHidden/>
          </w:rPr>
          <w:instrText xml:space="preserve"> PAGEREF _Toc61894734 \h </w:instrText>
        </w:r>
        <w:r w:rsidR="00D45ED1">
          <w:rPr>
            <w:noProof/>
            <w:webHidden/>
          </w:rPr>
        </w:r>
        <w:r w:rsidR="00D45ED1">
          <w:rPr>
            <w:noProof/>
            <w:webHidden/>
          </w:rPr>
          <w:fldChar w:fldCharType="separate"/>
        </w:r>
        <w:r w:rsidR="00513D91">
          <w:rPr>
            <w:noProof/>
            <w:webHidden/>
          </w:rPr>
          <w:t>102</w:t>
        </w:r>
        <w:r w:rsidR="00D45ED1">
          <w:rPr>
            <w:noProof/>
            <w:webHidden/>
          </w:rPr>
          <w:fldChar w:fldCharType="end"/>
        </w:r>
      </w:hyperlink>
    </w:p>
    <w:p w14:paraId="1E92E699" w14:textId="0DEBF22A"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5" w:history="1">
        <w:r w:rsidR="00D45ED1" w:rsidRPr="00F746A2">
          <w:rPr>
            <w:rStyle w:val="Hyperlink"/>
            <w:rFonts w:eastAsia="Calibri"/>
            <w:bCs/>
            <w:noProof/>
            <w14:scene3d>
              <w14:camera w14:prst="orthographicFront"/>
              <w14:lightRig w14:rig="threePt" w14:dir="t">
                <w14:rot w14:lat="0" w14:lon="0" w14:rev="0"/>
              </w14:lightRig>
            </w14:scene3d>
          </w:rPr>
          <w:t>4.12.4</w:t>
        </w:r>
        <w:r w:rsidR="00D45ED1" w:rsidRPr="00F746A2">
          <w:rPr>
            <w:rStyle w:val="Hyperlink"/>
            <w:rFonts w:eastAsia="Calibri"/>
            <w:noProof/>
          </w:rPr>
          <w:t xml:space="preserve"> Use of the Pilot Study</w:t>
        </w:r>
        <w:r w:rsidR="00D45ED1">
          <w:rPr>
            <w:noProof/>
            <w:webHidden/>
          </w:rPr>
          <w:tab/>
        </w:r>
        <w:r w:rsidR="00D45ED1">
          <w:rPr>
            <w:noProof/>
            <w:webHidden/>
          </w:rPr>
          <w:fldChar w:fldCharType="begin"/>
        </w:r>
        <w:r w:rsidR="00D45ED1">
          <w:rPr>
            <w:noProof/>
            <w:webHidden/>
          </w:rPr>
          <w:instrText xml:space="preserve"> PAGEREF _Toc61894735 \h </w:instrText>
        </w:r>
        <w:r w:rsidR="00D45ED1">
          <w:rPr>
            <w:noProof/>
            <w:webHidden/>
          </w:rPr>
        </w:r>
        <w:r w:rsidR="00D45ED1">
          <w:rPr>
            <w:noProof/>
            <w:webHidden/>
          </w:rPr>
          <w:fldChar w:fldCharType="separate"/>
        </w:r>
        <w:r w:rsidR="00513D91">
          <w:rPr>
            <w:noProof/>
            <w:webHidden/>
          </w:rPr>
          <w:t>103</w:t>
        </w:r>
        <w:r w:rsidR="00D45ED1">
          <w:rPr>
            <w:noProof/>
            <w:webHidden/>
          </w:rPr>
          <w:fldChar w:fldCharType="end"/>
        </w:r>
      </w:hyperlink>
    </w:p>
    <w:p w14:paraId="04A550B4" w14:textId="54A225E2"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36" w:history="1">
        <w:r w:rsidR="00D45ED1" w:rsidRPr="00F746A2">
          <w:rPr>
            <w:rStyle w:val="Hyperlink"/>
            <w:rFonts w:eastAsia="Calibri"/>
            <w:noProof/>
          </w:rPr>
          <w:t>4.13 Data Collection</w:t>
        </w:r>
        <w:r w:rsidR="00D45ED1">
          <w:rPr>
            <w:noProof/>
            <w:webHidden/>
          </w:rPr>
          <w:tab/>
        </w:r>
        <w:r w:rsidR="00D45ED1">
          <w:rPr>
            <w:noProof/>
            <w:webHidden/>
          </w:rPr>
          <w:fldChar w:fldCharType="begin"/>
        </w:r>
        <w:r w:rsidR="00D45ED1">
          <w:rPr>
            <w:noProof/>
            <w:webHidden/>
          </w:rPr>
          <w:instrText xml:space="preserve"> PAGEREF _Toc61894736 \h </w:instrText>
        </w:r>
        <w:r w:rsidR="00D45ED1">
          <w:rPr>
            <w:noProof/>
            <w:webHidden/>
          </w:rPr>
        </w:r>
        <w:r w:rsidR="00D45ED1">
          <w:rPr>
            <w:noProof/>
            <w:webHidden/>
          </w:rPr>
          <w:fldChar w:fldCharType="separate"/>
        </w:r>
        <w:r w:rsidR="00513D91">
          <w:rPr>
            <w:noProof/>
            <w:webHidden/>
          </w:rPr>
          <w:t>103</w:t>
        </w:r>
        <w:r w:rsidR="00D45ED1">
          <w:rPr>
            <w:noProof/>
            <w:webHidden/>
          </w:rPr>
          <w:fldChar w:fldCharType="end"/>
        </w:r>
      </w:hyperlink>
    </w:p>
    <w:p w14:paraId="5515CA0E" w14:textId="09E41CEF"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7" w:history="1">
        <w:r w:rsidR="00D45ED1" w:rsidRPr="00F746A2">
          <w:rPr>
            <w:rStyle w:val="Hyperlink"/>
            <w:rFonts w:eastAsia="Calibri"/>
            <w:bCs/>
            <w:noProof/>
            <w14:scene3d>
              <w14:camera w14:prst="orthographicFront"/>
              <w14:lightRig w14:rig="threePt" w14:dir="t">
                <w14:rot w14:lat="0" w14:lon="0" w14:rev="0"/>
              </w14:lightRig>
            </w14:scene3d>
          </w:rPr>
          <w:t>4.13.1</w:t>
        </w:r>
        <w:r w:rsidR="00D45ED1" w:rsidRPr="00F746A2">
          <w:rPr>
            <w:rStyle w:val="Hyperlink"/>
            <w:rFonts w:eastAsia="Calibri"/>
            <w:noProof/>
          </w:rPr>
          <w:t xml:space="preserve"> Descriptive and Correlation Analysis</w:t>
        </w:r>
        <w:r w:rsidR="00D45ED1">
          <w:rPr>
            <w:noProof/>
            <w:webHidden/>
          </w:rPr>
          <w:tab/>
        </w:r>
        <w:r w:rsidR="00D45ED1">
          <w:rPr>
            <w:noProof/>
            <w:webHidden/>
          </w:rPr>
          <w:fldChar w:fldCharType="begin"/>
        </w:r>
        <w:r w:rsidR="00D45ED1">
          <w:rPr>
            <w:noProof/>
            <w:webHidden/>
          </w:rPr>
          <w:instrText xml:space="preserve"> PAGEREF _Toc61894737 \h </w:instrText>
        </w:r>
        <w:r w:rsidR="00D45ED1">
          <w:rPr>
            <w:noProof/>
            <w:webHidden/>
          </w:rPr>
        </w:r>
        <w:r w:rsidR="00D45ED1">
          <w:rPr>
            <w:noProof/>
            <w:webHidden/>
          </w:rPr>
          <w:fldChar w:fldCharType="separate"/>
        </w:r>
        <w:r w:rsidR="00513D91">
          <w:rPr>
            <w:noProof/>
            <w:webHidden/>
          </w:rPr>
          <w:t>103</w:t>
        </w:r>
        <w:r w:rsidR="00D45ED1">
          <w:rPr>
            <w:noProof/>
            <w:webHidden/>
          </w:rPr>
          <w:fldChar w:fldCharType="end"/>
        </w:r>
      </w:hyperlink>
    </w:p>
    <w:p w14:paraId="3FF54B8F" w14:textId="1A37E164"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38" w:history="1">
        <w:r w:rsidR="00D45ED1" w:rsidRPr="00F746A2">
          <w:rPr>
            <w:rStyle w:val="Hyperlink"/>
            <w:rFonts w:eastAsia="Calibri"/>
            <w:bCs/>
            <w:noProof/>
            <w14:scene3d>
              <w14:camera w14:prst="orthographicFront"/>
              <w14:lightRig w14:rig="threePt" w14:dir="t">
                <w14:rot w14:lat="0" w14:lon="0" w14:rev="0"/>
              </w14:lightRig>
            </w14:scene3d>
          </w:rPr>
          <w:t>4.13.2</w:t>
        </w:r>
        <w:r w:rsidR="00D45ED1" w:rsidRPr="00F746A2">
          <w:rPr>
            <w:rStyle w:val="Hyperlink"/>
            <w:rFonts w:eastAsia="Calibri"/>
            <w:noProof/>
          </w:rPr>
          <w:t xml:space="preserve"> Exploration of Possibilities and Framework Construction</w:t>
        </w:r>
        <w:r w:rsidR="00D45ED1">
          <w:rPr>
            <w:noProof/>
            <w:webHidden/>
          </w:rPr>
          <w:tab/>
        </w:r>
        <w:r w:rsidR="00D45ED1">
          <w:rPr>
            <w:noProof/>
            <w:webHidden/>
          </w:rPr>
          <w:fldChar w:fldCharType="begin"/>
        </w:r>
        <w:r w:rsidR="00D45ED1">
          <w:rPr>
            <w:noProof/>
            <w:webHidden/>
          </w:rPr>
          <w:instrText xml:space="preserve"> PAGEREF _Toc61894738 \h </w:instrText>
        </w:r>
        <w:r w:rsidR="00D45ED1">
          <w:rPr>
            <w:noProof/>
            <w:webHidden/>
          </w:rPr>
        </w:r>
        <w:r w:rsidR="00D45ED1">
          <w:rPr>
            <w:noProof/>
            <w:webHidden/>
          </w:rPr>
          <w:fldChar w:fldCharType="separate"/>
        </w:r>
        <w:r w:rsidR="00513D91">
          <w:rPr>
            <w:noProof/>
            <w:webHidden/>
          </w:rPr>
          <w:t>103</w:t>
        </w:r>
        <w:r w:rsidR="00D45ED1">
          <w:rPr>
            <w:noProof/>
            <w:webHidden/>
          </w:rPr>
          <w:fldChar w:fldCharType="end"/>
        </w:r>
      </w:hyperlink>
    </w:p>
    <w:p w14:paraId="406089EF" w14:textId="06D7AEF7"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39" w:history="1">
        <w:r w:rsidR="00D45ED1" w:rsidRPr="00F746A2">
          <w:rPr>
            <w:rStyle w:val="Hyperlink"/>
            <w:noProof/>
            <w:lang w:eastAsia="zh-CN"/>
          </w:rPr>
          <w:t>4.14 Ethical Considerations</w:t>
        </w:r>
        <w:r w:rsidR="00D45ED1">
          <w:rPr>
            <w:noProof/>
            <w:webHidden/>
          </w:rPr>
          <w:tab/>
        </w:r>
        <w:r w:rsidR="00D45ED1">
          <w:rPr>
            <w:noProof/>
            <w:webHidden/>
          </w:rPr>
          <w:fldChar w:fldCharType="begin"/>
        </w:r>
        <w:r w:rsidR="00D45ED1">
          <w:rPr>
            <w:noProof/>
            <w:webHidden/>
          </w:rPr>
          <w:instrText xml:space="preserve"> PAGEREF _Toc61894739 \h </w:instrText>
        </w:r>
        <w:r w:rsidR="00D45ED1">
          <w:rPr>
            <w:noProof/>
            <w:webHidden/>
          </w:rPr>
        </w:r>
        <w:r w:rsidR="00D45ED1">
          <w:rPr>
            <w:noProof/>
            <w:webHidden/>
          </w:rPr>
          <w:fldChar w:fldCharType="separate"/>
        </w:r>
        <w:r w:rsidR="00513D91">
          <w:rPr>
            <w:noProof/>
            <w:webHidden/>
          </w:rPr>
          <w:t>103</w:t>
        </w:r>
        <w:r w:rsidR="00D45ED1">
          <w:rPr>
            <w:noProof/>
            <w:webHidden/>
          </w:rPr>
          <w:fldChar w:fldCharType="end"/>
        </w:r>
      </w:hyperlink>
    </w:p>
    <w:p w14:paraId="52987F9F" w14:textId="3740460B"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0" w:history="1">
        <w:r w:rsidR="00D45ED1" w:rsidRPr="00F746A2">
          <w:rPr>
            <w:rStyle w:val="Hyperlink"/>
            <w:rFonts w:eastAsia="SimSun"/>
            <w:noProof/>
            <w:lang w:eastAsia="zh-CN"/>
          </w:rPr>
          <w:t>4.15 Analysis of Data</w:t>
        </w:r>
        <w:r w:rsidR="00D45ED1">
          <w:rPr>
            <w:noProof/>
            <w:webHidden/>
          </w:rPr>
          <w:tab/>
        </w:r>
        <w:r w:rsidR="00D45ED1">
          <w:rPr>
            <w:noProof/>
            <w:webHidden/>
          </w:rPr>
          <w:fldChar w:fldCharType="begin"/>
        </w:r>
        <w:r w:rsidR="00D45ED1">
          <w:rPr>
            <w:noProof/>
            <w:webHidden/>
          </w:rPr>
          <w:instrText xml:space="preserve"> PAGEREF _Toc61894740 \h </w:instrText>
        </w:r>
        <w:r w:rsidR="00D45ED1">
          <w:rPr>
            <w:noProof/>
            <w:webHidden/>
          </w:rPr>
        </w:r>
        <w:r w:rsidR="00D45ED1">
          <w:rPr>
            <w:noProof/>
            <w:webHidden/>
          </w:rPr>
          <w:fldChar w:fldCharType="separate"/>
        </w:r>
        <w:r w:rsidR="00513D91">
          <w:rPr>
            <w:noProof/>
            <w:webHidden/>
          </w:rPr>
          <w:t>104</w:t>
        </w:r>
        <w:r w:rsidR="00D45ED1">
          <w:rPr>
            <w:noProof/>
            <w:webHidden/>
          </w:rPr>
          <w:fldChar w:fldCharType="end"/>
        </w:r>
      </w:hyperlink>
    </w:p>
    <w:p w14:paraId="3F64E2E2" w14:textId="39165A94"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1" w:history="1">
        <w:r w:rsidR="00D45ED1" w:rsidRPr="00F746A2">
          <w:rPr>
            <w:rStyle w:val="Hyperlink"/>
            <w:rFonts w:eastAsia="SimSun"/>
            <w:noProof/>
            <w:lang w:eastAsia="zh-CN"/>
          </w:rPr>
          <w:t>4.16 Summary</w:t>
        </w:r>
        <w:r w:rsidR="00D45ED1">
          <w:rPr>
            <w:noProof/>
            <w:webHidden/>
          </w:rPr>
          <w:tab/>
        </w:r>
        <w:r w:rsidR="00D45ED1">
          <w:rPr>
            <w:noProof/>
            <w:webHidden/>
          </w:rPr>
          <w:fldChar w:fldCharType="begin"/>
        </w:r>
        <w:r w:rsidR="00D45ED1">
          <w:rPr>
            <w:noProof/>
            <w:webHidden/>
          </w:rPr>
          <w:instrText xml:space="preserve"> PAGEREF _Toc61894741 \h </w:instrText>
        </w:r>
        <w:r w:rsidR="00D45ED1">
          <w:rPr>
            <w:noProof/>
            <w:webHidden/>
          </w:rPr>
        </w:r>
        <w:r w:rsidR="00D45ED1">
          <w:rPr>
            <w:noProof/>
            <w:webHidden/>
          </w:rPr>
          <w:fldChar w:fldCharType="separate"/>
        </w:r>
        <w:r w:rsidR="00513D91">
          <w:rPr>
            <w:noProof/>
            <w:webHidden/>
          </w:rPr>
          <w:t>104</w:t>
        </w:r>
        <w:r w:rsidR="00D45ED1">
          <w:rPr>
            <w:noProof/>
            <w:webHidden/>
          </w:rPr>
          <w:fldChar w:fldCharType="end"/>
        </w:r>
      </w:hyperlink>
    </w:p>
    <w:p w14:paraId="1C60D610" w14:textId="43CC86F3" w:rsidR="00D45ED1" w:rsidRDefault="00724BEE">
      <w:pPr>
        <w:pStyle w:val="TOC1"/>
        <w:rPr>
          <w:rFonts w:asciiTheme="minorHAnsi" w:eastAsiaTheme="minorEastAsia" w:hAnsiTheme="minorHAnsi" w:cstheme="minorBidi"/>
          <w:noProof/>
          <w:sz w:val="22"/>
          <w:lang w:val="en-US"/>
        </w:rPr>
      </w:pPr>
      <w:hyperlink w:anchor="_Toc61894742" w:history="1">
        <w:r w:rsidR="00D45ED1" w:rsidRPr="00F746A2">
          <w:rPr>
            <w:rStyle w:val="Hyperlink"/>
            <w:bCs/>
            <w:noProof/>
            <w:lang w:eastAsia="zh-CN" w:bidi="hi-IN"/>
          </w:rPr>
          <w:t>Chapter 5</w:t>
        </w:r>
        <w:r w:rsidR="00D45ED1" w:rsidRPr="00F746A2">
          <w:rPr>
            <w:rStyle w:val="Hyperlink"/>
            <w:noProof/>
            <w:lang w:eastAsia="zh-CN" w:bidi="hi-IN"/>
          </w:rPr>
          <w:t xml:space="preserve"> Data Analysis</w:t>
        </w:r>
        <w:r w:rsidR="00D45ED1">
          <w:rPr>
            <w:noProof/>
            <w:webHidden/>
          </w:rPr>
          <w:tab/>
        </w:r>
        <w:r w:rsidR="00D45ED1">
          <w:rPr>
            <w:noProof/>
            <w:webHidden/>
          </w:rPr>
          <w:fldChar w:fldCharType="begin"/>
        </w:r>
        <w:r w:rsidR="00D45ED1">
          <w:rPr>
            <w:noProof/>
            <w:webHidden/>
          </w:rPr>
          <w:instrText xml:space="preserve"> PAGEREF _Toc61894742 \h </w:instrText>
        </w:r>
        <w:r w:rsidR="00D45ED1">
          <w:rPr>
            <w:noProof/>
            <w:webHidden/>
          </w:rPr>
        </w:r>
        <w:r w:rsidR="00D45ED1">
          <w:rPr>
            <w:noProof/>
            <w:webHidden/>
          </w:rPr>
          <w:fldChar w:fldCharType="separate"/>
        </w:r>
        <w:r w:rsidR="00513D91">
          <w:rPr>
            <w:noProof/>
            <w:webHidden/>
          </w:rPr>
          <w:t>106</w:t>
        </w:r>
        <w:r w:rsidR="00D45ED1">
          <w:rPr>
            <w:noProof/>
            <w:webHidden/>
          </w:rPr>
          <w:fldChar w:fldCharType="end"/>
        </w:r>
      </w:hyperlink>
    </w:p>
    <w:p w14:paraId="4A00F51C" w14:textId="76D2E156"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3" w:history="1">
        <w:r w:rsidR="00D45ED1" w:rsidRPr="00F746A2">
          <w:rPr>
            <w:rStyle w:val="Hyperlink"/>
            <w:noProof/>
            <w:lang w:eastAsia="zh-CN" w:bidi="hi-IN"/>
          </w:rPr>
          <w:t>5.1 Introduction</w:t>
        </w:r>
        <w:r w:rsidR="00D45ED1">
          <w:rPr>
            <w:noProof/>
            <w:webHidden/>
          </w:rPr>
          <w:tab/>
        </w:r>
        <w:r w:rsidR="00D45ED1">
          <w:rPr>
            <w:noProof/>
            <w:webHidden/>
          </w:rPr>
          <w:fldChar w:fldCharType="begin"/>
        </w:r>
        <w:r w:rsidR="00D45ED1">
          <w:rPr>
            <w:noProof/>
            <w:webHidden/>
          </w:rPr>
          <w:instrText xml:space="preserve"> PAGEREF _Toc61894743 \h </w:instrText>
        </w:r>
        <w:r w:rsidR="00D45ED1">
          <w:rPr>
            <w:noProof/>
            <w:webHidden/>
          </w:rPr>
        </w:r>
        <w:r w:rsidR="00D45ED1">
          <w:rPr>
            <w:noProof/>
            <w:webHidden/>
          </w:rPr>
          <w:fldChar w:fldCharType="separate"/>
        </w:r>
        <w:r w:rsidR="00513D91">
          <w:rPr>
            <w:noProof/>
            <w:webHidden/>
          </w:rPr>
          <w:t>106</w:t>
        </w:r>
        <w:r w:rsidR="00D45ED1">
          <w:rPr>
            <w:noProof/>
            <w:webHidden/>
          </w:rPr>
          <w:fldChar w:fldCharType="end"/>
        </w:r>
      </w:hyperlink>
    </w:p>
    <w:p w14:paraId="21C81016" w14:textId="16D08C0A"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4" w:history="1">
        <w:r w:rsidR="00D45ED1" w:rsidRPr="00F746A2">
          <w:rPr>
            <w:rStyle w:val="Hyperlink"/>
            <w:noProof/>
            <w:lang w:eastAsia="zh-CN" w:bidi="hi-IN"/>
          </w:rPr>
          <w:t>5.2 Checking and Replacing Missing Values</w:t>
        </w:r>
        <w:r w:rsidR="00D45ED1">
          <w:rPr>
            <w:noProof/>
            <w:webHidden/>
          </w:rPr>
          <w:tab/>
        </w:r>
        <w:r w:rsidR="00D45ED1">
          <w:rPr>
            <w:noProof/>
            <w:webHidden/>
          </w:rPr>
          <w:fldChar w:fldCharType="begin"/>
        </w:r>
        <w:r w:rsidR="00D45ED1">
          <w:rPr>
            <w:noProof/>
            <w:webHidden/>
          </w:rPr>
          <w:instrText xml:space="preserve"> PAGEREF _Toc61894744 \h </w:instrText>
        </w:r>
        <w:r w:rsidR="00D45ED1">
          <w:rPr>
            <w:noProof/>
            <w:webHidden/>
          </w:rPr>
        </w:r>
        <w:r w:rsidR="00D45ED1">
          <w:rPr>
            <w:noProof/>
            <w:webHidden/>
          </w:rPr>
          <w:fldChar w:fldCharType="separate"/>
        </w:r>
        <w:r w:rsidR="00513D91">
          <w:rPr>
            <w:noProof/>
            <w:webHidden/>
          </w:rPr>
          <w:t>106</w:t>
        </w:r>
        <w:r w:rsidR="00D45ED1">
          <w:rPr>
            <w:noProof/>
            <w:webHidden/>
          </w:rPr>
          <w:fldChar w:fldCharType="end"/>
        </w:r>
      </w:hyperlink>
    </w:p>
    <w:p w14:paraId="131DD876" w14:textId="51F2570B"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5" w:history="1">
        <w:r w:rsidR="00D45ED1" w:rsidRPr="00F746A2">
          <w:rPr>
            <w:rStyle w:val="Hyperlink"/>
            <w:noProof/>
            <w:lang w:eastAsia="zh-CN" w:bidi="hi-IN"/>
          </w:rPr>
          <w:t>5.3 Test of Outliers</w:t>
        </w:r>
        <w:r w:rsidR="00D45ED1">
          <w:rPr>
            <w:noProof/>
            <w:webHidden/>
          </w:rPr>
          <w:tab/>
        </w:r>
        <w:r w:rsidR="00D45ED1">
          <w:rPr>
            <w:noProof/>
            <w:webHidden/>
          </w:rPr>
          <w:fldChar w:fldCharType="begin"/>
        </w:r>
        <w:r w:rsidR="00D45ED1">
          <w:rPr>
            <w:noProof/>
            <w:webHidden/>
          </w:rPr>
          <w:instrText xml:space="preserve"> PAGEREF _Toc61894745 \h </w:instrText>
        </w:r>
        <w:r w:rsidR="00D45ED1">
          <w:rPr>
            <w:noProof/>
            <w:webHidden/>
          </w:rPr>
        </w:r>
        <w:r w:rsidR="00D45ED1">
          <w:rPr>
            <w:noProof/>
            <w:webHidden/>
          </w:rPr>
          <w:fldChar w:fldCharType="separate"/>
        </w:r>
        <w:r w:rsidR="00513D91">
          <w:rPr>
            <w:noProof/>
            <w:webHidden/>
          </w:rPr>
          <w:t>108</w:t>
        </w:r>
        <w:r w:rsidR="00D45ED1">
          <w:rPr>
            <w:noProof/>
            <w:webHidden/>
          </w:rPr>
          <w:fldChar w:fldCharType="end"/>
        </w:r>
      </w:hyperlink>
    </w:p>
    <w:p w14:paraId="7B05F0BE" w14:textId="56A18DC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6" w:history="1">
        <w:r w:rsidR="00D45ED1" w:rsidRPr="00F746A2">
          <w:rPr>
            <w:rStyle w:val="Hyperlink"/>
            <w:noProof/>
            <w:lang w:eastAsia="zh-CN" w:bidi="hi-IN"/>
          </w:rPr>
          <w:t>5.4 Reliability Test</w:t>
        </w:r>
        <w:r w:rsidR="00D45ED1">
          <w:rPr>
            <w:noProof/>
            <w:webHidden/>
          </w:rPr>
          <w:tab/>
        </w:r>
        <w:r w:rsidR="00D45ED1">
          <w:rPr>
            <w:noProof/>
            <w:webHidden/>
          </w:rPr>
          <w:fldChar w:fldCharType="begin"/>
        </w:r>
        <w:r w:rsidR="00D45ED1">
          <w:rPr>
            <w:noProof/>
            <w:webHidden/>
          </w:rPr>
          <w:instrText xml:space="preserve"> PAGEREF _Toc61894746 \h </w:instrText>
        </w:r>
        <w:r w:rsidR="00D45ED1">
          <w:rPr>
            <w:noProof/>
            <w:webHidden/>
          </w:rPr>
        </w:r>
        <w:r w:rsidR="00D45ED1">
          <w:rPr>
            <w:noProof/>
            <w:webHidden/>
          </w:rPr>
          <w:fldChar w:fldCharType="separate"/>
        </w:r>
        <w:r w:rsidR="00513D91">
          <w:rPr>
            <w:noProof/>
            <w:webHidden/>
          </w:rPr>
          <w:t>109</w:t>
        </w:r>
        <w:r w:rsidR="00D45ED1">
          <w:rPr>
            <w:noProof/>
            <w:webHidden/>
          </w:rPr>
          <w:fldChar w:fldCharType="end"/>
        </w:r>
      </w:hyperlink>
    </w:p>
    <w:p w14:paraId="2DF1ACF9" w14:textId="124D7E0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7" w:history="1">
        <w:r w:rsidR="00D45ED1" w:rsidRPr="00F746A2">
          <w:rPr>
            <w:rStyle w:val="Hyperlink"/>
            <w:noProof/>
            <w:lang w:eastAsia="zh-CN" w:bidi="hi-IN"/>
          </w:rPr>
          <w:t>5.5 Assessing Statistical Normality</w:t>
        </w:r>
        <w:r w:rsidR="00D45ED1">
          <w:rPr>
            <w:noProof/>
            <w:webHidden/>
          </w:rPr>
          <w:tab/>
        </w:r>
        <w:r w:rsidR="00D45ED1">
          <w:rPr>
            <w:noProof/>
            <w:webHidden/>
          </w:rPr>
          <w:fldChar w:fldCharType="begin"/>
        </w:r>
        <w:r w:rsidR="00D45ED1">
          <w:rPr>
            <w:noProof/>
            <w:webHidden/>
          </w:rPr>
          <w:instrText xml:space="preserve"> PAGEREF _Toc61894747 \h </w:instrText>
        </w:r>
        <w:r w:rsidR="00D45ED1">
          <w:rPr>
            <w:noProof/>
            <w:webHidden/>
          </w:rPr>
        </w:r>
        <w:r w:rsidR="00D45ED1">
          <w:rPr>
            <w:noProof/>
            <w:webHidden/>
          </w:rPr>
          <w:fldChar w:fldCharType="separate"/>
        </w:r>
        <w:r w:rsidR="00513D91">
          <w:rPr>
            <w:noProof/>
            <w:webHidden/>
          </w:rPr>
          <w:t>110</w:t>
        </w:r>
        <w:r w:rsidR="00D45ED1">
          <w:rPr>
            <w:noProof/>
            <w:webHidden/>
          </w:rPr>
          <w:fldChar w:fldCharType="end"/>
        </w:r>
      </w:hyperlink>
    </w:p>
    <w:p w14:paraId="2B85A15A" w14:textId="6E8BA7BF"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8" w:history="1">
        <w:r w:rsidR="00D45ED1" w:rsidRPr="00F746A2">
          <w:rPr>
            <w:rStyle w:val="Hyperlink"/>
            <w:noProof/>
            <w:lang w:eastAsia="zh-CN" w:bidi="hi-IN"/>
          </w:rPr>
          <w:t>5.6 Reliability of scales</w:t>
        </w:r>
        <w:r w:rsidR="00D45ED1">
          <w:rPr>
            <w:noProof/>
            <w:webHidden/>
          </w:rPr>
          <w:tab/>
        </w:r>
        <w:r w:rsidR="00D45ED1">
          <w:rPr>
            <w:noProof/>
            <w:webHidden/>
          </w:rPr>
          <w:fldChar w:fldCharType="begin"/>
        </w:r>
        <w:r w:rsidR="00D45ED1">
          <w:rPr>
            <w:noProof/>
            <w:webHidden/>
          </w:rPr>
          <w:instrText xml:space="preserve"> PAGEREF _Toc61894748 \h </w:instrText>
        </w:r>
        <w:r w:rsidR="00D45ED1">
          <w:rPr>
            <w:noProof/>
            <w:webHidden/>
          </w:rPr>
        </w:r>
        <w:r w:rsidR="00D45ED1">
          <w:rPr>
            <w:noProof/>
            <w:webHidden/>
          </w:rPr>
          <w:fldChar w:fldCharType="separate"/>
        </w:r>
        <w:r w:rsidR="00513D91">
          <w:rPr>
            <w:noProof/>
            <w:webHidden/>
          </w:rPr>
          <w:t>111</w:t>
        </w:r>
        <w:r w:rsidR="00D45ED1">
          <w:rPr>
            <w:noProof/>
            <w:webHidden/>
          </w:rPr>
          <w:fldChar w:fldCharType="end"/>
        </w:r>
      </w:hyperlink>
    </w:p>
    <w:p w14:paraId="408BCBD1" w14:textId="7561533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49" w:history="1">
        <w:r w:rsidR="00D45ED1" w:rsidRPr="00F746A2">
          <w:rPr>
            <w:rStyle w:val="Hyperlink"/>
            <w:noProof/>
            <w:lang w:eastAsia="zh-CN" w:bidi="hi-IN"/>
          </w:rPr>
          <w:t>5.7 Descriptive Statistics</w:t>
        </w:r>
        <w:r w:rsidR="00D45ED1">
          <w:rPr>
            <w:noProof/>
            <w:webHidden/>
          </w:rPr>
          <w:tab/>
        </w:r>
        <w:r w:rsidR="00D45ED1">
          <w:rPr>
            <w:noProof/>
            <w:webHidden/>
          </w:rPr>
          <w:fldChar w:fldCharType="begin"/>
        </w:r>
        <w:r w:rsidR="00D45ED1">
          <w:rPr>
            <w:noProof/>
            <w:webHidden/>
          </w:rPr>
          <w:instrText xml:space="preserve"> PAGEREF _Toc61894749 \h </w:instrText>
        </w:r>
        <w:r w:rsidR="00D45ED1">
          <w:rPr>
            <w:noProof/>
            <w:webHidden/>
          </w:rPr>
        </w:r>
        <w:r w:rsidR="00D45ED1">
          <w:rPr>
            <w:noProof/>
            <w:webHidden/>
          </w:rPr>
          <w:fldChar w:fldCharType="separate"/>
        </w:r>
        <w:r w:rsidR="00513D91">
          <w:rPr>
            <w:noProof/>
            <w:webHidden/>
          </w:rPr>
          <w:t>112</w:t>
        </w:r>
        <w:r w:rsidR="00D45ED1">
          <w:rPr>
            <w:noProof/>
            <w:webHidden/>
          </w:rPr>
          <w:fldChar w:fldCharType="end"/>
        </w:r>
      </w:hyperlink>
    </w:p>
    <w:p w14:paraId="4E16EDC3" w14:textId="17695ACA"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50" w:history="1">
        <w:r w:rsidR="00D45ED1" w:rsidRPr="00F746A2">
          <w:rPr>
            <w:rStyle w:val="Hyperlink"/>
            <w:noProof/>
            <w:lang w:eastAsia="zh-CN" w:bidi="hi-IN"/>
          </w:rPr>
          <w:t>5.8 Summary of Descriptive Statistics</w:t>
        </w:r>
        <w:r w:rsidR="00D45ED1">
          <w:rPr>
            <w:noProof/>
            <w:webHidden/>
          </w:rPr>
          <w:tab/>
        </w:r>
        <w:r w:rsidR="00D45ED1">
          <w:rPr>
            <w:noProof/>
            <w:webHidden/>
          </w:rPr>
          <w:fldChar w:fldCharType="begin"/>
        </w:r>
        <w:r w:rsidR="00D45ED1">
          <w:rPr>
            <w:noProof/>
            <w:webHidden/>
          </w:rPr>
          <w:instrText xml:space="preserve"> PAGEREF _Toc61894750 \h </w:instrText>
        </w:r>
        <w:r w:rsidR="00D45ED1">
          <w:rPr>
            <w:noProof/>
            <w:webHidden/>
          </w:rPr>
        </w:r>
        <w:r w:rsidR="00D45ED1">
          <w:rPr>
            <w:noProof/>
            <w:webHidden/>
          </w:rPr>
          <w:fldChar w:fldCharType="separate"/>
        </w:r>
        <w:r w:rsidR="00513D91">
          <w:rPr>
            <w:noProof/>
            <w:webHidden/>
          </w:rPr>
          <w:t>121</w:t>
        </w:r>
        <w:r w:rsidR="00D45ED1">
          <w:rPr>
            <w:noProof/>
            <w:webHidden/>
          </w:rPr>
          <w:fldChar w:fldCharType="end"/>
        </w:r>
      </w:hyperlink>
    </w:p>
    <w:p w14:paraId="60AC2DB3" w14:textId="3DDD507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51" w:history="1">
        <w:r w:rsidR="00D45ED1" w:rsidRPr="00F746A2">
          <w:rPr>
            <w:rStyle w:val="Hyperlink"/>
            <w:noProof/>
            <w:lang w:eastAsia="zh-CN" w:bidi="hi-IN"/>
          </w:rPr>
          <w:t>5.9 Exploratory Factor Analysis (EFA)</w:t>
        </w:r>
        <w:r w:rsidR="00D45ED1">
          <w:rPr>
            <w:noProof/>
            <w:webHidden/>
          </w:rPr>
          <w:tab/>
        </w:r>
        <w:r w:rsidR="00D45ED1">
          <w:rPr>
            <w:noProof/>
            <w:webHidden/>
          </w:rPr>
          <w:fldChar w:fldCharType="begin"/>
        </w:r>
        <w:r w:rsidR="00D45ED1">
          <w:rPr>
            <w:noProof/>
            <w:webHidden/>
          </w:rPr>
          <w:instrText xml:space="preserve"> PAGEREF _Toc61894751 \h </w:instrText>
        </w:r>
        <w:r w:rsidR="00D45ED1">
          <w:rPr>
            <w:noProof/>
            <w:webHidden/>
          </w:rPr>
        </w:r>
        <w:r w:rsidR="00D45ED1">
          <w:rPr>
            <w:noProof/>
            <w:webHidden/>
          </w:rPr>
          <w:fldChar w:fldCharType="separate"/>
        </w:r>
        <w:r w:rsidR="00513D91">
          <w:rPr>
            <w:noProof/>
            <w:webHidden/>
          </w:rPr>
          <w:t>121</w:t>
        </w:r>
        <w:r w:rsidR="00D45ED1">
          <w:rPr>
            <w:noProof/>
            <w:webHidden/>
          </w:rPr>
          <w:fldChar w:fldCharType="end"/>
        </w:r>
      </w:hyperlink>
    </w:p>
    <w:p w14:paraId="48622064" w14:textId="11965B3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2" w:history="1">
        <w:r w:rsidR="00D45ED1" w:rsidRPr="00F746A2">
          <w:rPr>
            <w:rStyle w:val="Hyperlink"/>
            <w:bCs/>
            <w:noProof/>
            <w:lang w:eastAsia="zh-CN" w:bidi="hi-IN"/>
            <w14:scene3d>
              <w14:camera w14:prst="orthographicFront"/>
              <w14:lightRig w14:rig="threePt" w14:dir="t">
                <w14:rot w14:lat="0" w14:lon="0" w14:rev="0"/>
              </w14:lightRig>
            </w14:scene3d>
          </w:rPr>
          <w:t>5.9.1</w:t>
        </w:r>
        <w:r w:rsidR="00D45ED1" w:rsidRPr="00F746A2">
          <w:rPr>
            <w:rStyle w:val="Hyperlink"/>
            <w:noProof/>
            <w:lang w:eastAsia="zh-CN" w:bidi="hi-IN"/>
          </w:rPr>
          <w:t xml:space="preserve"> Key External Threats - Cyber Attack (KECA)</w:t>
        </w:r>
        <w:r w:rsidR="00D45ED1">
          <w:rPr>
            <w:noProof/>
            <w:webHidden/>
          </w:rPr>
          <w:tab/>
        </w:r>
        <w:r w:rsidR="00D45ED1">
          <w:rPr>
            <w:noProof/>
            <w:webHidden/>
          </w:rPr>
          <w:fldChar w:fldCharType="begin"/>
        </w:r>
        <w:r w:rsidR="00D45ED1">
          <w:rPr>
            <w:noProof/>
            <w:webHidden/>
          </w:rPr>
          <w:instrText xml:space="preserve"> PAGEREF _Toc61894752 \h </w:instrText>
        </w:r>
        <w:r w:rsidR="00D45ED1">
          <w:rPr>
            <w:noProof/>
            <w:webHidden/>
          </w:rPr>
        </w:r>
        <w:r w:rsidR="00D45ED1">
          <w:rPr>
            <w:noProof/>
            <w:webHidden/>
          </w:rPr>
          <w:fldChar w:fldCharType="separate"/>
        </w:r>
        <w:r w:rsidR="00513D91">
          <w:rPr>
            <w:noProof/>
            <w:webHidden/>
          </w:rPr>
          <w:t>122</w:t>
        </w:r>
        <w:r w:rsidR="00D45ED1">
          <w:rPr>
            <w:noProof/>
            <w:webHidden/>
          </w:rPr>
          <w:fldChar w:fldCharType="end"/>
        </w:r>
      </w:hyperlink>
    </w:p>
    <w:p w14:paraId="77817989" w14:textId="00B7B85F"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3" w:history="1">
        <w:r w:rsidR="00D45ED1" w:rsidRPr="00F746A2">
          <w:rPr>
            <w:rStyle w:val="Hyperlink"/>
            <w:bCs/>
            <w:noProof/>
            <w:lang w:eastAsia="zh-CN" w:bidi="hi-IN"/>
            <w14:scene3d>
              <w14:camera w14:prst="orthographicFront"/>
              <w14:lightRig w14:rig="threePt" w14:dir="t">
                <w14:rot w14:lat="0" w14:lon="0" w14:rev="0"/>
              </w14:lightRig>
            </w14:scene3d>
          </w:rPr>
          <w:t>5.9.2</w:t>
        </w:r>
        <w:r w:rsidR="00D45ED1" w:rsidRPr="00F746A2">
          <w:rPr>
            <w:rStyle w:val="Hyperlink"/>
            <w:noProof/>
            <w:lang w:eastAsia="zh-CN" w:bidi="hi-IN"/>
          </w:rPr>
          <w:t xml:space="preserve"> Key External Threats – Hacktivism (KEH)</w:t>
        </w:r>
        <w:r w:rsidR="00D45ED1">
          <w:rPr>
            <w:noProof/>
            <w:webHidden/>
          </w:rPr>
          <w:tab/>
        </w:r>
        <w:r w:rsidR="00D45ED1">
          <w:rPr>
            <w:noProof/>
            <w:webHidden/>
          </w:rPr>
          <w:fldChar w:fldCharType="begin"/>
        </w:r>
        <w:r w:rsidR="00D45ED1">
          <w:rPr>
            <w:noProof/>
            <w:webHidden/>
          </w:rPr>
          <w:instrText xml:space="preserve"> PAGEREF _Toc61894753 \h </w:instrText>
        </w:r>
        <w:r w:rsidR="00D45ED1">
          <w:rPr>
            <w:noProof/>
            <w:webHidden/>
          </w:rPr>
        </w:r>
        <w:r w:rsidR="00D45ED1">
          <w:rPr>
            <w:noProof/>
            <w:webHidden/>
          </w:rPr>
          <w:fldChar w:fldCharType="separate"/>
        </w:r>
        <w:r w:rsidR="00513D91">
          <w:rPr>
            <w:noProof/>
            <w:webHidden/>
          </w:rPr>
          <w:t>125</w:t>
        </w:r>
        <w:r w:rsidR="00D45ED1">
          <w:rPr>
            <w:noProof/>
            <w:webHidden/>
          </w:rPr>
          <w:fldChar w:fldCharType="end"/>
        </w:r>
      </w:hyperlink>
    </w:p>
    <w:p w14:paraId="3D207B79" w14:textId="0E64CB2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4" w:history="1">
        <w:r w:rsidR="00D45ED1" w:rsidRPr="00F746A2">
          <w:rPr>
            <w:rStyle w:val="Hyperlink"/>
            <w:bCs/>
            <w:noProof/>
            <w:lang w:eastAsia="zh-CN" w:bidi="hi-IN"/>
            <w14:scene3d>
              <w14:camera w14:prst="orthographicFront"/>
              <w14:lightRig w14:rig="threePt" w14:dir="t">
                <w14:rot w14:lat="0" w14:lon="0" w14:rev="0"/>
              </w14:lightRig>
            </w14:scene3d>
          </w:rPr>
          <w:t>5.9.3</w:t>
        </w:r>
        <w:r w:rsidR="00D45ED1" w:rsidRPr="00F746A2">
          <w:rPr>
            <w:rStyle w:val="Hyperlink"/>
            <w:noProof/>
            <w:lang w:eastAsia="zh-CN" w:bidi="hi-IN"/>
          </w:rPr>
          <w:t xml:space="preserve"> Key External Threats – Phishing (KEP)</w:t>
        </w:r>
        <w:r w:rsidR="00D45ED1">
          <w:rPr>
            <w:noProof/>
            <w:webHidden/>
          </w:rPr>
          <w:tab/>
        </w:r>
        <w:r w:rsidR="00D45ED1">
          <w:rPr>
            <w:noProof/>
            <w:webHidden/>
          </w:rPr>
          <w:fldChar w:fldCharType="begin"/>
        </w:r>
        <w:r w:rsidR="00D45ED1">
          <w:rPr>
            <w:noProof/>
            <w:webHidden/>
          </w:rPr>
          <w:instrText xml:space="preserve"> PAGEREF _Toc61894754 \h </w:instrText>
        </w:r>
        <w:r w:rsidR="00D45ED1">
          <w:rPr>
            <w:noProof/>
            <w:webHidden/>
          </w:rPr>
        </w:r>
        <w:r w:rsidR="00D45ED1">
          <w:rPr>
            <w:noProof/>
            <w:webHidden/>
          </w:rPr>
          <w:fldChar w:fldCharType="separate"/>
        </w:r>
        <w:r w:rsidR="00513D91">
          <w:rPr>
            <w:noProof/>
            <w:webHidden/>
          </w:rPr>
          <w:t>128</w:t>
        </w:r>
        <w:r w:rsidR="00D45ED1">
          <w:rPr>
            <w:noProof/>
            <w:webHidden/>
          </w:rPr>
          <w:fldChar w:fldCharType="end"/>
        </w:r>
      </w:hyperlink>
    </w:p>
    <w:p w14:paraId="222DB0CB" w14:textId="422BC5B2"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5" w:history="1">
        <w:r w:rsidR="00D45ED1" w:rsidRPr="00F746A2">
          <w:rPr>
            <w:rStyle w:val="Hyperlink"/>
            <w:bCs/>
            <w:noProof/>
            <w:lang w:eastAsia="zh-CN" w:bidi="hi-IN"/>
            <w14:scene3d>
              <w14:camera w14:prst="orthographicFront"/>
              <w14:lightRig w14:rig="threePt" w14:dir="t">
                <w14:rot w14:lat="0" w14:lon="0" w14:rev="0"/>
              </w14:lightRig>
            </w14:scene3d>
          </w:rPr>
          <w:t>5.9.4</w:t>
        </w:r>
        <w:r w:rsidR="00D45ED1" w:rsidRPr="00F746A2">
          <w:rPr>
            <w:rStyle w:val="Hyperlink"/>
            <w:noProof/>
            <w:lang w:eastAsia="zh-CN" w:bidi="hi-IN"/>
          </w:rPr>
          <w:t xml:space="preserve"> Key External Threats - Financial Fraud (KEFF)</w:t>
        </w:r>
        <w:r w:rsidR="00D45ED1">
          <w:rPr>
            <w:noProof/>
            <w:webHidden/>
          </w:rPr>
          <w:tab/>
        </w:r>
        <w:r w:rsidR="00D45ED1">
          <w:rPr>
            <w:noProof/>
            <w:webHidden/>
          </w:rPr>
          <w:fldChar w:fldCharType="begin"/>
        </w:r>
        <w:r w:rsidR="00D45ED1">
          <w:rPr>
            <w:noProof/>
            <w:webHidden/>
          </w:rPr>
          <w:instrText xml:space="preserve"> PAGEREF _Toc61894755 \h </w:instrText>
        </w:r>
        <w:r w:rsidR="00D45ED1">
          <w:rPr>
            <w:noProof/>
            <w:webHidden/>
          </w:rPr>
        </w:r>
        <w:r w:rsidR="00D45ED1">
          <w:rPr>
            <w:noProof/>
            <w:webHidden/>
          </w:rPr>
          <w:fldChar w:fldCharType="separate"/>
        </w:r>
        <w:r w:rsidR="00513D91">
          <w:rPr>
            <w:noProof/>
            <w:webHidden/>
          </w:rPr>
          <w:t>129</w:t>
        </w:r>
        <w:r w:rsidR="00D45ED1">
          <w:rPr>
            <w:noProof/>
            <w:webHidden/>
          </w:rPr>
          <w:fldChar w:fldCharType="end"/>
        </w:r>
      </w:hyperlink>
    </w:p>
    <w:p w14:paraId="4DE41B6F" w14:textId="4A841FEF"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6" w:history="1">
        <w:r w:rsidR="00D45ED1" w:rsidRPr="00F746A2">
          <w:rPr>
            <w:rStyle w:val="Hyperlink"/>
            <w:bCs/>
            <w:noProof/>
            <w:lang w:eastAsia="zh-CN" w:bidi="hi-IN"/>
            <w14:scene3d>
              <w14:camera w14:prst="orthographicFront"/>
              <w14:lightRig w14:rig="threePt" w14:dir="t">
                <w14:rot w14:lat="0" w14:lon="0" w14:rev="0"/>
              </w14:lightRig>
            </w14:scene3d>
          </w:rPr>
          <w:t>5.9.5</w:t>
        </w:r>
        <w:r w:rsidR="00D45ED1" w:rsidRPr="00F746A2">
          <w:rPr>
            <w:rStyle w:val="Hyperlink"/>
            <w:noProof/>
            <w:lang w:eastAsia="zh-CN" w:bidi="hi-IN"/>
          </w:rPr>
          <w:t xml:space="preserve"> Key External Threats - Criminal Acts (ETCA)</w:t>
        </w:r>
        <w:r w:rsidR="00D45ED1">
          <w:rPr>
            <w:noProof/>
            <w:webHidden/>
          </w:rPr>
          <w:tab/>
        </w:r>
        <w:r w:rsidR="00D45ED1">
          <w:rPr>
            <w:noProof/>
            <w:webHidden/>
          </w:rPr>
          <w:fldChar w:fldCharType="begin"/>
        </w:r>
        <w:r w:rsidR="00D45ED1">
          <w:rPr>
            <w:noProof/>
            <w:webHidden/>
          </w:rPr>
          <w:instrText xml:space="preserve"> PAGEREF _Toc61894756 \h </w:instrText>
        </w:r>
        <w:r w:rsidR="00D45ED1">
          <w:rPr>
            <w:noProof/>
            <w:webHidden/>
          </w:rPr>
        </w:r>
        <w:r w:rsidR="00D45ED1">
          <w:rPr>
            <w:noProof/>
            <w:webHidden/>
          </w:rPr>
          <w:fldChar w:fldCharType="separate"/>
        </w:r>
        <w:r w:rsidR="00513D91">
          <w:rPr>
            <w:noProof/>
            <w:webHidden/>
          </w:rPr>
          <w:t>131</w:t>
        </w:r>
        <w:r w:rsidR="00D45ED1">
          <w:rPr>
            <w:noProof/>
            <w:webHidden/>
          </w:rPr>
          <w:fldChar w:fldCharType="end"/>
        </w:r>
      </w:hyperlink>
    </w:p>
    <w:p w14:paraId="42FD5A4D" w14:textId="71698537"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7" w:history="1">
        <w:r w:rsidR="00D45ED1" w:rsidRPr="00F746A2">
          <w:rPr>
            <w:rStyle w:val="Hyperlink"/>
            <w:bCs/>
            <w:noProof/>
            <w:lang w:eastAsia="zh-CN" w:bidi="hi-IN"/>
            <w14:scene3d>
              <w14:camera w14:prst="orthographicFront"/>
              <w14:lightRig w14:rig="threePt" w14:dir="t">
                <w14:rot w14:lat="0" w14:lon="0" w14:rev="0"/>
              </w14:lightRig>
            </w14:scene3d>
          </w:rPr>
          <w:t>5.9.6</w:t>
        </w:r>
        <w:r w:rsidR="00D45ED1" w:rsidRPr="00F746A2">
          <w:rPr>
            <w:rStyle w:val="Hyperlink"/>
            <w:noProof/>
            <w:lang w:eastAsia="zh-CN" w:bidi="hi-IN"/>
          </w:rPr>
          <w:t xml:space="preserve"> Key Internal Threats - Lack of Awareness (KILA)</w:t>
        </w:r>
        <w:r w:rsidR="00D45ED1">
          <w:rPr>
            <w:noProof/>
            <w:webHidden/>
          </w:rPr>
          <w:tab/>
        </w:r>
        <w:r w:rsidR="00D45ED1">
          <w:rPr>
            <w:noProof/>
            <w:webHidden/>
          </w:rPr>
          <w:fldChar w:fldCharType="begin"/>
        </w:r>
        <w:r w:rsidR="00D45ED1">
          <w:rPr>
            <w:noProof/>
            <w:webHidden/>
          </w:rPr>
          <w:instrText xml:space="preserve"> PAGEREF _Toc61894757 \h </w:instrText>
        </w:r>
        <w:r w:rsidR="00D45ED1">
          <w:rPr>
            <w:noProof/>
            <w:webHidden/>
          </w:rPr>
        </w:r>
        <w:r w:rsidR="00D45ED1">
          <w:rPr>
            <w:noProof/>
            <w:webHidden/>
          </w:rPr>
          <w:fldChar w:fldCharType="separate"/>
        </w:r>
        <w:r w:rsidR="00513D91">
          <w:rPr>
            <w:noProof/>
            <w:webHidden/>
          </w:rPr>
          <w:t>133</w:t>
        </w:r>
        <w:r w:rsidR="00D45ED1">
          <w:rPr>
            <w:noProof/>
            <w:webHidden/>
          </w:rPr>
          <w:fldChar w:fldCharType="end"/>
        </w:r>
      </w:hyperlink>
    </w:p>
    <w:p w14:paraId="0C7E01CF" w14:textId="42DD29F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8" w:history="1">
        <w:r w:rsidR="00D45ED1" w:rsidRPr="00F746A2">
          <w:rPr>
            <w:rStyle w:val="Hyperlink"/>
            <w:bCs/>
            <w:noProof/>
            <w:lang w:eastAsia="zh-CN" w:bidi="hi-IN"/>
            <w14:scene3d>
              <w14:camera w14:prst="orthographicFront"/>
              <w14:lightRig w14:rig="threePt" w14:dir="t">
                <w14:rot w14:lat="0" w14:lon="0" w14:rev="0"/>
              </w14:lightRig>
            </w14:scene3d>
          </w:rPr>
          <w:t>5.9.7</w:t>
        </w:r>
        <w:r w:rsidR="00D45ED1" w:rsidRPr="00F746A2">
          <w:rPr>
            <w:rStyle w:val="Hyperlink"/>
            <w:noProof/>
            <w:lang w:eastAsia="zh-CN" w:bidi="hi-IN"/>
          </w:rPr>
          <w:t xml:space="preserve"> Key Internal Threats - Risk Culture and Laziness (KIRC)</w:t>
        </w:r>
        <w:r w:rsidR="00D45ED1">
          <w:rPr>
            <w:noProof/>
            <w:webHidden/>
          </w:rPr>
          <w:tab/>
        </w:r>
        <w:r w:rsidR="00D45ED1">
          <w:rPr>
            <w:noProof/>
            <w:webHidden/>
          </w:rPr>
          <w:fldChar w:fldCharType="begin"/>
        </w:r>
        <w:r w:rsidR="00D45ED1">
          <w:rPr>
            <w:noProof/>
            <w:webHidden/>
          </w:rPr>
          <w:instrText xml:space="preserve"> PAGEREF _Toc61894758 \h </w:instrText>
        </w:r>
        <w:r w:rsidR="00D45ED1">
          <w:rPr>
            <w:noProof/>
            <w:webHidden/>
          </w:rPr>
        </w:r>
        <w:r w:rsidR="00D45ED1">
          <w:rPr>
            <w:noProof/>
            <w:webHidden/>
          </w:rPr>
          <w:fldChar w:fldCharType="separate"/>
        </w:r>
        <w:r w:rsidR="00513D91">
          <w:rPr>
            <w:noProof/>
            <w:webHidden/>
          </w:rPr>
          <w:t>135</w:t>
        </w:r>
        <w:r w:rsidR="00D45ED1">
          <w:rPr>
            <w:noProof/>
            <w:webHidden/>
          </w:rPr>
          <w:fldChar w:fldCharType="end"/>
        </w:r>
      </w:hyperlink>
    </w:p>
    <w:p w14:paraId="591820C3" w14:textId="35525D98"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59" w:history="1">
        <w:r w:rsidR="00D45ED1" w:rsidRPr="00F746A2">
          <w:rPr>
            <w:rStyle w:val="Hyperlink"/>
            <w:bCs/>
            <w:noProof/>
            <w:lang w:eastAsia="zh-CN" w:bidi="hi-IN"/>
            <w14:scene3d>
              <w14:camera w14:prst="orthographicFront"/>
              <w14:lightRig w14:rig="threePt" w14:dir="t">
                <w14:rot w14:lat="0" w14:lon="0" w14:rev="0"/>
              </w14:lightRig>
            </w14:scene3d>
          </w:rPr>
          <w:t>5.9.8</w:t>
        </w:r>
        <w:r w:rsidR="00D45ED1" w:rsidRPr="00F746A2">
          <w:rPr>
            <w:rStyle w:val="Hyperlink"/>
            <w:noProof/>
            <w:lang w:eastAsia="zh-CN" w:bidi="hi-IN"/>
          </w:rPr>
          <w:t xml:space="preserve"> Key Internal Threats - Financial Fraud (KIFF)</w:t>
        </w:r>
        <w:r w:rsidR="00D45ED1">
          <w:rPr>
            <w:noProof/>
            <w:webHidden/>
          </w:rPr>
          <w:tab/>
        </w:r>
        <w:r w:rsidR="00D45ED1">
          <w:rPr>
            <w:noProof/>
            <w:webHidden/>
          </w:rPr>
          <w:fldChar w:fldCharType="begin"/>
        </w:r>
        <w:r w:rsidR="00D45ED1">
          <w:rPr>
            <w:noProof/>
            <w:webHidden/>
          </w:rPr>
          <w:instrText xml:space="preserve"> PAGEREF _Toc61894759 \h </w:instrText>
        </w:r>
        <w:r w:rsidR="00D45ED1">
          <w:rPr>
            <w:noProof/>
            <w:webHidden/>
          </w:rPr>
        </w:r>
        <w:r w:rsidR="00D45ED1">
          <w:rPr>
            <w:noProof/>
            <w:webHidden/>
          </w:rPr>
          <w:fldChar w:fldCharType="separate"/>
        </w:r>
        <w:r w:rsidR="00513D91">
          <w:rPr>
            <w:noProof/>
            <w:webHidden/>
          </w:rPr>
          <w:t>137</w:t>
        </w:r>
        <w:r w:rsidR="00D45ED1">
          <w:rPr>
            <w:noProof/>
            <w:webHidden/>
          </w:rPr>
          <w:fldChar w:fldCharType="end"/>
        </w:r>
      </w:hyperlink>
    </w:p>
    <w:p w14:paraId="0DADCC62" w14:textId="7CA642D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0" w:history="1">
        <w:r w:rsidR="00D45ED1" w:rsidRPr="00F746A2">
          <w:rPr>
            <w:rStyle w:val="Hyperlink"/>
            <w:bCs/>
            <w:noProof/>
            <w:lang w:eastAsia="zh-CN" w:bidi="hi-IN"/>
            <w14:scene3d>
              <w14:camera w14:prst="orthographicFront"/>
              <w14:lightRig w14:rig="threePt" w14:dir="t">
                <w14:rot w14:lat="0" w14:lon="0" w14:rev="0"/>
              </w14:lightRig>
            </w14:scene3d>
          </w:rPr>
          <w:t>5.9.9</w:t>
        </w:r>
        <w:r w:rsidR="00D45ED1" w:rsidRPr="00F746A2">
          <w:rPr>
            <w:rStyle w:val="Hyperlink"/>
            <w:noProof/>
            <w:lang w:eastAsia="zh-CN" w:bidi="hi-IN"/>
          </w:rPr>
          <w:t xml:space="preserve"> Key Internal Threats - Criminal Acts (ITCA)</w:t>
        </w:r>
        <w:r w:rsidR="00D45ED1">
          <w:rPr>
            <w:noProof/>
            <w:webHidden/>
          </w:rPr>
          <w:tab/>
        </w:r>
        <w:r w:rsidR="00D45ED1">
          <w:rPr>
            <w:noProof/>
            <w:webHidden/>
          </w:rPr>
          <w:fldChar w:fldCharType="begin"/>
        </w:r>
        <w:r w:rsidR="00D45ED1">
          <w:rPr>
            <w:noProof/>
            <w:webHidden/>
          </w:rPr>
          <w:instrText xml:space="preserve"> PAGEREF _Toc61894760 \h </w:instrText>
        </w:r>
        <w:r w:rsidR="00D45ED1">
          <w:rPr>
            <w:noProof/>
            <w:webHidden/>
          </w:rPr>
        </w:r>
        <w:r w:rsidR="00D45ED1">
          <w:rPr>
            <w:noProof/>
            <w:webHidden/>
          </w:rPr>
          <w:fldChar w:fldCharType="separate"/>
        </w:r>
        <w:r w:rsidR="00513D91">
          <w:rPr>
            <w:noProof/>
            <w:webHidden/>
          </w:rPr>
          <w:t>138</w:t>
        </w:r>
        <w:r w:rsidR="00D45ED1">
          <w:rPr>
            <w:noProof/>
            <w:webHidden/>
          </w:rPr>
          <w:fldChar w:fldCharType="end"/>
        </w:r>
      </w:hyperlink>
    </w:p>
    <w:p w14:paraId="5F868286" w14:textId="389B4CB4"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1" w:history="1">
        <w:r w:rsidR="00D45ED1" w:rsidRPr="00F746A2">
          <w:rPr>
            <w:rStyle w:val="Hyperlink"/>
            <w:bCs/>
            <w:noProof/>
            <w:lang w:eastAsia="zh-CN" w:bidi="hi-IN"/>
            <w14:scene3d>
              <w14:camera w14:prst="orthographicFront"/>
              <w14:lightRig w14:rig="threePt" w14:dir="t">
                <w14:rot w14:lat="0" w14:lon="0" w14:rev="0"/>
              </w14:lightRig>
            </w14:scene3d>
          </w:rPr>
          <w:t>5.9.10</w:t>
        </w:r>
        <w:r w:rsidR="00D45ED1" w:rsidRPr="00F746A2">
          <w:rPr>
            <w:rStyle w:val="Hyperlink"/>
            <w:noProof/>
            <w:lang w:eastAsia="zh-CN" w:bidi="hi-IN"/>
          </w:rPr>
          <w:t xml:space="preserve"> Vulnerabilities and Weaknesses (VW)</w:t>
        </w:r>
        <w:r w:rsidR="00D45ED1">
          <w:rPr>
            <w:noProof/>
            <w:webHidden/>
          </w:rPr>
          <w:tab/>
        </w:r>
        <w:r w:rsidR="00D45ED1">
          <w:rPr>
            <w:noProof/>
            <w:webHidden/>
          </w:rPr>
          <w:fldChar w:fldCharType="begin"/>
        </w:r>
        <w:r w:rsidR="00D45ED1">
          <w:rPr>
            <w:noProof/>
            <w:webHidden/>
          </w:rPr>
          <w:instrText xml:space="preserve"> PAGEREF _Toc61894761 \h </w:instrText>
        </w:r>
        <w:r w:rsidR="00D45ED1">
          <w:rPr>
            <w:noProof/>
            <w:webHidden/>
          </w:rPr>
        </w:r>
        <w:r w:rsidR="00D45ED1">
          <w:rPr>
            <w:noProof/>
            <w:webHidden/>
          </w:rPr>
          <w:fldChar w:fldCharType="separate"/>
        </w:r>
        <w:r w:rsidR="00513D91">
          <w:rPr>
            <w:noProof/>
            <w:webHidden/>
          </w:rPr>
          <w:t>139</w:t>
        </w:r>
        <w:r w:rsidR="00D45ED1">
          <w:rPr>
            <w:noProof/>
            <w:webHidden/>
          </w:rPr>
          <w:fldChar w:fldCharType="end"/>
        </w:r>
      </w:hyperlink>
    </w:p>
    <w:p w14:paraId="464A2DFD" w14:textId="0F29C061"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2" w:history="1">
        <w:r w:rsidR="00D45ED1" w:rsidRPr="00F746A2">
          <w:rPr>
            <w:rStyle w:val="Hyperlink"/>
            <w:bCs/>
            <w:noProof/>
            <w:lang w:eastAsia="zh-CN" w:bidi="hi-IN"/>
            <w14:scene3d>
              <w14:camera w14:prst="orthographicFront"/>
              <w14:lightRig w14:rig="threePt" w14:dir="t">
                <w14:rot w14:lat="0" w14:lon="0" w14:rev="0"/>
              </w14:lightRig>
            </w14:scene3d>
          </w:rPr>
          <w:t>5.9.11</w:t>
        </w:r>
        <w:r w:rsidR="00D45ED1" w:rsidRPr="00F746A2">
          <w:rPr>
            <w:rStyle w:val="Hyperlink"/>
            <w:noProof/>
            <w:lang w:eastAsia="zh-CN" w:bidi="hi-IN"/>
          </w:rPr>
          <w:t xml:space="preserve"> Organisational Vulnerabilities and Weaknesses: Physical and Digital Assets (VWP)</w:t>
        </w:r>
        <w:r w:rsidR="00D45ED1">
          <w:rPr>
            <w:noProof/>
            <w:webHidden/>
          </w:rPr>
          <w:tab/>
        </w:r>
        <w:r w:rsidR="00D45ED1">
          <w:rPr>
            <w:noProof/>
            <w:webHidden/>
          </w:rPr>
          <w:fldChar w:fldCharType="begin"/>
        </w:r>
        <w:r w:rsidR="00D45ED1">
          <w:rPr>
            <w:noProof/>
            <w:webHidden/>
          </w:rPr>
          <w:instrText xml:space="preserve"> PAGEREF _Toc61894762 \h </w:instrText>
        </w:r>
        <w:r w:rsidR="00D45ED1">
          <w:rPr>
            <w:noProof/>
            <w:webHidden/>
          </w:rPr>
        </w:r>
        <w:r w:rsidR="00D45ED1">
          <w:rPr>
            <w:noProof/>
            <w:webHidden/>
          </w:rPr>
          <w:fldChar w:fldCharType="separate"/>
        </w:r>
        <w:r w:rsidR="00513D91">
          <w:rPr>
            <w:noProof/>
            <w:webHidden/>
          </w:rPr>
          <w:t>141</w:t>
        </w:r>
        <w:r w:rsidR="00D45ED1">
          <w:rPr>
            <w:noProof/>
            <w:webHidden/>
          </w:rPr>
          <w:fldChar w:fldCharType="end"/>
        </w:r>
      </w:hyperlink>
    </w:p>
    <w:p w14:paraId="26D31E8D" w14:textId="09AEDA77"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3" w:history="1">
        <w:r w:rsidR="00D45ED1" w:rsidRPr="00F746A2">
          <w:rPr>
            <w:rStyle w:val="Hyperlink"/>
            <w:bCs/>
            <w:noProof/>
            <w:lang w:eastAsia="zh-CN" w:bidi="hi-IN"/>
            <w14:scene3d>
              <w14:camera w14:prst="orthographicFront"/>
              <w14:lightRig w14:rig="threePt" w14:dir="t">
                <w14:rot w14:lat="0" w14:lon="0" w14:rev="0"/>
              </w14:lightRig>
            </w14:scene3d>
          </w:rPr>
          <w:t>5.9.12</w:t>
        </w:r>
        <w:r w:rsidR="00D45ED1" w:rsidRPr="00F746A2">
          <w:rPr>
            <w:rStyle w:val="Hyperlink"/>
            <w:noProof/>
            <w:lang w:eastAsia="zh-CN" w:bidi="hi-IN"/>
          </w:rPr>
          <w:t xml:space="preserve"> Responses in Place (RP)</w:t>
        </w:r>
        <w:r w:rsidR="00D45ED1">
          <w:rPr>
            <w:noProof/>
            <w:webHidden/>
          </w:rPr>
          <w:tab/>
        </w:r>
        <w:r w:rsidR="00D45ED1">
          <w:rPr>
            <w:noProof/>
            <w:webHidden/>
          </w:rPr>
          <w:fldChar w:fldCharType="begin"/>
        </w:r>
        <w:r w:rsidR="00D45ED1">
          <w:rPr>
            <w:noProof/>
            <w:webHidden/>
          </w:rPr>
          <w:instrText xml:space="preserve"> PAGEREF _Toc61894763 \h </w:instrText>
        </w:r>
        <w:r w:rsidR="00D45ED1">
          <w:rPr>
            <w:noProof/>
            <w:webHidden/>
          </w:rPr>
        </w:r>
        <w:r w:rsidR="00D45ED1">
          <w:rPr>
            <w:noProof/>
            <w:webHidden/>
          </w:rPr>
          <w:fldChar w:fldCharType="separate"/>
        </w:r>
        <w:r w:rsidR="00513D91">
          <w:rPr>
            <w:noProof/>
            <w:webHidden/>
          </w:rPr>
          <w:t>143</w:t>
        </w:r>
        <w:r w:rsidR="00D45ED1">
          <w:rPr>
            <w:noProof/>
            <w:webHidden/>
          </w:rPr>
          <w:fldChar w:fldCharType="end"/>
        </w:r>
      </w:hyperlink>
    </w:p>
    <w:p w14:paraId="0C47C052" w14:textId="7D66072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4" w:history="1">
        <w:r w:rsidR="00D45ED1" w:rsidRPr="00F746A2">
          <w:rPr>
            <w:rStyle w:val="Hyperlink"/>
            <w:bCs/>
            <w:noProof/>
            <w:lang w:eastAsia="zh-CN" w:bidi="hi-IN"/>
            <w14:scene3d>
              <w14:camera w14:prst="orthographicFront"/>
              <w14:lightRig w14:rig="threePt" w14:dir="t">
                <w14:rot w14:lat="0" w14:lon="0" w14:rev="0"/>
              </w14:lightRig>
            </w14:scene3d>
          </w:rPr>
          <w:t>5.9.13</w:t>
        </w:r>
        <w:r w:rsidR="00D45ED1" w:rsidRPr="00F746A2">
          <w:rPr>
            <w:rStyle w:val="Hyperlink"/>
            <w:noProof/>
            <w:lang w:eastAsia="zh-CN" w:bidi="hi-IN"/>
          </w:rPr>
          <w:t xml:space="preserve"> Organisational Resilience (OR)</w:t>
        </w:r>
        <w:r w:rsidR="00D45ED1">
          <w:rPr>
            <w:noProof/>
            <w:webHidden/>
          </w:rPr>
          <w:tab/>
        </w:r>
        <w:r w:rsidR="00D45ED1">
          <w:rPr>
            <w:noProof/>
            <w:webHidden/>
          </w:rPr>
          <w:fldChar w:fldCharType="begin"/>
        </w:r>
        <w:r w:rsidR="00D45ED1">
          <w:rPr>
            <w:noProof/>
            <w:webHidden/>
          </w:rPr>
          <w:instrText xml:space="preserve"> PAGEREF _Toc61894764 \h </w:instrText>
        </w:r>
        <w:r w:rsidR="00D45ED1">
          <w:rPr>
            <w:noProof/>
            <w:webHidden/>
          </w:rPr>
        </w:r>
        <w:r w:rsidR="00D45ED1">
          <w:rPr>
            <w:noProof/>
            <w:webHidden/>
          </w:rPr>
          <w:fldChar w:fldCharType="separate"/>
        </w:r>
        <w:r w:rsidR="00513D91">
          <w:rPr>
            <w:noProof/>
            <w:webHidden/>
          </w:rPr>
          <w:t>145</w:t>
        </w:r>
        <w:r w:rsidR="00D45ED1">
          <w:rPr>
            <w:noProof/>
            <w:webHidden/>
          </w:rPr>
          <w:fldChar w:fldCharType="end"/>
        </w:r>
      </w:hyperlink>
    </w:p>
    <w:p w14:paraId="37A9CD00" w14:textId="48B0C66E"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5" w:history="1">
        <w:r w:rsidR="00D45ED1" w:rsidRPr="00F746A2">
          <w:rPr>
            <w:rStyle w:val="Hyperlink"/>
            <w:bCs/>
            <w:noProof/>
            <w:lang w:eastAsia="zh-CN" w:bidi="hi-IN"/>
            <w14:scene3d>
              <w14:camera w14:prst="orthographicFront"/>
              <w14:lightRig w14:rig="threePt" w14:dir="t">
                <w14:rot w14:lat="0" w14:lon="0" w14:rev="0"/>
              </w14:lightRig>
            </w14:scene3d>
          </w:rPr>
          <w:t>5.9.14</w:t>
        </w:r>
        <w:r w:rsidR="00D45ED1" w:rsidRPr="00F746A2">
          <w:rPr>
            <w:rStyle w:val="Hyperlink"/>
            <w:noProof/>
            <w:lang w:eastAsia="zh-CN" w:bidi="hi-IN"/>
          </w:rPr>
          <w:t xml:space="preserve"> Summary</w:t>
        </w:r>
        <w:r w:rsidR="00D45ED1">
          <w:rPr>
            <w:noProof/>
            <w:webHidden/>
          </w:rPr>
          <w:tab/>
        </w:r>
        <w:r w:rsidR="00D45ED1">
          <w:rPr>
            <w:noProof/>
            <w:webHidden/>
          </w:rPr>
          <w:fldChar w:fldCharType="begin"/>
        </w:r>
        <w:r w:rsidR="00D45ED1">
          <w:rPr>
            <w:noProof/>
            <w:webHidden/>
          </w:rPr>
          <w:instrText xml:space="preserve"> PAGEREF _Toc61894765 \h </w:instrText>
        </w:r>
        <w:r w:rsidR="00D45ED1">
          <w:rPr>
            <w:noProof/>
            <w:webHidden/>
          </w:rPr>
        </w:r>
        <w:r w:rsidR="00D45ED1">
          <w:rPr>
            <w:noProof/>
            <w:webHidden/>
          </w:rPr>
          <w:fldChar w:fldCharType="separate"/>
        </w:r>
        <w:r w:rsidR="00513D91">
          <w:rPr>
            <w:noProof/>
            <w:webHidden/>
          </w:rPr>
          <w:t>147</w:t>
        </w:r>
        <w:r w:rsidR="00D45ED1">
          <w:rPr>
            <w:noProof/>
            <w:webHidden/>
          </w:rPr>
          <w:fldChar w:fldCharType="end"/>
        </w:r>
      </w:hyperlink>
    </w:p>
    <w:p w14:paraId="082A5038" w14:textId="1CD9813E"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766" w:history="1">
        <w:r w:rsidR="00D45ED1" w:rsidRPr="00F746A2">
          <w:rPr>
            <w:rStyle w:val="Hyperlink"/>
            <w:noProof/>
            <w:lang w:eastAsia="zh-CN" w:bidi="hi-IN"/>
          </w:rPr>
          <w:t>5.10 Simple and Multiple Regression Analysis</w:t>
        </w:r>
        <w:r w:rsidR="00D45ED1">
          <w:rPr>
            <w:noProof/>
            <w:webHidden/>
          </w:rPr>
          <w:tab/>
        </w:r>
        <w:r w:rsidR="00D45ED1">
          <w:rPr>
            <w:noProof/>
            <w:webHidden/>
          </w:rPr>
          <w:fldChar w:fldCharType="begin"/>
        </w:r>
        <w:r w:rsidR="00D45ED1">
          <w:rPr>
            <w:noProof/>
            <w:webHidden/>
          </w:rPr>
          <w:instrText xml:space="preserve"> PAGEREF _Toc61894766 \h </w:instrText>
        </w:r>
        <w:r w:rsidR="00D45ED1">
          <w:rPr>
            <w:noProof/>
            <w:webHidden/>
          </w:rPr>
        </w:r>
        <w:r w:rsidR="00D45ED1">
          <w:rPr>
            <w:noProof/>
            <w:webHidden/>
          </w:rPr>
          <w:fldChar w:fldCharType="separate"/>
        </w:r>
        <w:r w:rsidR="00513D91">
          <w:rPr>
            <w:noProof/>
            <w:webHidden/>
          </w:rPr>
          <w:t>147</w:t>
        </w:r>
        <w:r w:rsidR="00D45ED1">
          <w:rPr>
            <w:noProof/>
            <w:webHidden/>
          </w:rPr>
          <w:fldChar w:fldCharType="end"/>
        </w:r>
      </w:hyperlink>
    </w:p>
    <w:p w14:paraId="5A54384D" w14:textId="59C73FD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67" w:history="1">
        <w:r w:rsidR="00D45ED1" w:rsidRPr="00F746A2">
          <w:rPr>
            <w:rStyle w:val="Hyperlink"/>
            <w:bCs/>
            <w:noProof/>
            <w:lang w:eastAsia="zh-CN" w:bidi="hi-IN"/>
            <w14:scene3d>
              <w14:camera w14:prst="orthographicFront"/>
              <w14:lightRig w14:rig="threePt" w14:dir="t">
                <w14:rot w14:lat="0" w14:lon="0" w14:rev="0"/>
              </w14:lightRig>
            </w14:scene3d>
          </w:rPr>
          <w:t>5.10.1</w:t>
        </w:r>
        <w:r w:rsidR="00D45ED1" w:rsidRPr="00F746A2">
          <w:rPr>
            <w:rStyle w:val="Hyperlink"/>
            <w:noProof/>
            <w:lang w:eastAsia="zh-CN" w:bidi="hi-IN"/>
          </w:rPr>
          <w:t xml:space="preserve"> The Relationship Between Vulnerabilities and Weaknesses and External Threats</w:t>
        </w:r>
        <w:r w:rsidR="00D45ED1">
          <w:rPr>
            <w:noProof/>
            <w:webHidden/>
          </w:rPr>
          <w:tab/>
        </w:r>
        <w:r w:rsidR="00D45ED1">
          <w:rPr>
            <w:noProof/>
            <w:webHidden/>
          </w:rPr>
          <w:fldChar w:fldCharType="begin"/>
        </w:r>
        <w:r w:rsidR="00D45ED1">
          <w:rPr>
            <w:noProof/>
            <w:webHidden/>
          </w:rPr>
          <w:instrText xml:space="preserve"> PAGEREF _Toc61894767 \h </w:instrText>
        </w:r>
        <w:r w:rsidR="00D45ED1">
          <w:rPr>
            <w:noProof/>
            <w:webHidden/>
          </w:rPr>
        </w:r>
        <w:r w:rsidR="00D45ED1">
          <w:rPr>
            <w:noProof/>
            <w:webHidden/>
          </w:rPr>
          <w:fldChar w:fldCharType="separate"/>
        </w:r>
        <w:r w:rsidR="00513D91">
          <w:rPr>
            <w:noProof/>
            <w:webHidden/>
          </w:rPr>
          <w:t>149</w:t>
        </w:r>
        <w:r w:rsidR="00D45ED1">
          <w:rPr>
            <w:noProof/>
            <w:webHidden/>
          </w:rPr>
          <w:fldChar w:fldCharType="end"/>
        </w:r>
      </w:hyperlink>
    </w:p>
    <w:p w14:paraId="6C00D882" w14:textId="584613DC"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68" w:history="1">
        <w:r w:rsidR="00D45ED1" w:rsidRPr="00F746A2">
          <w:rPr>
            <w:rStyle w:val="Hyperlink"/>
            <w:bCs/>
            <w:noProof/>
            <w:lang w:eastAsia="zh-CN" w:bidi="hi-IN"/>
          </w:rPr>
          <w:t>5.10.1.1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_Toc61894768 \h </w:instrText>
        </w:r>
        <w:r w:rsidR="00D45ED1">
          <w:rPr>
            <w:noProof/>
            <w:webHidden/>
          </w:rPr>
        </w:r>
        <w:r w:rsidR="00D45ED1">
          <w:rPr>
            <w:noProof/>
            <w:webHidden/>
          </w:rPr>
          <w:fldChar w:fldCharType="separate"/>
        </w:r>
        <w:r w:rsidR="00513D91">
          <w:rPr>
            <w:noProof/>
            <w:webHidden/>
          </w:rPr>
          <w:t>150</w:t>
        </w:r>
        <w:r w:rsidR="00D45ED1">
          <w:rPr>
            <w:noProof/>
            <w:webHidden/>
          </w:rPr>
          <w:fldChar w:fldCharType="end"/>
        </w:r>
      </w:hyperlink>
    </w:p>
    <w:p w14:paraId="777EDAB3" w14:textId="14F0DE4F"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69" w:history="1">
        <w:r w:rsidR="00D45ED1" w:rsidRPr="00F746A2">
          <w:rPr>
            <w:rStyle w:val="Hyperlink"/>
            <w:bCs/>
            <w:noProof/>
            <w:lang w:eastAsia="zh-CN" w:bidi="hi-IN"/>
          </w:rPr>
          <w:t>5.10.1.2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_Toc61894769 \h </w:instrText>
        </w:r>
        <w:r w:rsidR="00D45ED1">
          <w:rPr>
            <w:noProof/>
            <w:webHidden/>
          </w:rPr>
        </w:r>
        <w:r w:rsidR="00D45ED1">
          <w:rPr>
            <w:noProof/>
            <w:webHidden/>
          </w:rPr>
          <w:fldChar w:fldCharType="separate"/>
        </w:r>
        <w:r w:rsidR="00513D91">
          <w:rPr>
            <w:noProof/>
            <w:webHidden/>
          </w:rPr>
          <w:t>151</w:t>
        </w:r>
        <w:r w:rsidR="00D45ED1">
          <w:rPr>
            <w:noProof/>
            <w:webHidden/>
          </w:rPr>
          <w:fldChar w:fldCharType="end"/>
        </w:r>
      </w:hyperlink>
    </w:p>
    <w:p w14:paraId="5898FF62" w14:textId="196D86B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70" w:history="1">
        <w:r w:rsidR="00D45ED1" w:rsidRPr="00F746A2">
          <w:rPr>
            <w:rStyle w:val="Hyperlink"/>
            <w:bCs/>
            <w:noProof/>
            <w:lang w:eastAsia="zh-CN" w:bidi="hi-IN"/>
            <w14:scene3d>
              <w14:camera w14:prst="orthographicFront"/>
              <w14:lightRig w14:rig="threePt" w14:dir="t">
                <w14:rot w14:lat="0" w14:lon="0" w14:rev="0"/>
              </w14:lightRig>
            </w14:scene3d>
          </w:rPr>
          <w:t>5.10.2</w:t>
        </w:r>
        <w:r w:rsidR="00D45ED1" w:rsidRPr="00F746A2">
          <w:rPr>
            <w:rStyle w:val="Hyperlink"/>
            <w:noProof/>
            <w:lang w:eastAsia="zh-CN" w:bidi="hi-IN"/>
          </w:rPr>
          <w:t xml:space="preserve"> The Relationship Between Vulnerabilities and Weaknesses and Internal Threats</w:t>
        </w:r>
        <w:r w:rsidR="00D45ED1">
          <w:rPr>
            <w:noProof/>
            <w:webHidden/>
          </w:rPr>
          <w:tab/>
        </w:r>
        <w:r w:rsidR="00D45ED1">
          <w:rPr>
            <w:noProof/>
            <w:webHidden/>
          </w:rPr>
          <w:fldChar w:fldCharType="begin"/>
        </w:r>
        <w:r w:rsidR="00D45ED1">
          <w:rPr>
            <w:noProof/>
            <w:webHidden/>
          </w:rPr>
          <w:instrText xml:space="preserve"> PAGEREF _Toc61894770 \h </w:instrText>
        </w:r>
        <w:r w:rsidR="00D45ED1">
          <w:rPr>
            <w:noProof/>
            <w:webHidden/>
          </w:rPr>
        </w:r>
        <w:r w:rsidR="00D45ED1">
          <w:rPr>
            <w:noProof/>
            <w:webHidden/>
          </w:rPr>
          <w:fldChar w:fldCharType="separate"/>
        </w:r>
        <w:r w:rsidR="00513D91">
          <w:rPr>
            <w:noProof/>
            <w:webHidden/>
          </w:rPr>
          <w:t>153</w:t>
        </w:r>
        <w:r w:rsidR="00D45ED1">
          <w:rPr>
            <w:noProof/>
            <w:webHidden/>
          </w:rPr>
          <w:fldChar w:fldCharType="end"/>
        </w:r>
      </w:hyperlink>
    </w:p>
    <w:p w14:paraId="008A4446" w14:textId="247DEAB8"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1" w:history="1">
        <w:r w:rsidR="00D45ED1" w:rsidRPr="00F746A2">
          <w:rPr>
            <w:rStyle w:val="Hyperlink"/>
            <w:bCs/>
            <w:noProof/>
            <w:lang w:eastAsia="zh-CN" w:bidi="hi-IN"/>
          </w:rPr>
          <w:t>5.10.2.1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_Toc61894771 \h </w:instrText>
        </w:r>
        <w:r w:rsidR="00D45ED1">
          <w:rPr>
            <w:noProof/>
            <w:webHidden/>
          </w:rPr>
        </w:r>
        <w:r w:rsidR="00D45ED1">
          <w:rPr>
            <w:noProof/>
            <w:webHidden/>
          </w:rPr>
          <w:fldChar w:fldCharType="separate"/>
        </w:r>
        <w:r w:rsidR="00513D91">
          <w:rPr>
            <w:noProof/>
            <w:webHidden/>
          </w:rPr>
          <w:t>154</w:t>
        </w:r>
        <w:r w:rsidR="00D45ED1">
          <w:rPr>
            <w:noProof/>
            <w:webHidden/>
          </w:rPr>
          <w:fldChar w:fldCharType="end"/>
        </w:r>
      </w:hyperlink>
    </w:p>
    <w:p w14:paraId="5369D399" w14:textId="78665716"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2" w:history="1">
        <w:r w:rsidR="00D45ED1" w:rsidRPr="00F746A2">
          <w:rPr>
            <w:rStyle w:val="Hyperlink"/>
            <w:bCs/>
            <w:noProof/>
            <w:lang w:eastAsia="zh-CN" w:bidi="hi-IN"/>
          </w:rPr>
          <w:t>5.10.2.2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_Toc61894772 \h </w:instrText>
        </w:r>
        <w:r w:rsidR="00D45ED1">
          <w:rPr>
            <w:noProof/>
            <w:webHidden/>
          </w:rPr>
        </w:r>
        <w:r w:rsidR="00D45ED1">
          <w:rPr>
            <w:noProof/>
            <w:webHidden/>
          </w:rPr>
          <w:fldChar w:fldCharType="separate"/>
        </w:r>
        <w:r w:rsidR="00513D91">
          <w:rPr>
            <w:noProof/>
            <w:webHidden/>
          </w:rPr>
          <w:t>155</w:t>
        </w:r>
        <w:r w:rsidR="00D45ED1">
          <w:rPr>
            <w:noProof/>
            <w:webHidden/>
          </w:rPr>
          <w:fldChar w:fldCharType="end"/>
        </w:r>
      </w:hyperlink>
    </w:p>
    <w:p w14:paraId="1DE767D5" w14:textId="709A4F1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73" w:history="1">
        <w:r w:rsidR="00D45ED1" w:rsidRPr="00F746A2">
          <w:rPr>
            <w:rStyle w:val="Hyperlink"/>
            <w:bCs/>
            <w:noProof/>
            <w:lang w:eastAsia="zh-CN" w:bidi="hi-IN"/>
            <w14:scene3d>
              <w14:camera w14:prst="orthographicFront"/>
              <w14:lightRig w14:rig="threePt" w14:dir="t">
                <w14:rot w14:lat="0" w14:lon="0" w14:rev="0"/>
              </w14:lightRig>
            </w14:scene3d>
          </w:rPr>
          <w:t>5.10.3</w:t>
        </w:r>
        <w:r w:rsidR="00D45ED1" w:rsidRPr="00F746A2">
          <w:rPr>
            <w:rStyle w:val="Hyperlink"/>
            <w:noProof/>
            <w:lang w:eastAsia="zh-CN" w:bidi="hi-IN"/>
          </w:rPr>
          <w:t xml:space="preserve"> The Relationship Between Vulnerabilities and Weaknesses and Having a Response in Place</w:t>
        </w:r>
        <w:r w:rsidR="00D45ED1">
          <w:rPr>
            <w:noProof/>
            <w:webHidden/>
          </w:rPr>
          <w:tab/>
        </w:r>
        <w:r w:rsidR="00D45ED1">
          <w:rPr>
            <w:noProof/>
            <w:webHidden/>
          </w:rPr>
          <w:fldChar w:fldCharType="begin"/>
        </w:r>
        <w:r w:rsidR="00D45ED1">
          <w:rPr>
            <w:noProof/>
            <w:webHidden/>
          </w:rPr>
          <w:instrText xml:space="preserve"> PAGEREF _Toc61894773 \h </w:instrText>
        </w:r>
        <w:r w:rsidR="00D45ED1">
          <w:rPr>
            <w:noProof/>
            <w:webHidden/>
          </w:rPr>
        </w:r>
        <w:r w:rsidR="00D45ED1">
          <w:rPr>
            <w:noProof/>
            <w:webHidden/>
          </w:rPr>
          <w:fldChar w:fldCharType="separate"/>
        </w:r>
        <w:r w:rsidR="00513D91">
          <w:rPr>
            <w:noProof/>
            <w:webHidden/>
          </w:rPr>
          <w:t>156</w:t>
        </w:r>
        <w:r w:rsidR="00D45ED1">
          <w:rPr>
            <w:noProof/>
            <w:webHidden/>
          </w:rPr>
          <w:fldChar w:fldCharType="end"/>
        </w:r>
      </w:hyperlink>
    </w:p>
    <w:p w14:paraId="51870DC0" w14:textId="6104A281"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4" w:history="1">
        <w:r w:rsidR="00D45ED1" w:rsidRPr="00F746A2">
          <w:rPr>
            <w:rStyle w:val="Hyperlink"/>
            <w:bCs/>
            <w:noProof/>
            <w:lang w:eastAsia="zh-CN" w:bidi="hi-IN"/>
          </w:rPr>
          <w:t>5.10.3.1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_Toc61894774 \h </w:instrText>
        </w:r>
        <w:r w:rsidR="00D45ED1">
          <w:rPr>
            <w:noProof/>
            <w:webHidden/>
          </w:rPr>
        </w:r>
        <w:r w:rsidR="00D45ED1">
          <w:rPr>
            <w:noProof/>
            <w:webHidden/>
          </w:rPr>
          <w:fldChar w:fldCharType="separate"/>
        </w:r>
        <w:r w:rsidR="00513D91">
          <w:rPr>
            <w:noProof/>
            <w:webHidden/>
          </w:rPr>
          <w:t>157</w:t>
        </w:r>
        <w:r w:rsidR="00D45ED1">
          <w:rPr>
            <w:noProof/>
            <w:webHidden/>
          </w:rPr>
          <w:fldChar w:fldCharType="end"/>
        </w:r>
      </w:hyperlink>
    </w:p>
    <w:p w14:paraId="45276181" w14:textId="6546DC33"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5" w:history="1">
        <w:r w:rsidR="00D45ED1" w:rsidRPr="00F746A2">
          <w:rPr>
            <w:rStyle w:val="Hyperlink"/>
            <w:bCs/>
            <w:noProof/>
            <w:lang w:eastAsia="zh-CN" w:bidi="hi-IN"/>
          </w:rPr>
          <w:t>5.10.3.2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_Toc61894775 \h </w:instrText>
        </w:r>
        <w:r w:rsidR="00D45ED1">
          <w:rPr>
            <w:noProof/>
            <w:webHidden/>
          </w:rPr>
        </w:r>
        <w:r w:rsidR="00D45ED1">
          <w:rPr>
            <w:noProof/>
            <w:webHidden/>
          </w:rPr>
          <w:fldChar w:fldCharType="separate"/>
        </w:r>
        <w:r w:rsidR="00513D91">
          <w:rPr>
            <w:noProof/>
            <w:webHidden/>
          </w:rPr>
          <w:t>158</w:t>
        </w:r>
        <w:r w:rsidR="00D45ED1">
          <w:rPr>
            <w:noProof/>
            <w:webHidden/>
          </w:rPr>
          <w:fldChar w:fldCharType="end"/>
        </w:r>
      </w:hyperlink>
    </w:p>
    <w:p w14:paraId="12D47B24" w14:textId="1D3BEF9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76" w:history="1">
        <w:r w:rsidR="00D45ED1" w:rsidRPr="00F746A2">
          <w:rPr>
            <w:rStyle w:val="Hyperlink"/>
            <w:bCs/>
            <w:noProof/>
            <w:lang w:eastAsia="zh-CN" w:bidi="hi-IN"/>
            <w14:scene3d>
              <w14:camera w14:prst="orthographicFront"/>
              <w14:lightRig w14:rig="threePt" w14:dir="t">
                <w14:rot w14:lat="0" w14:lon="0" w14:rev="0"/>
              </w14:lightRig>
            </w14:scene3d>
          </w:rPr>
          <w:t>5.10.4</w:t>
        </w:r>
        <w:r w:rsidR="00D45ED1" w:rsidRPr="00F746A2">
          <w:rPr>
            <w:rStyle w:val="Hyperlink"/>
            <w:noProof/>
            <w:lang w:eastAsia="zh-CN" w:bidi="hi-IN"/>
          </w:rPr>
          <w:t xml:space="preserve"> The Relationship Between Vulnerabilities and Weaknesses and Organisation Resilience</w:t>
        </w:r>
        <w:r w:rsidR="00D45ED1">
          <w:rPr>
            <w:noProof/>
            <w:webHidden/>
          </w:rPr>
          <w:tab/>
        </w:r>
        <w:r w:rsidR="00D45ED1">
          <w:rPr>
            <w:noProof/>
            <w:webHidden/>
          </w:rPr>
          <w:fldChar w:fldCharType="begin"/>
        </w:r>
        <w:r w:rsidR="00D45ED1">
          <w:rPr>
            <w:noProof/>
            <w:webHidden/>
          </w:rPr>
          <w:instrText xml:space="preserve"> PAGEREF _Toc61894776 \h </w:instrText>
        </w:r>
        <w:r w:rsidR="00D45ED1">
          <w:rPr>
            <w:noProof/>
            <w:webHidden/>
          </w:rPr>
        </w:r>
        <w:r w:rsidR="00D45ED1">
          <w:rPr>
            <w:noProof/>
            <w:webHidden/>
          </w:rPr>
          <w:fldChar w:fldCharType="separate"/>
        </w:r>
        <w:r w:rsidR="00513D91">
          <w:rPr>
            <w:noProof/>
            <w:webHidden/>
          </w:rPr>
          <w:t>159</w:t>
        </w:r>
        <w:r w:rsidR="00D45ED1">
          <w:rPr>
            <w:noProof/>
            <w:webHidden/>
          </w:rPr>
          <w:fldChar w:fldCharType="end"/>
        </w:r>
      </w:hyperlink>
    </w:p>
    <w:p w14:paraId="7C84CF6B" w14:textId="784B98C3"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7" w:history="1">
        <w:r w:rsidR="00D45ED1" w:rsidRPr="00F746A2">
          <w:rPr>
            <w:rStyle w:val="Hyperlink"/>
            <w:bCs/>
            <w:noProof/>
            <w:lang w:eastAsia="zh-CN" w:bidi="hi-IN"/>
          </w:rPr>
          <w:t>5.10.4.1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_Toc61894777 \h </w:instrText>
        </w:r>
        <w:r w:rsidR="00D45ED1">
          <w:rPr>
            <w:noProof/>
            <w:webHidden/>
          </w:rPr>
        </w:r>
        <w:r w:rsidR="00D45ED1">
          <w:rPr>
            <w:noProof/>
            <w:webHidden/>
          </w:rPr>
          <w:fldChar w:fldCharType="separate"/>
        </w:r>
        <w:r w:rsidR="00513D91">
          <w:rPr>
            <w:noProof/>
            <w:webHidden/>
          </w:rPr>
          <w:t>160</w:t>
        </w:r>
        <w:r w:rsidR="00D45ED1">
          <w:rPr>
            <w:noProof/>
            <w:webHidden/>
          </w:rPr>
          <w:fldChar w:fldCharType="end"/>
        </w:r>
      </w:hyperlink>
    </w:p>
    <w:p w14:paraId="0E1636AF" w14:textId="4AC5664B"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78" w:history="1">
        <w:r w:rsidR="00D45ED1" w:rsidRPr="00F746A2">
          <w:rPr>
            <w:rStyle w:val="Hyperlink"/>
            <w:bCs/>
            <w:noProof/>
            <w:lang w:eastAsia="zh-CN" w:bidi="hi-IN"/>
          </w:rPr>
          <w:t>5.10.4.2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_Toc61894778 \h </w:instrText>
        </w:r>
        <w:r w:rsidR="00D45ED1">
          <w:rPr>
            <w:noProof/>
            <w:webHidden/>
          </w:rPr>
        </w:r>
        <w:r w:rsidR="00D45ED1">
          <w:rPr>
            <w:noProof/>
            <w:webHidden/>
          </w:rPr>
          <w:fldChar w:fldCharType="separate"/>
        </w:r>
        <w:r w:rsidR="00513D91">
          <w:rPr>
            <w:noProof/>
            <w:webHidden/>
          </w:rPr>
          <w:t>161</w:t>
        </w:r>
        <w:r w:rsidR="00D45ED1">
          <w:rPr>
            <w:noProof/>
            <w:webHidden/>
          </w:rPr>
          <w:fldChar w:fldCharType="end"/>
        </w:r>
      </w:hyperlink>
    </w:p>
    <w:p w14:paraId="053C7FF7" w14:textId="359BF960"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79" w:history="1">
        <w:r w:rsidR="00D45ED1" w:rsidRPr="00F746A2">
          <w:rPr>
            <w:rStyle w:val="Hyperlink"/>
            <w:bCs/>
            <w:noProof/>
            <w:lang w:eastAsia="zh-CN" w:bidi="hi-IN"/>
            <w14:scene3d>
              <w14:camera w14:prst="orthographicFront"/>
              <w14:lightRig w14:rig="threePt" w14:dir="t">
                <w14:rot w14:lat="0" w14:lon="0" w14:rev="0"/>
              </w14:lightRig>
            </w14:scene3d>
          </w:rPr>
          <w:t>5.10.5</w:t>
        </w:r>
        <w:r w:rsidR="00D45ED1" w:rsidRPr="00F746A2">
          <w:rPr>
            <w:rStyle w:val="Hyperlink"/>
            <w:noProof/>
            <w:lang w:eastAsia="zh-CN" w:bidi="hi-IN"/>
          </w:rPr>
          <w:t xml:space="preserve"> The Relationship Between Vulnerabilities and External Threats is Moderated by Having a Response in Place</w:t>
        </w:r>
        <w:r w:rsidR="00D45ED1">
          <w:rPr>
            <w:noProof/>
            <w:webHidden/>
          </w:rPr>
          <w:tab/>
        </w:r>
        <w:r w:rsidR="00D45ED1">
          <w:rPr>
            <w:noProof/>
            <w:webHidden/>
          </w:rPr>
          <w:fldChar w:fldCharType="begin"/>
        </w:r>
        <w:r w:rsidR="00D45ED1">
          <w:rPr>
            <w:noProof/>
            <w:webHidden/>
          </w:rPr>
          <w:instrText xml:space="preserve"> PAGEREF _Toc61894779 \h </w:instrText>
        </w:r>
        <w:r w:rsidR="00D45ED1">
          <w:rPr>
            <w:noProof/>
            <w:webHidden/>
          </w:rPr>
        </w:r>
        <w:r w:rsidR="00D45ED1">
          <w:rPr>
            <w:noProof/>
            <w:webHidden/>
          </w:rPr>
          <w:fldChar w:fldCharType="separate"/>
        </w:r>
        <w:r w:rsidR="00513D91">
          <w:rPr>
            <w:noProof/>
            <w:webHidden/>
          </w:rPr>
          <w:t>162</w:t>
        </w:r>
        <w:r w:rsidR="00D45ED1">
          <w:rPr>
            <w:noProof/>
            <w:webHidden/>
          </w:rPr>
          <w:fldChar w:fldCharType="end"/>
        </w:r>
      </w:hyperlink>
    </w:p>
    <w:p w14:paraId="7D05D688" w14:textId="6E2ED49B"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0" w:history="1">
        <w:r w:rsidR="00D45ED1" w:rsidRPr="00F746A2">
          <w:rPr>
            <w:rStyle w:val="Hyperlink"/>
            <w:bCs/>
            <w:noProof/>
            <w:lang w:eastAsia="zh-CN" w:bidi="hi-IN"/>
          </w:rPr>
          <w:t>5.10.5.1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_Toc61894780 \h </w:instrText>
        </w:r>
        <w:r w:rsidR="00D45ED1">
          <w:rPr>
            <w:noProof/>
            <w:webHidden/>
          </w:rPr>
        </w:r>
        <w:r w:rsidR="00D45ED1">
          <w:rPr>
            <w:noProof/>
            <w:webHidden/>
          </w:rPr>
          <w:fldChar w:fldCharType="separate"/>
        </w:r>
        <w:r w:rsidR="00513D91">
          <w:rPr>
            <w:noProof/>
            <w:webHidden/>
          </w:rPr>
          <w:t>163</w:t>
        </w:r>
        <w:r w:rsidR="00D45ED1">
          <w:rPr>
            <w:noProof/>
            <w:webHidden/>
          </w:rPr>
          <w:fldChar w:fldCharType="end"/>
        </w:r>
      </w:hyperlink>
    </w:p>
    <w:p w14:paraId="64041B43" w14:textId="417387C8"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1" w:history="1">
        <w:r w:rsidR="00D45ED1" w:rsidRPr="00F746A2">
          <w:rPr>
            <w:rStyle w:val="Hyperlink"/>
            <w:bCs/>
            <w:noProof/>
            <w:lang w:eastAsia="zh-CN" w:bidi="hi-IN"/>
          </w:rPr>
          <w:t>5.10.5.2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_Toc61894781 \h </w:instrText>
        </w:r>
        <w:r w:rsidR="00D45ED1">
          <w:rPr>
            <w:noProof/>
            <w:webHidden/>
          </w:rPr>
        </w:r>
        <w:r w:rsidR="00D45ED1">
          <w:rPr>
            <w:noProof/>
            <w:webHidden/>
          </w:rPr>
          <w:fldChar w:fldCharType="separate"/>
        </w:r>
        <w:r w:rsidR="00513D91">
          <w:rPr>
            <w:noProof/>
            <w:webHidden/>
          </w:rPr>
          <w:t>163</w:t>
        </w:r>
        <w:r w:rsidR="00D45ED1">
          <w:rPr>
            <w:noProof/>
            <w:webHidden/>
          </w:rPr>
          <w:fldChar w:fldCharType="end"/>
        </w:r>
      </w:hyperlink>
    </w:p>
    <w:p w14:paraId="0C96BCEC" w14:textId="25AC777D"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2" w:history="1">
        <w:r w:rsidR="00D45ED1" w:rsidRPr="00F746A2">
          <w:rPr>
            <w:rStyle w:val="Hyperlink"/>
            <w:bCs/>
            <w:noProof/>
            <w:lang w:eastAsia="zh-CN" w:bidi="hi-IN"/>
          </w:rPr>
          <w:t>5.10.5.3</w:t>
        </w:r>
        <w:r w:rsidR="00D45ED1" w:rsidRPr="00F746A2">
          <w:rPr>
            <w:rStyle w:val="Hyperlink"/>
            <w:noProof/>
            <w:lang w:eastAsia="zh-CN" w:bidi="hi-IN"/>
          </w:rPr>
          <w:t xml:space="preserve"> The relationship between vulnerabilities and weaknesses and external threats, moderated by organisation resilience</w:t>
        </w:r>
        <w:r w:rsidR="00D45ED1">
          <w:rPr>
            <w:noProof/>
            <w:webHidden/>
          </w:rPr>
          <w:tab/>
        </w:r>
        <w:r w:rsidR="00D45ED1">
          <w:rPr>
            <w:noProof/>
            <w:webHidden/>
          </w:rPr>
          <w:fldChar w:fldCharType="begin"/>
        </w:r>
        <w:r w:rsidR="00D45ED1">
          <w:rPr>
            <w:noProof/>
            <w:webHidden/>
          </w:rPr>
          <w:instrText xml:space="preserve"> PAGEREF _Toc61894782 \h </w:instrText>
        </w:r>
        <w:r w:rsidR="00D45ED1">
          <w:rPr>
            <w:noProof/>
            <w:webHidden/>
          </w:rPr>
        </w:r>
        <w:r w:rsidR="00D45ED1">
          <w:rPr>
            <w:noProof/>
            <w:webHidden/>
          </w:rPr>
          <w:fldChar w:fldCharType="separate"/>
        </w:r>
        <w:r w:rsidR="00513D91">
          <w:rPr>
            <w:noProof/>
            <w:webHidden/>
          </w:rPr>
          <w:t>166</w:t>
        </w:r>
        <w:r w:rsidR="00D45ED1">
          <w:rPr>
            <w:noProof/>
            <w:webHidden/>
          </w:rPr>
          <w:fldChar w:fldCharType="end"/>
        </w:r>
      </w:hyperlink>
    </w:p>
    <w:p w14:paraId="0DDA6C93" w14:textId="1A9BFC99"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3" w:history="1">
        <w:r w:rsidR="00D45ED1" w:rsidRPr="00F746A2">
          <w:rPr>
            <w:rStyle w:val="Hyperlink"/>
            <w:bCs/>
            <w:noProof/>
            <w:lang w:eastAsia="zh-CN" w:bidi="hi-IN"/>
          </w:rPr>
          <w:t>5.10.5.4</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_Toc61894783 \h </w:instrText>
        </w:r>
        <w:r w:rsidR="00D45ED1">
          <w:rPr>
            <w:noProof/>
            <w:webHidden/>
          </w:rPr>
        </w:r>
        <w:r w:rsidR="00D45ED1">
          <w:rPr>
            <w:noProof/>
            <w:webHidden/>
          </w:rPr>
          <w:fldChar w:fldCharType="separate"/>
        </w:r>
        <w:r w:rsidR="00513D91">
          <w:rPr>
            <w:noProof/>
            <w:webHidden/>
          </w:rPr>
          <w:t>167</w:t>
        </w:r>
        <w:r w:rsidR="00D45ED1">
          <w:rPr>
            <w:noProof/>
            <w:webHidden/>
          </w:rPr>
          <w:fldChar w:fldCharType="end"/>
        </w:r>
      </w:hyperlink>
    </w:p>
    <w:p w14:paraId="0F83F7C8" w14:textId="6607672D"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4" w:history="1">
        <w:r w:rsidR="00D45ED1" w:rsidRPr="00F746A2">
          <w:rPr>
            <w:rStyle w:val="Hyperlink"/>
            <w:bCs/>
            <w:noProof/>
            <w:lang w:eastAsia="zh-CN" w:bidi="hi-IN"/>
          </w:rPr>
          <w:t>5.10.5.5</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_Toc61894784 \h </w:instrText>
        </w:r>
        <w:r w:rsidR="00D45ED1">
          <w:rPr>
            <w:noProof/>
            <w:webHidden/>
          </w:rPr>
        </w:r>
        <w:r w:rsidR="00D45ED1">
          <w:rPr>
            <w:noProof/>
            <w:webHidden/>
          </w:rPr>
          <w:fldChar w:fldCharType="separate"/>
        </w:r>
        <w:r w:rsidR="00513D91">
          <w:rPr>
            <w:noProof/>
            <w:webHidden/>
          </w:rPr>
          <w:t>167</w:t>
        </w:r>
        <w:r w:rsidR="00D45ED1">
          <w:rPr>
            <w:noProof/>
            <w:webHidden/>
          </w:rPr>
          <w:fldChar w:fldCharType="end"/>
        </w:r>
      </w:hyperlink>
    </w:p>
    <w:p w14:paraId="54C565DB" w14:textId="1A8C5011"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85" w:history="1">
        <w:r w:rsidR="00D45ED1" w:rsidRPr="00F746A2">
          <w:rPr>
            <w:rStyle w:val="Hyperlink"/>
            <w:bCs/>
            <w:noProof/>
            <w:lang w:eastAsia="zh-CN" w:bidi="hi-IN"/>
            <w14:scene3d>
              <w14:camera w14:prst="orthographicFront"/>
              <w14:lightRig w14:rig="threePt" w14:dir="t">
                <w14:rot w14:lat="0" w14:lon="0" w14:rev="0"/>
              </w14:lightRig>
            </w14:scene3d>
          </w:rPr>
          <w:t>5.10.6</w:t>
        </w:r>
        <w:r w:rsidR="00D45ED1" w:rsidRPr="00F746A2">
          <w:rPr>
            <w:rStyle w:val="Hyperlink"/>
            <w:noProof/>
            <w:lang w:eastAsia="zh-CN" w:bidi="hi-IN"/>
          </w:rPr>
          <w:t xml:space="preserve"> The Relationship Between Vulnerabilities and Internal Threats Moderated by Having a Response in Place</w:t>
        </w:r>
        <w:r w:rsidR="00D45ED1">
          <w:rPr>
            <w:noProof/>
            <w:webHidden/>
          </w:rPr>
          <w:tab/>
        </w:r>
        <w:r w:rsidR="00D45ED1">
          <w:rPr>
            <w:noProof/>
            <w:webHidden/>
          </w:rPr>
          <w:fldChar w:fldCharType="begin"/>
        </w:r>
        <w:r w:rsidR="00D45ED1">
          <w:rPr>
            <w:noProof/>
            <w:webHidden/>
          </w:rPr>
          <w:instrText xml:space="preserve"> PAGEREF _Toc61894785 \h </w:instrText>
        </w:r>
        <w:r w:rsidR="00D45ED1">
          <w:rPr>
            <w:noProof/>
            <w:webHidden/>
          </w:rPr>
        </w:r>
        <w:r w:rsidR="00D45ED1">
          <w:rPr>
            <w:noProof/>
            <w:webHidden/>
          </w:rPr>
          <w:fldChar w:fldCharType="separate"/>
        </w:r>
        <w:r w:rsidR="00513D91">
          <w:rPr>
            <w:noProof/>
            <w:webHidden/>
          </w:rPr>
          <w:t>170</w:t>
        </w:r>
        <w:r w:rsidR="00D45ED1">
          <w:rPr>
            <w:noProof/>
            <w:webHidden/>
          </w:rPr>
          <w:fldChar w:fldCharType="end"/>
        </w:r>
      </w:hyperlink>
    </w:p>
    <w:p w14:paraId="33E17739" w14:textId="24714161"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6" w:history="1">
        <w:r w:rsidR="00D45ED1" w:rsidRPr="00F746A2">
          <w:rPr>
            <w:rStyle w:val="Hyperlink"/>
            <w:bCs/>
            <w:noProof/>
            <w:lang w:eastAsia="zh-CN" w:bidi="hi-IN"/>
          </w:rPr>
          <w:t>5.10.6.1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_Toc61894786 \h </w:instrText>
        </w:r>
        <w:r w:rsidR="00D45ED1">
          <w:rPr>
            <w:noProof/>
            <w:webHidden/>
          </w:rPr>
        </w:r>
        <w:r w:rsidR="00D45ED1">
          <w:rPr>
            <w:noProof/>
            <w:webHidden/>
          </w:rPr>
          <w:fldChar w:fldCharType="separate"/>
        </w:r>
        <w:r w:rsidR="00513D91">
          <w:rPr>
            <w:noProof/>
            <w:webHidden/>
          </w:rPr>
          <w:t>171</w:t>
        </w:r>
        <w:r w:rsidR="00D45ED1">
          <w:rPr>
            <w:noProof/>
            <w:webHidden/>
          </w:rPr>
          <w:fldChar w:fldCharType="end"/>
        </w:r>
      </w:hyperlink>
    </w:p>
    <w:p w14:paraId="6BA7986D" w14:textId="6D261063"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7" w:history="1">
        <w:r w:rsidR="00D45ED1" w:rsidRPr="00F746A2">
          <w:rPr>
            <w:rStyle w:val="Hyperlink"/>
            <w:bCs/>
            <w:noProof/>
            <w:lang w:eastAsia="zh-CN" w:bidi="hi-IN"/>
          </w:rPr>
          <w:t>5.10.6.2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_Toc61894787 \h </w:instrText>
        </w:r>
        <w:r w:rsidR="00D45ED1">
          <w:rPr>
            <w:noProof/>
            <w:webHidden/>
          </w:rPr>
        </w:r>
        <w:r w:rsidR="00D45ED1">
          <w:rPr>
            <w:noProof/>
            <w:webHidden/>
          </w:rPr>
          <w:fldChar w:fldCharType="separate"/>
        </w:r>
        <w:r w:rsidR="00513D91">
          <w:rPr>
            <w:noProof/>
            <w:webHidden/>
          </w:rPr>
          <w:t>171</w:t>
        </w:r>
        <w:r w:rsidR="00D45ED1">
          <w:rPr>
            <w:noProof/>
            <w:webHidden/>
          </w:rPr>
          <w:fldChar w:fldCharType="end"/>
        </w:r>
      </w:hyperlink>
    </w:p>
    <w:p w14:paraId="178F7BD2" w14:textId="57941597"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788" w:history="1">
        <w:r w:rsidR="00D45ED1" w:rsidRPr="00F746A2">
          <w:rPr>
            <w:rStyle w:val="Hyperlink"/>
            <w:bCs/>
            <w:noProof/>
            <w:lang w:eastAsia="zh-CN" w:bidi="hi-IN"/>
            <w14:scene3d>
              <w14:camera w14:prst="orthographicFront"/>
              <w14:lightRig w14:rig="threePt" w14:dir="t">
                <w14:rot w14:lat="0" w14:lon="0" w14:rev="0"/>
              </w14:lightRig>
            </w14:scene3d>
          </w:rPr>
          <w:t>5.10.7</w:t>
        </w:r>
        <w:r w:rsidR="00D45ED1" w:rsidRPr="00F746A2">
          <w:rPr>
            <w:rStyle w:val="Hyperlink"/>
            <w:noProof/>
            <w:lang w:eastAsia="zh-CN" w:bidi="hi-IN"/>
          </w:rPr>
          <w:t xml:space="preserve"> The Relationship Between Vulnerabilities and Weaknesses and Internal Threats Moderated by Organisation Resilience</w:t>
        </w:r>
        <w:r w:rsidR="00D45ED1">
          <w:rPr>
            <w:noProof/>
            <w:webHidden/>
          </w:rPr>
          <w:tab/>
        </w:r>
        <w:r w:rsidR="00D45ED1">
          <w:rPr>
            <w:noProof/>
            <w:webHidden/>
          </w:rPr>
          <w:fldChar w:fldCharType="begin"/>
        </w:r>
        <w:r w:rsidR="00D45ED1">
          <w:rPr>
            <w:noProof/>
            <w:webHidden/>
          </w:rPr>
          <w:instrText xml:space="preserve"> PAGEREF _Toc61894788 \h </w:instrText>
        </w:r>
        <w:r w:rsidR="00D45ED1">
          <w:rPr>
            <w:noProof/>
            <w:webHidden/>
          </w:rPr>
        </w:r>
        <w:r w:rsidR="00D45ED1">
          <w:rPr>
            <w:noProof/>
            <w:webHidden/>
          </w:rPr>
          <w:fldChar w:fldCharType="separate"/>
        </w:r>
        <w:r w:rsidR="00513D91">
          <w:rPr>
            <w:noProof/>
            <w:webHidden/>
          </w:rPr>
          <w:t>173</w:t>
        </w:r>
        <w:r w:rsidR="00D45ED1">
          <w:rPr>
            <w:noProof/>
            <w:webHidden/>
          </w:rPr>
          <w:fldChar w:fldCharType="end"/>
        </w:r>
      </w:hyperlink>
    </w:p>
    <w:p w14:paraId="768DE241" w14:textId="2F4A6B15"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89" w:history="1">
        <w:r w:rsidR="00D45ED1" w:rsidRPr="00F746A2">
          <w:rPr>
            <w:rStyle w:val="Hyperlink"/>
            <w:bCs/>
            <w:noProof/>
            <w:lang w:eastAsia="zh-CN" w:bidi="hi-IN"/>
          </w:rPr>
          <w:t>5.10.7.1</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_Toc61894789 \h </w:instrText>
        </w:r>
        <w:r w:rsidR="00D45ED1">
          <w:rPr>
            <w:noProof/>
            <w:webHidden/>
          </w:rPr>
        </w:r>
        <w:r w:rsidR="00D45ED1">
          <w:rPr>
            <w:noProof/>
            <w:webHidden/>
          </w:rPr>
          <w:fldChar w:fldCharType="separate"/>
        </w:r>
        <w:r w:rsidR="00513D91">
          <w:rPr>
            <w:noProof/>
            <w:webHidden/>
          </w:rPr>
          <w:t>174</w:t>
        </w:r>
        <w:r w:rsidR="00D45ED1">
          <w:rPr>
            <w:noProof/>
            <w:webHidden/>
          </w:rPr>
          <w:fldChar w:fldCharType="end"/>
        </w:r>
      </w:hyperlink>
    </w:p>
    <w:p w14:paraId="3C2DD5F1" w14:textId="49C5236A"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0" w:history="1">
        <w:r w:rsidR="00D45ED1" w:rsidRPr="00F746A2">
          <w:rPr>
            <w:rStyle w:val="Hyperlink"/>
            <w:bCs/>
            <w:noProof/>
            <w:lang w:eastAsia="zh-CN" w:bidi="hi-IN"/>
          </w:rPr>
          <w:t>5.10.7.2</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_Toc61894790 \h </w:instrText>
        </w:r>
        <w:r w:rsidR="00D45ED1">
          <w:rPr>
            <w:noProof/>
            <w:webHidden/>
          </w:rPr>
        </w:r>
        <w:r w:rsidR="00D45ED1">
          <w:rPr>
            <w:noProof/>
            <w:webHidden/>
          </w:rPr>
          <w:fldChar w:fldCharType="separate"/>
        </w:r>
        <w:r w:rsidR="00513D91">
          <w:rPr>
            <w:noProof/>
            <w:webHidden/>
          </w:rPr>
          <w:t>175</w:t>
        </w:r>
        <w:r w:rsidR="00D45ED1">
          <w:rPr>
            <w:noProof/>
            <w:webHidden/>
          </w:rPr>
          <w:fldChar w:fldCharType="end"/>
        </w:r>
      </w:hyperlink>
    </w:p>
    <w:p w14:paraId="457561FB" w14:textId="494C52BA"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1" w:history="1">
        <w:r w:rsidR="00D45ED1" w:rsidRPr="00F746A2">
          <w:rPr>
            <w:rStyle w:val="Hyperlink"/>
            <w:bCs/>
            <w:noProof/>
            <w:lang w:eastAsia="zh-CN" w:bidi="hi-IN"/>
          </w:rPr>
          <w:t>5.10.7.3</w:t>
        </w:r>
        <w:r w:rsidR="00D45ED1" w:rsidRPr="00F746A2">
          <w:rPr>
            <w:rStyle w:val="Hyperlink"/>
            <w:noProof/>
            <w:lang w:eastAsia="zh-CN" w:bidi="hi-IN"/>
          </w:rPr>
          <w:t xml:space="preserve"> Regression</w:t>
        </w:r>
        <w:r w:rsidR="00D45ED1">
          <w:rPr>
            <w:noProof/>
            <w:webHidden/>
          </w:rPr>
          <w:tab/>
        </w:r>
        <w:r w:rsidR="00D45ED1">
          <w:rPr>
            <w:noProof/>
            <w:webHidden/>
          </w:rPr>
          <w:fldChar w:fldCharType="begin"/>
        </w:r>
        <w:r w:rsidR="00D45ED1">
          <w:rPr>
            <w:noProof/>
            <w:webHidden/>
          </w:rPr>
          <w:instrText xml:space="preserve"> PAGEREF _Toc61894791 \h </w:instrText>
        </w:r>
        <w:r w:rsidR="00D45ED1">
          <w:rPr>
            <w:noProof/>
            <w:webHidden/>
          </w:rPr>
        </w:r>
        <w:r w:rsidR="00D45ED1">
          <w:rPr>
            <w:noProof/>
            <w:webHidden/>
          </w:rPr>
          <w:fldChar w:fldCharType="separate"/>
        </w:r>
        <w:r w:rsidR="00513D91">
          <w:rPr>
            <w:noProof/>
            <w:webHidden/>
          </w:rPr>
          <w:t>177</w:t>
        </w:r>
        <w:r w:rsidR="00D45ED1">
          <w:rPr>
            <w:noProof/>
            <w:webHidden/>
          </w:rPr>
          <w:fldChar w:fldCharType="end"/>
        </w:r>
      </w:hyperlink>
    </w:p>
    <w:p w14:paraId="433CB572" w14:textId="5A66DA1B"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2" w:history="1">
        <w:r w:rsidR="00D45ED1" w:rsidRPr="00F746A2">
          <w:rPr>
            <w:rStyle w:val="Hyperlink"/>
            <w:bCs/>
            <w:noProof/>
            <w:lang w:eastAsia="zh-CN" w:bidi="hi-IN"/>
          </w:rPr>
          <w:t>5.10.7.4</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_Toc61894792 \h </w:instrText>
        </w:r>
        <w:r w:rsidR="00D45ED1">
          <w:rPr>
            <w:noProof/>
            <w:webHidden/>
          </w:rPr>
        </w:r>
        <w:r w:rsidR="00D45ED1">
          <w:rPr>
            <w:noProof/>
            <w:webHidden/>
          </w:rPr>
          <w:fldChar w:fldCharType="separate"/>
        </w:r>
        <w:r w:rsidR="00513D91">
          <w:rPr>
            <w:noProof/>
            <w:webHidden/>
          </w:rPr>
          <w:t>178</w:t>
        </w:r>
        <w:r w:rsidR="00D45ED1">
          <w:rPr>
            <w:noProof/>
            <w:webHidden/>
          </w:rPr>
          <w:fldChar w:fldCharType="end"/>
        </w:r>
      </w:hyperlink>
    </w:p>
    <w:p w14:paraId="0B09B966" w14:textId="46EE2528"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3" w:history="1">
        <w:r w:rsidR="00D45ED1" w:rsidRPr="00F746A2">
          <w:rPr>
            <w:rStyle w:val="Hyperlink"/>
            <w:bCs/>
            <w:noProof/>
            <w:lang w:eastAsia="zh-CN" w:bidi="hi-IN"/>
          </w:rPr>
          <w:t>5.10.7.5</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_Toc61894793 \h </w:instrText>
        </w:r>
        <w:r w:rsidR="00D45ED1">
          <w:rPr>
            <w:noProof/>
            <w:webHidden/>
          </w:rPr>
        </w:r>
        <w:r w:rsidR="00D45ED1">
          <w:rPr>
            <w:noProof/>
            <w:webHidden/>
          </w:rPr>
          <w:fldChar w:fldCharType="separate"/>
        </w:r>
        <w:r w:rsidR="00513D91">
          <w:rPr>
            <w:noProof/>
            <w:webHidden/>
          </w:rPr>
          <w:t>179</w:t>
        </w:r>
        <w:r w:rsidR="00D45ED1">
          <w:rPr>
            <w:noProof/>
            <w:webHidden/>
          </w:rPr>
          <w:fldChar w:fldCharType="end"/>
        </w:r>
      </w:hyperlink>
    </w:p>
    <w:p w14:paraId="0F1A2F83" w14:textId="0A17FB1E"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4" w:history="1">
        <w:r w:rsidR="00D45ED1" w:rsidRPr="00F746A2">
          <w:rPr>
            <w:rStyle w:val="Hyperlink"/>
            <w:bCs/>
            <w:noProof/>
            <w:lang w:eastAsia="zh-CN" w:bidi="hi-IN"/>
          </w:rPr>
          <w:t>5.10.7.6</w:t>
        </w:r>
        <w:r w:rsidR="00D45ED1" w:rsidRPr="00F746A2">
          <w:rPr>
            <w:rStyle w:val="Hyperlink"/>
            <w:noProof/>
            <w:lang w:eastAsia="zh-CN" w:bidi="hi-IN"/>
          </w:rPr>
          <w:t xml:space="preserve"> Regression</w:t>
        </w:r>
        <w:r w:rsidR="00D45ED1">
          <w:rPr>
            <w:noProof/>
            <w:webHidden/>
          </w:rPr>
          <w:tab/>
        </w:r>
        <w:r w:rsidR="00D45ED1">
          <w:rPr>
            <w:noProof/>
            <w:webHidden/>
          </w:rPr>
          <w:fldChar w:fldCharType="begin"/>
        </w:r>
        <w:r w:rsidR="00D45ED1">
          <w:rPr>
            <w:noProof/>
            <w:webHidden/>
          </w:rPr>
          <w:instrText xml:space="preserve"> PAGEREF _Toc61894794 \h </w:instrText>
        </w:r>
        <w:r w:rsidR="00D45ED1">
          <w:rPr>
            <w:noProof/>
            <w:webHidden/>
          </w:rPr>
        </w:r>
        <w:r w:rsidR="00D45ED1">
          <w:rPr>
            <w:noProof/>
            <w:webHidden/>
          </w:rPr>
          <w:fldChar w:fldCharType="separate"/>
        </w:r>
        <w:r w:rsidR="00513D91">
          <w:rPr>
            <w:noProof/>
            <w:webHidden/>
          </w:rPr>
          <w:t>182</w:t>
        </w:r>
        <w:r w:rsidR="00D45ED1">
          <w:rPr>
            <w:noProof/>
            <w:webHidden/>
          </w:rPr>
          <w:fldChar w:fldCharType="end"/>
        </w:r>
      </w:hyperlink>
    </w:p>
    <w:p w14:paraId="7A9D6391" w14:textId="40DCA268"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5" w:history="1">
        <w:r w:rsidR="00D45ED1" w:rsidRPr="00F746A2">
          <w:rPr>
            <w:rStyle w:val="Hyperlink"/>
            <w:bCs/>
            <w:noProof/>
            <w:lang w:eastAsia="zh-CN" w:bidi="hi-IN"/>
          </w:rPr>
          <w:t>5.10.7.7</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_Toc61894795 \h </w:instrText>
        </w:r>
        <w:r w:rsidR="00D45ED1">
          <w:rPr>
            <w:noProof/>
            <w:webHidden/>
          </w:rPr>
        </w:r>
        <w:r w:rsidR="00D45ED1">
          <w:rPr>
            <w:noProof/>
            <w:webHidden/>
          </w:rPr>
          <w:fldChar w:fldCharType="separate"/>
        </w:r>
        <w:r w:rsidR="00513D91">
          <w:rPr>
            <w:noProof/>
            <w:webHidden/>
          </w:rPr>
          <w:t>183</w:t>
        </w:r>
        <w:r w:rsidR="00D45ED1">
          <w:rPr>
            <w:noProof/>
            <w:webHidden/>
          </w:rPr>
          <w:fldChar w:fldCharType="end"/>
        </w:r>
      </w:hyperlink>
    </w:p>
    <w:p w14:paraId="0301AD9C" w14:textId="64306685"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6" w:history="1">
        <w:r w:rsidR="00D45ED1" w:rsidRPr="00F746A2">
          <w:rPr>
            <w:rStyle w:val="Hyperlink"/>
            <w:bCs/>
            <w:noProof/>
            <w:lang w:eastAsia="zh-CN" w:bidi="hi-IN"/>
          </w:rPr>
          <w:t>5.10.7.8</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_Toc61894796 \h </w:instrText>
        </w:r>
        <w:r w:rsidR="00D45ED1">
          <w:rPr>
            <w:noProof/>
            <w:webHidden/>
          </w:rPr>
        </w:r>
        <w:r w:rsidR="00D45ED1">
          <w:rPr>
            <w:noProof/>
            <w:webHidden/>
          </w:rPr>
          <w:fldChar w:fldCharType="separate"/>
        </w:r>
        <w:r w:rsidR="00513D91">
          <w:rPr>
            <w:noProof/>
            <w:webHidden/>
          </w:rPr>
          <w:t>183</w:t>
        </w:r>
        <w:r w:rsidR="00D45ED1">
          <w:rPr>
            <w:noProof/>
            <w:webHidden/>
          </w:rPr>
          <w:fldChar w:fldCharType="end"/>
        </w:r>
      </w:hyperlink>
    </w:p>
    <w:p w14:paraId="726DFDEE" w14:textId="4A35A8BF"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7" w:history="1">
        <w:r w:rsidR="00D45ED1" w:rsidRPr="00F746A2">
          <w:rPr>
            <w:rStyle w:val="Hyperlink"/>
            <w:bCs/>
            <w:noProof/>
            <w:lang w:eastAsia="zh-CN" w:bidi="hi-IN"/>
          </w:rPr>
          <w:t>5.10.7.9</w:t>
        </w:r>
        <w:r w:rsidR="00D45ED1" w:rsidRPr="00F746A2">
          <w:rPr>
            <w:rStyle w:val="Hyperlink"/>
            <w:noProof/>
            <w:lang w:eastAsia="zh-CN" w:bidi="hi-IN"/>
          </w:rPr>
          <w:t xml:space="preserve"> Regression</w:t>
        </w:r>
        <w:r w:rsidR="00D45ED1">
          <w:rPr>
            <w:noProof/>
            <w:webHidden/>
          </w:rPr>
          <w:tab/>
        </w:r>
        <w:r w:rsidR="00D45ED1">
          <w:rPr>
            <w:noProof/>
            <w:webHidden/>
          </w:rPr>
          <w:fldChar w:fldCharType="begin"/>
        </w:r>
        <w:r w:rsidR="00D45ED1">
          <w:rPr>
            <w:noProof/>
            <w:webHidden/>
          </w:rPr>
          <w:instrText xml:space="preserve"> PAGEREF _Toc61894797 \h </w:instrText>
        </w:r>
        <w:r w:rsidR="00D45ED1">
          <w:rPr>
            <w:noProof/>
            <w:webHidden/>
          </w:rPr>
        </w:r>
        <w:r w:rsidR="00D45ED1">
          <w:rPr>
            <w:noProof/>
            <w:webHidden/>
          </w:rPr>
          <w:fldChar w:fldCharType="separate"/>
        </w:r>
        <w:r w:rsidR="00513D91">
          <w:rPr>
            <w:noProof/>
            <w:webHidden/>
          </w:rPr>
          <w:t>186</w:t>
        </w:r>
        <w:r w:rsidR="00D45ED1">
          <w:rPr>
            <w:noProof/>
            <w:webHidden/>
          </w:rPr>
          <w:fldChar w:fldCharType="end"/>
        </w:r>
      </w:hyperlink>
    </w:p>
    <w:p w14:paraId="00B37F84" w14:textId="444F88A1"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8" w:history="1">
        <w:r w:rsidR="00D45ED1" w:rsidRPr="00F746A2">
          <w:rPr>
            <w:rStyle w:val="Hyperlink"/>
            <w:bCs/>
            <w:noProof/>
            <w:lang w:eastAsia="zh-CN" w:bidi="hi-IN"/>
          </w:rPr>
          <w:t>5.10.7.10</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_Toc61894798 \h </w:instrText>
        </w:r>
        <w:r w:rsidR="00D45ED1">
          <w:rPr>
            <w:noProof/>
            <w:webHidden/>
          </w:rPr>
        </w:r>
        <w:r w:rsidR="00D45ED1">
          <w:rPr>
            <w:noProof/>
            <w:webHidden/>
          </w:rPr>
          <w:fldChar w:fldCharType="separate"/>
        </w:r>
        <w:r w:rsidR="00513D91">
          <w:rPr>
            <w:noProof/>
            <w:webHidden/>
          </w:rPr>
          <w:t>187</w:t>
        </w:r>
        <w:r w:rsidR="00D45ED1">
          <w:rPr>
            <w:noProof/>
            <w:webHidden/>
          </w:rPr>
          <w:fldChar w:fldCharType="end"/>
        </w:r>
      </w:hyperlink>
    </w:p>
    <w:p w14:paraId="012F8C4D" w14:textId="0C93EFE1"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799" w:history="1">
        <w:r w:rsidR="00D45ED1" w:rsidRPr="00F746A2">
          <w:rPr>
            <w:rStyle w:val="Hyperlink"/>
            <w:bCs/>
            <w:noProof/>
            <w:lang w:eastAsia="zh-CN" w:bidi="hi-IN"/>
          </w:rPr>
          <w:t>5.10.7.11</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_Toc61894799 \h </w:instrText>
        </w:r>
        <w:r w:rsidR="00D45ED1">
          <w:rPr>
            <w:noProof/>
            <w:webHidden/>
          </w:rPr>
        </w:r>
        <w:r w:rsidR="00D45ED1">
          <w:rPr>
            <w:noProof/>
            <w:webHidden/>
          </w:rPr>
          <w:fldChar w:fldCharType="separate"/>
        </w:r>
        <w:r w:rsidR="00513D91">
          <w:rPr>
            <w:noProof/>
            <w:webHidden/>
          </w:rPr>
          <w:t>188</w:t>
        </w:r>
        <w:r w:rsidR="00D45ED1">
          <w:rPr>
            <w:noProof/>
            <w:webHidden/>
          </w:rPr>
          <w:fldChar w:fldCharType="end"/>
        </w:r>
      </w:hyperlink>
    </w:p>
    <w:p w14:paraId="182612EF" w14:textId="3492BB3F"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00" w:history="1">
        <w:r w:rsidR="00D45ED1" w:rsidRPr="00F746A2">
          <w:rPr>
            <w:rStyle w:val="Hyperlink"/>
            <w:bCs/>
            <w:noProof/>
            <w:lang w:eastAsia="zh-CN" w:bidi="hi-IN"/>
          </w:rPr>
          <w:t>5.10.7.12</w:t>
        </w:r>
        <w:r w:rsidR="00D45ED1" w:rsidRPr="00F746A2">
          <w:rPr>
            <w:rStyle w:val="Hyperlink"/>
            <w:noProof/>
            <w:lang w:eastAsia="zh-CN" w:bidi="hi-IN"/>
          </w:rPr>
          <w:t xml:space="preserve"> Testing for Collinearity of the Independent Variables</w:t>
        </w:r>
        <w:r w:rsidR="00D45ED1">
          <w:rPr>
            <w:noProof/>
            <w:webHidden/>
          </w:rPr>
          <w:tab/>
        </w:r>
        <w:r w:rsidR="00D45ED1">
          <w:rPr>
            <w:noProof/>
            <w:webHidden/>
          </w:rPr>
          <w:fldChar w:fldCharType="begin"/>
        </w:r>
        <w:r w:rsidR="00D45ED1">
          <w:rPr>
            <w:noProof/>
            <w:webHidden/>
          </w:rPr>
          <w:instrText xml:space="preserve"> PAGEREF _Toc61894800 \h </w:instrText>
        </w:r>
        <w:r w:rsidR="00D45ED1">
          <w:rPr>
            <w:noProof/>
            <w:webHidden/>
          </w:rPr>
        </w:r>
        <w:r w:rsidR="00D45ED1">
          <w:rPr>
            <w:noProof/>
            <w:webHidden/>
          </w:rPr>
          <w:fldChar w:fldCharType="separate"/>
        </w:r>
        <w:r w:rsidR="00513D91">
          <w:rPr>
            <w:noProof/>
            <w:webHidden/>
          </w:rPr>
          <w:t>192</w:t>
        </w:r>
        <w:r w:rsidR="00D45ED1">
          <w:rPr>
            <w:noProof/>
            <w:webHidden/>
          </w:rPr>
          <w:fldChar w:fldCharType="end"/>
        </w:r>
      </w:hyperlink>
    </w:p>
    <w:p w14:paraId="07B11934" w14:textId="6418B7DE"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01" w:history="1">
        <w:r w:rsidR="00D45ED1" w:rsidRPr="00F746A2">
          <w:rPr>
            <w:rStyle w:val="Hyperlink"/>
            <w:bCs/>
            <w:noProof/>
            <w:lang w:eastAsia="zh-CN" w:bidi="hi-IN"/>
          </w:rPr>
          <w:t>5.10.7.13</w:t>
        </w:r>
        <w:r w:rsidR="00D45ED1" w:rsidRPr="00F746A2">
          <w:rPr>
            <w:rStyle w:val="Hyperlink"/>
            <w:noProof/>
            <w:lang w:eastAsia="zh-CN" w:bidi="hi-IN"/>
          </w:rPr>
          <w:t xml:space="preserve"> Examining Residuals using Scatter Plots</w:t>
        </w:r>
        <w:r w:rsidR="00D45ED1">
          <w:rPr>
            <w:noProof/>
            <w:webHidden/>
          </w:rPr>
          <w:tab/>
        </w:r>
        <w:r w:rsidR="00D45ED1">
          <w:rPr>
            <w:noProof/>
            <w:webHidden/>
          </w:rPr>
          <w:fldChar w:fldCharType="begin"/>
        </w:r>
        <w:r w:rsidR="00D45ED1">
          <w:rPr>
            <w:noProof/>
            <w:webHidden/>
          </w:rPr>
          <w:instrText xml:space="preserve"> PAGEREF _Toc61894801 \h </w:instrText>
        </w:r>
        <w:r w:rsidR="00D45ED1">
          <w:rPr>
            <w:noProof/>
            <w:webHidden/>
          </w:rPr>
        </w:r>
        <w:r w:rsidR="00D45ED1">
          <w:rPr>
            <w:noProof/>
            <w:webHidden/>
          </w:rPr>
          <w:fldChar w:fldCharType="separate"/>
        </w:r>
        <w:r w:rsidR="00513D91">
          <w:rPr>
            <w:noProof/>
            <w:webHidden/>
          </w:rPr>
          <w:t>192</w:t>
        </w:r>
        <w:r w:rsidR="00D45ED1">
          <w:rPr>
            <w:noProof/>
            <w:webHidden/>
          </w:rPr>
          <w:fldChar w:fldCharType="end"/>
        </w:r>
      </w:hyperlink>
    </w:p>
    <w:p w14:paraId="302097D3" w14:textId="3AFFA943"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02" w:history="1">
        <w:r w:rsidR="00D45ED1" w:rsidRPr="00F746A2">
          <w:rPr>
            <w:rStyle w:val="Hyperlink"/>
            <w:noProof/>
          </w:rPr>
          <w:t>5.11 Summary</w:t>
        </w:r>
        <w:r w:rsidR="00D45ED1">
          <w:rPr>
            <w:noProof/>
            <w:webHidden/>
          </w:rPr>
          <w:tab/>
        </w:r>
        <w:r w:rsidR="00D45ED1">
          <w:rPr>
            <w:noProof/>
            <w:webHidden/>
          </w:rPr>
          <w:fldChar w:fldCharType="begin"/>
        </w:r>
        <w:r w:rsidR="00D45ED1">
          <w:rPr>
            <w:noProof/>
            <w:webHidden/>
          </w:rPr>
          <w:instrText xml:space="preserve"> PAGEREF _Toc61894802 \h </w:instrText>
        </w:r>
        <w:r w:rsidR="00D45ED1">
          <w:rPr>
            <w:noProof/>
            <w:webHidden/>
          </w:rPr>
        </w:r>
        <w:r w:rsidR="00D45ED1">
          <w:rPr>
            <w:noProof/>
            <w:webHidden/>
          </w:rPr>
          <w:fldChar w:fldCharType="separate"/>
        </w:r>
        <w:r w:rsidR="00513D91">
          <w:rPr>
            <w:noProof/>
            <w:webHidden/>
          </w:rPr>
          <w:t>195</w:t>
        </w:r>
        <w:r w:rsidR="00D45ED1">
          <w:rPr>
            <w:noProof/>
            <w:webHidden/>
          </w:rPr>
          <w:fldChar w:fldCharType="end"/>
        </w:r>
      </w:hyperlink>
    </w:p>
    <w:p w14:paraId="6D6D571F" w14:textId="10FFDC43" w:rsidR="00D45ED1" w:rsidRDefault="00724BEE">
      <w:pPr>
        <w:pStyle w:val="TOC1"/>
        <w:rPr>
          <w:rFonts w:asciiTheme="minorHAnsi" w:eastAsiaTheme="minorEastAsia" w:hAnsiTheme="minorHAnsi" w:cstheme="minorBidi"/>
          <w:noProof/>
          <w:sz w:val="22"/>
          <w:lang w:val="en-US"/>
        </w:rPr>
      </w:pPr>
      <w:hyperlink w:anchor="_Toc61894803" w:history="1">
        <w:r w:rsidR="00D45ED1" w:rsidRPr="00F746A2">
          <w:rPr>
            <w:rStyle w:val="Hyperlink"/>
            <w:bCs/>
            <w:noProof/>
            <w:lang w:eastAsia="zh-CN" w:bidi="hi-IN"/>
          </w:rPr>
          <w:t>Chapter 6</w:t>
        </w:r>
        <w:r w:rsidR="00D45ED1" w:rsidRPr="00F746A2">
          <w:rPr>
            <w:rStyle w:val="Hyperlink"/>
            <w:noProof/>
            <w:lang w:eastAsia="zh-CN" w:bidi="hi-IN"/>
          </w:rPr>
          <w:t xml:space="preserve"> Discussion</w:t>
        </w:r>
        <w:r w:rsidR="00D45ED1">
          <w:rPr>
            <w:noProof/>
            <w:webHidden/>
          </w:rPr>
          <w:tab/>
        </w:r>
        <w:r w:rsidR="00D45ED1">
          <w:rPr>
            <w:noProof/>
            <w:webHidden/>
          </w:rPr>
          <w:fldChar w:fldCharType="begin"/>
        </w:r>
        <w:r w:rsidR="00D45ED1">
          <w:rPr>
            <w:noProof/>
            <w:webHidden/>
          </w:rPr>
          <w:instrText xml:space="preserve"> PAGEREF _Toc61894803 \h </w:instrText>
        </w:r>
        <w:r w:rsidR="00D45ED1">
          <w:rPr>
            <w:noProof/>
            <w:webHidden/>
          </w:rPr>
        </w:r>
        <w:r w:rsidR="00D45ED1">
          <w:rPr>
            <w:noProof/>
            <w:webHidden/>
          </w:rPr>
          <w:fldChar w:fldCharType="separate"/>
        </w:r>
        <w:r w:rsidR="00513D91">
          <w:rPr>
            <w:noProof/>
            <w:webHidden/>
          </w:rPr>
          <w:t>197</w:t>
        </w:r>
        <w:r w:rsidR="00D45ED1">
          <w:rPr>
            <w:noProof/>
            <w:webHidden/>
          </w:rPr>
          <w:fldChar w:fldCharType="end"/>
        </w:r>
      </w:hyperlink>
    </w:p>
    <w:p w14:paraId="16B4442D" w14:textId="3B09701A"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04" w:history="1">
        <w:r w:rsidR="00D45ED1" w:rsidRPr="00F746A2">
          <w:rPr>
            <w:rStyle w:val="Hyperlink"/>
            <w:noProof/>
            <w:lang w:eastAsia="zh-CN" w:bidi="hi-IN"/>
          </w:rPr>
          <w:t>6.1 Introduction</w:t>
        </w:r>
        <w:r w:rsidR="00D45ED1">
          <w:rPr>
            <w:noProof/>
            <w:webHidden/>
          </w:rPr>
          <w:tab/>
        </w:r>
        <w:r w:rsidR="00D45ED1">
          <w:rPr>
            <w:noProof/>
            <w:webHidden/>
          </w:rPr>
          <w:fldChar w:fldCharType="begin"/>
        </w:r>
        <w:r w:rsidR="00D45ED1">
          <w:rPr>
            <w:noProof/>
            <w:webHidden/>
          </w:rPr>
          <w:instrText xml:space="preserve"> PAGEREF _Toc61894804 \h </w:instrText>
        </w:r>
        <w:r w:rsidR="00D45ED1">
          <w:rPr>
            <w:noProof/>
            <w:webHidden/>
          </w:rPr>
        </w:r>
        <w:r w:rsidR="00D45ED1">
          <w:rPr>
            <w:noProof/>
            <w:webHidden/>
          </w:rPr>
          <w:fldChar w:fldCharType="separate"/>
        </w:r>
        <w:r w:rsidR="00513D91">
          <w:rPr>
            <w:noProof/>
            <w:webHidden/>
          </w:rPr>
          <w:t>197</w:t>
        </w:r>
        <w:r w:rsidR="00D45ED1">
          <w:rPr>
            <w:noProof/>
            <w:webHidden/>
          </w:rPr>
          <w:fldChar w:fldCharType="end"/>
        </w:r>
      </w:hyperlink>
    </w:p>
    <w:p w14:paraId="1CA8309E" w14:textId="07ED32D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05" w:history="1">
        <w:r w:rsidR="00D45ED1" w:rsidRPr="00F746A2">
          <w:rPr>
            <w:rStyle w:val="Hyperlink"/>
            <w:noProof/>
            <w:lang w:eastAsia="zh-CN" w:bidi="hi-IN"/>
          </w:rPr>
          <w:t>6.2 Research Overview – External and Internal Cyber-Threat Constructs</w:t>
        </w:r>
        <w:r w:rsidR="00D45ED1">
          <w:rPr>
            <w:noProof/>
            <w:webHidden/>
          </w:rPr>
          <w:tab/>
        </w:r>
        <w:r w:rsidR="00D45ED1">
          <w:rPr>
            <w:noProof/>
            <w:webHidden/>
          </w:rPr>
          <w:fldChar w:fldCharType="begin"/>
        </w:r>
        <w:r w:rsidR="00D45ED1">
          <w:rPr>
            <w:noProof/>
            <w:webHidden/>
          </w:rPr>
          <w:instrText xml:space="preserve"> PAGEREF _Toc61894805 \h </w:instrText>
        </w:r>
        <w:r w:rsidR="00D45ED1">
          <w:rPr>
            <w:noProof/>
            <w:webHidden/>
          </w:rPr>
        </w:r>
        <w:r w:rsidR="00D45ED1">
          <w:rPr>
            <w:noProof/>
            <w:webHidden/>
          </w:rPr>
          <w:fldChar w:fldCharType="separate"/>
        </w:r>
        <w:r w:rsidR="00513D91">
          <w:rPr>
            <w:noProof/>
            <w:webHidden/>
          </w:rPr>
          <w:t>197</w:t>
        </w:r>
        <w:r w:rsidR="00D45ED1">
          <w:rPr>
            <w:noProof/>
            <w:webHidden/>
          </w:rPr>
          <w:fldChar w:fldCharType="end"/>
        </w:r>
      </w:hyperlink>
    </w:p>
    <w:p w14:paraId="7B5DCEB3" w14:textId="145E4D9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06" w:history="1">
        <w:r w:rsidR="00D45ED1" w:rsidRPr="00F746A2">
          <w:rPr>
            <w:rStyle w:val="Hyperlink"/>
            <w:bCs/>
            <w:noProof/>
            <w:lang w:eastAsia="zh-CN" w:bidi="hi-IN"/>
            <w14:scene3d>
              <w14:camera w14:prst="orthographicFront"/>
              <w14:lightRig w14:rig="threePt" w14:dir="t">
                <w14:rot w14:lat="0" w14:lon="0" w14:rev="0"/>
              </w14:lightRig>
            </w14:scene3d>
          </w:rPr>
          <w:t>6.2.1</w:t>
        </w:r>
        <w:r w:rsidR="00D45ED1" w:rsidRPr="00F746A2">
          <w:rPr>
            <w:rStyle w:val="Hyperlink"/>
            <w:noProof/>
            <w:lang w:eastAsia="zh-CN" w:bidi="hi-IN"/>
          </w:rPr>
          <w:t xml:space="preserve"> Threats</w:t>
        </w:r>
        <w:r w:rsidR="00D45ED1">
          <w:rPr>
            <w:noProof/>
            <w:webHidden/>
          </w:rPr>
          <w:tab/>
        </w:r>
        <w:r w:rsidR="00D45ED1">
          <w:rPr>
            <w:noProof/>
            <w:webHidden/>
          </w:rPr>
          <w:fldChar w:fldCharType="begin"/>
        </w:r>
        <w:r w:rsidR="00D45ED1">
          <w:rPr>
            <w:noProof/>
            <w:webHidden/>
          </w:rPr>
          <w:instrText xml:space="preserve"> PAGEREF _Toc61894806 \h </w:instrText>
        </w:r>
        <w:r w:rsidR="00D45ED1">
          <w:rPr>
            <w:noProof/>
            <w:webHidden/>
          </w:rPr>
        </w:r>
        <w:r w:rsidR="00D45ED1">
          <w:rPr>
            <w:noProof/>
            <w:webHidden/>
          </w:rPr>
          <w:fldChar w:fldCharType="separate"/>
        </w:r>
        <w:r w:rsidR="00513D91">
          <w:rPr>
            <w:noProof/>
            <w:webHidden/>
          </w:rPr>
          <w:t>197</w:t>
        </w:r>
        <w:r w:rsidR="00D45ED1">
          <w:rPr>
            <w:noProof/>
            <w:webHidden/>
          </w:rPr>
          <w:fldChar w:fldCharType="end"/>
        </w:r>
      </w:hyperlink>
    </w:p>
    <w:p w14:paraId="58CF96CC" w14:textId="6241C4D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07" w:history="1">
        <w:r w:rsidR="00D45ED1" w:rsidRPr="00F746A2">
          <w:rPr>
            <w:rStyle w:val="Hyperlink"/>
            <w:bCs/>
            <w:noProof/>
            <w:lang w:eastAsia="zh-CN" w:bidi="hi-IN"/>
            <w14:scene3d>
              <w14:camera w14:prst="orthographicFront"/>
              <w14:lightRig w14:rig="threePt" w14:dir="t">
                <w14:rot w14:lat="0" w14:lon="0" w14:rev="0"/>
              </w14:lightRig>
            </w14:scene3d>
          </w:rPr>
          <w:t>6.2.2</w:t>
        </w:r>
        <w:r w:rsidR="00D45ED1" w:rsidRPr="00F746A2">
          <w:rPr>
            <w:rStyle w:val="Hyperlink"/>
            <w:noProof/>
            <w:lang w:eastAsia="zh-CN" w:bidi="hi-IN"/>
          </w:rPr>
          <w:t xml:space="preserve"> Vulnerabilities and Weaknesses</w:t>
        </w:r>
        <w:r w:rsidR="00D45ED1">
          <w:rPr>
            <w:noProof/>
            <w:webHidden/>
          </w:rPr>
          <w:tab/>
        </w:r>
        <w:r w:rsidR="00D45ED1">
          <w:rPr>
            <w:noProof/>
            <w:webHidden/>
          </w:rPr>
          <w:fldChar w:fldCharType="begin"/>
        </w:r>
        <w:r w:rsidR="00D45ED1">
          <w:rPr>
            <w:noProof/>
            <w:webHidden/>
          </w:rPr>
          <w:instrText xml:space="preserve"> PAGEREF _Toc61894807 \h </w:instrText>
        </w:r>
        <w:r w:rsidR="00D45ED1">
          <w:rPr>
            <w:noProof/>
            <w:webHidden/>
          </w:rPr>
        </w:r>
        <w:r w:rsidR="00D45ED1">
          <w:rPr>
            <w:noProof/>
            <w:webHidden/>
          </w:rPr>
          <w:fldChar w:fldCharType="separate"/>
        </w:r>
        <w:r w:rsidR="00513D91">
          <w:rPr>
            <w:noProof/>
            <w:webHidden/>
          </w:rPr>
          <w:t>198</w:t>
        </w:r>
        <w:r w:rsidR="00D45ED1">
          <w:rPr>
            <w:noProof/>
            <w:webHidden/>
          </w:rPr>
          <w:fldChar w:fldCharType="end"/>
        </w:r>
      </w:hyperlink>
    </w:p>
    <w:p w14:paraId="2ED8EDFF" w14:textId="1443FFC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08" w:history="1">
        <w:r w:rsidR="00D45ED1" w:rsidRPr="00F746A2">
          <w:rPr>
            <w:rStyle w:val="Hyperlink"/>
            <w:bCs/>
            <w:noProof/>
            <w:lang w:eastAsia="zh-CN" w:bidi="hi-IN"/>
            <w14:scene3d>
              <w14:camera w14:prst="orthographicFront"/>
              <w14:lightRig w14:rig="threePt" w14:dir="t">
                <w14:rot w14:lat="0" w14:lon="0" w14:rev="0"/>
              </w14:lightRig>
            </w14:scene3d>
          </w:rPr>
          <w:t>6.2.3</w:t>
        </w:r>
        <w:r w:rsidR="00D45ED1" w:rsidRPr="00F746A2">
          <w:rPr>
            <w:rStyle w:val="Hyperlink"/>
            <w:noProof/>
            <w:lang w:eastAsia="zh-CN" w:bidi="hi-IN"/>
          </w:rPr>
          <w:t xml:space="preserve"> Values at Risk</w:t>
        </w:r>
        <w:r w:rsidR="00D45ED1">
          <w:rPr>
            <w:noProof/>
            <w:webHidden/>
          </w:rPr>
          <w:tab/>
        </w:r>
        <w:r w:rsidR="00D45ED1">
          <w:rPr>
            <w:noProof/>
            <w:webHidden/>
          </w:rPr>
          <w:fldChar w:fldCharType="begin"/>
        </w:r>
        <w:r w:rsidR="00D45ED1">
          <w:rPr>
            <w:noProof/>
            <w:webHidden/>
          </w:rPr>
          <w:instrText xml:space="preserve"> PAGEREF _Toc61894808 \h </w:instrText>
        </w:r>
        <w:r w:rsidR="00D45ED1">
          <w:rPr>
            <w:noProof/>
            <w:webHidden/>
          </w:rPr>
        </w:r>
        <w:r w:rsidR="00D45ED1">
          <w:rPr>
            <w:noProof/>
            <w:webHidden/>
          </w:rPr>
          <w:fldChar w:fldCharType="separate"/>
        </w:r>
        <w:r w:rsidR="00513D91">
          <w:rPr>
            <w:noProof/>
            <w:webHidden/>
          </w:rPr>
          <w:t>199</w:t>
        </w:r>
        <w:r w:rsidR="00D45ED1">
          <w:rPr>
            <w:noProof/>
            <w:webHidden/>
          </w:rPr>
          <w:fldChar w:fldCharType="end"/>
        </w:r>
      </w:hyperlink>
    </w:p>
    <w:p w14:paraId="532F19F7" w14:textId="4F8B5C2D"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09" w:history="1">
        <w:r w:rsidR="00D45ED1" w:rsidRPr="00F746A2">
          <w:rPr>
            <w:rStyle w:val="Hyperlink"/>
            <w:bCs/>
            <w:noProof/>
            <w:lang w:eastAsia="zh-CN" w:bidi="hi-IN"/>
            <w14:scene3d>
              <w14:camera w14:prst="orthographicFront"/>
              <w14:lightRig w14:rig="threePt" w14:dir="t">
                <w14:rot w14:lat="0" w14:lon="0" w14:rev="0"/>
              </w14:lightRig>
            </w14:scene3d>
          </w:rPr>
          <w:t>6.2.4</w:t>
        </w:r>
        <w:r w:rsidR="00D45ED1" w:rsidRPr="00F746A2">
          <w:rPr>
            <w:rStyle w:val="Hyperlink"/>
            <w:noProof/>
            <w:lang w:eastAsia="zh-CN" w:bidi="hi-IN"/>
          </w:rPr>
          <w:t xml:space="preserve"> Responses</w:t>
        </w:r>
        <w:r w:rsidR="00D45ED1">
          <w:rPr>
            <w:noProof/>
            <w:webHidden/>
          </w:rPr>
          <w:tab/>
        </w:r>
        <w:r w:rsidR="00D45ED1">
          <w:rPr>
            <w:noProof/>
            <w:webHidden/>
          </w:rPr>
          <w:fldChar w:fldCharType="begin"/>
        </w:r>
        <w:r w:rsidR="00D45ED1">
          <w:rPr>
            <w:noProof/>
            <w:webHidden/>
          </w:rPr>
          <w:instrText xml:space="preserve"> PAGEREF _Toc61894809 \h </w:instrText>
        </w:r>
        <w:r w:rsidR="00D45ED1">
          <w:rPr>
            <w:noProof/>
            <w:webHidden/>
          </w:rPr>
        </w:r>
        <w:r w:rsidR="00D45ED1">
          <w:rPr>
            <w:noProof/>
            <w:webHidden/>
          </w:rPr>
          <w:fldChar w:fldCharType="separate"/>
        </w:r>
        <w:r w:rsidR="00513D91">
          <w:rPr>
            <w:noProof/>
            <w:webHidden/>
          </w:rPr>
          <w:t>199</w:t>
        </w:r>
        <w:r w:rsidR="00D45ED1">
          <w:rPr>
            <w:noProof/>
            <w:webHidden/>
          </w:rPr>
          <w:fldChar w:fldCharType="end"/>
        </w:r>
      </w:hyperlink>
    </w:p>
    <w:p w14:paraId="5103F9C3" w14:textId="769F9365"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10" w:history="1">
        <w:r w:rsidR="00D45ED1" w:rsidRPr="00F746A2">
          <w:rPr>
            <w:rStyle w:val="Hyperlink"/>
            <w:bCs/>
            <w:noProof/>
            <w:lang w:eastAsia="zh-CN" w:bidi="hi-IN"/>
            <w14:scene3d>
              <w14:camera w14:prst="orthographicFront"/>
              <w14:lightRig w14:rig="threePt" w14:dir="t">
                <w14:rot w14:lat="0" w14:lon="0" w14:rev="0"/>
              </w14:lightRig>
            </w14:scene3d>
          </w:rPr>
          <w:t>6.2.5</w:t>
        </w:r>
        <w:r w:rsidR="00D45ED1" w:rsidRPr="00F746A2">
          <w:rPr>
            <w:rStyle w:val="Hyperlink"/>
            <w:noProof/>
            <w:lang w:eastAsia="zh-CN" w:bidi="hi-IN"/>
          </w:rPr>
          <w:t xml:space="preserve"> Capacity (Resilience)</w:t>
        </w:r>
        <w:r w:rsidR="00D45ED1">
          <w:rPr>
            <w:noProof/>
            <w:webHidden/>
          </w:rPr>
          <w:tab/>
        </w:r>
        <w:r w:rsidR="00D45ED1">
          <w:rPr>
            <w:noProof/>
            <w:webHidden/>
          </w:rPr>
          <w:fldChar w:fldCharType="begin"/>
        </w:r>
        <w:r w:rsidR="00D45ED1">
          <w:rPr>
            <w:noProof/>
            <w:webHidden/>
          </w:rPr>
          <w:instrText xml:space="preserve"> PAGEREF _Toc61894810 \h </w:instrText>
        </w:r>
        <w:r w:rsidR="00D45ED1">
          <w:rPr>
            <w:noProof/>
            <w:webHidden/>
          </w:rPr>
        </w:r>
        <w:r w:rsidR="00D45ED1">
          <w:rPr>
            <w:noProof/>
            <w:webHidden/>
          </w:rPr>
          <w:fldChar w:fldCharType="separate"/>
        </w:r>
        <w:r w:rsidR="00513D91">
          <w:rPr>
            <w:noProof/>
            <w:webHidden/>
          </w:rPr>
          <w:t>199</w:t>
        </w:r>
        <w:r w:rsidR="00D45ED1">
          <w:rPr>
            <w:noProof/>
            <w:webHidden/>
          </w:rPr>
          <w:fldChar w:fldCharType="end"/>
        </w:r>
      </w:hyperlink>
    </w:p>
    <w:p w14:paraId="2091904C" w14:textId="30C09598"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11" w:history="1">
        <w:r w:rsidR="00D45ED1" w:rsidRPr="00F746A2">
          <w:rPr>
            <w:rStyle w:val="Hyperlink"/>
            <w:noProof/>
            <w:lang w:eastAsia="zh-CN" w:bidi="hi-IN"/>
          </w:rPr>
          <w:t>6.3 Descriptive Analysis Findings</w:t>
        </w:r>
        <w:r w:rsidR="00D45ED1">
          <w:rPr>
            <w:noProof/>
            <w:webHidden/>
          </w:rPr>
          <w:tab/>
        </w:r>
        <w:r w:rsidR="00D45ED1">
          <w:rPr>
            <w:noProof/>
            <w:webHidden/>
          </w:rPr>
          <w:fldChar w:fldCharType="begin"/>
        </w:r>
        <w:r w:rsidR="00D45ED1">
          <w:rPr>
            <w:noProof/>
            <w:webHidden/>
          </w:rPr>
          <w:instrText xml:space="preserve"> PAGEREF _Toc61894811 \h </w:instrText>
        </w:r>
        <w:r w:rsidR="00D45ED1">
          <w:rPr>
            <w:noProof/>
            <w:webHidden/>
          </w:rPr>
        </w:r>
        <w:r w:rsidR="00D45ED1">
          <w:rPr>
            <w:noProof/>
            <w:webHidden/>
          </w:rPr>
          <w:fldChar w:fldCharType="separate"/>
        </w:r>
        <w:r w:rsidR="00513D91">
          <w:rPr>
            <w:noProof/>
            <w:webHidden/>
          </w:rPr>
          <w:t>200</w:t>
        </w:r>
        <w:r w:rsidR="00D45ED1">
          <w:rPr>
            <w:noProof/>
            <w:webHidden/>
          </w:rPr>
          <w:fldChar w:fldCharType="end"/>
        </w:r>
      </w:hyperlink>
    </w:p>
    <w:p w14:paraId="0B598104" w14:textId="2581587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12" w:history="1">
        <w:r w:rsidR="00D45ED1" w:rsidRPr="00F746A2">
          <w:rPr>
            <w:rStyle w:val="Hyperlink"/>
            <w:noProof/>
            <w:lang w:eastAsia="zh-CN" w:bidi="hi-IN"/>
          </w:rPr>
          <w:t>6.4 Validity of the Results</w:t>
        </w:r>
        <w:r w:rsidR="00D45ED1">
          <w:rPr>
            <w:noProof/>
            <w:webHidden/>
          </w:rPr>
          <w:tab/>
        </w:r>
        <w:r w:rsidR="00D45ED1">
          <w:rPr>
            <w:noProof/>
            <w:webHidden/>
          </w:rPr>
          <w:fldChar w:fldCharType="begin"/>
        </w:r>
        <w:r w:rsidR="00D45ED1">
          <w:rPr>
            <w:noProof/>
            <w:webHidden/>
          </w:rPr>
          <w:instrText xml:space="preserve"> PAGEREF _Toc61894812 \h </w:instrText>
        </w:r>
        <w:r w:rsidR="00D45ED1">
          <w:rPr>
            <w:noProof/>
            <w:webHidden/>
          </w:rPr>
        </w:r>
        <w:r w:rsidR="00D45ED1">
          <w:rPr>
            <w:noProof/>
            <w:webHidden/>
          </w:rPr>
          <w:fldChar w:fldCharType="separate"/>
        </w:r>
        <w:r w:rsidR="00513D91">
          <w:rPr>
            <w:noProof/>
            <w:webHidden/>
          </w:rPr>
          <w:t>200</w:t>
        </w:r>
        <w:r w:rsidR="00D45ED1">
          <w:rPr>
            <w:noProof/>
            <w:webHidden/>
          </w:rPr>
          <w:fldChar w:fldCharType="end"/>
        </w:r>
      </w:hyperlink>
    </w:p>
    <w:p w14:paraId="03B71BEC" w14:textId="5309ED5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13" w:history="1">
        <w:r w:rsidR="00D45ED1" w:rsidRPr="00F746A2">
          <w:rPr>
            <w:rStyle w:val="Hyperlink"/>
            <w:noProof/>
            <w:lang w:eastAsia="zh-CN" w:bidi="hi-IN"/>
          </w:rPr>
          <w:t>6.5 Frequencies of the Research Constructs</w:t>
        </w:r>
        <w:r w:rsidR="00D45ED1">
          <w:rPr>
            <w:noProof/>
            <w:webHidden/>
          </w:rPr>
          <w:tab/>
        </w:r>
        <w:r w:rsidR="00D45ED1">
          <w:rPr>
            <w:noProof/>
            <w:webHidden/>
          </w:rPr>
          <w:fldChar w:fldCharType="begin"/>
        </w:r>
        <w:r w:rsidR="00D45ED1">
          <w:rPr>
            <w:noProof/>
            <w:webHidden/>
          </w:rPr>
          <w:instrText xml:space="preserve"> PAGEREF _Toc61894813 \h </w:instrText>
        </w:r>
        <w:r w:rsidR="00D45ED1">
          <w:rPr>
            <w:noProof/>
            <w:webHidden/>
          </w:rPr>
        </w:r>
        <w:r w:rsidR="00D45ED1">
          <w:rPr>
            <w:noProof/>
            <w:webHidden/>
          </w:rPr>
          <w:fldChar w:fldCharType="separate"/>
        </w:r>
        <w:r w:rsidR="00513D91">
          <w:rPr>
            <w:noProof/>
            <w:webHidden/>
          </w:rPr>
          <w:t>200</w:t>
        </w:r>
        <w:r w:rsidR="00D45ED1">
          <w:rPr>
            <w:noProof/>
            <w:webHidden/>
          </w:rPr>
          <w:fldChar w:fldCharType="end"/>
        </w:r>
      </w:hyperlink>
    </w:p>
    <w:p w14:paraId="22B6D952" w14:textId="5906A512"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14" w:history="1">
        <w:r w:rsidR="00D45ED1" w:rsidRPr="00F746A2">
          <w:rPr>
            <w:rStyle w:val="Hyperlink"/>
            <w:noProof/>
            <w:lang w:eastAsia="zh-CN" w:bidi="hi-IN"/>
          </w:rPr>
          <w:t>6.6 Association Findings</w:t>
        </w:r>
        <w:r w:rsidR="00D45ED1">
          <w:rPr>
            <w:noProof/>
            <w:webHidden/>
          </w:rPr>
          <w:tab/>
        </w:r>
        <w:r w:rsidR="00D45ED1">
          <w:rPr>
            <w:noProof/>
            <w:webHidden/>
          </w:rPr>
          <w:fldChar w:fldCharType="begin"/>
        </w:r>
        <w:r w:rsidR="00D45ED1">
          <w:rPr>
            <w:noProof/>
            <w:webHidden/>
          </w:rPr>
          <w:instrText xml:space="preserve"> PAGEREF _Toc61894814 \h </w:instrText>
        </w:r>
        <w:r w:rsidR="00D45ED1">
          <w:rPr>
            <w:noProof/>
            <w:webHidden/>
          </w:rPr>
        </w:r>
        <w:r w:rsidR="00D45ED1">
          <w:rPr>
            <w:noProof/>
            <w:webHidden/>
          </w:rPr>
          <w:fldChar w:fldCharType="separate"/>
        </w:r>
        <w:r w:rsidR="00513D91">
          <w:rPr>
            <w:noProof/>
            <w:webHidden/>
          </w:rPr>
          <w:t>201</w:t>
        </w:r>
        <w:r w:rsidR="00D45ED1">
          <w:rPr>
            <w:noProof/>
            <w:webHidden/>
          </w:rPr>
          <w:fldChar w:fldCharType="end"/>
        </w:r>
      </w:hyperlink>
    </w:p>
    <w:p w14:paraId="5BBBD530" w14:textId="2940B935"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15" w:history="1">
        <w:r w:rsidR="00D45ED1" w:rsidRPr="00F746A2">
          <w:rPr>
            <w:rStyle w:val="Hyperlink"/>
            <w:noProof/>
            <w:lang w:eastAsia="zh-CN" w:bidi="hi-IN"/>
          </w:rPr>
          <w:t>6.7 Discussion of Regression Analysis</w:t>
        </w:r>
        <w:r w:rsidR="00D45ED1">
          <w:rPr>
            <w:noProof/>
            <w:webHidden/>
          </w:rPr>
          <w:tab/>
        </w:r>
        <w:r w:rsidR="00D45ED1">
          <w:rPr>
            <w:noProof/>
            <w:webHidden/>
          </w:rPr>
          <w:fldChar w:fldCharType="begin"/>
        </w:r>
        <w:r w:rsidR="00D45ED1">
          <w:rPr>
            <w:noProof/>
            <w:webHidden/>
          </w:rPr>
          <w:instrText xml:space="preserve"> PAGEREF _Toc61894815 \h </w:instrText>
        </w:r>
        <w:r w:rsidR="00D45ED1">
          <w:rPr>
            <w:noProof/>
            <w:webHidden/>
          </w:rPr>
        </w:r>
        <w:r w:rsidR="00D45ED1">
          <w:rPr>
            <w:noProof/>
            <w:webHidden/>
          </w:rPr>
          <w:fldChar w:fldCharType="separate"/>
        </w:r>
        <w:r w:rsidR="00513D91">
          <w:rPr>
            <w:noProof/>
            <w:webHidden/>
          </w:rPr>
          <w:t>202</w:t>
        </w:r>
        <w:r w:rsidR="00D45ED1">
          <w:rPr>
            <w:noProof/>
            <w:webHidden/>
          </w:rPr>
          <w:fldChar w:fldCharType="end"/>
        </w:r>
      </w:hyperlink>
    </w:p>
    <w:p w14:paraId="4FEE6755" w14:textId="0BB2B170"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16" w:history="1">
        <w:r w:rsidR="00D45ED1" w:rsidRPr="00F746A2">
          <w:rPr>
            <w:rStyle w:val="Hyperlink"/>
            <w:bCs/>
            <w:noProof/>
            <w:lang w:eastAsia="zh-CN" w:bidi="hi-IN"/>
            <w14:scene3d>
              <w14:camera w14:prst="orthographicFront"/>
              <w14:lightRig w14:rig="threePt" w14:dir="t">
                <w14:rot w14:lat="0" w14:lon="0" w14:rev="0"/>
              </w14:lightRig>
            </w14:scene3d>
          </w:rPr>
          <w:t>6.7.1</w:t>
        </w:r>
        <w:r w:rsidR="00D45ED1" w:rsidRPr="00F746A2">
          <w:rPr>
            <w:rStyle w:val="Hyperlink"/>
            <w:noProof/>
            <w:lang w:eastAsia="zh-CN" w:bidi="hi-IN"/>
          </w:rPr>
          <w:t xml:space="preserve"> Direct Effect on Vulnerabilities and Weaknesses of External and Internal Threats, Having a Response in Place and Organisational Resilience</w:t>
        </w:r>
        <w:r w:rsidR="00D45ED1">
          <w:rPr>
            <w:noProof/>
            <w:webHidden/>
          </w:rPr>
          <w:tab/>
        </w:r>
        <w:r w:rsidR="00D45ED1">
          <w:rPr>
            <w:noProof/>
            <w:webHidden/>
          </w:rPr>
          <w:fldChar w:fldCharType="begin"/>
        </w:r>
        <w:r w:rsidR="00D45ED1">
          <w:rPr>
            <w:noProof/>
            <w:webHidden/>
          </w:rPr>
          <w:instrText xml:space="preserve"> PAGEREF _Toc61894816 \h </w:instrText>
        </w:r>
        <w:r w:rsidR="00D45ED1">
          <w:rPr>
            <w:noProof/>
            <w:webHidden/>
          </w:rPr>
        </w:r>
        <w:r w:rsidR="00D45ED1">
          <w:rPr>
            <w:noProof/>
            <w:webHidden/>
          </w:rPr>
          <w:fldChar w:fldCharType="separate"/>
        </w:r>
        <w:r w:rsidR="00513D91">
          <w:rPr>
            <w:noProof/>
            <w:webHidden/>
          </w:rPr>
          <w:t>202</w:t>
        </w:r>
        <w:r w:rsidR="00D45ED1">
          <w:rPr>
            <w:noProof/>
            <w:webHidden/>
          </w:rPr>
          <w:fldChar w:fldCharType="end"/>
        </w:r>
      </w:hyperlink>
    </w:p>
    <w:p w14:paraId="07FEFA01" w14:textId="4CC20C7A"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17" w:history="1">
        <w:r w:rsidR="00D45ED1" w:rsidRPr="00F746A2">
          <w:rPr>
            <w:rStyle w:val="Hyperlink"/>
            <w:bCs/>
            <w:noProof/>
            <w:lang w:eastAsia="zh-CN" w:bidi="hi-IN"/>
            <w14:scene3d>
              <w14:camera w14:prst="orthographicFront"/>
              <w14:lightRig w14:rig="threePt" w14:dir="t">
                <w14:rot w14:lat="0" w14:lon="0" w14:rev="0"/>
              </w14:lightRig>
            </w14:scene3d>
          </w:rPr>
          <w:t>6.7.2</w:t>
        </w:r>
        <w:r w:rsidR="00D45ED1" w:rsidRPr="00F746A2">
          <w:rPr>
            <w:rStyle w:val="Hyperlink"/>
            <w:noProof/>
            <w:lang w:eastAsia="zh-CN" w:bidi="hi-IN"/>
          </w:rPr>
          <w:t xml:space="preserve"> Direct Effect of External Threats, Having a Response in Place, and Organisational Resilience on Organisational Vulnerabilities and Weaknesses</w:t>
        </w:r>
        <w:r w:rsidR="00D45ED1">
          <w:rPr>
            <w:noProof/>
            <w:webHidden/>
          </w:rPr>
          <w:tab/>
        </w:r>
        <w:r w:rsidR="00D45ED1">
          <w:rPr>
            <w:noProof/>
            <w:webHidden/>
          </w:rPr>
          <w:fldChar w:fldCharType="begin"/>
        </w:r>
        <w:r w:rsidR="00D45ED1">
          <w:rPr>
            <w:noProof/>
            <w:webHidden/>
          </w:rPr>
          <w:instrText xml:space="preserve"> PAGEREF _Toc61894817 \h </w:instrText>
        </w:r>
        <w:r w:rsidR="00D45ED1">
          <w:rPr>
            <w:noProof/>
            <w:webHidden/>
          </w:rPr>
        </w:r>
        <w:r w:rsidR="00D45ED1">
          <w:rPr>
            <w:noProof/>
            <w:webHidden/>
          </w:rPr>
          <w:fldChar w:fldCharType="separate"/>
        </w:r>
        <w:r w:rsidR="00513D91">
          <w:rPr>
            <w:noProof/>
            <w:webHidden/>
          </w:rPr>
          <w:t>203</w:t>
        </w:r>
        <w:r w:rsidR="00D45ED1">
          <w:rPr>
            <w:noProof/>
            <w:webHidden/>
          </w:rPr>
          <w:fldChar w:fldCharType="end"/>
        </w:r>
      </w:hyperlink>
    </w:p>
    <w:p w14:paraId="5BC9AED6" w14:textId="4858495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18" w:history="1">
        <w:r w:rsidR="00D45ED1" w:rsidRPr="00F746A2">
          <w:rPr>
            <w:rStyle w:val="Hyperlink"/>
            <w:bCs/>
            <w:noProof/>
            <w:lang w:eastAsia="zh-CN" w:bidi="hi-IN"/>
            <w14:scene3d>
              <w14:camera w14:prst="orthographicFront"/>
              <w14:lightRig w14:rig="threePt" w14:dir="t">
                <w14:rot w14:lat="0" w14:lon="0" w14:rev="0"/>
              </w14:lightRig>
            </w14:scene3d>
          </w:rPr>
          <w:t>6.7.3</w:t>
        </w:r>
        <w:r w:rsidR="00D45ED1" w:rsidRPr="00F746A2">
          <w:rPr>
            <w:rStyle w:val="Hyperlink"/>
            <w:noProof/>
            <w:lang w:eastAsia="zh-CN" w:bidi="hi-IN"/>
          </w:rPr>
          <w:t xml:space="preserve"> Direct Effect of Internal Threats, Having a Response in Place, and Organisational Resilience on Organisational Vulnerabilities and Weaknesses</w:t>
        </w:r>
        <w:r w:rsidR="00D45ED1">
          <w:rPr>
            <w:noProof/>
            <w:webHidden/>
          </w:rPr>
          <w:tab/>
        </w:r>
        <w:r w:rsidR="00D45ED1">
          <w:rPr>
            <w:noProof/>
            <w:webHidden/>
          </w:rPr>
          <w:fldChar w:fldCharType="begin"/>
        </w:r>
        <w:r w:rsidR="00D45ED1">
          <w:rPr>
            <w:noProof/>
            <w:webHidden/>
          </w:rPr>
          <w:instrText xml:space="preserve"> PAGEREF _Toc61894818 \h </w:instrText>
        </w:r>
        <w:r w:rsidR="00D45ED1">
          <w:rPr>
            <w:noProof/>
            <w:webHidden/>
          </w:rPr>
        </w:r>
        <w:r w:rsidR="00D45ED1">
          <w:rPr>
            <w:noProof/>
            <w:webHidden/>
          </w:rPr>
          <w:fldChar w:fldCharType="separate"/>
        </w:r>
        <w:r w:rsidR="00513D91">
          <w:rPr>
            <w:noProof/>
            <w:webHidden/>
          </w:rPr>
          <w:t>204</w:t>
        </w:r>
        <w:r w:rsidR="00D45ED1">
          <w:rPr>
            <w:noProof/>
            <w:webHidden/>
          </w:rPr>
          <w:fldChar w:fldCharType="end"/>
        </w:r>
      </w:hyperlink>
    </w:p>
    <w:p w14:paraId="6345239A" w14:textId="0BF0574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19" w:history="1">
        <w:r w:rsidR="00D45ED1" w:rsidRPr="00F746A2">
          <w:rPr>
            <w:rStyle w:val="Hyperlink"/>
            <w:bCs/>
            <w:noProof/>
            <w:lang w:eastAsia="zh-CN" w:bidi="hi-IN"/>
            <w14:scene3d>
              <w14:camera w14:prst="orthographicFront"/>
              <w14:lightRig w14:rig="threePt" w14:dir="t">
                <w14:rot w14:lat="0" w14:lon="0" w14:rev="0"/>
              </w14:lightRig>
            </w14:scene3d>
          </w:rPr>
          <w:t>6.7.4</w:t>
        </w:r>
        <w:r w:rsidR="00D45ED1" w:rsidRPr="00F746A2">
          <w:rPr>
            <w:rStyle w:val="Hyperlink"/>
            <w:noProof/>
            <w:lang w:eastAsia="zh-CN" w:bidi="hi-IN"/>
          </w:rPr>
          <w:t xml:space="preserve"> Organisational Resilience as a Moderator of the Relationship Between Internal and External Threats and Vulnerabilities and Weaknesses</w:t>
        </w:r>
        <w:r w:rsidR="00D45ED1">
          <w:rPr>
            <w:noProof/>
            <w:webHidden/>
          </w:rPr>
          <w:tab/>
        </w:r>
        <w:r w:rsidR="00D45ED1">
          <w:rPr>
            <w:noProof/>
            <w:webHidden/>
          </w:rPr>
          <w:fldChar w:fldCharType="begin"/>
        </w:r>
        <w:r w:rsidR="00D45ED1">
          <w:rPr>
            <w:noProof/>
            <w:webHidden/>
          </w:rPr>
          <w:instrText xml:space="preserve"> PAGEREF _Toc61894819 \h </w:instrText>
        </w:r>
        <w:r w:rsidR="00D45ED1">
          <w:rPr>
            <w:noProof/>
            <w:webHidden/>
          </w:rPr>
        </w:r>
        <w:r w:rsidR="00D45ED1">
          <w:rPr>
            <w:noProof/>
            <w:webHidden/>
          </w:rPr>
          <w:fldChar w:fldCharType="separate"/>
        </w:r>
        <w:r w:rsidR="00513D91">
          <w:rPr>
            <w:noProof/>
            <w:webHidden/>
          </w:rPr>
          <w:t>205</w:t>
        </w:r>
        <w:r w:rsidR="00D45ED1">
          <w:rPr>
            <w:noProof/>
            <w:webHidden/>
          </w:rPr>
          <w:fldChar w:fldCharType="end"/>
        </w:r>
      </w:hyperlink>
    </w:p>
    <w:p w14:paraId="6E73BF4E" w14:textId="7691C28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20" w:history="1">
        <w:r w:rsidR="00D45ED1" w:rsidRPr="00F746A2">
          <w:rPr>
            <w:rStyle w:val="Hyperlink"/>
            <w:bCs/>
            <w:noProof/>
            <w:lang w:eastAsia="zh-CN" w:bidi="hi-IN"/>
            <w14:scene3d>
              <w14:camera w14:prst="orthographicFront"/>
              <w14:lightRig w14:rig="threePt" w14:dir="t">
                <w14:rot w14:lat="0" w14:lon="0" w14:rev="0"/>
              </w14:lightRig>
            </w14:scene3d>
          </w:rPr>
          <w:t>6.7.5</w:t>
        </w:r>
        <w:r w:rsidR="00D45ED1" w:rsidRPr="00F746A2">
          <w:rPr>
            <w:rStyle w:val="Hyperlink"/>
            <w:noProof/>
            <w:lang w:eastAsia="zh-CN" w:bidi="hi-IN"/>
          </w:rPr>
          <w:t xml:space="preserve"> Hypotheses</w:t>
        </w:r>
        <w:r w:rsidR="00D45ED1">
          <w:rPr>
            <w:noProof/>
            <w:webHidden/>
          </w:rPr>
          <w:tab/>
        </w:r>
        <w:r w:rsidR="00D45ED1">
          <w:rPr>
            <w:noProof/>
            <w:webHidden/>
          </w:rPr>
          <w:fldChar w:fldCharType="begin"/>
        </w:r>
        <w:r w:rsidR="00D45ED1">
          <w:rPr>
            <w:noProof/>
            <w:webHidden/>
          </w:rPr>
          <w:instrText xml:space="preserve"> PAGEREF _Toc61894820 \h </w:instrText>
        </w:r>
        <w:r w:rsidR="00D45ED1">
          <w:rPr>
            <w:noProof/>
            <w:webHidden/>
          </w:rPr>
        </w:r>
        <w:r w:rsidR="00D45ED1">
          <w:rPr>
            <w:noProof/>
            <w:webHidden/>
          </w:rPr>
          <w:fldChar w:fldCharType="separate"/>
        </w:r>
        <w:r w:rsidR="00513D91">
          <w:rPr>
            <w:noProof/>
            <w:webHidden/>
          </w:rPr>
          <w:t>206</w:t>
        </w:r>
        <w:r w:rsidR="00D45ED1">
          <w:rPr>
            <w:noProof/>
            <w:webHidden/>
          </w:rPr>
          <w:fldChar w:fldCharType="end"/>
        </w:r>
      </w:hyperlink>
    </w:p>
    <w:p w14:paraId="697F16E8" w14:textId="5FDCE784"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1" w:history="1">
        <w:r w:rsidR="00D45ED1" w:rsidRPr="00F746A2">
          <w:rPr>
            <w:rStyle w:val="Hyperlink"/>
            <w:bCs/>
            <w:noProof/>
            <w:lang w:eastAsia="zh-CN" w:bidi="hi-IN"/>
          </w:rPr>
          <w:t>6.7.5.1</w:t>
        </w:r>
        <w:r w:rsidR="00D45ED1" w:rsidRPr="00F746A2">
          <w:rPr>
            <w:rStyle w:val="Hyperlink"/>
            <w:noProof/>
            <w:lang w:eastAsia="zh-CN" w:bidi="hi-IN"/>
          </w:rPr>
          <w:t xml:space="preserve"> Hypothesis One (H1) Vulnerabilities and weaknesses are associated with external threats</w:t>
        </w:r>
        <w:r w:rsidR="00D45ED1">
          <w:rPr>
            <w:noProof/>
            <w:webHidden/>
          </w:rPr>
          <w:tab/>
        </w:r>
        <w:r w:rsidR="00D45ED1">
          <w:rPr>
            <w:noProof/>
            <w:webHidden/>
          </w:rPr>
          <w:fldChar w:fldCharType="begin"/>
        </w:r>
        <w:r w:rsidR="00D45ED1">
          <w:rPr>
            <w:noProof/>
            <w:webHidden/>
          </w:rPr>
          <w:instrText xml:space="preserve"> PAGEREF _Toc61894821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4B9EC0FC" w14:textId="1A0F3857"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2" w:history="1">
        <w:r w:rsidR="00D45ED1" w:rsidRPr="00F746A2">
          <w:rPr>
            <w:rStyle w:val="Hyperlink"/>
            <w:bCs/>
            <w:noProof/>
            <w:lang w:eastAsia="zh-CN" w:bidi="hi-IN"/>
          </w:rPr>
          <w:t>6.7.5.2</w:t>
        </w:r>
        <w:r w:rsidR="00D45ED1" w:rsidRPr="00F746A2">
          <w:rPr>
            <w:rStyle w:val="Hyperlink"/>
            <w:noProof/>
            <w:lang w:eastAsia="zh-CN" w:bidi="hi-IN"/>
          </w:rPr>
          <w:t xml:space="preserve"> Hypothesis Two (H2) Vulnerabilities and weaknesses are associated with internal threats</w:t>
        </w:r>
        <w:r w:rsidR="00D45ED1">
          <w:rPr>
            <w:noProof/>
            <w:webHidden/>
          </w:rPr>
          <w:tab/>
        </w:r>
        <w:r w:rsidR="00D45ED1">
          <w:rPr>
            <w:noProof/>
            <w:webHidden/>
          </w:rPr>
          <w:fldChar w:fldCharType="begin"/>
        </w:r>
        <w:r w:rsidR="00D45ED1">
          <w:rPr>
            <w:noProof/>
            <w:webHidden/>
          </w:rPr>
          <w:instrText xml:space="preserve"> PAGEREF _Toc61894822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245E634F" w14:textId="7DD46BA1"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3" w:history="1">
        <w:r w:rsidR="00D45ED1" w:rsidRPr="00F746A2">
          <w:rPr>
            <w:rStyle w:val="Hyperlink"/>
            <w:bCs/>
            <w:noProof/>
            <w:lang w:eastAsia="zh-CN" w:bidi="hi-IN"/>
          </w:rPr>
          <w:t>6.7.5.3</w:t>
        </w:r>
        <w:r w:rsidR="00D45ED1" w:rsidRPr="00F746A2">
          <w:rPr>
            <w:rStyle w:val="Hyperlink"/>
            <w:noProof/>
            <w:lang w:eastAsia="zh-CN" w:bidi="hi-IN"/>
          </w:rPr>
          <w:t xml:space="preserve"> Hypothesis Three (H3)</w:t>
        </w:r>
        <w:r w:rsidR="00D45ED1" w:rsidRPr="00F746A2">
          <w:rPr>
            <w:rStyle w:val="Hyperlink"/>
            <w:bCs/>
            <w:noProof/>
            <w:lang w:eastAsia="zh-CN" w:bidi="hi-IN"/>
          </w:rPr>
          <w:t xml:space="preserve"> Vulnerabilities and weaknesses are associated</w:t>
        </w:r>
        <w:r w:rsidR="00D45ED1" w:rsidRPr="00F746A2">
          <w:rPr>
            <w:rStyle w:val="Hyperlink"/>
            <w:noProof/>
            <w:lang w:eastAsia="zh-CN" w:bidi="hi-IN"/>
          </w:rPr>
          <w:t xml:space="preserve"> with responses in place</w:t>
        </w:r>
        <w:r w:rsidR="00D45ED1">
          <w:rPr>
            <w:noProof/>
            <w:webHidden/>
          </w:rPr>
          <w:tab/>
        </w:r>
        <w:r w:rsidR="00D45ED1">
          <w:rPr>
            <w:noProof/>
            <w:webHidden/>
          </w:rPr>
          <w:fldChar w:fldCharType="begin"/>
        </w:r>
        <w:r w:rsidR="00D45ED1">
          <w:rPr>
            <w:noProof/>
            <w:webHidden/>
          </w:rPr>
          <w:instrText xml:space="preserve"> PAGEREF _Toc61894823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5414866B" w14:textId="60DE07FD"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4" w:history="1">
        <w:r w:rsidR="00D45ED1" w:rsidRPr="00F746A2">
          <w:rPr>
            <w:rStyle w:val="Hyperlink"/>
            <w:bCs/>
            <w:noProof/>
            <w:lang w:eastAsia="zh-CN" w:bidi="hi-IN"/>
          </w:rPr>
          <w:t>6.7.5.4</w:t>
        </w:r>
        <w:r w:rsidR="00D45ED1" w:rsidRPr="00F746A2">
          <w:rPr>
            <w:rStyle w:val="Hyperlink"/>
            <w:noProof/>
            <w:lang w:eastAsia="zh-CN" w:bidi="hi-IN"/>
          </w:rPr>
          <w:t xml:space="preserve"> Hypothesis Four (H4) Having responses in place moderates the association between vulnerabilities and weaknesses and internal threats</w:t>
        </w:r>
        <w:r w:rsidR="00D45ED1">
          <w:rPr>
            <w:noProof/>
            <w:webHidden/>
          </w:rPr>
          <w:tab/>
        </w:r>
        <w:r w:rsidR="00D45ED1">
          <w:rPr>
            <w:noProof/>
            <w:webHidden/>
          </w:rPr>
          <w:fldChar w:fldCharType="begin"/>
        </w:r>
        <w:r w:rsidR="00D45ED1">
          <w:rPr>
            <w:noProof/>
            <w:webHidden/>
          </w:rPr>
          <w:instrText xml:space="preserve"> PAGEREF _Toc61894824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3275A3F8" w14:textId="21AC7A02"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5" w:history="1">
        <w:r w:rsidR="00D45ED1" w:rsidRPr="00F746A2">
          <w:rPr>
            <w:rStyle w:val="Hyperlink"/>
            <w:bCs/>
            <w:noProof/>
            <w:lang w:eastAsia="zh-CN" w:bidi="hi-IN"/>
          </w:rPr>
          <w:t>6.7.5.5</w:t>
        </w:r>
        <w:r w:rsidR="00D45ED1" w:rsidRPr="00F746A2">
          <w:rPr>
            <w:rStyle w:val="Hyperlink"/>
            <w:noProof/>
            <w:lang w:eastAsia="zh-CN" w:bidi="hi-IN"/>
          </w:rPr>
          <w:t xml:space="preserve"> Hypothesis Five (H5) Having responses in place moderates the association between vulnerabilities and weaknesses and external threats</w:t>
        </w:r>
        <w:r w:rsidR="00D45ED1">
          <w:rPr>
            <w:noProof/>
            <w:webHidden/>
          </w:rPr>
          <w:tab/>
        </w:r>
        <w:r w:rsidR="00D45ED1">
          <w:rPr>
            <w:noProof/>
            <w:webHidden/>
          </w:rPr>
          <w:fldChar w:fldCharType="begin"/>
        </w:r>
        <w:r w:rsidR="00D45ED1">
          <w:rPr>
            <w:noProof/>
            <w:webHidden/>
          </w:rPr>
          <w:instrText xml:space="preserve"> PAGEREF _Toc61894825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6620268D" w14:textId="3443509F"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6" w:history="1">
        <w:r w:rsidR="00D45ED1" w:rsidRPr="00F746A2">
          <w:rPr>
            <w:rStyle w:val="Hyperlink"/>
            <w:bCs/>
            <w:noProof/>
            <w:lang w:eastAsia="zh-CN" w:bidi="hi-IN"/>
          </w:rPr>
          <w:t>6.7.5.6</w:t>
        </w:r>
        <w:r w:rsidR="00D45ED1" w:rsidRPr="00F746A2">
          <w:rPr>
            <w:rStyle w:val="Hyperlink"/>
            <w:noProof/>
            <w:lang w:eastAsia="zh-CN" w:bidi="hi-IN"/>
          </w:rPr>
          <w:t xml:space="preserve"> Hypothesis Six (H6) </w:t>
        </w:r>
        <w:r w:rsidR="00D45ED1" w:rsidRPr="00F746A2">
          <w:rPr>
            <w:rStyle w:val="Hyperlink"/>
            <w:bCs/>
            <w:noProof/>
            <w:lang w:eastAsia="zh-CN" w:bidi="hi-IN"/>
          </w:rPr>
          <w:t>Vulnerabilities and weaknesses are associated with organisational resilience</w:t>
        </w:r>
        <w:r w:rsidR="00D45ED1">
          <w:rPr>
            <w:noProof/>
            <w:webHidden/>
          </w:rPr>
          <w:tab/>
        </w:r>
        <w:r w:rsidR="00D45ED1">
          <w:rPr>
            <w:noProof/>
            <w:webHidden/>
          </w:rPr>
          <w:fldChar w:fldCharType="begin"/>
        </w:r>
        <w:r w:rsidR="00D45ED1">
          <w:rPr>
            <w:noProof/>
            <w:webHidden/>
          </w:rPr>
          <w:instrText xml:space="preserve"> PAGEREF _Toc61894826 \h </w:instrText>
        </w:r>
        <w:r w:rsidR="00D45ED1">
          <w:rPr>
            <w:noProof/>
            <w:webHidden/>
          </w:rPr>
        </w:r>
        <w:r w:rsidR="00D45ED1">
          <w:rPr>
            <w:noProof/>
            <w:webHidden/>
          </w:rPr>
          <w:fldChar w:fldCharType="separate"/>
        </w:r>
        <w:r w:rsidR="00513D91">
          <w:rPr>
            <w:noProof/>
            <w:webHidden/>
          </w:rPr>
          <w:t>207</w:t>
        </w:r>
        <w:r w:rsidR="00D45ED1">
          <w:rPr>
            <w:noProof/>
            <w:webHidden/>
          </w:rPr>
          <w:fldChar w:fldCharType="end"/>
        </w:r>
      </w:hyperlink>
    </w:p>
    <w:p w14:paraId="7A73D7AB" w14:textId="6B217FB5"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7" w:history="1">
        <w:r w:rsidR="00D45ED1" w:rsidRPr="00F746A2">
          <w:rPr>
            <w:rStyle w:val="Hyperlink"/>
            <w:bCs/>
            <w:noProof/>
            <w:lang w:eastAsia="zh-CN" w:bidi="hi-IN"/>
          </w:rPr>
          <w:t>6.7.5.7</w:t>
        </w:r>
        <w:r w:rsidR="00D45ED1" w:rsidRPr="00F746A2">
          <w:rPr>
            <w:rStyle w:val="Hyperlink"/>
            <w:noProof/>
            <w:lang w:eastAsia="zh-CN" w:bidi="hi-IN"/>
          </w:rPr>
          <w:t xml:space="preserve"> Hypothesis Seven (H7) Organisational resilience moderates the association between vulnerabilities and weaknesses and internal threats</w:t>
        </w:r>
        <w:r w:rsidR="00D45ED1">
          <w:rPr>
            <w:noProof/>
            <w:webHidden/>
          </w:rPr>
          <w:tab/>
        </w:r>
        <w:r w:rsidR="00D45ED1">
          <w:rPr>
            <w:noProof/>
            <w:webHidden/>
          </w:rPr>
          <w:fldChar w:fldCharType="begin"/>
        </w:r>
        <w:r w:rsidR="00D45ED1">
          <w:rPr>
            <w:noProof/>
            <w:webHidden/>
          </w:rPr>
          <w:instrText xml:space="preserve"> PAGEREF _Toc61894827 \h </w:instrText>
        </w:r>
        <w:r w:rsidR="00D45ED1">
          <w:rPr>
            <w:noProof/>
            <w:webHidden/>
          </w:rPr>
        </w:r>
        <w:r w:rsidR="00D45ED1">
          <w:rPr>
            <w:noProof/>
            <w:webHidden/>
          </w:rPr>
          <w:fldChar w:fldCharType="separate"/>
        </w:r>
        <w:r w:rsidR="00513D91">
          <w:rPr>
            <w:noProof/>
            <w:webHidden/>
          </w:rPr>
          <w:t>208</w:t>
        </w:r>
        <w:r w:rsidR="00D45ED1">
          <w:rPr>
            <w:noProof/>
            <w:webHidden/>
          </w:rPr>
          <w:fldChar w:fldCharType="end"/>
        </w:r>
      </w:hyperlink>
    </w:p>
    <w:p w14:paraId="4925C344" w14:textId="2815B1BC"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28" w:history="1">
        <w:r w:rsidR="00D45ED1" w:rsidRPr="00F746A2">
          <w:rPr>
            <w:rStyle w:val="Hyperlink"/>
            <w:bCs/>
            <w:noProof/>
            <w:lang w:eastAsia="zh-CN" w:bidi="hi-IN"/>
          </w:rPr>
          <w:t>6.7.5.8</w:t>
        </w:r>
        <w:r w:rsidR="00D45ED1" w:rsidRPr="00F746A2">
          <w:rPr>
            <w:rStyle w:val="Hyperlink"/>
            <w:noProof/>
            <w:lang w:eastAsia="zh-CN" w:bidi="hi-IN"/>
          </w:rPr>
          <w:t xml:space="preserve"> Hypothesis Eight (H8) Organisational resilience moderates the association between vulnerabilities and weaknesses and external threats</w:t>
        </w:r>
        <w:r w:rsidR="00D45ED1">
          <w:rPr>
            <w:noProof/>
            <w:webHidden/>
          </w:rPr>
          <w:tab/>
        </w:r>
        <w:r w:rsidR="00D45ED1">
          <w:rPr>
            <w:noProof/>
            <w:webHidden/>
          </w:rPr>
          <w:fldChar w:fldCharType="begin"/>
        </w:r>
        <w:r w:rsidR="00D45ED1">
          <w:rPr>
            <w:noProof/>
            <w:webHidden/>
          </w:rPr>
          <w:instrText xml:space="preserve"> PAGEREF _Toc61894828 \h </w:instrText>
        </w:r>
        <w:r w:rsidR="00D45ED1">
          <w:rPr>
            <w:noProof/>
            <w:webHidden/>
          </w:rPr>
        </w:r>
        <w:r w:rsidR="00D45ED1">
          <w:rPr>
            <w:noProof/>
            <w:webHidden/>
          </w:rPr>
          <w:fldChar w:fldCharType="separate"/>
        </w:r>
        <w:r w:rsidR="00513D91">
          <w:rPr>
            <w:noProof/>
            <w:webHidden/>
          </w:rPr>
          <w:t>208</w:t>
        </w:r>
        <w:r w:rsidR="00D45ED1">
          <w:rPr>
            <w:noProof/>
            <w:webHidden/>
          </w:rPr>
          <w:fldChar w:fldCharType="end"/>
        </w:r>
      </w:hyperlink>
    </w:p>
    <w:p w14:paraId="48C0E331" w14:textId="24892D3F"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29" w:history="1">
        <w:r w:rsidR="00D45ED1" w:rsidRPr="00F746A2">
          <w:rPr>
            <w:rStyle w:val="Hyperlink"/>
            <w:noProof/>
            <w:lang w:eastAsia="zh-CN" w:bidi="hi-IN"/>
          </w:rPr>
          <w:t>6.8 Discussion of Findings and Results</w:t>
        </w:r>
        <w:r w:rsidR="00D45ED1">
          <w:rPr>
            <w:noProof/>
            <w:webHidden/>
          </w:rPr>
          <w:tab/>
        </w:r>
        <w:r w:rsidR="00D45ED1">
          <w:rPr>
            <w:noProof/>
            <w:webHidden/>
          </w:rPr>
          <w:fldChar w:fldCharType="begin"/>
        </w:r>
        <w:r w:rsidR="00D45ED1">
          <w:rPr>
            <w:noProof/>
            <w:webHidden/>
          </w:rPr>
          <w:instrText xml:space="preserve"> PAGEREF _Toc61894829 \h </w:instrText>
        </w:r>
        <w:r w:rsidR="00D45ED1">
          <w:rPr>
            <w:noProof/>
            <w:webHidden/>
          </w:rPr>
        </w:r>
        <w:r w:rsidR="00D45ED1">
          <w:rPr>
            <w:noProof/>
            <w:webHidden/>
          </w:rPr>
          <w:fldChar w:fldCharType="separate"/>
        </w:r>
        <w:r w:rsidR="00513D91">
          <w:rPr>
            <w:noProof/>
            <w:webHidden/>
          </w:rPr>
          <w:t>208</w:t>
        </w:r>
        <w:r w:rsidR="00D45ED1">
          <w:rPr>
            <w:noProof/>
            <w:webHidden/>
          </w:rPr>
          <w:fldChar w:fldCharType="end"/>
        </w:r>
      </w:hyperlink>
    </w:p>
    <w:p w14:paraId="2AD8A053" w14:textId="1B4F30B1"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30" w:history="1">
        <w:r w:rsidR="00D45ED1" w:rsidRPr="00F746A2">
          <w:rPr>
            <w:rStyle w:val="Hyperlink"/>
            <w:bCs/>
            <w:noProof/>
            <w:lang w:eastAsia="zh-CN" w:bidi="hi-IN"/>
            <w14:scene3d>
              <w14:camera w14:prst="orthographicFront"/>
              <w14:lightRig w14:rig="threePt" w14:dir="t">
                <w14:rot w14:lat="0" w14:lon="0" w14:rev="0"/>
              </w14:lightRig>
            </w14:scene3d>
          </w:rPr>
          <w:t>6.8.1</w:t>
        </w:r>
        <w:r w:rsidR="00D45ED1" w:rsidRPr="00F746A2">
          <w:rPr>
            <w:rStyle w:val="Hyperlink"/>
            <w:noProof/>
            <w:lang w:eastAsia="zh-CN" w:bidi="hi-IN"/>
          </w:rPr>
          <w:t xml:space="preserve"> Regression Test Conclusions</w:t>
        </w:r>
        <w:r w:rsidR="00D45ED1">
          <w:rPr>
            <w:noProof/>
            <w:webHidden/>
          </w:rPr>
          <w:tab/>
        </w:r>
        <w:r w:rsidR="00D45ED1">
          <w:rPr>
            <w:noProof/>
            <w:webHidden/>
          </w:rPr>
          <w:fldChar w:fldCharType="begin"/>
        </w:r>
        <w:r w:rsidR="00D45ED1">
          <w:rPr>
            <w:noProof/>
            <w:webHidden/>
          </w:rPr>
          <w:instrText xml:space="preserve"> PAGEREF _Toc61894830 \h </w:instrText>
        </w:r>
        <w:r w:rsidR="00D45ED1">
          <w:rPr>
            <w:noProof/>
            <w:webHidden/>
          </w:rPr>
        </w:r>
        <w:r w:rsidR="00D45ED1">
          <w:rPr>
            <w:noProof/>
            <w:webHidden/>
          </w:rPr>
          <w:fldChar w:fldCharType="separate"/>
        </w:r>
        <w:r w:rsidR="00513D91">
          <w:rPr>
            <w:noProof/>
            <w:webHidden/>
          </w:rPr>
          <w:t>208</w:t>
        </w:r>
        <w:r w:rsidR="00D45ED1">
          <w:rPr>
            <w:noProof/>
            <w:webHidden/>
          </w:rPr>
          <w:fldChar w:fldCharType="end"/>
        </w:r>
      </w:hyperlink>
    </w:p>
    <w:p w14:paraId="538B5B9B" w14:textId="0B203014"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31" w:history="1">
        <w:r w:rsidR="00D45ED1" w:rsidRPr="00F746A2">
          <w:rPr>
            <w:rStyle w:val="Hyperlink"/>
            <w:noProof/>
            <w:lang w:eastAsia="zh-CN" w:bidi="hi-IN"/>
          </w:rPr>
          <w:t>6.9 Validation of the New Framework</w:t>
        </w:r>
        <w:r w:rsidR="00D45ED1">
          <w:rPr>
            <w:noProof/>
            <w:webHidden/>
          </w:rPr>
          <w:tab/>
        </w:r>
        <w:r w:rsidR="00D45ED1">
          <w:rPr>
            <w:noProof/>
            <w:webHidden/>
          </w:rPr>
          <w:fldChar w:fldCharType="begin"/>
        </w:r>
        <w:r w:rsidR="00D45ED1">
          <w:rPr>
            <w:noProof/>
            <w:webHidden/>
          </w:rPr>
          <w:instrText xml:space="preserve"> PAGEREF _Toc61894831 \h </w:instrText>
        </w:r>
        <w:r w:rsidR="00D45ED1">
          <w:rPr>
            <w:noProof/>
            <w:webHidden/>
          </w:rPr>
        </w:r>
        <w:r w:rsidR="00D45ED1">
          <w:rPr>
            <w:noProof/>
            <w:webHidden/>
          </w:rPr>
          <w:fldChar w:fldCharType="separate"/>
        </w:r>
        <w:r w:rsidR="00513D91">
          <w:rPr>
            <w:noProof/>
            <w:webHidden/>
          </w:rPr>
          <w:t>209</w:t>
        </w:r>
        <w:r w:rsidR="00D45ED1">
          <w:rPr>
            <w:noProof/>
            <w:webHidden/>
          </w:rPr>
          <w:fldChar w:fldCharType="end"/>
        </w:r>
      </w:hyperlink>
    </w:p>
    <w:p w14:paraId="24461FC7" w14:textId="11ABF3C4"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32" w:history="1">
        <w:r w:rsidR="00D45ED1" w:rsidRPr="00F746A2">
          <w:rPr>
            <w:rStyle w:val="Hyperlink"/>
            <w:bCs/>
            <w:noProof/>
            <w:lang w:eastAsia="zh-CN" w:bidi="hi-IN"/>
            <w14:scene3d>
              <w14:camera w14:prst="orthographicFront"/>
              <w14:lightRig w14:rig="threePt" w14:dir="t">
                <w14:rot w14:lat="0" w14:lon="0" w14:rev="0"/>
              </w14:lightRig>
            </w14:scene3d>
          </w:rPr>
          <w:t>6.9.1</w:t>
        </w:r>
        <w:r w:rsidR="00D45ED1" w:rsidRPr="00F746A2">
          <w:rPr>
            <w:rStyle w:val="Hyperlink"/>
            <w:noProof/>
            <w:lang w:eastAsia="zh-CN" w:bidi="hi-IN"/>
          </w:rPr>
          <w:t xml:space="preserve"> Cyber-Resilience and -Security in the UAE Public Sector Before</w:t>
        </w:r>
        <w:r w:rsidR="00D45ED1">
          <w:rPr>
            <w:noProof/>
            <w:webHidden/>
          </w:rPr>
          <w:tab/>
        </w:r>
        <w:r w:rsidR="00D45ED1">
          <w:rPr>
            <w:noProof/>
            <w:webHidden/>
          </w:rPr>
          <w:fldChar w:fldCharType="begin"/>
        </w:r>
        <w:r w:rsidR="00D45ED1">
          <w:rPr>
            <w:noProof/>
            <w:webHidden/>
          </w:rPr>
          <w:instrText xml:space="preserve"> PAGEREF _Toc61894832 \h </w:instrText>
        </w:r>
        <w:r w:rsidR="00D45ED1">
          <w:rPr>
            <w:noProof/>
            <w:webHidden/>
          </w:rPr>
        </w:r>
        <w:r w:rsidR="00D45ED1">
          <w:rPr>
            <w:noProof/>
            <w:webHidden/>
          </w:rPr>
          <w:fldChar w:fldCharType="separate"/>
        </w:r>
        <w:r w:rsidR="00513D91">
          <w:rPr>
            <w:noProof/>
            <w:webHidden/>
          </w:rPr>
          <w:t>209</w:t>
        </w:r>
        <w:r w:rsidR="00D45ED1">
          <w:rPr>
            <w:noProof/>
            <w:webHidden/>
          </w:rPr>
          <w:fldChar w:fldCharType="end"/>
        </w:r>
      </w:hyperlink>
    </w:p>
    <w:p w14:paraId="313DE04C" w14:textId="6C9D977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33" w:history="1">
        <w:r w:rsidR="00D45ED1" w:rsidRPr="00F746A2">
          <w:rPr>
            <w:rStyle w:val="Hyperlink"/>
            <w:bCs/>
            <w:noProof/>
            <w:lang w:eastAsia="zh-CN" w:bidi="hi-IN"/>
            <w14:scene3d>
              <w14:camera w14:prst="orthographicFront"/>
              <w14:lightRig w14:rig="threePt" w14:dir="t">
                <w14:rot w14:lat="0" w14:lon="0" w14:rev="0"/>
              </w14:lightRig>
            </w14:scene3d>
          </w:rPr>
          <w:t>6.9.2</w:t>
        </w:r>
        <w:r w:rsidR="00D45ED1" w:rsidRPr="00F746A2">
          <w:rPr>
            <w:rStyle w:val="Hyperlink"/>
            <w:noProof/>
            <w:lang w:eastAsia="zh-CN" w:bidi="hi-IN"/>
          </w:rPr>
          <w:t xml:space="preserve"> Cyber-Resilience and -Security in the UAE Public Sector After</w:t>
        </w:r>
        <w:r w:rsidR="00D45ED1">
          <w:rPr>
            <w:noProof/>
            <w:webHidden/>
          </w:rPr>
          <w:tab/>
        </w:r>
        <w:r w:rsidR="00D45ED1">
          <w:rPr>
            <w:noProof/>
            <w:webHidden/>
          </w:rPr>
          <w:fldChar w:fldCharType="begin"/>
        </w:r>
        <w:r w:rsidR="00D45ED1">
          <w:rPr>
            <w:noProof/>
            <w:webHidden/>
          </w:rPr>
          <w:instrText xml:space="preserve"> PAGEREF _Toc61894833 \h </w:instrText>
        </w:r>
        <w:r w:rsidR="00D45ED1">
          <w:rPr>
            <w:noProof/>
            <w:webHidden/>
          </w:rPr>
        </w:r>
        <w:r w:rsidR="00D45ED1">
          <w:rPr>
            <w:noProof/>
            <w:webHidden/>
          </w:rPr>
          <w:fldChar w:fldCharType="separate"/>
        </w:r>
        <w:r w:rsidR="00513D91">
          <w:rPr>
            <w:noProof/>
            <w:webHidden/>
          </w:rPr>
          <w:t>209</w:t>
        </w:r>
        <w:r w:rsidR="00D45ED1">
          <w:rPr>
            <w:noProof/>
            <w:webHidden/>
          </w:rPr>
          <w:fldChar w:fldCharType="end"/>
        </w:r>
      </w:hyperlink>
    </w:p>
    <w:p w14:paraId="2DD296A2" w14:textId="523330ED"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34" w:history="1">
        <w:r w:rsidR="00D45ED1" w:rsidRPr="00F746A2">
          <w:rPr>
            <w:rStyle w:val="Hyperlink"/>
            <w:bCs/>
            <w:noProof/>
            <w:lang w:eastAsia="zh-CN" w:bidi="hi-IN"/>
            <w14:scene3d>
              <w14:camera w14:prst="orthographicFront"/>
              <w14:lightRig w14:rig="threePt" w14:dir="t">
                <w14:rot w14:lat="0" w14:lon="0" w14:rev="0"/>
              </w14:lightRig>
            </w14:scene3d>
          </w:rPr>
          <w:t>6.9.3</w:t>
        </w:r>
        <w:r w:rsidR="00D45ED1" w:rsidRPr="00F746A2">
          <w:rPr>
            <w:rStyle w:val="Hyperlink"/>
            <w:noProof/>
            <w:lang w:eastAsia="zh-CN" w:bidi="hi-IN"/>
          </w:rPr>
          <w:t xml:space="preserve"> Testing and Validating the New Framework</w:t>
        </w:r>
        <w:r w:rsidR="00D45ED1">
          <w:rPr>
            <w:noProof/>
            <w:webHidden/>
          </w:rPr>
          <w:tab/>
        </w:r>
        <w:r w:rsidR="00D45ED1">
          <w:rPr>
            <w:noProof/>
            <w:webHidden/>
          </w:rPr>
          <w:fldChar w:fldCharType="begin"/>
        </w:r>
        <w:r w:rsidR="00D45ED1">
          <w:rPr>
            <w:noProof/>
            <w:webHidden/>
          </w:rPr>
          <w:instrText xml:space="preserve"> PAGEREF _Toc61894834 \h </w:instrText>
        </w:r>
        <w:r w:rsidR="00D45ED1">
          <w:rPr>
            <w:noProof/>
            <w:webHidden/>
          </w:rPr>
        </w:r>
        <w:r w:rsidR="00D45ED1">
          <w:rPr>
            <w:noProof/>
            <w:webHidden/>
          </w:rPr>
          <w:fldChar w:fldCharType="separate"/>
        </w:r>
        <w:r w:rsidR="00513D91">
          <w:rPr>
            <w:noProof/>
            <w:webHidden/>
          </w:rPr>
          <w:t>210</w:t>
        </w:r>
        <w:r w:rsidR="00D45ED1">
          <w:rPr>
            <w:noProof/>
            <w:webHidden/>
          </w:rPr>
          <w:fldChar w:fldCharType="end"/>
        </w:r>
      </w:hyperlink>
    </w:p>
    <w:p w14:paraId="02E98239" w14:textId="098DDA7E"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35" w:history="1">
        <w:r w:rsidR="00D45ED1" w:rsidRPr="00F746A2">
          <w:rPr>
            <w:rStyle w:val="Hyperlink"/>
            <w:bCs/>
            <w:noProof/>
            <w:lang w:eastAsia="zh-CN" w:bidi="hi-IN"/>
            <w14:scene3d>
              <w14:camera w14:prst="orthographicFront"/>
              <w14:lightRig w14:rig="threePt" w14:dir="t">
                <w14:rot w14:lat="0" w14:lon="0" w14:rev="0"/>
              </w14:lightRig>
            </w14:scene3d>
          </w:rPr>
          <w:t>6.9.4</w:t>
        </w:r>
        <w:r w:rsidR="00D45ED1" w:rsidRPr="00F746A2">
          <w:rPr>
            <w:rStyle w:val="Hyperlink"/>
            <w:noProof/>
            <w:lang w:eastAsia="zh-CN" w:bidi="hi-IN"/>
          </w:rPr>
          <w:t xml:space="preserve"> Acceptance of Validated Framework</w:t>
        </w:r>
        <w:r w:rsidR="00D45ED1">
          <w:rPr>
            <w:noProof/>
            <w:webHidden/>
          </w:rPr>
          <w:tab/>
        </w:r>
        <w:r w:rsidR="00D45ED1">
          <w:rPr>
            <w:noProof/>
            <w:webHidden/>
          </w:rPr>
          <w:fldChar w:fldCharType="begin"/>
        </w:r>
        <w:r w:rsidR="00D45ED1">
          <w:rPr>
            <w:noProof/>
            <w:webHidden/>
          </w:rPr>
          <w:instrText xml:space="preserve"> PAGEREF _Toc61894835 \h </w:instrText>
        </w:r>
        <w:r w:rsidR="00D45ED1">
          <w:rPr>
            <w:noProof/>
            <w:webHidden/>
          </w:rPr>
        </w:r>
        <w:r w:rsidR="00D45ED1">
          <w:rPr>
            <w:noProof/>
            <w:webHidden/>
          </w:rPr>
          <w:fldChar w:fldCharType="separate"/>
        </w:r>
        <w:r w:rsidR="00513D91">
          <w:rPr>
            <w:noProof/>
            <w:webHidden/>
          </w:rPr>
          <w:t>210</w:t>
        </w:r>
        <w:r w:rsidR="00D45ED1">
          <w:rPr>
            <w:noProof/>
            <w:webHidden/>
          </w:rPr>
          <w:fldChar w:fldCharType="end"/>
        </w:r>
      </w:hyperlink>
    </w:p>
    <w:p w14:paraId="53356F1E" w14:textId="7E5B75F0"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36" w:history="1">
        <w:r w:rsidR="00D45ED1" w:rsidRPr="00F746A2">
          <w:rPr>
            <w:rStyle w:val="Hyperlink"/>
            <w:noProof/>
            <w:lang w:eastAsia="zh-CN" w:bidi="hi-IN"/>
          </w:rPr>
          <w:t>6.10 Summary</w:t>
        </w:r>
        <w:r w:rsidR="00D45ED1">
          <w:rPr>
            <w:noProof/>
            <w:webHidden/>
          </w:rPr>
          <w:tab/>
        </w:r>
        <w:r w:rsidR="00D45ED1">
          <w:rPr>
            <w:noProof/>
            <w:webHidden/>
          </w:rPr>
          <w:fldChar w:fldCharType="begin"/>
        </w:r>
        <w:r w:rsidR="00D45ED1">
          <w:rPr>
            <w:noProof/>
            <w:webHidden/>
          </w:rPr>
          <w:instrText xml:space="preserve"> PAGEREF _Toc61894836 \h </w:instrText>
        </w:r>
        <w:r w:rsidR="00D45ED1">
          <w:rPr>
            <w:noProof/>
            <w:webHidden/>
          </w:rPr>
        </w:r>
        <w:r w:rsidR="00D45ED1">
          <w:rPr>
            <w:noProof/>
            <w:webHidden/>
          </w:rPr>
          <w:fldChar w:fldCharType="separate"/>
        </w:r>
        <w:r w:rsidR="00513D91">
          <w:rPr>
            <w:noProof/>
            <w:webHidden/>
          </w:rPr>
          <w:t>211</w:t>
        </w:r>
        <w:r w:rsidR="00D45ED1">
          <w:rPr>
            <w:noProof/>
            <w:webHidden/>
          </w:rPr>
          <w:fldChar w:fldCharType="end"/>
        </w:r>
      </w:hyperlink>
    </w:p>
    <w:p w14:paraId="43F4A466" w14:textId="29CD1969" w:rsidR="00D45ED1" w:rsidRDefault="00724BEE">
      <w:pPr>
        <w:pStyle w:val="TOC1"/>
        <w:rPr>
          <w:rFonts w:asciiTheme="minorHAnsi" w:eastAsiaTheme="minorEastAsia" w:hAnsiTheme="minorHAnsi" w:cstheme="minorBidi"/>
          <w:noProof/>
          <w:sz w:val="22"/>
          <w:lang w:val="en-US"/>
        </w:rPr>
      </w:pPr>
      <w:hyperlink w:anchor="_Toc61894837" w:history="1">
        <w:r w:rsidR="00D45ED1" w:rsidRPr="00F746A2">
          <w:rPr>
            <w:rStyle w:val="Hyperlink"/>
            <w:bCs/>
            <w:noProof/>
            <w:lang w:eastAsia="zh-CN" w:bidi="hi-IN"/>
          </w:rPr>
          <w:t>Chapter 7</w:t>
        </w:r>
        <w:r w:rsidR="00D45ED1" w:rsidRPr="00F746A2">
          <w:rPr>
            <w:rStyle w:val="Hyperlink"/>
            <w:noProof/>
            <w:lang w:eastAsia="zh-CN" w:bidi="hi-IN"/>
          </w:rPr>
          <w:t xml:space="preserve"> Conclusion and Recommendations</w:t>
        </w:r>
        <w:r w:rsidR="00D45ED1">
          <w:rPr>
            <w:noProof/>
            <w:webHidden/>
          </w:rPr>
          <w:tab/>
        </w:r>
        <w:r w:rsidR="00D45ED1">
          <w:rPr>
            <w:noProof/>
            <w:webHidden/>
          </w:rPr>
          <w:fldChar w:fldCharType="begin"/>
        </w:r>
        <w:r w:rsidR="00D45ED1">
          <w:rPr>
            <w:noProof/>
            <w:webHidden/>
          </w:rPr>
          <w:instrText xml:space="preserve"> PAGEREF _Toc61894837 \h </w:instrText>
        </w:r>
        <w:r w:rsidR="00D45ED1">
          <w:rPr>
            <w:noProof/>
            <w:webHidden/>
          </w:rPr>
        </w:r>
        <w:r w:rsidR="00D45ED1">
          <w:rPr>
            <w:noProof/>
            <w:webHidden/>
          </w:rPr>
          <w:fldChar w:fldCharType="separate"/>
        </w:r>
        <w:r w:rsidR="00513D91">
          <w:rPr>
            <w:noProof/>
            <w:webHidden/>
          </w:rPr>
          <w:t>212</w:t>
        </w:r>
        <w:r w:rsidR="00D45ED1">
          <w:rPr>
            <w:noProof/>
            <w:webHidden/>
          </w:rPr>
          <w:fldChar w:fldCharType="end"/>
        </w:r>
      </w:hyperlink>
    </w:p>
    <w:p w14:paraId="1B53A703" w14:textId="1D7DEDC1"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38" w:history="1">
        <w:r w:rsidR="00D45ED1" w:rsidRPr="00F746A2">
          <w:rPr>
            <w:rStyle w:val="Hyperlink"/>
            <w:noProof/>
            <w:lang w:eastAsia="zh-CN" w:bidi="hi-IN"/>
          </w:rPr>
          <w:t>7.1 Introduction</w:t>
        </w:r>
        <w:r w:rsidR="00D45ED1">
          <w:rPr>
            <w:noProof/>
            <w:webHidden/>
          </w:rPr>
          <w:tab/>
        </w:r>
        <w:r w:rsidR="00D45ED1">
          <w:rPr>
            <w:noProof/>
            <w:webHidden/>
          </w:rPr>
          <w:fldChar w:fldCharType="begin"/>
        </w:r>
        <w:r w:rsidR="00D45ED1">
          <w:rPr>
            <w:noProof/>
            <w:webHidden/>
          </w:rPr>
          <w:instrText xml:space="preserve"> PAGEREF _Toc61894838 \h </w:instrText>
        </w:r>
        <w:r w:rsidR="00D45ED1">
          <w:rPr>
            <w:noProof/>
            <w:webHidden/>
          </w:rPr>
        </w:r>
        <w:r w:rsidR="00D45ED1">
          <w:rPr>
            <w:noProof/>
            <w:webHidden/>
          </w:rPr>
          <w:fldChar w:fldCharType="separate"/>
        </w:r>
        <w:r w:rsidR="00513D91">
          <w:rPr>
            <w:noProof/>
            <w:webHidden/>
          </w:rPr>
          <w:t>212</w:t>
        </w:r>
        <w:r w:rsidR="00D45ED1">
          <w:rPr>
            <w:noProof/>
            <w:webHidden/>
          </w:rPr>
          <w:fldChar w:fldCharType="end"/>
        </w:r>
      </w:hyperlink>
    </w:p>
    <w:p w14:paraId="733ADC47" w14:textId="2FF4628F"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39" w:history="1">
        <w:r w:rsidR="00D45ED1" w:rsidRPr="00F746A2">
          <w:rPr>
            <w:rStyle w:val="Hyperlink"/>
            <w:noProof/>
            <w:lang w:eastAsia="zh-CN" w:bidi="hi-IN"/>
          </w:rPr>
          <w:t>7.2 An Overview of the Research</w:t>
        </w:r>
        <w:r w:rsidR="00D45ED1">
          <w:rPr>
            <w:noProof/>
            <w:webHidden/>
          </w:rPr>
          <w:tab/>
        </w:r>
        <w:r w:rsidR="00D45ED1">
          <w:rPr>
            <w:noProof/>
            <w:webHidden/>
          </w:rPr>
          <w:fldChar w:fldCharType="begin"/>
        </w:r>
        <w:r w:rsidR="00D45ED1">
          <w:rPr>
            <w:noProof/>
            <w:webHidden/>
          </w:rPr>
          <w:instrText xml:space="preserve"> PAGEREF _Toc61894839 \h </w:instrText>
        </w:r>
        <w:r w:rsidR="00D45ED1">
          <w:rPr>
            <w:noProof/>
            <w:webHidden/>
          </w:rPr>
        </w:r>
        <w:r w:rsidR="00D45ED1">
          <w:rPr>
            <w:noProof/>
            <w:webHidden/>
          </w:rPr>
          <w:fldChar w:fldCharType="separate"/>
        </w:r>
        <w:r w:rsidR="00513D91">
          <w:rPr>
            <w:noProof/>
            <w:webHidden/>
          </w:rPr>
          <w:t>212</w:t>
        </w:r>
        <w:r w:rsidR="00D45ED1">
          <w:rPr>
            <w:noProof/>
            <w:webHidden/>
          </w:rPr>
          <w:fldChar w:fldCharType="end"/>
        </w:r>
      </w:hyperlink>
    </w:p>
    <w:p w14:paraId="342186DB" w14:textId="4604D266"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40" w:history="1">
        <w:r w:rsidR="00D45ED1" w:rsidRPr="00F746A2">
          <w:rPr>
            <w:rStyle w:val="Hyperlink"/>
            <w:noProof/>
            <w:lang w:eastAsia="zh-CN" w:bidi="hi-IN"/>
          </w:rPr>
          <w:t>7.3 The Accomplishment of the Research Objectives</w:t>
        </w:r>
        <w:r w:rsidR="00D45ED1">
          <w:rPr>
            <w:noProof/>
            <w:webHidden/>
          </w:rPr>
          <w:tab/>
        </w:r>
        <w:r w:rsidR="00D45ED1">
          <w:rPr>
            <w:noProof/>
            <w:webHidden/>
          </w:rPr>
          <w:fldChar w:fldCharType="begin"/>
        </w:r>
        <w:r w:rsidR="00D45ED1">
          <w:rPr>
            <w:noProof/>
            <w:webHidden/>
          </w:rPr>
          <w:instrText xml:space="preserve"> PAGEREF _Toc61894840 \h </w:instrText>
        </w:r>
        <w:r w:rsidR="00D45ED1">
          <w:rPr>
            <w:noProof/>
            <w:webHidden/>
          </w:rPr>
        </w:r>
        <w:r w:rsidR="00D45ED1">
          <w:rPr>
            <w:noProof/>
            <w:webHidden/>
          </w:rPr>
          <w:fldChar w:fldCharType="separate"/>
        </w:r>
        <w:r w:rsidR="00513D91">
          <w:rPr>
            <w:noProof/>
            <w:webHidden/>
          </w:rPr>
          <w:t>212</w:t>
        </w:r>
        <w:r w:rsidR="00D45ED1">
          <w:rPr>
            <w:noProof/>
            <w:webHidden/>
          </w:rPr>
          <w:fldChar w:fldCharType="end"/>
        </w:r>
      </w:hyperlink>
    </w:p>
    <w:p w14:paraId="053F4B2A" w14:textId="46314C3C"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1" w:history="1">
        <w:r w:rsidR="00D45ED1" w:rsidRPr="00F746A2">
          <w:rPr>
            <w:rStyle w:val="Hyperlink"/>
            <w:bCs/>
            <w:noProof/>
            <w:lang w:eastAsia="zh-CN" w:bidi="hi-IN"/>
            <w14:scene3d>
              <w14:camera w14:prst="orthographicFront"/>
              <w14:lightRig w14:rig="threePt" w14:dir="t">
                <w14:rot w14:lat="0" w14:lon="0" w14:rev="0"/>
              </w14:lightRig>
            </w14:scene3d>
          </w:rPr>
          <w:t>7.3.1</w:t>
        </w:r>
        <w:r w:rsidR="00D45ED1" w:rsidRPr="00F746A2">
          <w:rPr>
            <w:rStyle w:val="Hyperlink"/>
            <w:noProof/>
            <w:lang w:eastAsia="zh-CN" w:bidi="hi-IN"/>
          </w:rPr>
          <w:t xml:space="preserve"> To Identify Emerging Cyber-Risks</w:t>
        </w:r>
        <w:r w:rsidR="00D45ED1" w:rsidRPr="00F746A2">
          <w:rPr>
            <w:rStyle w:val="Hyperlink"/>
            <w:noProof/>
          </w:rPr>
          <w:t xml:space="preserve"> </w:t>
        </w:r>
        <w:r w:rsidR="00D45ED1" w:rsidRPr="00F746A2">
          <w:rPr>
            <w:rStyle w:val="Hyperlink"/>
            <w:noProof/>
            <w:lang w:eastAsia="zh-CN" w:bidi="hi-IN"/>
          </w:rPr>
          <w:t>and Examine the Association Between Cyber-Risk Awareness and Resilience.</w:t>
        </w:r>
        <w:r w:rsidR="00D45ED1">
          <w:rPr>
            <w:noProof/>
            <w:webHidden/>
          </w:rPr>
          <w:tab/>
        </w:r>
        <w:r w:rsidR="00D45ED1">
          <w:rPr>
            <w:noProof/>
            <w:webHidden/>
          </w:rPr>
          <w:fldChar w:fldCharType="begin"/>
        </w:r>
        <w:r w:rsidR="00D45ED1">
          <w:rPr>
            <w:noProof/>
            <w:webHidden/>
          </w:rPr>
          <w:instrText xml:space="preserve"> PAGEREF _Toc61894841 \h </w:instrText>
        </w:r>
        <w:r w:rsidR="00D45ED1">
          <w:rPr>
            <w:noProof/>
            <w:webHidden/>
          </w:rPr>
        </w:r>
        <w:r w:rsidR="00D45ED1">
          <w:rPr>
            <w:noProof/>
            <w:webHidden/>
          </w:rPr>
          <w:fldChar w:fldCharType="separate"/>
        </w:r>
        <w:r w:rsidR="00513D91">
          <w:rPr>
            <w:noProof/>
            <w:webHidden/>
          </w:rPr>
          <w:t>213</w:t>
        </w:r>
        <w:r w:rsidR="00D45ED1">
          <w:rPr>
            <w:noProof/>
            <w:webHidden/>
          </w:rPr>
          <w:fldChar w:fldCharType="end"/>
        </w:r>
      </w:hyperlink>
    </w:p>
    <w:p w14:paraId="6833484C" w14:textId="5FCF42B2"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2" w:history="1">
        <w:r w:rsidR="00D45ED1" w:rsidRPr="00F746A2">
          <w:rPr>
            <w:rStyle w:val="Hyperlink"/>
            <w:bCs/>
            <w:noProof/>
            <w:lang w:eastAsia="zh-CN" w:bidi="hi-IN"/>
            <w14:scene3d>
              <w14:camera w14:prst="orthographicFront"/>
              <w14:lightRig w14:rig="threePt" w14:dir="t">
                <w14:rot w14:lat="0" w14:lon="0" w14:rev="0"/>
              </w14:lightRig>
            </w14:scene3d>
          </w:rPr>
          <w:t>7.3.2</w:t>
        </w:r>
        <w:r w:rsidR="00D45ED1" w:rsidRPr="00F746A2">
          <w:rPr>
            <w:rStyle w:val="Hyperlink"/>
            <w:noProof/>
            <w:lang w:eastAsia="zh-CN" w:bidi="hi-IN"/>
          </w:rPr>
          <w:t xml:space="preserve"> To Create a Conceptual Framework for Assessing Resilience to Cyber-Risks</w:t>
        </w:r>
        <w:r w:rsidR="00D45ED1">
          <w:rPr>
            <w:noProof/>
            <w:webHidden/>
          </w:rPr>
          <w:tab/>
        </w:r>
        <w:r w:rsidR="00D45ED1">
          <w:rPr>
            <w:noProof/>
            <w:webHidden/>
          </w:rPr>
          <w:fldChar w:fldCharType="begin"/>
        </w:r>
        <w:r w:rsidR="00D45ED1">
          <w:rPr>
            <w:noProof/>
            <w:webHidden/>
          </w:rPr>
          <w:instrText xml:space="preserve"> PAGEREF _Toc61894842 \h </w:instrText>
        </w:r>
        <w:r w:rsidR="00D45ED1">
          <w:rPr>
            <w:noProof/>
            <w:webHidden/>
          </w:rPr>
        </w:r>
        <w:r w:rsidR="00D45ED1">
          <w:rPr>
            <w:noProof/>
            <w:webHidden/>
          </w:rPr>
          <w:fldChar w:fldCharType="separate"/>
        </w:r>
        <w:r w:rsidR="00513D91">
          <w:rPr>
            <w:noProof/>
            <w:webHidden/>
          </w:rPr>
          <w:t>213</w:t>
        </w:r>
        <w:r w:rsidR="00D45ED1">
          <w:rPr>
            <w:noProof/>
            <w:webHidden/>
          </w:rPr>
          <w:fldChar w:fldCharType="end"/>
        </w:r>
      </w:hyperlink>
    </w:p>
    <w:p w14:paraId="126974BD" w14:textId="755BECC6"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3" w:history="1">
        <w:r w:rsidR="00D45ED1" w:rsidRPr="00F746A2">
          <w:rPr>
            <w:rStyle w:val="Hyperlink"/>
            <w:bCs/>
            <w:noProof/>
            <w:lang w:eastAsia="zh-CN" w:bidi="hi-IN"/>
            <w14:scene3d>
              <w14:camera w14:prst="orthographicFront"/>
              <w14:lightRig w14:rig="threePt" w14:dir="t">
                <w14:rot w14:lat="0" w14:lon="0" w14:rev="0"/>
              </w14:lightRig>
            </w14:scene3d>
          </w:rPr>
          <w:t>7.3.3</w:t>
        </w:r>
        <w:r w:rsidR="00D45ED1" w:rsidRPr="00F746A2">
          <w:rPr>
            <w:rStyle w:val="Hyperlink"/>
            <w:noProof/>
            <w:lang w:val="en-US"/>
          </w:rPr>
          <w:t xml:space="preserve"> To examine the relationship between Organizational Vulnerability and Weaknesses, and the External/ Internal Cyber-Threats, and the moderating effect of resilience and response of the organization.</w:t>
        </w:r>
        <w:r w:rsidR="00D45ED1">
          <w:rPr>
            <w:noProof/>
            <w:webHidden/>
          </w:rPr>
          <w:tab/>
        </w:r>
        <w:r w:rsidR="00D45ED1">
          <w:rPr>
            <w:noProof/>
            <w:webHidden/>
          </w:rPr>
          <w:fldChar w:fldCharType="begin"/>
        </w:r>
        <w:r w:rsidR="00D45ED1">
          <w:rPr>
            <w:noProof/>
            <w:webHidden/>
          </w:rPr>
          <w:instrText xml:space="preserve"> PAGEREF _Toc61894843 \h </w:instrText>
        </w:r>
        <w:r w:rsidR="00D45ED1">
          <w:rPr>
            <w:noProof/>
            <w:webHidden/>
          </w:rPr>
        </w:r>
        <w:r w:rsidR="00D45ED1">
          <w:rPr>
            <w:noProof/>
            <w:webHidden/>
          </w:rPr>
          <w:fldChar w:fldCharType="separate"/>
        </w:r>
        <w:r w:rsidR="00513D91">
          <w:rPr>
            <w:noProof/>
            <w:webHidden/>
          </w:rPr>
          <w:t>213</w:t>
        </w:r>
        <w:r w:rsidR="00D45ED1">
          <w:rPr>
            <w:noProof/>
            <w:webHidden/>
          </w:rPr>
          <w:fldChar w:fldCharType="end"/>
        </w:r>
      </w:hyperlink>
    </w:p>
    <w:p w14:paraId="72B02410" w14:textId="505CD070"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4" w:history="1">
        <w:r w:rsidR="00D45ED1" w:rsidRPr="00F746A2">
          <w:rPr>
            <w:rStyle w:val="Hyperlink"/>
            <w:bCs/>
            <w:noProof/>
            <w:lang w:eastAsia="zh-CN" w:bidi="hi-IN"/>
            <w14:scene3d>
              <w14:camera w14:prst="orthographicFront"/>
              <w14:lightRig w14:rig="threePt" w14:dir="t">
                <w14:rot w14:lat="0" w14:lon="0" w14:rev="0"/>
              </w14:lightRig>
            </w14:scene3d>
          </w:rPr>
          <w:t>7.3.4</w:t>
        </w:r>
        <w:r w:rsidR="00D45ED1" w:rsidRPr="00F746A2">
          <w:rPr>
            <w:rStyle w:val="Hyperlink"/>
            <w:noProof/>
            <w:lang w:eastAsia="zh-CN" w:bidi="hi-IN"/>
          </w:rPr>
          <w:t xml:space="preserve"> To report the findings and conclusions in an understandable format.</w:t>
        </w:r>
        <w:r w:rsidR="00D45ED1">
          <w:rPr>
            <w:noProof/>
            <w:webHidden/>
          </w:rPr>
          <w:tab/>
        </w:r>
        <w:r w:rsidR="00D45ED1">
          <w:rPr>
            <w:noProof/>
            <w:webHidden/>
          </w:rPr>
          <w:fldChar w:fldCharType="begin"/>
        </w:r>
        <w:r w:rsidR="00D45ED1">
          <w:rPr>
            <w:noProof/>
            <w:webHidden/>
          </w:rPr>
          <w:instrText xml:space="preserve"> PAGEREF _Toc61894844 \h </w:instrText>
        </w:r>
        <w:r w:rsidR="00D45ED1">
          <w:rPr>
            <w:noProof/>
            <w:webHidden/>
          </w:rPr>
        </w:r>
        <w:r w:rsidR="00D45ED1">
          <w:rPr>
            <w:noProof/>
            <w:webHidden/>
          </w:rPr>
          <w:fldChar w:fldCharType="separate"/>
        </w:r>
        <w:r w:rsidR="00513D91">
          <w:rPr>
            <w:noProof/>
            <w:webHidden/>
          </w:rPr>
          <w:t>214</w:t>
        </w:r>
        <w:r w:rsidR="00D45ED1">
          <w:rPr>
            <w:noProof/>
            <w:webHidden/>
          </w:rPr>
          <w:fldChar w:fldCharType="end"/>
        </w:r>
      </w:hyperlink>
    </w:p>
    <w:p w14:paraId="6A647CDC" w14:textId="2A2C71D7"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45" w:history="1">
        <w:r w:rsidR="00D45ED1" w:rsidRPr="00F746A2">
          <w:rPr>
            <w:rStyle w:val="Hyperlink"/>
            <w:noProof/>
            <w:lang w:eastAsia="zh-CN" w:bidi="hi-IN"/>
          </w:rPr>
          <w:t>7.4 Key Findings</w:t>
        </w:r>
        <w:r w:rsidR="00D45ED1">
          <w:rPr>
            <w:noProof/>
            <w:webHidden/>
          </w:rPr>
          <w:tab/>
        </w:r>
        <w:r w:rsidR="00D45ED1">
          <w:rPr>
            <w:noProof/>
            <w:webHidden/>
          </w:rPr>
          <w:fldChar w:fldCharType="begin"/>
        </w:r>
        <w:r w:rsidR="00D45ED1">
          <w:rPr>
            <w:noProof/>
            <w:webHidden/>
          </w:rPr>
          <w:instrText xml:space="preserve"> PAGEREF _Toc61894845 \h </w:instrText>
        </w:r>
        <w:r w:rsidR="00D45ED1">
          <w:rPr>
            <w:noProof/>
            <w:webHidden/>
          </w:rPr>
        </w:r>
        <w:r w:rsidR="00D45ED1">
          <w:rPr>
            <w:noProof/>
            <w:webHidden/>
          </w:rPr>
          <w:fldChar w:fldCharType="separate"/>
        </w:r>
        <w:r w:rsidR="00513D91">
          <w:rPr>
            <w:noProof/>
            <w:webHidden/>
          </w:rPr>
          <w:t>215</w:t>
        </w:r>
        <w:r w:rsidR="00D45ED1">
          <w:rPr>
            <w:noProof/>
            <w:webHidden/>
          </w:rPr>
          <w:fldChar w:fldCharType="end"/>
        </w:r>
      </w:hyperlink>
    </w:p>
    <w:p w14:paraId="2C16F849" w14:textId="34C82BAC"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46" w:history="1">
        <w:r w:rsidR="00D45ED1" w:rsidRPr="00F746A2">
          <w:rPr>
            <w:rStyle w:val="Hyperlink"/>
            <w:noProof/>
            <w:lang w:eastAsia="zh-CN" w:bidi="hi-IN"/>
          </w:rPr>
          <w:t>7.5</w:t>
        </w:r>
        <w:r w:rsidR="00D45ED1" w:rsidRPr="00F746A2">
          <w:rPr>
            <w:rStyle w:val="Hyperlink"/>
            <w:noProof/>
          </w:rPr>
          <w:t xml:space="preserve"> Research</w:t>
        </w:r>
        <w:r w:rsidR="00D45ED1" w:rsidRPr="00F746A2">
          <w:rPr>
            <w:rStyle w:val="Hyperlink"/>
            <w:noProof/>
            <w:lang w:eastAsia="zh-CN" w:bidi="hi-IN"/>
          </w:rPr>
          <w:t xml:space="preserve"> Novelty and Contribution</w:t>
        </w:r>
        <w:r w:rsidR="00D45ED1">
          <w:rPr>
            <w:noProof/>
            <w:webHidden/>
          </w:rPr>
          <w:tab/>
        </w:r>
        <w:r w:rsidR="00D45ED1">
          <w:rPr>
            <w:noProof/>
            <w:webHidden/>
          </w:rPr>
          <w:fldChar w:fldCharType="begin"/>
        </w:r>
        <w:r w:rsidR="00D45ED1">
          <w:rPr>
            <w:noProof/>
            <w:webHidden/>
          </w:rPr>
          <w:instrText xml:space="preserve"> PAGEREF _Toc61894846 \h </w:instrText>
        </w:r>
        <w:r w:rsidR="00D45ED1">
          <w:rPr>
            <w:noProof/>
            <w:webHidden/>
          </w:rPr>
        </w:r>
        <w:r w:rsidR="00D45ED1">
          <w:rPr>
            <w:noProof/>
            <w:webHidden/>
          </w:rPr>
          <w:fldChar w:fldCharType="separate"/>
        </w:r>
        <w:r w:rsidR="00513D91">
          <w:rPr>
            <w:noProof/>
            <w:webHidden/>
          </w:rPr>
          <w:t>215</w:t>
        </w:r>
        <w:r w:rsidR="00D45ED1">
          <w:rPr>
            <w:noProof/>
            <w:webHidden/>
          </w:rPr>
          <w:fldChar w:fldCharType="end"/>
        </w:r>
      </w:hyperlink>
    </w:p>
    <w:p w14:paraId="083FE5BC" w14:textId="69084B1D"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7" w:history="1">
        <w:r w:rsidR="00D45ED1" w:rsidRPr="00F746A2">
          <w:rPr>
            <w:rStyle w:val="Hyperlink"/>
            <w:bCs/>
            <w:noProof/>
            <w14:scene3d>
              <w14:camera w14:prst="orthographicFront"/>
              <w14:lightRig w14:rig="threePt" w14:dir="t">
                <w14:rot w14:lat="0" w14:lon="0" w14:rev="0"/>
              </w14:lightRig>
            </w14:scene3d>
          </w:rPr>
          <w:t>7.5.1</w:t>
        </w:r>
        <w:r w:rsidR="00D45ED1" w:rsidRPr="00F746A2">
          <w:rPr>
            <w:rStyle w:val="Hyperlink"/>
            <w:noProof/>
          </w:rPr>
          <w:t xml:space="preserve"> Contributions to Theory</w:t>
        </w:r>
        <w:r w:rsidR="00D45ED1">
          <w:rPr>
            <w:noProof/>
            <w:webHidden/>
          </w:rPr>
          <w:tab/>
        </w:r>
        <w:r w:rsidR="00D45ED1">
          <w:rPr>
            <w:noProof/>
            <w:webHidden/>
          </w:rPr>
          <w:fldChar w:fldCharType="begin"/>
        </w:r>
        <w:r w:rsidR="00D45ED1">
          <w:rPr>
            <w:noProof/>
            <w:webHidden/>
          </w:rPr>
          <w:instrText xml:space="preserve"> PAGEREF _Toc61894847 \h </w:instrText>
        </w:r>
        <w:r w:rsidR="00D45ED1">
          <w:rPr>
            <w:noProof/>
            <w:webHidden/>
          </w:rPr>
        </w:r>
        <w:r w:rsidR="00D45ED1">
          <w:rPr>
            <w:noProof/>
            <w:webHidden/>
          </w:rPr>
          <w:fldChar w:fldCharType="separate"/>
        </w:r>
        <w:r w:rsidR="00513D91">
          <w:rPr>
            <w:noProof/>
            <w:webHidden/>
          </w:rPr>
          <w:t>216</w:t>
        </w:r>
        <w:r w:rsidR="00D45ED1">
          <w:rPr>
            <w:noProof/>
            <w:webHidden/>
          </w:rPr>
          <w:fldChar w:fldCharType="end"/>
        </w:r>
      </w:hyperlink>
    </w:p>
    <w:p w14:paraId="0B1FD031" w14:textId="516B8899"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49" w:history="1">
        <w:r w:rsidR="00D45ED1" w:rsidRPr="00F746A2">
          <w:rPr>
            <w:rStyle w:val="Hyperlink"/>
            <w:bCs/>
            <w:noProof/>
            <w14:scene3d>
              <w14:camera w14:prst="orthographicFront"/>
              <w14:lightRig w14:rig="threePt" w14:dir="t">
                <w14:rot w14:lat="0" w14:lon="0" w14:rev="0"/>
              </w14:lightRig>
            </w14:scene3d>
          </w:rPr>
          <w:t>7.5.2</w:t>
        </w:r>
        <w:r w:rsidR="00D45ED1" w:rsidRPr="00F746A2">
          <w:rPr>
            <w:rStyle w:val="Hyperlink"/>
            <w:noProof/>
          </w:rPr>
          <w:t xml:space="preserve"> Contributions to Practice</w:t>
        </w:r>
        <w:r w:rsidR="00D45ED1">
          <w:rPr>
            <w:noProof/>
            <w:webHidden/>
          </w:rPr>
          <w:tab/>
        </w:r>
        <w:r w:rsidR="00D45ED1">
          <w:rPr>
            <w:noProof/>
            <w:webHidden/>
          </w:rPr>
          <w:fldChar w:fldCharType="begin"/>
        </w:r>
        <w:r w:rsidR="00D45ED1">
          <w:rPr>
            <w:noProof/>
            <w:webHidden/>
          </w:rPr>
          <w:instrText xml:space="preserve"> PAGEREF _Toc61894849 \h </w:instrText>
        </w:r>
        <w:r w:rsidR="00D45ED1">
          <w:rPr>
            <w:noProof/>
            <w:webHidden/>
          </w:rPr>
        </w:r>
        <w:r w:rsidR="00D45ED1">
          <w:rPr>
            <w:noProof/>
            <w:webHidden/>
          </w:rPr>
          <w:fldChar w:fldCharType="separate"/>
        </w:r>
        <w:r w:rsidR="00513D91">
          <w:rPr>
            <w:noProof/>
            <w:webHidden/>
          </w:rPr>
          <w:t>217</w:t>
        </w:r>
        <w:r w:rsidR="00D45ED1">
          <w:rPr>
            <w:noProof/>
            <w:webHidden/>
          </w:rPr>
          <w:fldChar w:fldCharType="end"/>
        </w:r>
      </w:hyperlink>
    </w:p>
    <w:p w14:paraId="5E82A085" w14:textId="7EB47337"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50" w:history="1">
        <w:r w:rsidR="00D45ED1" w:rsidRPr="00F746A2">
          <w:rPr>
            <w:rStyle w:val="Hyperlink"/>
            <w:bCs/>
            <w:noProof/>
            <w14:scene3d>
              <w14:camera w14:prst="orthographicFront"/>
              <w14:lightRig w14:rig="threePt" w14:dir="t">
                <w14:rot w14:lat="0" w14:lon="0" w14:rev="0"/>
              </w14:lightRig>
            </w14:scene3d>
          </w:rPr>
          <w:t>7.5.3</w:t>
        </w:r>
        <w:r w:rsidR="00D45ED1" w:rsidRPr="00F746A2">
          <w:rPr>
            <w:rStyle w:val="Hyperlink"/>
            <w:noProof/>
          </w:rPr>
          <w:t xml:space="preserve"> Contributions to Methodology</w:t>
        </w:r>
        <w:r w:rsidR="00D45ED1">
          <w:rPr>
            <w:noProof/>
            <w:webHidden/>
          </w:rPr>
          <w:tab/>
        </w:r>
        <w:r w:rsidR="00D45ED1">
          <w:rPr>
            <w:noProof/>
            <w:webHidden/>
          </w:rPr>
          <w:fldChar w:fldCharType="begin"/>
        </w:r>
        <w:r w:rsidR="00D45ED1">
          <w:rPr>
            <w:noProof/>
            <w:webHidden/>
          </w:rPr>
          <w:instrText xml:space="preserve"> PAGEREF _Toc61894850 \h </w:instrText>
        </w:r>
        <w:r w:rsidR="00D45ED1">
          <w:rPr>
            <w:noProof/>
            <w:webHidden/>
          </w:rPr>
        </w:r>
        <w:r w:rsidR="00D45ED1">
          <w:rPr>
            <w:noProof/>
            <w:webHidden/>
          </w:rPr>
          <w:fldChar w:fldCharType="separate"/>
        </w:r>
        <w:r w:rsidR="00513D91">
          <w:rPr>
            <w:noProof/>
            <w:webHidden/>
          </w:rPr>
          <w:t>218</w:t>
        </w:r>
        <w:r w:rsidR="00D45ED1">
          <w:rPr>
            <w:noProof/>
            <w:webHidden/>
          </w:rPr>
          <w:fldChar w:fldCharType="end"/>
        </w:r>
      </w:hyperlink>
    </w:p>
    <w:p w14:paraId="5454FB69" w14:textId="4B5ABD67"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51" w:history="1">
        <w:r w:rsidR="00D45ED1" w:rsidRPr="00F746A2">
          <w:rPr>
            <w:rStyle w:val="Hyperlink"/>
            <w:noProof/>
            <w:lang w:eastAsia="zh-CN" w:bidi="hi-IN"/>
          </w:rPr>
          <w:t>7.6 Research Achievement</w:t>
        </w:r>
        <w:r w:rsidR="00D45ED1">
          <w:rPr>
            <w:noProof/>
            <w:webHidden/>
          </w:rPr>
          <w:tab/>
        </w:r>
        <w:r w:rsidR="00D45ED1">
          <w:rPr>
            <w:noProof/>
            <w:webHidden/>
          </w:rPr>
          <w:fldChar w:fldCharType="begin"/>
        </w:r>
        <w:r w:rsidR="00D45ED1">
          <w:rPr>
            <w:noProof/>
            <w:webHidden/>
          </w:rPr>
          <w:instrText xml:space="preserve"> PAGEREF _Toc61894851 \h </w:instrText>
        </w:r>
        <w:r w:rsidR="00D45ED1">
          <w:rPr>
            <w:noProof/>
            <w:webHidden/>
          </w:rPr>
        </w:r>
        <w:r w:rsidR="00D45ED1">
          <w:rPr>
            <w:noProof/>
            <w:webHidden/>
          </w:rPr>
          <w:fldChar w:fldCharType="separate"/>
        </w:r>
        <w:r w:rsidR="00513D91">
          <w:rPr>
            <w:noProof/>
            <w:webHidden/>
          </w:rPr>
          <w:t>218</w:t>
        </w:r>
        <w:r w:rsidR="00D45ED1">
          <w:rPr>
            <w:noProof/>
            <w:webHidden/>
          </w:rPr>
          <w:fldChar w:fldCharType="end"/>
        </w:r>
      </w:hyperlink>
    </w:p>
    <w:p w14:paraId="5B3DD6F7" w14:textId="1AB86202"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52" w:history="1">
        <w:r w:rsidR="00D45ED1" w:rsidRPr="00F746A2">
          <w:rPr>
            <w:rStyle w:val="Hyperlink"/>
            <w:noProof/>
            <w:lang w:eastAsia="zh-CN" w:bidi="hi-IN"/>
          </w:rPr>
          <w:t>7.7 Research Implications</w:t>
        </w:r>
        <w:r w:rsidR="00D45ED1">
          <w:rPr>
            <w:noProof/>
            <w:webHidden/>
          </w:rPr>
          <w:tab/>
        </w:r>
        <w:r w:rsidR="00D45ED1">
          <w:rPr>
            <w:noProof/>
            <w:webHidden/>
          </w:rPr>
          <w:fldChar w:fldCharType="begin"/>
        </w:r>
        <w:r w:rsidR="00D45ED1">
          <w:rPr>
            <w:noProof/>
            <w:webHidden/>
          </w:rPr>
          <w:instrText xml:space="preserve"> PAGEREF _Toc61894852 \h </w:instrText>
        </w:r>
        <w:r w:rsidR="00D45ED1">
          <w:rPr>
            <w:noProof/>
            <w:webHidden/>
          </w:rPr>
        </w:r>
        <w:r w:rsidR="00D45ED1">
          <w:rPr>
            <w:noProof/>
            <w:webHidden/>
          </w:rPr>
          <w:fldChar w:fldCharType="separate"/>
        </w:r>
        <w:r w:rsidR="00513D91">
          <w:rPr>
            <w:noProof/>
            <w:webHidden/>
          </w:rPr>
          <w:t>219</w:t>
        </w:r>
        <w:r w:rsidR="00D45ED1">
          <w:rPr>
            <w:noProof/>
            <w:webHidden/>
          </w:rPr>
          <w:fldChar w:fldCharType="end"/>
        </w:r>
      </w:hyperlink>
    </w:p>
    <w:p w14:paraId="6E6CAA2E" w14:textId="0DB8D8A8"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53" w:history="1">
        <w:r w:rsidR="00D45ED1" w:rsidRPr="00F746A2">
          <w:rPr>
            <w:rStyle w:val="Hyperlink"/>
            <w:bCs/>
            <w:noProof/>
            <w:lang w:eastAsia="zh-CN" w:bidi="hi-IN"/>
            <w14:scene3d>
              <w14:camera w14:prst="orthographicFront"/>
              <w14:lightRig w14:rig="threePt" w14:dir="t">
                <w14:rot w14:lat="0" w14:lon="0" w14:rev="0"/>
              </w14:lightRig>
            </w14:scene3d>
          </w:rPr>
          <w:t>7.7.1</w:t>
        </w:r>
        <w:r w:rsidR="00D45ED1" w:rsidRPr="00F746A2">
          <w:rPr>
            <w:rStyle w:val="Hyperlink"/>
            <w:noProof/>
            <w:lang w:eastAsia="zh-CN" w:bidi="hi-IN"/>
          </w:rPr>
          <w:t xml:space="preserve"> Implications for Research and Theory</w:t>
        </w:r>
        <w:r w:rsidR="00D45ED1">
          <w:rPr>
            <w:noProof/>
            <w:webHidden/>
          </w:rPr>
          <w:tab/>
        </w:r>
        <w:r w:rsidR="00D45ED1">
          <w:rPr>
            <w:noProof/>
            <w:webHidden/>
          </w:rPr>
          <w:fldChar w:fldCharType="begin"/>
        </w:r>
        <w:r w:rsidR="00D45ED1">
          <w:rPr>
            <w:noProof/>
            <w:webHidden/>
          </w:rPr>
          <w:instrText xml:space="preserve"> PAGEREF _Toc61894853 \h </w:instrText>
        </w:r>
        <w:r w:rsidR="00D45ED1">
          <w:rPr>
            <w:noProof/>
            <w:webHidden/>
          </w:rPr>
        </w:r>
        <w:r w:rsidR="00D45ED1">
          <w:rPr>
            <w:noProof/>
            <w:webHidden/>
          </w:rPr>
          <w:fldChar w:fldCharType="separate"/>
        </w:r>
        <w:r w:rsidR="00513D91">
          <w:rPr>
            <w:noProof/>
            <w:webHidden/>
          </w:rPr>
          <w:t>219</w:t>
        </w:r>
        <w:r w:rsidR="00D45ED1">
          <w:rPr>
            <w:noProof/>
            <w:webHidden/>
          </w:rPr>
          <w:fldChar w:fldCharType="end"/>
        </w:r>
      </w:hyperlink>
    </w:p>
    <w:p w14:paraId="59C9887E" w14:textId="7EBBD8AB"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54" w:history="1">
        <w:r w:rsidR="00D45ED1" w:rsidRPr="00F746A2">
          <w:rPr>
            <w:rStyle w:val="Hyperlink"/>
            <w:bCs/>
            <w:noProof/>
            <w:lang w:eastAsia="zh-CN" w:bidi="hi-IN"/>
            <w14:scene3d>
              <w14:camera w14:prst="orthographicFront"/>
              <w14:lightRig w14:rig="threePt" w14:dir="t">
                <w14:rot w14:lat="0" w14:lon="0" w14:rev="0"/>
              </w14:lightRig>
            </w14:scene3d>
          </w:rPr>
          <w:t>7.7.2</w:t>
        </w:r>
        <w:r w:rsidR="00D45ED1" w:rsidRPr="00F746A2">
          <w:rPr>
            <w:rStyle w:val="Hyperlink"/>
            <w:noProof/>
            <w:lang w:eastAsia="zh-CN" w:bidi="hi-IN"/>
          </w:rPr>
          <w:t xml:space="preserve"> Implications for Management and Practice.</w:t>
        </w:r>
        <w:r w:rsidR="00D45ED1">
          <w:rPr>
            <w:noProof/>
            <w:webHidden/>
          </w:rPr>
          <w:tab/>
        </w:r>
        <w:r w:rsidR="00D45ED1">
          <w:rPr>
            <w:noProof/>
            <w:webHidden/>
          </w:rPr>
          <w:fldChar w:fldCharType="begin"/>
        </w:r>
        <w:r w:rsidR="00D45ED1">
          <w:rPr>
            <w:noProof/>
            <w:webHidden/>
          </w:rPr>
          <w:instrText xml:space="preserve"> PAGEREF _Toc61894854 \h </w:instrText>
        </w:r>
        <w:r w:rsidR="00D45ED1">
          <w:rPr>
            <w:noProof/>
            <w:webHidden/>
          </w:rPr>
        </w:r>
        <w:r w:rsidR="00D45ED1">
          <w:rPr>
            <w:noProof/>
            <w:webHidden/>
          </w:rPr>
          <w:fldChar w:fldCharType="separate"/>
        </w:r>
        <w:r w:rsidR="00513D91">
          <w:rPr>
            <w:noProof/>
            <w:webHidden/>
          </w:rPr>
          <w:t>220</w:t>
        </w:r>
        <w:r w:rsidR="00D45ED1">
          <w:rPr>
            <w:noProof/>
            <w:webHidden/>
          </w:rPr>
          <w:fldChar w:fldCharType="end"/>
        </w:r>
      </w:hyperlink>
    </w:p>
    <w:p w14:paraId="23862543" w14:textId="602CAC59"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55" w:history="1">
        <w:r w:rsidR="00D45ED1" w:rsidRPr="00F746A2">
          <w:rPr>
            <w:rStyle w:val="Hyperlink"/>
            <w:noProof/>
            <w:lang w:eastAsia="zh-CN" w:bidi="hi-IN"/>
          </w:rPr>
          <w:t>7.8 Research Limitations</w:t>
        </w:r>
        <w:r w:rsidR="00D45ED1">
          <w:rPr>
            <w:noProof/>
            <w:webHidden/>
          </w:rPr>
          <w:tab/>
        </w:r>
        <w:r w:rsidR="00D45ED1">
          <w:rPr>
            <w:noProof/>
            <w:webHidden/>
          </w:rPr>
          <w:fldChar w:fldCharType="begin"/>
        </w:r>
        <w:r w:rsidR="00D45ED1">
          <w:rPr>
            <w:noProof/>
            <w:webHidden/>
          </w:rPr>
          <w:instrText xml:space="preserve"> PAGEREF _Toc61894855 \h </w:instrText>
        </w:r>
        <w:r w:rsidR="00D45ED1">
          <w:rPr>
            <w:noProof/>
            <w:webHidden/>
          </w:rPr>
        </w:r>
        <w:r w:rsidR="00D45ED1">
          <w:rPr>
            <w:noProof/>
            <w:webHidden/>
          </w:rPr>
          <w:fldChar w:fldCharType="separate"/>
        </w:r>
        <w:r w:rsidR="00513D91">
          <w:rPr>
            <w:noProof/>
            <w:webHidden/>
          </w:rPr>
          <w:t>221</w:t>
        </w:r>
        <w:r w:rsidR="00D45ED1">
          <w:rPr>
            <w:noProof/>
            <w:webHidden/>
          </w:rPr>
          <w:fldChar w:fldCharType="end"/>
        </w:r>
      </w:hyperlink>
    </w:p>
    <w:p w14:paraId="6C504CDC" w14:textId="6C947F93"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56" w:history="1">
        <w:r w:rsidR="00D45ED1" w:rsidRPr="00F746A2">
          <w:rPr>
            <w:rStyle w:val="Hyperlink"/>
            <w:bCs/>
            <w:noProof/>
            <w:lang w:eastAsia="zh-CN" w:bidi="hi-IN"/>
            <w14:scene3d>
              <w14:camera w14:prst="orthographicFront"/>
              <w14:lightRig w14:rig="threePt" w14:dir="t">
                <w14:rot w14:lat="0" w14:lon="0" w14:rev="0"/>
              </w14:lightRig>
            </w14:scene3d>
          </w:rPr>
          <w:t>7.8.1</w:t>
        </w:r>
        <w:r w:rsidR="00D45ED1" w:rsidRPr="00F746A2">
          <w:rPr>
            <w:rStyle w:val="Hyperlink"/>
            <w:noProof/>
            <w:lang w:eastAsia="zh-CN" w:bidi="hi-IN"/>
          </w:rPr>
          <w:t xml:space="preserve"> Methodological Limitations and Recommendations</w:t>
        </w:r>
        <w:r w:rsidR="00D45ED1">
          <w:rPr>
            <w:noProof/>
            <w:webHidden/>
          </w:rPr>
          <w:tab/>
        </w:r>
        <w:r w:rsidR="00D45ED1">
          <w:rPr>
            <w:noProof/>
            <w:webHidden/>
          </w:rPr>
          <w:fldChar w:fldCharType="begin"/>
        </w:r>
        <w:r w:rsidR="00D45ED1">
          <w:rPr>
            <w:noProof/>
            <w:webHidden/>
          </w:rPr>
          <w:instrText xml:space="preserve"> PAGEREF _Toc61894856 \h </w:instrText>
        </w:r>
        <w:r w:rsidR="00D45ED1">
          <w:rPr>
            <w:noProof/>
            <w:webHidden/>
          </w:rPr>
        </w:r>
        <w:r w:rsidR="00D45ED1">
          <w:rPr>
            <w:noProof/>
            <w:webHidden/>
          </w:rPr>
          <w:fldChar w:fldCharType="separate"/>
        </w:r>
        <w:r w:rsidR="00513D91">
          <w:rPr>
            <w:noProof/>
            <w:webHidden/>
          </w:rPr>
          <w:t>221</w:t>
        </w:r>
        <w:r w:rsidR="00D45ED1">
          <w:rPr>
            <w:noProof/>
            <w:webHidden/>
          </w:rPr>
          <w:fldChar w:fldCharType="end"/>
        </w:r>
      </w:hyperlink>
    </w:p>
    <w:p w14:paraId="5FA185BD" w14:textId="66D77B09" w:rsidR="00D45ED1" w:rsidRDefault="00724BEE">
      <w:pPr>
        <w:pStyle w:val="TOC4"/>
        <w:tabs>
          <w:tab w:val="right" w:leader="dot" w:pos="9016"/>
        </w:tabs>
        <w:rPr>
          <w:rFonts w:asciiTheme="minorHAnsi" w:eastAsiaTheme="minorEastAsia" w:hAnsiTheme="minorHAnsi" w:cstheme="minorBidi"/>
          <w:noProof/>
          <w:sz w:val="22"/>
          <w:lang w:val="en-US"/>
        </w:rPr>
      </w:pPr>
      <w:hyperlink w:anchor="_Toc61894857" w:history="1">
        <w:r w:rsidR="00D45ED1" w:rsidRPr="00F746A2">
          <w:rPr>
            <w:rStyle w:val="Hyperlink"/>
            <w:bCs/>
            <w:noProof/>
            <w:lang w:eastAsia="zh-CN" w:bidi="hi-IN"/>
          </w:rPr>
          <w:t>7.8.1.1</w:t>
        </w:r>
        <w:r w:rsidR="00D45ED1" w:rsidRPr="00F746A2">
          <w:rPr>
            <w:rStyle w:val="Hyperlink"/>
            <w:noProof/>
            <w:lang w:eastAsia="zh-CN" w:bidi="hi-IN"/>
          </w:rPr>
          <w:t xml:space="preserve"> Limitation of Sample Size</w:t>
        </w:r>
        <w:r w:rsidR="00D45ED1">
          <w:rPr>
            <w:noProof/>
            <w:webHidden/>
          </w:rPr>
          <w:tab/>
        </w:r>
        <w:r w:rsidR="00D45ED1">
          <w:rPr>
            <w:noProof/>
            <w:webHidden/>
          </w:rPr>
          <w:fldChar w:fldCharType="begin"/>
        </w:r>
        <w:r w:rsidR="00D45ED1">
          <w:rPr>
            <w:noProof/>
            <w:webHidden/>
          </w:rPr>
          <w:instrText xml:space="preserve"> PAGEREF _Toc61894857 \h </w:instrText>
        </w:r>
        <w:r w:rsidR="00D45ED1">
          <w:rPr>
            <w:noProof/>
            <w:webHidden/>
          </w:rPr>
        </w:r>
        <w:r w:rsidR="00D45ED1">
          <w:rPr>
            <w:noProof/>
            <w:webHidden/>
          </w:rPr>
          <w:fldChar w:fldCharType="separate"/>
        </w:r>
        <w:r w:rsidR="00513D91">
          <w:rPr>
            <w:noProof/>
            <w:webHidden/>
          </w:rPr>
          <w:t>222</w:t>
        </w:r>
        <w:r w:rsidR="00D45ED1">
          <w:rPr>
            <w:noProof/>
            <w:webHidden/>
          </w:rPr>
          <w:fldChar w:fldCharType="end"/>
        </w:r>
      </w:hyperlink>
    </w:p>
    <w:p w14:paraId="52947A34" w14:textId="74DBBE84" w:rsidR="00D45ED1" w:rsidRDefault="00724BEE">
      <w:pPr>
        <w:pStyle w:val="TOC3"/>
        <w:tabs>
          <w:tab w:val="right" w:leader="dot" w:pos="9016"/>
        </w:tabs>
        <w:rPr>
          <w:rFonts w:asciiTheme="minorHAnsi" w:eastAsiaTheme="minorEastAsia" w:hAnsiTheme="minorHAnsi" w:cstheme="minorBidi"/>
          <w:noProof/>
          <w:sz w:val="22"/>
          <w:lang w:val="en-US"/>
        </w:rPr>
      </w:pPr>
      <w:hyperlink w:anchor="_Toc61894858" w:history="1">
        <w:r w:rsidR="00D45ED1" w:rsidRPr="00F746A2">
          <w:rPr>
            <w:rStyle w:val="Hyperlink"/>
            <w:bCs/>
            <w:noProof/>
            <w:lang w:eastAsia="zh-CN" w:bidi="hi-IN"/>
            <w14:scene3d>
              <w14:camera w14:prst="orthographicFront"/>
              <w14:lightRig w14:rig="threePt" w14:dir="t">
                <w14:rot w14:lat="0" w14:lon="0" w14:rev="0"/>
              </w14:lightRig>
            </w14:scene3d>
          </w:rPr>
          <w:t>7.8.2</w:t>
        </w:r>
        <w:r w:rsidR="00D45ED1" w:rsidRPr="00F746A2">
          <w:rPr>
            <w:rStyle w:val="Hyperlink"/>
            <w:noProof/>
            <w:lang w:eastAsia="zh-CN" w:bidi="hi-IN"/>
          </w:rPr>
          <w:t xml:space="preserve"> Limitations for the Researcher and Recommendations</w:t>
        </w:r>
        <w:r w:rsidR="00D45ED1">
          <w:rPr>
            <w:noProof/>
            <w:webHidden/>
          </w:rPr>
          <w:tab/>
        </w:r>
        <w:r w:rsidR="00D45ED1">
          <w:rPr>
            <w:noProof/>
            <w:webHidden/>
          </w:rPr>
          <w:fldChar w:fldCharType="begin"/>
        </w:r>
        <w:r w:rsidR="00D45ED1">
          <w:rPr>
            <w:noProof/>
            <w:webHidden/>
          </w:rPr>
          <w:instrText xml:space="preserve"> PAGEREF _Toc61894858 \h </w:instrText>
        </w:r>
        <w:r w:rsidR="00D45ED1">
          <w:rPr>
            <w:noProof/>
            <w:webHidden/>
          </w:rPr>
        </w:r>
        <w:r w:rsidR="00D45ED1">
          <w:rPr>
            <w:noProof/>
            <w:webHidden/>
          </w:rPr>
          <w:fldChar w:fldCharType="separate"/>
        </w:r>
        <w:r w:rsidR="00513D91">
          <w:rPr>
            <w:noProof/>
            <w:webHidden/>
          </w:rPr>
          <w:t>222</w:t>
        </w:r>
        <w:r w:rsidR="00D45ED1">
          <w:rPr>
            <w:noProof/>
            <w:webHidden/>
          </w:rPr>
          <w:fldChar w:fldCharType="end"/>
        </w:r>
      </w:hyperlink>
    </w:p>
    <w:p w14:paraId="2520EEDD" w14:textId="1D3DC13E"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59" w:history="1">
        <w:r w:rsidR="00D45ED1" w:rsidRPr="00F746A2">
          <w:rPr>
            <w:rStyle w:val="Hyperlink"/>
            <w:noProof/>
            <w:lang w:eastAsia="zh-CN" w:bidi="hi-IN"/>
          </w:rPr>
          <w:t>7.9 Future Research Agenda</w:t>
        </w:r>
        <w:r w:rsidR="00D45ED1">
          <w:rPr>
            <w:noProof/>
            <w:webHidden/>
          </w:rPr>
          <w:tab/>
        </w:r>
        <w:r w:rsidR="00D45ED1">
          <w:rPr>
            <w:noProof/>
            <w:webHidden/>
          </w:rPr>
          <w:fldChar w:fldCharType="begin"/>
        </w:r>
        <w:r w:rsidR="00D45ED1">
          <w:rPr>
            <w:noProof/>
            <w:webHidden/>
          </w:rPr>
          <w:instrText xml:space="preserve"> PAGEREF _Toc61894859 \h </w:instrText>
        </w:r>
        <w:r w:rsidR="00D45ED1">
          <w:rPr>
            <w:noProof/>
            <w:webHidden/>
          </w:rPr>
        </w:r>
        <w:r w:rsidR="00D45ED1">
          <w:rPr>
            <w:noProof/>
            <w:webHidden/>
          </w:rPr>
          <w:fldChar w:fldCharType="separate"/>
        </w:r>
        <w:r w:rsidR="00513D91">
          <w:rPr>
            <w:noProof/>
            <w:webHidden/>
          </w:rPr>
          <w:t>223</w:t>
        </w:r>
        <w:r w:rsidR="00D45ED1">
          <w:rPr>
            <w:noProof/>
            <w:webHidden/>
          </w:rPr>
          <w:fldChar w:fldCharType="end"/>
        </w:r>
      </w:hyperlink>
    </w:p>
    <w:p w14:paraId="7B78632E" w14:textId="5961570B" w:rsidR="00D45ED1" w:rsidRDefault="00724BEE">
      <w:pPr>
        <w:pStyle w:val="TOC2"/>
        <w:tabs>
          <w:tab w:val="right" w:leader="dot" w:pos="9016"/>
        </w:tabs>
        <w:rPr>
          <w:rFonts w:asciiTheme="minorHAnsi" w:eastAsiaTheme="minorEastAsia" w:hAnsiTheme="minorHAnsi" w:cstheme="minorBidi"/>
          <w:noProof/>
          <w:sz w:val="22"/>
          <w:lang w:val="en-US"/>
        </w:rPr>
      </w:pPr>
      <w:hyperlink w:anchor="_Toc61894860" w:history="1">
        <w:r w:rsidR="00D45ED1" w:rsidRPr="00F746A2">
          <w:rPr>
            <w:rStyle w:val="Hyperlink"/>
            <w:noProof/>
            <w:lang w:eastAsia="zh-CN" w:bidi="hi-IN"/>
          </w:rPr>
          <w:t>7.10 Summary of Conclusions</w:t>
        </w:r>
        <w:r w:rsidR="00D45ED1">
          <w:rPr>
            <w:noProof/>
            <w:webHidden/>
          </w:rPr>
          <w:tab/>
        </w:r>
        <w:r w:rsidR="00D45ED1">
          <w:rPr>
            <w:noProof/>
            <w:webHidden/>
          </w:rPr>
          <w:fldChar w:fldCharType="begin"/>
        </w:r>
        <w:r w:rsidR="00D45ED1">
          <w:rPr>
            <w:noProof/>
            <w:webHidden/>
          </w:rPr>
          <w:instrText xml:space="preserve"> PAGEREF _Toc61894860 \h </w:instrText>
        </w:r>
        <w:r w:rsidR="00D45ED1">
          <w:rPr>
            <w:noProof/>
            <w:webHidden/>
          </w:rPr>
        </w:r>
        <w:r w:rsidR="00D45ED1">
          <w:rPr>
            <w:noProof/>
            <w:webHidden/>
          </w:rPr>
          <w:fldChar w:fldCharType="separate"/>
        </w:r>
        <w:r w:rsidR="00513D91">
          <w:rPr>
            <w:noProof/>
            <w:webHidden/>
          </w:rPr>
          <w:t>224</w:t>
        </w:r>
        <w:r w:rsidR="00D45ED1">
          <w:rPr>
            <w:noProof/>
            <w:webHidden/>
          </w:rPr>
          <w:fldChar w:fldCharType="end"/>
        </w:r>
      </w:hyperlink>
    </w:p>
    <w:p w14:paraId="5481E62D" w14:textId="7BDF1BA4" w:rsidR="00D45ED1" w:rsidRDefault="00724BEE">
      <w:pPr>
        <w:pStyle w:val="TOC1"/>
        <w:rPr>
          <w:rFonts w:asciiTheme="minorHAnsi" w:eastAsiaTheme="minorEastAsia" w:hAnsiTheme="minorHAnsi" w:cstheme="minorBidi"/>
          <w:noProof/>
          <w:sz w:val="22"/>
          <w:lang w:val="en-US"/>
        </w:rPr>
      </w:pPr>
      <w:hyperlink w:anchor="_Toc61894861" w:history="1">
        <w:r w:rsidR="00D45ED1" w:rsidRPr="00F746A2">
          <w:rPr>
            <w:rStyle w:val="Hyperlink"/>
            <w:noProof/>
            <w:lang w:eastAsia="zh-CN" w:bidi="hi-IN"/>
          </w:rPr>
          <w:t>References</w:t>
        </w:r>
        <w:r w:rsidR="00D45ED1">
          <w:rPr>
            <w:noProof/>
            <w:webHidden/>
          </w:rPr>
          <w:tab/>
        </w:r>
        <w:r w:rsidR="00D45ED1">
          <w:rPr>
            <w:noProof/>
            <w:webHidden/>
          </w:rPr>
          <w:fldChar w:fldCharType="begin"/>
        </w:r>
        <w:r w:rsidR="00D45ED1">
          <w:rPr>
            <w:noProof/>
            <w:webHidden/>
          </w:rPr>
          <w:instrText xml:space="preserve"> PAGEREF _Toc61894861 \h </w:instrText>
        </w:r>
        <w:r w:rsidR="00D45ED1">
          <w:rPr>
            <w:noProof/>
            <w:webHidden/>
          </w:rPr>
        </w:r>
        <w:r w:rsidR="00D45ED1">
          <w:rPr>
            <w:noProof/>
            <w:webHidden/>
          </w:rPr>
          <w:fldChar w:fldCharType="separate"/>
        </w:r>
        <w:r w:rsidR="00513D91">
          <w:rPr>
            <w:noProof/>
            <w:webHidden/>
          </w:rPr>
          <w:t>226</w:t>
        </w:r>
        <w:r w:rsidR="00D45ED1">
          <w:rPr>
            <w:noProof/>
            <w:webHidden/>
          </w:rPr>
          <w:fldChar w:fldCharType="end"/>
        </w:r>
      </w:hyperlink>
    </w:p>
    <w:p w14:paraId="16683FF7" w14:textId="54B9A867" w:rsidR="00D45ED1" w:rsidRDefault="00724BEE">
      <w:pPr>
        <w:pStyle w:val="TOC1"/>
        <w:rPr>
          <w:rFonts w:asciiTheme="minorHAnsi" w:eastAsiaTheme="minorEastAsia" w:hAnsiTheme="minorHAnsi" w:cstheme="minorBidi"/>
          <w:noProof/>
          <w:sz w:val="22"/>
          <w:lang w:val="en-US"/>
        </w:rPr>
      </w:pPr>
      <w:hyperlink w:anchor="_Toc61894862" w:history="1">
        <w:r w:rsidR="00D45ED1" w:rsidRPr="00F746A2">
          <w:rPr>
            <w:rStyle w:val="Hyperlink"/>
            <w:noProof/>
          </w:rPr>
          <w:t>Appendices</w:t>
        </w:r>
        <w:r w:rsidR="00D45ED1">
          <w:rPr>
            <w:noProof/>
            <w:webHidden/>
          </w:rPr>
          <w:tab/>
        </w:r>
        <w:r w:rsidR="00D45ED1">
          <w:rPr>
            <w:noProof/>
            <w:webHidden/>
          </w:rPr>
          <w:fldChar w:fldCharType="begin"/>
        </w:r>
        <w:r w:rsidR="00D45ED1">
          <w:rPr>
            <w:noProof/>
            <w:webHidden/>
          </w:rPr>
          <w:instrText xml:space="preserve"> PAGEREF _Toc61894862 \h </w:instrText>
        </w:r>
        <w:r w:rsidR="00D45ED1">
          <w:rPr>
            <w:noProof/>
            <w:webHidden/>
          </w:rPr>
        </w:r>
        <w:r w:rsidR="00D45ED1">
          <w:rPr>
            <w:noProof/>
            <w:webHidden/>
          </w:rPr>
          <w:fldChar w:fldCharType="separate"/>
        </w:r>
        <w:r w:rsidR="00513D91">
          <w:rPr>
            <w:noProof/>
            <w:webHidden/>
          </w:rPr>
          <w:t>242</w:t>
        </w:r>
        <w:r w:rsidR="00D45ED1">
          <w:rPr>
            <w:noProof/>
            <w:webHidden/>
          </w:rPr>
          <w:fldChar w:fldCharType="end"/>
        </w:r>
      </w:hyperlink>
    </w:p>
    <w:p w14:paraId="2E23D500" w14:textId="386AA49F" w:rsidR="002C636F" w:rsidRPr="00400193" w:rsidRDefault="002C636F" w:rsidP="00A45F81">
      <w:pPr>
        <w:spacing w:line="240" w:lineRule="auto"/>
      </w:pPr>
      <w:r w:rsidRPr="00400193">
        <w:fldChar w:fldCharType="end"/>
      </w:r>
    </w:p>
    <w:p w14:paraId="6D8E5D03" w14:textId="77777777" w:rsidR="002C636F" w:rsidRPr="00400193" w:rsidRDefault="002C636F" w:rsidP="00A45F81">
      <w:pPr>
        <w:spacing w:line="240" w:lineRule="auto"/>
      </w:pPr>
    </w:p>
    <w:p w14:paraId="798E1EAD" w14:textId="71061063" w:rsidR="00014366" w:rsidRPr="00400193" w:rsidRDefault="002C636F" w:rsidP="002C636F">
      <w:pPr>
        <w:pStyle w:val="Heading1"/>
        <w:numPr>
          <w:ilvl w:val="0"/>
          <w:numId w:val="0"/>
        </w:numPr>
        <w:jc w:val="both"/>
        <w:rPr>
          <w:noProof/>
        </w:rPr>
      </w:pPr>
      <w:bookmarkStart w:id="9" w:name="_Toc61894633"/>
      <w:r w:rsidRPr="00400193">
        <w:t>List of Appendices</w:t>
      </w:r>
      <w:bookmarkEnd w:id="9"/>
      <w:r w:rsidR="00A45F81" w:rsidRPr="00400193">
        <w:fldChar w:fldCharType="begin"/>
      </w:r>
      <w:r w:rsidR="00A45F81" w:rsidRPr="00400193">
        <w:instrText xml:space="preserve"> TOC \h \z \c "Appendix" </w:instrText>
      </w:r>
      <w:r w:rsidR="00A45F81" w:rsidRPr="00400193">
        <w:fldChar w:fldCharType="separate"/>
      </w:r>
    </w:p>
    <w:p w14:paraId="5C3BCDCE" w14:textId="2B46278F" w:rsidR="00014366"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0645169" w:history="1">
        <w:r w:rsidR="00014366" w:rsidRPr="00400193">
          <w:rPr>
            <w:rStyle w:val="Hyperlink"/>
            <w:noProof/>
            <w:color w:val="auto"/>
          </w:rPr>
          <w:t>Appendix 1: The Introduction to ISO/IEC 27032:2012</w:t>
        </w:r>
        <w:r w:rsidR="00014366" w:rsidRPr="00400193">
          <w:rPr>
            <w:noProof/>
            <w:webHidden/>
          </w:rPr>
          <w:tab/>
        </w:r>
        <w:r w:rsidR="00014366" w:rsidRPr="00400193">
          <w:rPr>
            <w:noProof/>
            <w:webHidden/>
          </w:rPr>
          <w:fldChar w:fldCharType="begin"/>
        </w:r>
        <w:r w:rsidR="00014366" w:rsidRPr="00400193">
          <w:rPr>
            <w:noProof/>
            <w:webHidden/>
          </w:rPr>
          <w:instrText xml:space="preserve"> PAGEREF _Toc50645169 \h </w:instrText>
        </w:r>
        <w:r w:rsidR="00014366" w:rsidRPr="00400193">
          <w:rPr>
            <w:noProof/>
            <w:webHidden/>
          </w:rPr>
        </w:r>
        <w:r w:rsidR="00014366" w:rsidRPr="00400193">
          <w:rPr>
            <w:noProof/>
            <w:webHidden/>
          </w:rPr>
          <w:fldChar w:fldCharType="separate"/>
        </w:r>
        <w:r w:rsidR="00BB7C18">
          <w:rPr>
            <w:noProof/>
            <w:webHidden/>
          </w:rPr>
          <w:t>242</w:t>
        </w:r>
        <w:r w:rsidR="00014366" w:rsidRPr="00400193">
          <w:rPr>
            <w:noProof/>
            <w:webHidden/>
          </w:rPr>
          <w:fldChar w:fldCharType="end"/>
        </w:r>
      </w:hyperlink>
    </w:p>
    <w:p w14:paraId="7D533485" w14:textId="69D7CEC3" w:rsidR="00014366"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0645170" w:history="1">
        <w:r w:rsidR="00014366" w:rsidRPr="00400193">
          <w:rPr>
            <w:rStyle w:val="Hyperlink"/>
            <w:noProof/>
            <w:color w:val="auto"/>
          </w:rPr>
          <w:t>Appendix 2: The relevant ISO/IEC 27k standards</w:t>
        </w:r>
        <w:r w:rsidR="00014366" w:rsidRPr="00400193">
          <w:rPr>
            <w:noProof/>
            <w:webHidden/>
          </w:rPr>
          <w:tab/>
        </w:r>
        <w:r w:rsidR="00014366" w:rsidRPr="00400193">
          <w:rPr>
            <w:noProof/>
            <w:webHidden/>
          </w:rPr>
          <w:fldChar w:fldCharType="begin"/>
        </w:r>
        <w:r w:rsidR="00014366" w:rsidRPr="00400193">
          <w:rPr>
            <w:noProof/>
            <w:webHidden/>
          </w:rPr>
          <w:instrText xml:space="preserve"> PAGEREF _Toc50645170 \h </w:instrText>
        </w:r>
        <w:r w:rsidR="00014366" w:rsidRPr="00400193">
          <w:rPr>
            <w:noProof/>
            <w:webHidden/>
          </w:rPr>
        </w:r>
        <w:r w:rsidR="00014366" w:rsidRPr="00400193">
          <w:rPr>
            <w:noProof/>
            <w:webHidden/>
          </w:rPr>
          <w:fldChar w:fldCharType="separate"/>
        </w:r>
        <w:r w:rsidR="00BB7C18">
          <w:rPr>
            <w:noProof/>
            <w:webHidden/>
          </w:rPr>
          <w:t>244</w:t>
        </w:r>
        <w:r w:rsidR="00014366" w:rsidRPr="00400193">
          <w:rPr>
            <w:noProof/>
            <w:webHidden/>
          </w:rPr>
          <w:fldChar w:fldCharType="end"/>
        </w:r>
      </w:hyperlink>
    </w:p>
    <w:p w14:paraId="7C12C69A" w14:textId="59CA140D" w:rsidR="00014366"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0645171" w:history="1">
        <w:r w:rsidR="00014366" w:rsidRPr="00400193">
          <w:rPr>
            <w:rStyle w:val="Hyperlink"/>
            <w:noProof/>
            <w:color w:val="auto"/>
          </w:rPr>
          <w:t>Appendix 3: Sample of Questionnaire</w:t>
        </w:r>
        <w:r w:rsidR="00014366" w:rsidRPr="00400193">
          <w:rPr>
            <w:noProof/>
            <w:webHidden/>
          </w:rPr>
          <w:tab/>
        </w:r>
        <w:r w:rsidR="00014366" w:rsidRPr="00400193">
          <w:rPr>
            <w:noProof/>
            <w:webHidden/>
          </w:rPr>
          <w:fldChar w:fldCharType="begin"/>
        </w:r>
        <w:r w:rsidR="00014366" w:rsidRPr="00400193">
          <w:rPr>
            <w:noProof/>
            <w:webHidden/>
          </w:rPr>
          <w:instrText xml:space="preserve"> PAGEREF _Toc50645171 \h </w:instrText>
        </w:r>
        <w:r w:rsidR="00014366" w:rsidRPr="00400193">
          <w:rPr>
            <w:noProof/>
            <w:webHidden/>
          </w:rPr>
        </w:r>
        <w:r w:rsidR="00014366" w:rsidRPr="00400193">
          <w:rPr>
            <w:noProof/>
            <w:webHidden/>
          </w:rPr>
          <w:fldChar w:fldCharType="separate"/>
        </w:r>
        <w:r w:rsidR="00BB7C18">
          <w:rPr>
            <w:noProof/>
            <w:webHidden/>
          </w:rPr>
          <w:t>245</w:t>
        </w:r>
        <w:r w:rsidR="00014366" w:rsidRPr="00400193">
          <w:rPr>
            <w:noProof/>
            <w:webHidden/>
          </w:rPr>
          <w:fldChar w:fldCharType="end"/>
        </w:r>
      </w:hyperlink>
    </w:p>
    <w:p w14:paraId="7759FE8C" w14:textId="404EDDEE" w:rsidR="00014366"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0645172" w:history="1">
        <w:r w:rsidR="00014366" w:rsidRPr="00400193">
          <w:rPr>
            <w:rStyle w:val="Hyperlink"/>
            <w:noProof/>
            <w:color w:val="auto"/>
          </w:rPr>
          <w:t>Appendix 4: Tables of descriptive statistics from the dataset</w:t>
        </w:r>
        <w:r w:rsidR="00014366" w:rsidRPr="00400193">
          <w:rPr>
            <w:noProof/>
            <w:webHidden/>
          </w:rPr>
          <w:tab/>
        </w:r>
        <w:r w:rsidR="00014366" w:rsidRPr="00400193">
          <w:rPr>
            <w:noProof/>
            <w:webHidden/>
          </w:rPr>
          <w:fldChar w:fldCharType="begin"/>
        </w:r>
        <w:r w:rsidR="00014366" w:rsidRPr="00400193">
          <w:rPr>
            <w:noProof/>
            <w:webHidden/>
          </w:rPr>
          <w:instrText xml:space="preserve"> PAGEREF _Toc50645172 \h </w:instrText>
        </w:r>
        <w:r w:rsidR="00014366" w:rsidRPr="00400193">
          <w:rPr>
            <w:noProof/>
            <w:webHidden/>
          </w:rPr>
        </w:r>
        <w:r w:rsidR="00014366" w:rsidRPr="00400193">
          <w:rPr>
            <w:noProof/>
            <w:webHidden/>
          </w:rPr>
          <w:fldChar w:fldCharType="separate"/>
        </w:r>
        <w:r w:rsidR="00BB7C18">
          <w:rPr>
            <w:noProof/>
            <w:webHidden/>
          </w:rPr>
          <w:t>257</w:t>
        </w:r>
        <w:r w:rsidR="00014366" w:rsidRPr="00400193">
          <w:rPr>
            <w:noProof/>
            <w:webHidden/>
          </w:rPr>
          <w:fldChar w:fldCharType="end"/>
        </w:r>
      </w:hyperlink>
    </w:p>
    <w:p w14:paraId="23F96EC3" w14:textId="5C255B74" w:rsidR="006E3616" w:rsidRPr="00400193" w:rsidRDefault="00A45F81" w:rsidP="00A45F81">
      <w:pPr>
        <w:spacing w:line="240" w:lineRule="auto"/>
      </w:pPr>
      <w:r w:rsidRPr="00400193">
        <w:fldChar w:fldCharType="end"/>
      </w:r>
    </w:p>
    <w:p w14:paraId="5D1E50E1" w14:textId="77777777" w:rsidR="00025126" w:rsidRPr="00400193" w:rsidRDefault="00025126">
      <w:pPr>
        <w:spacing w:line="259" w:lineRule="auto"/>
        <w:jc w:val="left"/>
        <w:rPr>
          <w:rFonts w:eastAsia="Times New Roman"/>
          <w:b/>
          <w:sz w:val="32"/>
          <w:szCs w:val="32"/>
        </w:rPr>
      </w:pPr>
      <w:r w:rsidRPr="00400193">
        <w:br w:type="page"/>
      </w:r>
    </w:p>
    <w:p w14:paraId="331AFBA4" w14:textId="5902D7D1" w:rsidR="006E3616" w:rsidRPr="00400193" w:rsidRDefault="006E3616" w:rsidP="002C636F">
      <w:pPr>
        <w:pStyle w:val="Heading1"/>
        <w:numPr>
          <w:ilvl w:val="0"/>
          <w:numId w:val="0"/>
        </w:numPr>
        <w:jc w:val="both"/>
      </w:pPr>
      <w:bookmarkStart w:id="10" w:name="_Toc61894634"/>
      <w:r w:rsidRPr="00400193">
        <w:lastRenderedPageBreak/>
        <w:t>List of Figures</w:t>
      </w:r>
      <w:bookmarkEnd w:id="10"/>
    </w:p>
    <w:p w14:paraId="07E79630" w14:textId="49705420" w:rsidR="00DC08A1" w:rsidRPr="00400193" w:rsidRDefault="006E3616">
      <w:pPr>
        <w:pStyle w:val="TableofFigures"/>
        <w:tabs>
          <w:tab w:val="right" w:leader="dot" w:pos="9016"/>
        </w:tabs>
        <w:rPr>
          <w:rFonts w:asciiTheme="minorHAnsi" w:eastAsiaTheme="minorEastAsia" w:hAnsiTheme="minorHAnsi" w:cstheme="minorBidi"/>
          <w:noProof/>
          <w:sz w:val="22"/>
          <w:lang w:eastAsia="en-GB"/>
        </w:rPr>
      </w:pPr>
      <w:r w:rsidRPr="00400193">
        <w:fldChar w:fldCharType="begin"/>
      </w:r>
      <w:r w:rsidRPr="00400193">
        <w:instrText xml:space="preserve"> TOC \h \z \c "Figure" </w:instrText>
      </w:r>
      <w:r w:rsidRPr="00400193">
        <w:fldChar w:fldCharType="separate"/>
      </w:r>
      <w:hyperlink w:anchor="_Toc55387551" w:history="1">
        <w:r w:rsidR="00DC08A1" w:rsidRPr="00400193">
          <w:rPr>
            <w:rStyle w:val="Hyperlink"/>
            <w:noProof/>
            <w:color w:val="auto"/>
          </w:rPr>
          <w:t>Figure 1</w:t>
        </w:r>
        <w:r w:rsidR="00DC08A1" w:rsidRPr="00400193">
          <w:rPr>
            <w:rStyle w:val="Hyperlink"/>
            <w:noProof/>
            <w:color w:val="auto"/>
          </w:rPr>
          <w:noBreakHyphen/>
          <w:t>1: The five pillars of “the UAE National Cybersecurity Strategy” (TRA, 2020).</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_Toc55387551 \h </w:instrText>
        </w:r>
        <w:r w:rsidR="00DC08A1" w:rsidRPr="00400193">
          <w:rPr>
            <w:noProof/>
            <w:webHidden/>
          </w:rPr>
        </w:r>
        <w:r w:rsidR="00DC08A1" w:rsidRPr="00400193">
          <w:rPr>
            <w:noProof/>
            <w:webHidden/>
          </w:rPr>
          <w:fldChar w:fldCharType="separate"/>
        </w:r>
        <w:r w:rsidR="00BB7C18">
          <w:rPr>
            <w:noProof/>
            <w:webHidden/>
          </w:rPr>
          <w:t>3</w:t>
        </w:r>
        <w:r w:rsidR="00DC08A1" w:rsidRPr="00400193">
          <w:rPr>
            <w:noProof/>
            <w:webHidden/>
          </w:rPr>
          <w:fldChar w:fldCharType="end"/>
        </w:r>
      </w:hyperlink>
    </w:p>
    <w:p w14:paraId="5A795859" w14:textId="5571A6EA"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2" w:history="1">
        <w:r w:rsidR="00DC08A1" w:rsidRPr="00400193">
          <w:rPr>
            <w:rStyle w:val="Hyperlink"/>
            <w:noProof/>
            <w:color w:val="auto"/>
          </w:rPr>
          <w:t>Figure 2</w:t>
        </w:r>
        <w:r w:rsidR="00DC08A1" w:rsidRPr="00400193">
          <w:rPr>
            <w:rStyle w:val="Hyperlink"/>
            <w:noProof/>
            <w:color w:val="auto"/>
          </w:rPr>
          <w:noBreakHyphen/>
          <w:t>1: Different reactions to attack define the level of resilience. Source: adapted from Renn (2013)</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_Toc55387552 \h </w:instrText>
        </w:r>
        <w:r w:rsidR="00DC08A1" w:rsidRPr="00400193">
          <w:rPr>
            <w:noProof/>
            <w:webHidden/>
          </w:rPr>
        </w:r>
        <w:r w:rsidR="00DC08A1" w:rsidRPr="00400193">
          <w:rPr>
            <w:noProof/>
            <w:webHidden/>
          </w:rPr>
          <w:fldChar w:fldCharType="separate"/>
        </w:r>
        <w:r w:rsidR="00BB7C18">
          <w:rPr>
            <w:noProof/>
            <w:webHidden/>
          </w:rPr>
          <w:t>17</w:t>
        </w:r>
        <w:r w:rsidR="00DC08A1" w:rsidRPr="00400193">
          <w:rPr>
            <w:noProof/>
            <w:webHidden/>
          </w:rPr>
          <w:fldChar w:fldCharType="end"/>
        </w:r>
      </w:hyperlink>
    </w:p>
    <w:p w14:paraId="7C3F2EE9" w14:textId="71A19CEA"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3" w:history="1">
        <w:r w:rsidR="00DC08A1" w:rsidRPr="00400193">
          <w:rPr>
            <w:rStyle w:val="Hyperlink"/>
            <w:noProof/>
            <w:color w:val="auto"/>
          </w:rPr>
          <w:t>Figure 2</w:t>
        </w:r>
        <w:r w:rsidR="00DC08A1" w:rsidRPr="00400193">
          <w:rPr>
            <w:rStyle w:val="Hyperlink"/>
            <w:noProof/>
            <w:color w:val="auto"/>
          </w:rPr>
          <w:noBreakHyphen/>
          <w:t>2: Lockheed Martin's Cyber Kill Chain</w:t>
        </w:r>
        <w:r w:rsidR="00DC08A1" w:rsidRPr="00400193">
          <w:rPr>
            <w:rStyle w:val="Hyperlink"/>
            <w:noProof/>
            <w:color w:val="auto"/>
            <w:vertAlign w:val="superscript"/>
          </w:rPr>
          <w:t>®</w:t>
        </w:r>
        <w:r w:rsidR="00DC08A1" w:rsidRPr="00400193">
          <w:rPr>
            <w:rStyle w:val="Hyperlink"/>
            <w:noProof/>
            <w:color w:val="auto"/>
          </w:rPr>
          <w:t>. Source: adapted from Hutchins, Cloppert and Amin (2011, p. 9)</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_Toc55387553 \h </w:instrText>
        </w:r>
        <w:r w:rsidR="00DC08A1" w:rsidRPr="00400193">
          <w:rPr>
            <w:noProof/>
            <w:webHidden/>
          </w:rPr>
        </w:r>
        <w:r w:rsidR="00DC08A1" w:rsidRPr="00400193">
          <w:rPr>
            <w:noProof/>
            <w:webHidden/>
          </w:rPr>
          <w:fldChar w:fldCharType="separate"/>
        </w:r>
        <w:r w:rsidR="00BB7C18">
          <w:rPr>
            <w:noProof/>
            <w:webHidden/>
          </w:rPr>
          <w:t>19</w:t>
        </w:r>
        <w:r w:rsidR="00DC08A1" w:rsidRPr="00400193">
          <w:rPr>
            <w:noProof/>
            <w:webHidden/>
          </w:rPr>
          <w:fldChar w:fldCharType="end"/>
        </w:r>
      </w:hyperlink>
    </w:p>
    <w:p w14:paraId="1EF7A605" w14:textId="068E7B7E"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4" w:history="1">
        <w:r w:rsidR="00DC08A1" w:rsidRPr="00400193">
          <w:rPr>
            <w:rStyle w:val="Hyperlink"/>
            <w:noProof/>
            <w:color w:val="auto"/>
          </w:rPr>
          <w:t>Figure 2</w:t>
        </w:r>
        <w:r w:rsidR="00DC08A1" w:rsidRPr="00400193">
          <w:rPr>
            <w:rStyle w:val="Hyperlink"/>
            <w:noProof/>
            <w:color w:val="auto"/>
          </w:rPr>
          <w:noBreakHyphen/>
          <w:t>3: GCHQ's Simplified Process. Source: adapted from GCHQ (2015)</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_Toc55387554 \h </w:instrText>
        </w:r>
        <w:r w:rsidR="00DC08A1" w:rsidRPr="00400193">
          <w:rPr>
            <w:noProof/>
            <w:webHidden/>
          </w:rPr>
        </w:r>
        <w:r w:rsidR="00DC08A1" w:rsidRPr="00400193">
          <w:rPr>
            <w:noProof/>
            <w:webHidden/>
          </w:rPr>
          <w:fldChar w:fldCharType="separate"/>
        </w:r>
        <w:r w:rsidR="00BB7C18">
          <w:rPr>
            <w:noProof/>
            <w:webHidden/>
          </w:rPr>
          <w:t>19</w:t>
        </w:r>
        <w:r w:rsidR="00DC08A1" w:rsidRPr="00400193">
          <w:rPr>
            <w:noProof/>
            <w:webHidden/>
          </w:rPr>
          <w:fldChar w:fldCharType="end"/>
        </w:r>
      </w:hyperlink>
    </w:p>
    <w:p w14:paraId="1DA8CD95" w14:textId="4340E71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5" w:history="1">
        <w:r w:rsidR="00DC08A1" w:rsidRPr="00400193">
          <w:rPr>
            <w:rStyle w:val="Hyperlink"/>
            <w:noProof/>
            <w:color w:val="auto"/>
          </w:rPr>
          <w:t>Figure 2</w:t>
        </w:r>
        <w:r w:rsidR="00DC08A1" w:rsidRPr="00400193">
          <w:rPr>
            <w:rStyle w:val="Hyperlink"/>
            <w:noProof/>
            <w:color w:val="auto"/>
          </w:rPr>
          <w:noBreakHyphen/>
          <w:t>4: Frequency of successful cyber-attacks worldwide. Source: adapted from Imperva (2019)</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_Toc55387555 \h </w:instrText>
        </w:r>
        <w:r w:rsidR="00DC08A1" w:rsidRPr="00400193">
          <w:rPr>
            <w:noProof/>
            <w:webHidden/>
          </w:rPr>
        </w:r>
        <w:r w:rsidR="00DC08A1" w:rsidRPr="00400193">
          <w:rPr>
            <w:noProof/>
            <w:webHidden/>
          </w:rPr>
          <w:fldChar w:fldCharType="separate"/>
        </w:r>
        <w:r w:rsidR="00BB7C18">
          <w:rPr>
            <w:noProof/>
            <w:webHidden/>
          </w:rPr>
          <w:t>21</w:t>
        </w:r>
        <w:r w:rsidR="00DC08A1" w:rsidRPr="00400193">
          <w:rPr>
            <w:noProof/>
            <w:webHidden/>
          </w:rPr>
          <w:fldChar w:fldCharType="end"/>
        </w:r>
      </w:hyperlink>
    </w:p>
    <w:p w14:paraId="6FE396B5" w14:textId="4955831E"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6" w:history="1">
        <w:r w:rsidR="00DC08A1" w:rsidRPr="00400193">
          <w:rPr>
            <w:rStyle w:val="Hyperlink"/>
            <w:noProof/>
            <w:color w:val="auto"/>
          </w:rPr>
          <w:t>Figure 2</w:t>
        </w:r>
        <w:r w:rsidR="00DC08A1" w:rsidRPr="00400193">
          <w:rPr>
            <w:rStyle w:val="Hyperlink"/>
            <w:noProof/>
            <w:color w:val="auto"/>
          </w:rPr>
          <w:noBreakHyphen/>
          <w:t>5: Cyber-attacks by sector (USA), 2016. Source: data from Control Risks (2016)</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_Toc55387556 \h </w:instrText>
        </w:r>
        <w:r w:rsidR="00DC08A1" w:rsidRPr="00400193">
          <w:rPr>
            <w:noProof/>
            <w:webHidden/>
          </w:rPr>
        </w:r>
        <w:r w:rsidR="00DC08A1" w:rsidRPr="00400193">
          <w:rPr>
            <w:noProof/>
            <w:webHidden/>
          </w:rPr>
          <w:fldChar w:fldCharType="separate"/>
        </w:r>
        <w:r w:rsidR="00BB7C18">
          <w:rPr>
            <w:noProof/>
            <w:webHidden/>
          </w:rPr>
          <w:t>21</w:t>
        </w:r>
        <w:r w:rsidR="00DC08A1" w:rsidRPr="00400193">
          <w:rPr>
            <w:noProof/>
            <w:webHidden/>
          </w:rPr>
          <w:fldChar w:fldCharType="end"/>
        </w:r>
      </w:hyperlink>
    </w:p>
    <w:p w14:paraId="091985D5" w14:textId="77104F7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7" w:history="1">
        <w:r w:rsidR="00DC08A1" w:rsidRPr="00400193">
          <w:rPr>
            <w:rStyle w:val="Hyperlink"/>
            <w:noProof/>
            <w:color w:val="auto"/>
          </w:rPr>
          <w:t>Figure 2</w:t>
        </w:r>
        <w:r w:rsidR="00DC08A1" w:rsidRPr="00400193">
          <w:rPr>
            <w:rStyle w:val="Hyperlink"/>
            <w:noProof/>
            <w:color w:val="auto"/>
          </w:rPr>
          <w:noBreakHyphen/>
          <w:t>6: The concept of PaaS. Source: adapted from Li et al. (2013, p. 80)</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_Toc55387557 \h </w:instrText>
        </w:r>
        <w:r w:rsidR="00DC08A1" w:rsidRPr="00400193">
          <w:rPr>
            <w:noProof/>
            <w:webHidden/>
          </w:rPr>
        </w:r>
        <w:r w:rsidR="00DC08A1" w:rsidRPr="00400193">
          <w:rPr>
            <w:noProof/>
            <w:webHidden/>
          </w:rPr>
          <w:fldChar w:fldCharType="separate"/>
        </w:r>
        <w:r w:rsidR="00BB7C18">
          <w:rPr>
            <w:noProof/>
            <w:webHidden/>
          </w:rPr>
          <w:t>23</w:t>
        </w:r>
        <w:r w:rsidR="00DC08A1" w:rsidRPr="00400193">
          <w:rPr>
            <w:noProof/>
            <w:webHidden/>
          </w:rPr>
          <w:fldChar w:fldCharType="end"/>
        </w:r>
      </w:hyperlink>
    </w:p>
    <w:p w14:paraId="332FFB65" w14:textId="5A558E9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8" w:history="1">
        <w:r w:rsidR="00DC08A1" w:rsidRPr="00400193">
          <w:rPr>
            <w:rStyle w:val="Hyperlink"/>
            <w:noProof/>
            <w:color w:val="auto"/>
          </w:rPr>
          <w:t>Figure 2</w:t>
        </w:r>
        <w:r w:rsidR="00DC08A1" w:rsidRPr="00400193">
          <w:rPr>
            <w:rStyle w:val="Hyperlink"/>
            <w:noProof/>
            <w:color w:val="auto"/>
          </w:rPr>
          <w:noBreakHyphen/>
          <w:t>7: Cyber-risk framework. Source: adapted from World Economic Forum (2012, p. 13)</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_Toc55387558 \h </w:instrText>
        </w:r>
        <w:r w:rsidR="00DC08A1" w:rsidRPr="00400193">
          <w:rPr>
            <w:noProof/>
            <w:webHidden/>
          </w:rPr>
        </w:r>
        <w:r w:rsidR="00DC08A1" w:rsidRPr="00400193">
          <w:rPr>
            <w:noProof/>
            <w:webHidden/>
          </w:rPr>
          <w:fldChar w:fldCharType="separate"/>
        </w:r>
        <w:r w:rsidR="00BB7C18">
          <w:rPr>
            <w:noProof/>
            <w:webHidden/>
          </w:rPr>
          <w:t>25</w:t>
        </w:r>
        <w:r w:rsidR="00DC08A1" w:rsidRPr="00400193">
          <w:rPr>
            <w:noProof/>
            <w:webHidden/>
          </w:rPr>
          <w:fldChar w:fldCharType="end"/>
        </w:r>
      </w:hyperlink>
    </w:p>
    <w:p w14:paraId="52CC2250" w14:textId="5BC65E5D"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59" w:history="1">
        <w:r w:rsidR="00DC08A1" w:rsidRPr="00400193">
          <w:rPr>
            <w:rStyle w:val="Hyperlink"/>
            <w:noProof/>
            <w:color w:val="auto"/>
          </w:rPr>
          <w:t>Figure 2</w:t>
        </w:r>
        <w:r w:rsidR="00DC08A1" w:rsidRPr="00400193">
          <w:rPr>
            <w:rStyle w:val="Hyperlink"/>
            <w:noProof/>
            <w:color w:val="auto"/>
          </w:rPr>
          <w:noBreakHyphen/>
          <w:t>8: CRM framework and process based on BS ISO recommendations. Source: adapted from BSI/ISO (2016)</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_Toc55387559 \h </w:instrText>
        </w:r>
        <w:r w:rsidR="00DC08A1" w:rsidRPr="00400193">
          <w:rPr>
            <w:noProof/>
            <w:webHidden/>
          </w:rPr>
        </w:r>
        <w:r w:rsidR="00DC08A1" w:rsidRPr="00400193">
          <w:rPr>
            <w:noProof/>
            <w:webHidden/>
          </w:rPr>
          <w:fldChar w:fldCharType="separate"/>
        </w:r>
        <w:r w:rsidR="00BB7C18">
          <w:rPr>
            <w:noProof/>
            <w:webHidden/>
          </w:rPr>
          <w:t>25</w:t>
        </w:r>
        <w:r w:rsidR="00DC08A1" w:rsidRPr="00400193">
          <w:rPr>
            <w:noProof/>
            <w:webHidden/>
          </w:rPr>
          <w:fldChar w:fldCharType="end"/>
        </w:r>
      </w:hyperlink>
    </w:p>
    <w:p w14:paraId="7C4D41FB" w14:textId="1251797F"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0" w:history="1">
        <w:r w:rsidR="00DC08A1" w:rsidRPr="00400193">
          <w:rPr>
            <w:rStyle w:val="Hyperlink"/>
            <w:noProof/>
            <w:color w:val="auto"/>
          </w:rPr>
          <w:t>Figure 2</w:t>
        </w:r>
        <w:r w:rsidR="00DC08A1" w:rsidRPr="00400193">
          <w:rPr>
            <w:rStyle w:val="Hyperlink"/>
            <w:noProof/>
            <w:color w:val="auto"/>
          </w:rPr>
          <w:noBreakHyphen/>
          <w:t>9: A simple neural network. Source: Shiffman (2012)</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_Toc55387560 \h </w:instrText>
        </w:r>
        <w:r w:rsidR="00DC08A1" w:rsidRPr="00400193">
          <w:rPr>
            <w:noProof/>
            <w:webHidden/>
          </w:rPr>
        </w:r>
        <w:r w:rsidR="00DC08A1" w:rsidRPr="00400193">
          <w:rPr>
            <w:noProof/>
            <w:webHidden/>
          </w:rPr>
          <w:fldChar w:fldCharType="separate"/>
        </w:r>
        <w:r w:rsidR="00BB7C18">
          <w:rPr>
            <w:noProof/>
            <w:webHidden/>
          </w:rPr>
          <w:t>26</w:t>
        </w:r>
        <w:r w:rsidR="00DC08A1" w:rsidRPr="00400193">
          <w:rPr>
            <w:noProof/>
            <w:webHidden/>
          </w:rPr>
          <w:fldChar w:fldCharType="end"/>
        </w:r>
      </w:hyperlink>
    </w:p>
    <w:p w14:paraId="3AE9421B" w14:textId="7E15C20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1" w:history="1">
        <w:r w:rsidR="00DC08A1" w:rsidRPr="00400193">
          <w:rPr>
            <w:rStyle w:val="Hyperlink"/>
            <w:noProof/>
            <w:color w:val="auto"/>
          </w:rPr>
          <w:t>Figure 2</w:t>
        </w:r>
        <w:r w:rsidR="00DC08A1" w:rsidRPr="00400193">
          <w:rPr>
            <w:rStyle w:val="Hyperlink"/>
            <w:noProof/>
            <w:color w:val="auto"/>
          </w:rPr>
          <w:noBreakHyphen/>
          <w:t>10: Deep or complex neural networks. Source: Shiffman (2012)</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_Toc55387561 \h </w:instrText>
        </w:r>
        <w:r w:rsidR="00DC08A1" w:rsidRPr="00400193">
          <w:rPr>
            <w:noProof/>
            <w:webHidden/>
          </w:rPr>
        </w:r>
        <w:r w:rsidR="00DC08A1" w:rsidRPr="00400193">
          <w:rPr>
            <w:noProof/>
            <w:webHidden/>
          </w:rPr>
          <w:fldChar w:fldCharType="separate"/>
        </w:r>
        <w:r w:rsidR="00BB7C18">
          <w:rPr>
            <w:noProof/>
            <w:webHidden/>
          </w:rPr>
          <w:t>26</w:t>
        </w:r>
        <w:r w:rsidR="00DC08A1" w:rsidRPr="00400193">
          <w:rPr>
            <w:noProof/>
            <w:webHidden/>
          </w:rPr>
          <w:fldChar w:fldCharType="end"/>
        </w:r>
      </w:hyperlink>
    </w:p>
    <w:p w14:paraId="2199CC78" w14:textId="5D1A034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2" w:history="1">
        <w:r w:rsidR="00DC08A1" w:rsidRPr="00400193">
          <w:rPr>
            <w:rStyle w:val="Hyperlink"/>
            <w:noProof/>
            <w:color w:val="auto"/>
          </w:rPr>
          <w:t>Figure 2</w:t>
        </w:r>
        <w:r w:rsidR="00DC08A1" w:rsidRPr="00400193">
          <w:rPr>
            <w:rStyle w:val="Hyperlink"/>
            <w:noProof/>
            <w:color w:val="auto"/>
          </w:rPr>
          <w:noBreakHyphen/>
          <w:t>11: The link between risks, event response and recovery.</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_Toc55387562 \h </w:instrText>
        </w:r>
        <w:r w:rsidR="00DC08A1" w:rsidRPr="00400193">
          <w:rPr>
            <w:noProof/>
            <w:webHidden/>
          </w:rPr>
        </w:r>
        <w:r w:rsidR="00DC08A1" w:rsidRPr="00400193">
          <w:rPr>
            <w:noProof/>
            <w:webHidden/>
          </w:rPr>
          <w:fldChar w:fldCharType="separate"/>
        </w:r>
        <w:r w:rsidR="00BB7C18">
          <w:rPr>
            <w:noProof/>
            <w:webHidden/>
          </w:rPr>
          <w:t>29</w:t>
        </w:r>
        <w:r w:rsidR="00DC08A1" w:rsidRPr="00400193">
          <w:rPr>
            <w:noProof/>
            <w:webHidden/>
          </w:rPr>
          <w:fldChar w:fldCharType="end"/>
        </w:r>
      </w:hyperlink>
    </w:p>
    <w:p w14:paraId="2445D616" w14:textId="11EEE762"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3" w:history="1">
        <w:r w:rsidR="00DC08A1" w:rsidRPr="00400193">
          <w:rPr>
            <w:rStyle w:val="Hyperlink"/>
            <w:noProof/>
            <w:color w:val="auto"/>
          </w:rPr>
          <w:t>Figure 2</w:t>
        </w:r>
        <w:r w:rsidR="00DC08A1" w:rsidRPr="00400193">
          <w:rPr>
            <w:rStyle w:val="Hyperlink"/>
            <w:noProof/>
            <w:color w:val="auto"/>
          </w:rPr>
          <w:noBreakHyphen/>
          <w:t>12: Kosub's suggested process for CRM. Source: adapted from Kosub (2015)</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_Toc55387563 \h </w:instrText>
        </w:r>
        <w:r w:rsidR="00DC08A1" w:rsidRPr="00400193">
          <w:rPr>
            <w:noProof/>
            <w:webHidden/>
          </w:rPr>
        </w:r>
        <w:r w:rsidR="00DC08A1" w:rsidRPr="00400193">
          <w:rPr>
            <w:noProof/>
            <w:webHidden/>
          </w:rPr>
          <w:fldChar w:fldCharType="separate"/>
        </w:r>
        <w:r w:rsidR="00BB7C18">
          <w:rPr>
            <w:noProof/>
            <w:webHidden/>
          </w:rPr>
          <w:t>37</w:t>
        </w:r>
        <w:r w:rsidR="00DC08A1" w:rsidRPr="00400193">
          <w:rPr>
            <w:noProof/>
            <w:webHidden/>
          </w:rPr>
          <w:fldChar w:fldCharType="end"/>
        </w:r>
      </w:hyperlink>
    </w:p>
    <w:p w14:paraId="2632D034" w14:textId="5194154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4" w:history="1">
        <w:r w:rsidR="00DC08A1" w:rsidRPr="00400193">
          <w:rPr>
            <w:rStyle w:val="Hyperlink"/>
            <w:noProof/>
            <w:color w:val="auto"/>
          </w:rPr>
          <w:t>Figure 2</w:t>
        </w:r>
        <w:r w:rsidR="00DC08A1" w:rsidRPr="00400193">
          <w:rPr>
            <w:rStyle w:val="Hyperlink"/>
            <w:noProof/>
            <w:color w:val="auto"/>
          </w:rPr>
          <w:noBreakHyphen/>
          <w:t>13: Yayla and Hu's (2014) model for research on the effect of board level knowledge on the performance of firms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_Toc55387564 \h </w:instrText>
        </w:r>
        <w:r w:rsidR="00DC08A1" w:rsidRPr="00400193">
          <w:rPr>
            <w:noProof/>
            <w:webHidden/>
          </w:rPr>
        </w:r>
        <w:r w:rsidR="00DC08A1" w:rsidRPr="00400193">
          <w:rPr>
            <w:noProof/>
            <w:webHidden/>
          </w:rPr>
          <w:fldChar w:fldCharType="separate"/>
        </w:r>
        <w:r w:rsidR="00BB7C18">
          <w:rPr>
            <w:noProof/>
            <w:webHidden/>
          </w:rPr>
          <w:t>38</w:t>
        </w:r>
        <w:r w:rsidR="00DC08A1" w:rsidRPr="00400193">
          <w:rPr>
            <w:noProof/>
            <w:webHidden/>
          </w:rPr>
          <w:fldChar w:fldCharType="end"/>
        </w:r>
      </w:hyperlink>
    </w:p>
    <w:p w14:paraId="066A15F0" w14:textId="117E9B7D"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5" w:history="1">
        <w:r w:rsidR="00DC08A1" w:rsidRPr="00400193">
          <w:rPr>
            <w:rStyle w:val="Hyperlink"/>
            <w:noProof/>
            <w:color w:val="auto"/>
          </w:rPr>
          <w:t>Figure 2</w:t>
        </w:r>
        <w:r w:rsidR="00DC08A1" w:rsidRPr="00400193">
          <w:rPr>
            <w:rStyle w:val="Hyperlink"/>
            <w:noProof/>
            <w:color w:val="auto"/>
          </w:rPr>
          <w:noBreakHyphen/>
          <w:t>14: Dubai's cyber-safety tree. Source: Dubai Electronic Security Centre (2017, p. 10)</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_Toc55387565 \h </w:instrText>
        </w:r>
        <w:r w:rsidR="00DC08A1" w:rsidRPr="00400193">
          <w:rPr>
            <w:noProof/>
            <w:webHidden/>
          </w:rPr>
        </w:r>
        <w:r w:rsidR="00DC08A1" w:rsidRPr="00400193">
          <w:rPr>
            <w:noProof/>
            <w:webHidden/>
          </w:rPr>
          <w:fldChar w:fldCharType="separate"/>
        </w:r>
        <w:r w:rsidR="00BB7C18">
          <w:rPr>
            <w:noProof/>
            <w:webHidden/>
          </w:rPr>
          <w:t>40</w:t>
        </w:r>
        <w:r w:rsidR="00DC08A1" w:rsidRPr="00400193">
          <w:rPr>
            <w:noProof/>
            <w:webHidden/>
          </w:rPr>
          <w:fldChar w:fldCharType="end"/>
        </w:r>
      </w:hyperlink>
    </w:p>
    <w:p w14:paraId="2ED850C2" w14:textId="78BEEAE7"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6" w:history="1">
        <w:r w:rsidR="00DC08A1" w:rsidRPr="00400193">
          <w:rPr>
            <w:rStyle w:val="Hyperlink"/>
            <w:noProof/>
            <w:color w:val="auto"/>
          </w:rPr>
          <w:t>Figure 2</w:t>
        </w:r>
        <w:r w:rsidR="00DC08A1" w:rsidRPr="00400193">
          <w:rPr>
            <w:rStyle w:val="Hyperlink"/>
            <w:noProof/>
            <w:color w:val="auto"/>
          </w:rPr>
          <w:noBreakHyphen/>
          <w:t>15: The relationship between the timing of threat detection and the strength of system resilience. Current frameworks are aimed at detection or intervention at point B, but should be aiming at point A.</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_Toc55387566 \h </w:instrText>
        </w:r>
        <w:r w:rsidR="00DC08A1" w:rsidRPr="00400193">
          <w:rPr>
            <w:noProof/>
            <w:webHidden/>
          </w:rPr>
        </w:r>
        <w:r w:rsidR="00DC08A1" w:rsidRPr="00400193">
          <w:rPr>
            <w:noProof/>
            <w:webHidden/>
          </w:rPr>
          <w:fldChar w:fldCharType="separate"/>
        </w:r>
        <w:r w:rsidR="00BB7C18">
          <w:rPr>
            <w:noProof/>
            <w:webHidden/>
          </w:rPr>
          <w:t>44</w:t>
        </w:r>
        <w:r w:rsidR="00DC08A1" w:rsidRPr="00400193">
          <w:rPr>
            <w:noProof/>
            <w:webHidden/>
          </w:rPr>
          <w:fldChar w:fldCharType="end"/>
        </w:r>
      </w:hyperlink>
    </w:p>
    <w:p w14:paraId="3B9F01A3" w14:textId="621DC6B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7" w:history="1">
        <w:r w:rsidR="00DC08A1" w:rsidRPr="00400193">
          <w:rPr>
            <w:rStyle w:val="Hyperlink"/>
            <w:noProof/>
            <w:color w:val="auto"/>
          </w:rPr>
          <w:t>Figure 3</w:t>
        </w:r>
        <w:r w:rsidR="00DC08A1" w:rsidRPr="00400193">
          <w:rPr>
            <w:rStyle w:val="Hyperlink"/>
            <w:noProof/>
            <w:color w:val="auto"/>
          </w:rPr>
          <w:noBreakHyphen/>
          <w:t>1: Cyber-risk preparedness factors. Source: Allianz (2015, p. 28)</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_Toc55387567 \h </w:instrText>
        </w:r>
        <w:r w:rsidR="00DC08A1" w:rsidRPr="00400193">
          <w:rPr>
            <w:noProof/>
            <w:webHidden/>
          </w:rPr>
        </w:r>
        <w:r w:rsidR="00DC08A1" w:rsidRPr="00400193">
          <w:rPr>
            <w:noProof/>
            <w:webHidden/>
          </w:rPr>
          <w:fldChar w:fldCharType="separate"/>
        </w:r>
        <w:r w:rsidR="00BB7C18">
          <w:rPr>
            <w:noProof/>
            <w:webHidden/>
          </w:rPr>
          <w:t>52</w:t>
        </w:r>
        <w:r w:rsidR="00DC08A1" w:rsidRPr="00400193">
          <w:rPr>
            <w:noProof/>
            <w:webHidden/>
          </w:rPr>
          <w:fldChar w:fldCharType="end"/>
        </w:r>
      </w:hyperlink>
    </w:p>
    <w:p w14:paraId="5E0E97EA" w14:textId="4AAE7F74"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8" w:history="1">
        <w:r w:rsidR="00DC08A1" w:rsidRPr="00400193">
          <w:rPr>
            <w:rStyle w:val="Hyperlink"/>
            <w:noProof/>
            <w:color w:val="auto"/>
          </w:rPr>
          <w:t>Figure 3</w:t>
        </w:r>
        <w:r w:rsidR="00DC08A1" w:rsidRPr="00400193">
          <w:rPr>
            <w:rStyle w:val="Hyperlink"/>
            <w:noProof/>
            <w:color w:val="auto"/>
          </w:rPr>
          <w:noBreakHyphen/>
          <w:t>2: The Institute of Risk Management’s view of a 'risk culture'. Source: Institute of Risk Management (2014)</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_Toc55387568 \h </w:instrText>
        </w:r>
        <w:r w:rsidR="00DC08A1" w:rsidRPr="00400193">
          <w:rPr>
            <w:noProof/>
            <w:webHidden/>
          </w:rPr>
        </w:r>
        <w:r w:rsidR="00DC08A1" w:rsidRPr="00400193">
          <w:rPr>
            <w:noProof/>
            <w:webHidden/>
          </w:rPr>
          <w:fldChar w:fldCharType="separate"/>
        </w:r>
        <w:r w:rsidR="00BB7C18">
          <w:rPr>
            <w:noProof/>
            <w:webHidden/>
          </w:rPr>
          <w:t>63</w:t>
        </w:r>
        <w:r w:rsidR="00DC08A1" w:rsidRPr="00400193">
          <w:rPr>
            <w:noProof/>
            <w:webHidden/>
          </w:rPr>
          <w:fldChar w:fldCharType="end"/>
        </w:r>
      </w:hyperlink>
    </w:p>
    <w:p w14:paraId="70E6D3B5" w14:textId="285304C4"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69" w:history="1">
        <w:r w:rsidR="00DC08A1" w:rsidRPr="00400193">
          <w:rPr>
            <w:rStyle w:val="Hyperlink"/>
            <w:noProof/>
            <w:color w:val="auto"/>
          </w:rPr>
          <w:t>Figure 3</w:t>
        </w:r>
        <w:r w:rsidR="00DC08A1" w:rsidRPr="00400193">
          <w:rPr>
            <w:rStyle w:val="Hyperlink"/>
            <w:noProof/>
            <w:color w:val="auto"/>
          </w:rPr>
          <w:noBreakHyphen/>
          <w:t>3: Tran et al.'s Resilience Model. Source: adapted from Tran et al. (2016, p. 22)</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_Toc55387569 \h </w:instrText>
        </w:r>
        <w:r w:rsidR="00DC08A1" w:rsidRPr="00400193">
          <w:rPr>
            <w:noProof/>
            <w:webHidden/>
          </w:rPr>
        </w:r>
        <w:r w:rsidR="00DC08A1" w:rsidRPr="00400193">
          <w:rPr>
            <w:noProof/>
            <w:webHidden/>
          </w:rPr>
          <w:fldChar w:fldCharType="separate"/>
        </w:r>
        <w:r w:rsidR="00BB7C18">
          <w:rPr>
            <w:noProof/>
            <w:webHidden/>
          </w:rPr>
          <w:t>77</w:t>
        </w:r>
        <w:r w:rsidR="00DC08A1" w:rsidRPr="00400193">
          <w:rPr>
            <w:noProof/>
            <w:webHidden/>
          </w:rPr>
          <w:fldChar w:fldCharType="end"/>
        </w:r>
      </w:hyperlink>
    </w:p>
    <w:p w14:paraId="6254AF94" w14:textId="2865A590"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0" w:history="1">
        <w:r w:rsidR="00DC08A1" w:rsidRPr="00400193">
          <w:rPr>
            <w:rStyle w:val="Hyperlink"/>
            <w:noProof/>
            <w:color w:val="auto"/>
          </w:rPr>
          <w:t>Figure 3</w:t>
        </w:r>
        <w:r w:rsidR="00DC08A1" w:rsidRPr="00400193">
          <w:rPr>
            <w:rStyle w:val="Hyperlink"/>
            <w:noProof/>
            <w:color w:val="auto"/>
          </w:rPr>
          <w:noBreakHyphen/>
          <w:t>4: Linking the Hypotheses to the Elements of the Framework</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_Toc55387570 \h </w:instrText>
        </w:r>
        <w:r w:rsidR="00DC08A1" w:rsidRPr="00400193">
          <w:rPr>
            <w:noProof/>
            <w:webHidden/>
          </w:rPr>
        </w:r>
        <w:r w:rsidR="00DC08A1" w:rsidRPr="00400193">
          <w:rPr>
            <w:noProof/>
            <w:webHidden/>
          </w:rPr>
          <w:fldChar w:fldCharType="separate"/>
        </w:r>
        <w:r w:rsidR="00BB7C18">
          <w:rPr>
            <w:noProof/>
            <w:webHidden/>
          </w:rPr>
          <w:t>82</w:t>
        </w:r>
        <w:r w:rsidR="00DC08A1" w:rsidRPr="00400193">
          <w:rPr>
            <w:noProof/>
            <w:webHidden/>
          </w:rPr>
          <w:fldChar w:fldCharType="end"/>
        </w:r>
      </w:hyperlink>
    </w:p>
    <w:p w14:paraId="65E09F19" w14:textId="701811E2"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1" w:history="1">
        <w:r w:rsidR="00DC08A1" w:rsidRPr="00400193">
          <w:rPr>
            <w:rStyle w:val="Hyperlink"/>
            <w:noProof/>
            <w:color w:val="auto"/>
          </w:rPr>
          <w:t>Figure 3</w:t>
        </w:r>
        <w:r w:rsidR="00DC08A1" w:rsidRPr="00400193">
          <w:rPr>
            <w:rStyle w:val="Hyperlink"/>
            <w:noProof/>
            <w:color w:val="auto"/>
          </w:rPr>
          <w:noBreakHyphen/>
          <w:t>5: The conceptual framework</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_Toc55387571 \h </w:instrText>
        </w:r>
        <w:r w:rsidR="00DC08A1" w:rsidRPr="00400193">
          <w:rPr>
            <w:noProof/>
            <w:webHidden/>
          </w:rPr>
        </w:r>
        <w:r w:rsidR="00DC08A1" w:rsidRPr="00400193">
          <w:rPr>
            <w:noProof/>
            <w:webHidden/>
          </w:rPr>
          <w:fldChar w:fldCharType="separate"/>
        </w:r>
        <w:r w:rsidR="00BB7C18">
          <w:rPr>
            <w:noProof/>
            <w:webHidden/>
          </w:rPr>
          <w:t>82</w:t>
        </w:r>
        <w:r w:rsidR="00DC08A1" w:rsidRPr="00400193">
          <w:rPr>
            <w:noProof/>
            <w:webHidden/>
          </w:rPr>
          <w:fldChar w:fldCharType="end"/>
        </w:r>
      </w:hyperlink>
    </w:p>
    <w:p w14:paraId="75447638" w14:textId="61CB579A"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2" w:history="1">
        <w:r w:rsidR="00DC08A1" w:rsidRPr="00400193">
          <w:rPr>
            <w:rStyle w:val="Hyperlink"/>
            <w:noProof/>
            <w:color w:val="auto"/>
          </w:rPr>
          <w:t>Figure 4</w:t>
        </w:r>
        <w:r w:rsidR="00DC08A1" w:rsidRPr="00400193">
          <w:rPr>
            <w:rStyle w:val="Hyperlink"/>
            <w:noProof/>
            <w:color w:val="auto"/>
          </w:rPr>
          <w:noBreakHyphen/>
          <w:t>1: The research onion. Source: adapted from Saunders, Lewis, and Thornhill (2012, p. 83)</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_Toc55387572 \h </w:instrText>
        </w:r>
        <w:r w:rsidR="00DC08A1" w:rsidRPr="00400193">
          <w:rPr>
            <w:noProof/>
            <w:webHidden/>
          </w:rPr>
        </w:r>
        <w:r w:rsidR="00DC08A1" w:rsidRPr="00400193">
          <w:rPr>
            <w:noProof/>
            <w:webHidden/>
          </w:rPr>
          <w:fldChar w:fldCharType="separate"/>
        </w:r>
        <w:r w:rsidR="00BB7C18">
          <w:rPr>
            <w:noProof/>
            <w:webHidden/>
          </w:rPr>
          <w:t>86</w:t>
        </w:r>
        <w:r w:rsidR="00DC08A1" w:rsidRPr="00400193">
          <w:rPr>
            <w:noProof/>
            <w:webHidden/>
          </w:rPr>
          <w:fldChar w:fldCharType="end"/>
        </w:r>
      </w:hyperlink>
    </w:p>
    <w:p w14:paraId="5E783103" w14:textId="2098528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3" w:history="1">
        <w:r w:rsidR="00DC08A1" w:rsidRPr="00400193">
          <w:rPr>
            <w:rStyle w:val="Hyperlink"/>
            <w:noProof/>
            <w:color w:val="auto"/>
          </w:rPr>
          <w:t>Figure 4</w:t>
        </w:r>
        <w:r w:rsidR="00DC08A1" w:rsidRPr="00400193">
          <w:rPr>
            <w:rStyle w:val="Hyperlink"/>
            <w:noProof/>
            <w:color w:val="auto"/>
          </w:rPr>
          <w:noBreakHyphen/>
          <w:t>2: The Research Design Process Used</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_Toc55387573 \h </w:instrText>
        </w:r>
        <w:r w:rsidR="00DC08A1" w:rsidRPr="00400193">
          <w:rPr>
            <w:noProof/>
            <w:webHidden/>
          </w:rPr>
        </w:r>
        <w:r w:rsidR="00DC08A1" w:rsidRPr="00400193">
          <w:rPr>
            <w:noProof/>
            <w:webHidden/>
          </w:rPr>
          <w:fldChar w:fldCharType="separate"/>
        </w:r>
        <w:r w:rsidR="00BB7C18">
          <w:rPr>
            <w:noProof/>
            <w:webHidden/>
          </w:rPr>
          <w:t>89</w:t>
        </w:r>
        <w:r w:rsidR="00DC08A1" w:rsidRPr="00400193">
          <w:rPr>
            <w:noProof/>
            <w:webHidden/>
          </w:rPr>
          <w:fldChar w:fldCharType="end"/>
        </w:r>
      </w:hyperlink>
    </w:p>
    <w:p w14:paraId="43FD24DE" w14:textId="2C445B58"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4" w:history="1">
        <w:r w:rsidR="00DC08A1" w:rsidRPr="00400193">
          <w:rPr>
            <w:rStyle w:val="Hyperlink"/>
            <w:noProof/>
            <w:color w:val="auto"/>
          </w:rPr>
          <w:t>Figure 4</w:t>
        </w:r>
        <w:r w:rsidR="00DC08A1" w:rsidRPr="00400193">
          <w:rPr>
            <w:rStyle w:val="Hyperlink"/>
            <w:noProof/>
            <w:color w:val="auto"/>
          </w:rPr>
          <w:noBreakHyphen/>
          <w:t>3: Management level of participants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_Toc55387574 \h </w:instrText>
        </w:r>
        <w:r w:rsidR="00DC08A1" w:rsidRPr="00400193">
          <w:rPr>
            <w:noProof/>
            <w:webHidden/>
          </w:rPr>
        </w:r>
        <w:r w:rsidR="00DC08A1" w:rsidRPr="00400193">
          <w:rPr>
            <w:noProof/>
            <w:webHidden/>
          </w:rPr>
          <w:fldChar w:fldCharType="separate"/>
        </w:r>
        <w:r w:rsidR="00BB7C18">
          <w:rPr>
            <w:noProof/>
            <w:webHidden/>
          </w:rPr>
          <w:t>91</w:t>
        </w:r>
        <w:r w:rsidR="00DC08A1" w:rsidRPr="00400193">
          <w:rPr>
            <w:noProof/>
            <w:webHidden/>
          </w:rPr>
          <w:fldChar w:fldCharType="end"/>
        </w:r>
      </w:hyperlink>
    </w:p>
    <w:p w14:paraId="617C3E40" w14:textId="6C3F4C7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5" w:history="1">
        <w:r w:rsidR="00DC08A1" w:rsidRPr="00400193">
          <w:rPr>
            <w:rStyle w:val="Hyperlink"/>
            <w:noProof/>
            <w:color w:val="auto"/>
          </w:rPr>
          <w:t>Figure 4</w:t>
        </w:r>
        <w:r w:rsidR="00DC08A1" w:rsidRPr="00400193">
          <w:rPr>
            <w:rStyle w:val="Hyperlink"/>
            <w:noProof/>
            <w:color w:val="auto"/>
          </w:rPr>
          <w:noBreakHyphen/>
          <w:t>4: Years of experience of participants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_Toc55387575 \h </w:instrText>
        </w:r>
        <w:r w:rsidR="00DC08A1" w:rsidRPr="00400193">
          <w:rPr>
            <w:noProof/>
            <w:webHidden/>
          </w:rPr>
        </w:r>
        <w:r w:rsidR="00DC08A1" w:rsidRPr="00400193">
          <w:rPr>
            <w:noProof/>
            <w:webHidden/>
          </w:rPr>
          <w:fldChar w:fldCharType="separate"/>
        </w:r>
        <w:r w:rsidR="00BB7C18">
          <w:rPr>
            <w:noProof/>
            <w:webHidden/>
          </w:rPr>
          <w:t>92</w:t>
        </w:r>
        <w:r w:rsidR="00DC08A1" w:rsidRPr="00400193">
          <w:rPr>
            <w:noProof/>
            <w:webHidden/>
          </w:rPr>
          <w:fldChar w:fldCharType="end"/>
        </w:r>
      </w:hyperlink>
    </w:p>
    <w:p w14:paraId="766D02C6" w14:textId="101DB136"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6" w:history="1">
        <w:r w:rsidR="00DC08A1" w:rsidRPr="00400193">
          <w:rPr>
            <w:rStyle w:val="Hyperlink"/>
            <w:noProof/>
            <w:color w:val="auto"/>
          </w:rPr>
          <w:t>Figure 4</w:t>
        </w:r>
        <w:r w:rsidR="00DC08A1" w:rsidRPr="00400193">
          <w:rPr>
            <w:rStyle w:val="Hyperlink"/>
            <w:noProof/>
            <w:color w:val="auto"/>
          </w:rPr>
          <w:noBreakHyphen/>
          <w:t>5: Age range of participants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_Toc55387576 \h </w:instrText>
        </w:r>
        <w:r w:rsidR="00DC08A1" w:rsidRPr="00400193">
          <w:rPr>
            <w:noProof/>
            <w:webHidden/>
          </w:rPr>
        </w:r>
        <w:r w:rsidR="00DC08A1" w:rsidRPr="00400193">
          <w:rPr>
            <w:noProof/>
            <w:webHidden/>
          </w:rPr>
          <w:fldChar w:fldCharType="separate"/>
        </w:r>
        <w:r w:rsidR="00BB7C18">
          <w:rPr>
            <w:noProof/>
            <w:webHidden/>
          </w:rPr>
          <w:t>92</w:t>
        </w:r>
        <w:r w:rsidR="00DC08A1" w:rsidRPr="00400193">
          <w:rPr>
            <w:noProof/>
            <w:webHidden/>
          </w:rPr>
          <w:fldChar w:fldCharType="end"/>
        </w:r>
      </w:hyperlink>
    </w:p>
    <w:p w14:paraId="4F106ADA" w14:textId="2D80171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7" w:history="1">
        <w:r w:rsidR="00DC08A1" w:rsidRPr="00400193">
          <w:rPr>
            <w:rStyle w:val="Hyperlink"/>
            <w:noProof/>
            <w:color w:val="auto"/>
          </w:rPr>
          <w:t>Figure 4</w:t>
        </w:r>
        <w:r w:rsidR="00DC08A1" w:rsidRPr="00400193">
          <w:rPr>
            <w:rStyle w:val="Hyperlink"/>
            <w:noProof/>
            <w:color w:val="auto"/>
          </w:rPr>
          <w:noBreakHyphen/>
          <w:t>6: Educational level of participants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_Toc55387577 \h </w:instrText>
        </w:r>
        <w:r w:rsidR="00DC08A1" w:rsidRPr="00400193">
          <w:rPr>
            <w:noProof/>
            <w:webHidden/>
          </w:rPr>
        </w:r>
        <w:r w:rsidR="00DC08A1" w:rsidRPr="00400193">
          <w:rPr>
            <w:noProof/>
            <w:webHidden/>
          </w:rPr>
          <w:fldChar w:fldCharType="separate"/>
        </w:r>
        <w:r w:rsidR="00BB7C18">
          <w:rPr>
            <w:noProof/>
            <w:webHidden/>
          </w:rPr>
          <w:t>93</w:t>
        </w:r>
        <w:r w:rsidR="00DC08A1" w:rsidRPr="00400193">
          <w:rPr>
            <w:noProof/>
            <w:webHidden/>
          </w:rPr>
          <w:fldChar w:fldCharType="end"/>
        </w:r>
      </w:hyperlink>
    </w:p>
    <w:p w14:paraId="43E01007" w14:textId="2C5967FF"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8" w:history="1">
        <w:r w:rsidR="00DC08A1" w:rsidRPr="00400193">
          <w:rPr>
            <w:rStyle w:val="Hyperlink"/>
            <w:noProof/>
            <w:color w:val="auto"/>
          </w:rPr>
          <w:t>Figure 4</w:t>
        </w:r>
        <w:r w:rsidR="00DC08A1" w:rsidRPr="00400193">
          <w:rPr>
            <w:rStyle w:val="Hyperlink"/>
            <w:noProof/>
            <w:color w:val="auto"/>
          </w:rPr>
          <w:noBreakHyphen/>
          <w:t>7: Flowchart of the research process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_Toc55387578 \h </w:instrText>
        </w:r>
        <w:r w:rsidR="00DC08A1" w:rsidRPr="00400193">
          <w:rPr>
            <w:noProof/>
            <w:webHidden/>
          </w:rPr>
        </w:r>
        <w:r w:rsidR="00DC08A1" w:rsidRPr="00400193">
          <w:rPr>
            <w:noProof/>
            <w:webHidden/>
          </w:rPr>
          <w:fldChar w:fldCharType="separate"/>
        </w:r>
        <w:r w:rsidR="00BB7C18">
          <w:rPr>
            <w:noProof/>
            <w:webHidden/>
          </w:rPr>
          <w:t>99</w:t>
        </w:r>
        <w:r w:rsidR="00DC08A1" w:rsidRPr="00400193">
          <w:rPr>
            <w:noProof/>
            <w:webHidden/>
          </w:rPr>
          <w:fldChar w:fldCharType="end"/>
        </w:r>
      </w:hyperlink>
    </w:p>
    <w:p w14:paraId="05D3A66D" w14:textId="3C9970E2"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79" w:history="1">
        <w:r w:rsidR="00DC08A1" w:rsidRPr="00400193">
          <w:rPr>
            <w:rStyle w:val="Hyperlink"/>
            <w:noProof/>
            <w:color w:val="auto"/>
          </w:rPr>
          <w:t>Figure 5</w:t>
        </w:r>
        <w:r w:rsidR="00DC08A1" w:rsidRPr="00400193">
          <w:rPr>
            <w:rStyle w:val="Hyperlink"/>
            <w:noProof/>
            <w:color w:val="auto"/>
          </w:rPr>
          <w:noBreakHyphen/>
          <w:t>1: Key External Threats - Cyber Attack (KECA). n = 104. See Table 0</w:t>
        </w:r>
        <w:r w:rsidR="00DC08A1" w:rsidRPr="00400193">
          <w:rPr>
            <w:rStyle w:val="Hyperlink"/>
            <w:noProof/>
            <w:color w:val="auto"/>
          </w:rPr>
          <w:noBreakHyphen/>
          <w:t>3 in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_Toc55387579 \h </w:instrText>
        </w:r>
        <w:r w:rsidR="00DC08A1" w:rsidRPr="00400193">
          <w:rPr>
            <w:noProof/>
            <w:webHidden/>
          </w:rPr>
        </w:r>
        <w:r w:rsidR="00DC08A1" w:rsidRPr="00400193">
          <w:rPr>
            <w:noProof/>
            <w:webHidden/>
          </w:rPr>
          <w:fldChar w:fldCharType="separate"/>
        </w:r>
        <w:r w:rsidR="00BB7C18">
          <w:rPr>
            <w:noProof/>
            <w:webHidden/>
          </w:rPr>
          <w:t>113</w:t>
        </w:r>
        <w:r w:rsidR="00DC08A1" w:rsidRPr="00400193">
          <w:rPr>
            <w:noProof/>
            <w:webHidden/>
          </w:rPr>
          <w:fldChar w:fldCharType="end"/>
        </w:r>
      </w:hyperlink>
    </w:p>
    <w:p w14:paraId="23A45AD2" w14:textId="53DBB87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0" w:history="1">
        <w:r w:rsidR="00DC08A1" w:rsidRPr="00400193">
          <w:rPr>
            <w:rStyle w:val="Hyperlink"/>
            <w:noProof/>
            <w:color w:val="auto"/>
          </w:rPr>
          <w:t>Figure 5</w:t>
        </w:r>
        <w:r w:rsidR="00DC08A1" w:rsidRPr="00400193">
          <w:rPr>
            <w:rStyle w:val="Hyperlink"/>
            <w:noProof/>
            <w:color w:val="auto"/>
          </w:rPr>
          <w:noBreakHyphen/>
          <w:t>2: Key External Threats – Hacktivism (KEH). n = 104. See Table 0</w:t>
        </w:r>
        <w:r w:rsidR="00DC08A1" w:rsidRPr="00400193">
          <w:rPr>
            <w:rStyle w:val="Hyperlink"/>
            <w:noProof/>
            <w:color w:val="auto"/>
          </w:rPr>
          <w:noBreakHyphen/>
          <w:t>3 in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_Toc55387580 \h </w:instrText>
        </w:r>
        <w:r w:rsidR="00DC08A1" w:rsidRPr="00400193">
          <w:rPr>
            <w:noProof/>
            <w:webHidden/>
          </w:rPr>
        </w:r>
        <w:r w:rsidR="00DC08A1" w:rsidRPr="00400193">
          <w:rPr>
            <w:noProof/>
            <w:webHidden/>
          </w:rPr>
          <w:fldChar w:fldCharType="separate"/>
        </w:r>
        <w:r w:rsidR="00BB7C18">
          <w:rPr>
            <w:noProof/>
            <w:webHidden/>
          </w:rPr>
          <w:t>114</w:t>
        </w:r>
        <w:r w:rsidR="00DC08A1" w:rsidRPr="00400193">
          <w:rPr>
            <w:noProof/>
            <w:webHidden/>
          </w:rPr>
          <w:fldChar w:fldCharType="end"/>
        </w:r>
      </w:hyperlink>
    </w:p>
    <w:p w14:paraId="733CFF1B" w14:textId="77013BD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1" w:history="1">
        <w:r w:rsidR="00DC08A1" w:rsidRPr="00400193">
          <w:rPr>
            <w:rStyle w:val="Hyperlink"/>
            <w:noProof/>
            <w:color w:val="auto"/>
          </w:rPr>
          <w:t>Figure 5</w:t>
        </w:r>
        <w:r w:rsidR="00DC08A1" w:rsidRPr="00400193">
          <w:rPr>
            <w:rStyle w:val="Hyperlink"/>
            <w:noProof/>
            <w:color w:val="auto"/>
          </w:rPr>
          <w:noBreakHyphen/>
          <w:t>3: Key External Threats – Phishing (KEP). n = 104. See Table 0</w:t>
        </w:r>
        <w:r w:rsidR="00DC08A1" w:rsidRPr="00400193">
          <w:rPr>
            <w:rStyle w:val="Hyperlink"/>
            <w:noProof/>
            <w:color w:val="auto"/>
          </w:rPr>
          <w:noBreakHyphen/>
          <w:t>3 in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_Toc55387581 \h </w:instrText>
        </w:r>
        <w:r w:rsidR="00DC08A1" w:rsidRPr="00400193">
          <w:rPr>
            <w:noProof/>
            <w:webHidden/>
          </w:rPr>
        </w:r>
        <w:r w:rsidR="00DC08A1" w:rsidRPr="00400193">
          <w:rPr>
            <w:noProof/>
            <w:webHidden/>
          </w:rPr>
          <w:fldChar w:fldCharType="separate"/>
        </w:r>
        <w:r w:rsidR="00BB7C18">
          <w:rPr>
            <w:noProof/>
            <w:webHidden/>
          </w:rPr>
          <w:t>114</w:t>
        </w:r>
        <w:r w:rsidR="00DC08A1" w:rsidRPr="00400193">
          <w:rPr>
            <w:noProof/>
            <w:webHidden/>
          </w:rPr>
          <w:fldChar w:fldCharType="end"/>
        </w:r>
      </w:hyperlink>
    </w:p>
    <w:p w14:paraId="0613A054" w14:textId="26020316"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2" w:history="1">
        <w:r w:rsidR="00DC08A1" w:rsidRPr="00400193">
          <w:rPr>
            <w:rStyle w:val="Hyperlink"/>
            <w:noProof/>
            <w:color w:val="auto"/>
          </w:rPr>
          <w:t>Figure 5</w:t>
        </w:r>
        <w:r w:rsidR="00DC08A1" w:rsidRPr="00400193">
          <w:rPr>
            <w:rStyle w:val="Hyperlink"/>
            <w:noProof/>
            <w:color w:val="auto"/>
          </w:rPr>
          <w:noBreakHyphen/>
          <w:t>4: Key External Threats - Financial Fraud (KEFF). n = 104. See Table 0</w:t>
        </w:r>
        <w:r w:rsidR="00DC08A1" w:rsidRPr="00400193">
          <w:rPr>
            <w:rStyle w:val="Hyperlink"/>
            <w:noProof/>
            <w:color w:val="auto"/>
          </w:rPr>
          <w:noBreakHyphen/>
          <w:t>3 in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_Toc55387582 \h </w:instrText>
        </w:r>
        <w:r w:rsidR="00DC08A1" w:rsidRPr="00400193">
          <w:rPr>
            <w:noProof/>
            <w:webHidden/>
          </w:rPr>
        </w:r>
        <w:r w:rsidR="00DC08A1" w:rsidRPr="00400193">
          <w:rPr>
            <w:noProof/>
            <w:webHidden/>
          </w:rPr>
          <w:fldChar w:fldCharType="separate"/>
        </w:r>
        <w:r w:rsidR="00BB7C18">
          <w:rPr>
            <w:noProof/>
            <w:webHidden/>
          </w:rPr>
          <w:t>115</w:t>
        </w:r>
        <w:r w:rsidR="00DC08A1" w:rsidRPr="00400193">
          <w:rPr>
            <w:noProof/>
            <w:webHidden/>
          </w:rPr>
          <w:fldChar w:fldCharType="end"/>
        </w:r>
      </w:hyperlink>
    </w:p>
    <w:p w14:paraId="39FA712F" w14:textId="65FA6D0F"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3" w:history="1">
        <w:r w:rsidR="00DC08A1" w:rsidRPr="00400193">
          <w:rPr>
            <w:rStyle w:val="Hyperlink"/>
            <w:noProof/>
            <w:color w:val="auto"/>
          </w:rPr>
          <w:t>Figure 5</w:t>
        </w:r>
        <w:r w:rsidR="00DC08A1" w:rsidRPr="00400193">
          <w:rPr>
            <w:rStyle w:val="Hyperlink"/>
            <w:noProof/>
            <w:color w:val="auto"/>
          </w:rPr>
          <w:noBreakHyphen/>
          <w:t>5: Key External Threats - Criminal Acts (ETCA).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_Toc55387583 \h </w:instrText>
        </w:r>
        <w:r w:rsidR="00DC08A1" w:rsidRPr="00400193">
          <w:rPr>
            <w:noProof/>
            <w:webHidden/>
          </w:rPr>
        </w:r>
        <w:r w:rsidR="00DC08A1" w:rsidRPr="00400193">
          <w:rPr>
            <w:noProof/>
            <w:webHidden/>
          </w:rPr>
          <w:fldChar w:fldCharType="separate"/>
        </w:r>
        <w:r w:rsidR="00BB7C18">
          <w:rPr>
            <w:noProof/>
            <w:webHidden/>
          </w:rPr>
          <w:t>115</w:t>
        </w:r>
        <w:r w:rsidR="00DC08A1" w:rsidRPr="00400193">
          <w:rPr>
            <w:noProof/>
            <w:webHidden/>
          </w:rPr>
          <w:fldChar w:fldCharType="end"/>
        </w:r>
      </w:hyperlink>
    </w:p>
    <w:p w14:paraId="57D4FA87" w14:textId="76371D7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4" w:history="1">
        <w:r w:rsidR="00DC08A1" w:rsidRPr="00400193">
          <w:rPr>
            <w:rStyle w:val="Hyperlink"/>
            <w:noProof/>
            <w:color w:val="auto"/>
          </w:rPr>
          <w:t>Figure 5</w:t>
        </w:r>
        <w:r w:rsidR="00DC08A1" w:rsidRPr="00400193">
          <w:rPr>
            <w:rStyle w:val="Hyperlink"/>
            <w:noProof/>
            <w:color w:val="auto"/>
          </w:rPr>
          <w:noBreakHyphen/>
          <w:t>6: Key Internal Threats - Lack of Awareness (KILA).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_Toc55387584 \h </w:instrText>
        </w:r>
        <w:r w:rsidR="00DC08A1" w:rsidRPr="00400193">
          <w:rPr>
            <w:noProof/>
            <w:webHidden/>
          </w:rPr>
        </w:r>
        <w:r w:rsidR="00DC08A1" w:rsidRPr="00400193">
          <w:rPr>
            <w:noProof/>
            <w:webHidden/>
          </w:rPr>
          <w:fldChar w:fldCharType="separate"/>
        </w:r>
        <w:r w:rsidR="00BB7C18">
          <w:rPr>
            <w:noProof/>
            <w:webHidden/>
          </w:rPr>
          <w:t>116</w:t>
        </w:r>
        <w:r w:rsidR="00DC08A1" w:rsidRPr="00400193">
          <w:rPr>
            <w:noProof/>
            <w:webHidden/>
          </w:rPr>
          <w:fldChar w:fldCharType="end"/>
        </w:r>
      </w:hyperlink>
    </w:p>
    <w:p w14:paraId="209C00CF" w14:textId="361D981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5" w:history="1">
        <w:r w:rsidR="00DC08A1" w:rsidRPr="00400193">
          <w:rPr>
            <w:rStyle w:val="Hyperlink"/>
            <w:noProof/>
            <w:color w:val="auto"/>
          </w:rPr>
          <w:t>Figure 5</w:t>
        </w:r>
        <w:r w:rsidR="00DC08A1" w:rsidRPr="00400193">
          <w:rPr>
            <w:rStyle w:val="Hyperlink"/>
            <w:noProof/>
            <w:color w:val="auto"/>
          </w:rPr>
          <w:noBreakHyphen/>
          <w:t>7: Key Internal Threats - Risk Culture and Laziness (KIRC).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_Toc55387585 \h </w:instrText>
        </w:r>
        <w:r w:rsidR="00DC08A1" w:rsidRPr="00400193">
          <w:rPr>
            <w:noProof/>
            <w:webHidden/>
          </w:rPr>
        </w:r>
        <w:r w:rsidR="00DC08A1" w:rsidRPr="00400193">
          <w:rPr>
            <w:noProof/>
            <w:webHidden/>
          </w:rPr>
          <w:fldChar w:fldCharType="separate"/>
        </w:r>
        <w:r w:rsidR="00BB7C18">
          <w:rPr>
            <w:noProof/>
            <w:webHidden/>
          </w:rPr>
          <w:t>117</w:t>
        </w:r>
        <w:r w:rsidR="00DC08A1" w:rsidRPr="00400193">
          <w:rPr>
            <w:noProof/>
            <w:webHidden/>
          </w:rPr>
          <w:fldChar w:fldCharType="end"/>
        </w:r>
      </w:hyperlink>
    </w:p>
    <w:p w14:paraId="1BD7D107" w14:textId="2355F544"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6" w:history="1">
        <w:r w:rsidR="00DC08A1" w:rsidRPr="00400193">
          <w:rPr>
            <w:rStyle w:val="Hyperlink"/>
            <w:noProof/>
            <w:color w:val="auto"/>
          </w:rPr>
          <w:t>Figure 5</w:t>
        </w:r>
        <w:r w:rsidR="00DC08A1" w:rsidRPr="00400193">
          <w:rPr>
            <w:rStyle w:val="Hyperlink"/>
            <w:noProof/>
            <w:color w:val="auto"/>
          </w:rPr>
          <w:noBreakHyphen/>
          <w:t>8: Key Internal Threats - Financial Fraud (KIFF). n = 104. See Table 0</w:t>
        </w:r>
        <w:r w:rsidR="00DC08A1" w:rsidRPr="00400193">
          <w:rPr>
            <w:rStyle w:val="Hyperlink"/>
            <w:noProof/>
            <w:color w:val="auto"/>
          </w:rPr>
          <w:noBreakHyphen/>
          <w:t>3 (Appendix 4) for Code or item meaning</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_Toc55387586 \h </w:instrText>
        </w:r>
        <w:r w:rsidR="00DC08A1" w:rsidRPr="00400193">
          <w:rPr>
            <w:noProof/>
            <w:webHidden/>
          </w:rPr>
        </w:r>
        <w:r w:rsidR="00DC08A1" w:rsidRPr="00400193">
          <w:rPr>
            <w:noProof/>
            <w:webHidden/>
          </w:rPr>
          <w:fldChar w:fldCharType="separate"/>
        </w:r>
        <w:r w:rsidR="00BB7C18">
          <w:rPr>
            <w:noProof/>
            <w:webHidden/>
          </w:rPr>
          <w:t>117</w:t>
        </w:r>
        <w:r w:rsidR="00DC08A1" w:rsidRPr="00400193">
          <w:rPr>
            <w:noProof/>
            <w:webHidden/>
          </w:rPr>
          <w:fldChar w:fldCharType="end"/>
        </w:r>
      </w:hyperlink>
    </w:p>
    <w:p w14:paraId="417ACC7D" w14:textId="586CBDF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7" w:history="1">
        <w:r w:rsidR="00DC08A1" w:rsidRPr="00400193">
          <w:rPr>
            <w:rStyle w:val="Hyperlink"/>
            <w:noProof/>
            <w:color w:val="auto"/>
          </w:rPr>
          <w:t>Figure 5</w:t>
        </w:r>
        <w:r w:rsidR="00DC08A1" w:rsidRPr="00400193">
          <w:rPr>
            <w:rStyle w:val="Hyperlink"/>
            <w:noProof/>
            <w:color w:val="auto"/>
          </w:rPr>
          <w:noBreakHyphen/>
          <w:t>9: Key Internal Threats - Criminal Acts (ITCA).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_Toc55387587 \h </w:instrText>
        </w:r>
        <w:r w:rsidR="00DC08A1" w:rsidRPr="00400193">
          <w:rPr>
            <w:noProof/>
            <w:webHidden/>
          </w:rPr>
        </w:r>
        <w:r w:rsidR="00DC08A1" w:rsidRPr="00400193">
          <w:rPr>
            <w:noProof/>
            <w:webHidden/>
          </w:rPr>
          <w:fldChar w:fldCharType="separate"/>
        </w:r>
        <w:r w:rsidR="00BB7C18">
          <w:rPr>
            <w:noProof/>
            <w:webHidden/>
          </w:rPr>
          <w:t>118</w:t>
        </w:r>
        <w:r w:rsidR="00DC08A1" w:rsidRPr="00400193">
          <w:rPr>
            <w:noProof/>
            <w:webHidden/>
          </w:rPr>
          <w:fldChar w:fldCharType="end"/>
        </w:r>
      </w:hyperlink>
    </w:p>
    <w:p w14:paraId="1F03B42C" w14:textId="7950844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8" w:history="1">
        <w:r w:rsidR="00DC08A1" w:rsidRPr="00400193">
          <w:rPr>
            <w:rStyle w:val="Hyperlink"/>
            <w:noProof/>
            <w:color w:val="auto"/>
          </w:rPr>
          <w:t>Figure 5</w:t>
        </w:r>
        <w:r w:rsidR="00DC08A1" w:rsidRPr="00400193">
          <w:rPr>
            <w:rStyle w:val="Hyperlink"/>
            <w:noProof/>
            <w:color w:val="auto"/>
          </w:rPr>
          <w:noBreakHyphen/>
          <w:t>10: Vulnerabilities and Weaknesses (VW).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_Toc55387588 \h </w:instrText>
        </w:r>
        <w:r w:rsidR="00DC08A1" w:rsidRPr="00400193">
          <w:rPr>
            <w:noProof/>
            <w:webHidden/>
          </w:rPr>
        </w:r>
        <w:r w:rsidR="00DC08A1" w:rsidRPr="00400193">
          <w:rPr>
            <w:noProof/>
            <w:webHidden/>
          </w:rPr>
          <w:fldChar w:fldCharType="separate"/>
        </w:r>
        <w:r w:rsidR="00BB7C18">
          <w:rPr>
            <w:noProof/>
            <w:webHidden/>
          </w:rPr>
          <w:t>119</w:t>
        </w:r>
        <w:r w:rsidR="00DC08A1" w:rsidRPr="00400193">
          <w:rPr>
            <w:noProof/>
            <w:webHidden/>
          </w:rPr>
          <w:fldChar w:fldCharType="end"/>
        </w:r>
      </w:hyperlink>
    </w:p>
    <w:p w14:paraId="6C23D0E0" w14:textId="3F00FCC3"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89" w:history="1">
        <w:r w:rsidR="00DC08A1" w:rsidRPr="00400193">
          <w:rPr>
            <w:rStyle w:val="Hyperlink"/>
            <w:noProof/>
            <w:color w:val="auto"/>
          </w:rPr>
          <w:t>Figure 5</w:t>
        </w:r>
        <w:r w:rsidR="00DC08A1" w:rsidRPr="00400193">
          <w:rPr>
            <w:rStyle w:val="Hyperlink"/>
            <w:noProof/>
            <w:color w:val="auto"/>
          </w:rPr>
          <w:noBreakHyphen/>
          <w:t>11: Organisation vulnerabilities and weaknesses: physical and digital assets (VWP).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_Toc55387589 \h </w:instrText>
        </w:r>
        <w:r w:rsidR="00DC08A1" w:rsidRPr="00400193">
          <w:rPr>
            <w:noProof/>
            <w:webHidden/>
          </w:rPr>
        </w:r>
        <w:r w:rsidR="00DC08A1" w:rsidRPr="00400193">
          <w:rPr>
            <w:noProof/>
            <w:webHidden/>
          </w:rPr>
          <w:fldChar w:fldCharType="separate"/>
        </w:r>
        <w:r w:rsidR="00BB7C18">
          <w:rPr>
            <w:noProof/>
            <w:webHidden/>
          </w:rPr>
          <w:t>119</w:t>
        </w:r>
        <w:r w:rsidR="00DC08A1" w:rsidRPr="00400193">
          <w:rPr>
            <w:noProof/>
            <w:webHidden/>
          </w:rPr>
          <w:fldChar w:fldCharType="end"/>
        </w:r>
      </w:hyperlink>
    </w:p>
    <w:p w14:paraId="351119DC" w14:textId="6C7A7B90"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0" w:history="1">
        <w:r w:rsidR="00DC08A1" w:rsidRPr="00400193">
          <w:rPr>
            <w:rStyle w:val="Hyperlink"/>
            <w:noProof/>
            <w:color w:val="auto"/>
          </w:rPr>
          <w:t>Figure 5</w:t>
        </w:r>
        <w:r w:rsidR="00DC08A1" w:rsidRPr="00400193">
          <w:rPr>
            <w:rStyle w:val="Hyperlink"/>
            <w:noProof/>
            <w:color w:val="auto"/>
          </w:rPr>
          <w:noBreakHyphen/>
          <w:t>12: Responses in Place (RP). n = 104. See Table 0</w:t>
        </w:r>
        <w:r w:rsidR="00DC08A1" w:rsidRPr="00400193">
          <w:rPr>
            <w:rStyle w:val="Hyperlink"/>
            <w:noProof/>
            <w:color w:val="auto"/>
          </w:rPr>
          <w:noBreakHyphen/>
          <w:t>3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_Toc55387590 \h </w:instrText>
        </w:r>
        <w:r w:rsidR="00DC08A1" w:rsidRPr="00400193">
          <w:rPr>
            <w:noProof/>
            <w:webHidden/>
          </w:rPr>
        </w:r>
        <w:r w:rsidR="00DC08A1" w:rsidRPr="00400193">
          <w:rPr>
            <w:noProof/>
            <w:webHidden/>
          </w:rPr>
          <w:fldChar w:fldCharType="separate"/>
        </w:r>
        <w:r w:rsidR="00BB7C18">
          <w:rPr>
            <w:noProof/>
            <w:webHidden/>
          </w:rPr>
          <w:t>120</w:t>
        </w:r>
        <w:r w:rsidR="00DC08A1" w:rsidRPr="00400193">
          <w:rPr>
            <w:noProof/>
            <w:webHidden/>
          </w:rPr>
          <w:fldChar w:fldCharType="end"/>
        </w:r>
      </w:hyperlink>
    </w:p>
    <w:p w14:paraId="6C19E9C1" w14:textId="75BEDAD7"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1" w:history="1">
        <w:r w:rsidR="00DC08A1" w:rsidRPr="00400193">
          <w:rPr>
            <w:rStyle w:val="Hyperlink"/>
            <w:noProof/>
            <w:color w:val="auto"/>
          </w:rPr>
          <w:t>Figure 5</w:t>
        </w:r>
        <w:r w:rsidR="00DC08A1" w:rsidRPr="00400193">
          <w:rPr>
            <w:rStyle w:val="Hyperlink"/>
            <w:noProof/>
            <w:color w:val="auto"/>
          </w:rPr>
          <w:noBreakHyphen/>
          <w:t>13: Organisation Resilience (OR). n = 104. See Table 0</w:t>
        </w:r>
        <w:r w:rsidR="00DC08A1" w:rsidRPr="00400193">
          <w:rPr>
            <w:rStyle w:val="Hyperlink"/>
            <w:noProof/>
            <w:color w:val="auto"/>
          </w:rPr>
          <w:noBreakHyphen/>
          <w:t>3 in Appendix 4 for Code or item explanation</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_Toc55387591 \h </w:instrText>
        </w:r>
        <w:r w:rsidR="00DC08A1" w:rsidRPr="00400193">
          <w:rPr>
            <w:noProof/>
            <w:webHidden/>
          </w:rPr>
        </w:r>
        <w:r w:rsidR="00DC08A1" w:rsidRPr="00400193">
          <w:rPr>
            <w:noProof/>
            <w:webHidden/>
          </w:rPr>
          <w:fldChar w:fldCharType="separate"/>
        </w:r>
        <w:r w:rsidR="00BB7C18">
          <w:rPr>
            <w:noProof/>
            <w:webHidden/>
          </w:rPr>
          <w:t>121</w:t>
        </w:r>
        <w:r w:rsidR="00DC08A1" w:rsidRPr="00400193">
          <w:rPr>
            <w:noProof/>
            <w:webHidden/>
          </w:rPr>
          <w:fldChar w:fldCharType="end"/>
        </w:r>
      </w:hyperlink>
    </w:p>
    <w:p w14:paraId="39299357" w14:textId="2D9BED50"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2" w:history="1">
        <w:r w:rsidR="00DC08A1" w:rsidRPr="00400193">
          <w:rPr>
            <w:rStyle w:val="Hyperlink"/>
            <w:noProof/>
            <w:color w:val="auto"/>
            <w:lang w:eastAsia="zh-CN" w:bidi="hi-IN"/>
          </w:rPr>
          <w:t>Figure 5</w:t>
        </w:r>
        <w:r w:rsidR="00DC08A1" w:rsidRPr="00400193">
          <w:rPr>
            <w:rStyle w:val="Hyperlink"/>
            <w:noProof/>
            <w:color w:val="auto"/>
            <w:lang w:eastAsia="zh-CN" w:bidi="hi-IN"/>
          </w:rPr>
          <w:noBreakHyphen/>
          <w:t>14: Overall structure of the analysis model</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_Toc55387592 \h </w:instrText>
        </w:r>
        <w:r w:rsidR="00DC08A1" w:rsidRPr="00400193">
          <w:rPr>
            <w:noProof/>
            <w:webHidden/>
          </w:rPr>
        </w:r>
        <w:r w:rsidR="00DC08A1" w:rsidRPr="00400193">
          <w:rPr>
            <w:noProof/>
            <w:webHidden/>
          </w:rPr>
          <w:fldChar w:fldCharType="separate"/>
        </w:r>
        <w:r w:rsidR="00BB7C18">
          <w:rPr>
            <w:noProof/>
            <w:webHidden/>
          </w:rPr>
          <w:t>149</w:t>
        </w:r>
        <w:r w:rsidR="00DC08A1" w:rsidRPr="00400193">
          <w:rPr>
            <w:noProof/>
            <w:webHidden/>
          </w:rPr>
          <w:fldChar w:fldCharType="end"/>
        </w:r>
      </w:hyperlink>
    </w:p>
    <w:p w14:paraId="0B063EC2" w14:textId="5F0C946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3" w:history="1">
        <w:r w:rsidR="00DC08A1" w:rsidRPr="00400193">
          <w:rPr>
            <w:rStyle w:val="Hyperlink"/>
            <w:noProof/>
            <w:color w:val="auto"/>
          </w:rPr>
          <w:t>Figure 5</w:t>
        </w:r>
        <w:r w:rsidR="00DC08A1" w:rsidRPr="00400193">
          <w:rPr>
            <w:rStyle w:val="Hyperlink"/>
            <w:noProof/>
            <w:color w:val="auto"/>
          </w:rPr>
          <w:noBreakHyphen/>
          <w:t>15: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_Toc55387593 \h </w:instrText>
        </w:r>
        <w:r w:rsidR="00DC08A1" w:rsidRPr="00400193">
          <w:rPr>
            <w:noProof/>
            <w:webHidden/>
          </w:rPr>
        </w:r>
        <w:r w:rsidR="00DC08A1" w:rsidRPr="00400193">
          <w:rPr>
            <w:noProof/>
            <w:webHidden/>
          </w:rPr>
          <w:fldChar w:fldCharType="separate"/>
        </w:r>
        <w:r w:rsidR="00BB7C18">
          <w:rPr>
            <w:noProof/>
            <w:webHidden/>
          </w:rPr>
          <w:t>152</w:t>
        </w:r>
        <w:r w:rsidR="00DC08A1" w:rsidRPr="00400193">
          <w:rPr>
            <w:noProof/>
            <w:webHidden/>
          </w:rPr>
          <w:fldChar w:fldCharType="end"/>
        </w:r>
      </w:hyperlink>
    </w:p>
    <w:p w14:paraId="09A25D44" w14:textId="5CD5C50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4" w:history="1">
        <w:r w:rsidR="00DC08A1" w:rsidRPr="00400193">
          <w:rPr>
            <w:rStyle w:val="Hyperlink"/>
            <w:noProof/>
            <w:color w:val="auto"/>
          </w:rPr>
          <w:t>Figure 5</w:t>
        </w:r>
        <w:r w:rsidR="00DC08A1" w:rsidRPr="00400193">
          <w:rPr>
            <w:rStyle w:val="Hyperlink"/>
            <w:noProof/>
            <w:color w:val="auto"/>
          </w:rPr>
          <w:noBreakHyphen/>
          <w:t xml:space="preserve">16: </w:t>
        </w:r>
        <w:r w:rsidR="00DC08A1" w:rsidRPr="00400193">
          <w:rPr>
            <w:rStyle w:val="Hyperlink"/>
            <w:bCs/>
            <w:noProof/>
            <w:color w:val="auto"/>
            <w:cs/>
          </w:rPr>
          <w:t>‎</w:t>
        </w:r>
        <w:r w:rsidR="00DC08A1" w:rsidRPr="00400193">
          <w:rPr>
            <w:rStyle w:val="Hyperlink"/>
            <w:bCs/>
            <w:noProof/>
            <w:color w:val="auto"/>
          </w:rPr>
          <w:t>Normal P-P plot of regression standardised residual for the dependent variable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_Toc55387594 \h </w:instrText>
        </w:r>
        <w:r w:rsidR="00DC08A1" w:rsidRPr="00400193">
          <w:rPr>
            <w:noProof/>
            <w:webHidden/>
          </w:rPr>
        </w:r>
        <w:r w:rsidR="00DC08A1" w:rsidRPr="00400193">
          <w:rPr>
            <w:noProof/>
            <w:webHidden/>
          </w:rPr>
          <w:fldChar w:fldCharType="separate"/>
        </w:r>
        <w:r w:rsidR="00BB7C18">
          <w:rPr>
            <w:noProof/>
            <w:webHidden/>
          </w:rPr>
          <w:t>153</w:t>
        </w:r>
        <w:r w:rsidR="00DC08A1" w:rsidRPr="00400193">
          <w:rPr>
            <w:noProof/>
            <w:webHidden/>
          </w:rPr>
          <w:fldChar w:fldCharType="end"/>
        </w:r>
      </w:hyperlink>
    </w:p>
    <w:p w14:paraId="34E0A370" w14:textId="4D2E1E58"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5" w:history="1">
        <w:r w:rsidR="00DC08A1" w:rsidRPr="00400193">
          <w:rPr>
            <w:rStyle w:val="Hyperlink"/>
            <w:noProof/>
            <w:color w:val="auto"/>
          </w:rPr>
          <w:t>Figure 5</w:t>
        </w:r>
        <w:r w:rsidR="00DC08A1" w:rsidRPr="00400193">
          <w:rPr>
            <w:rStyle w:val="Hyperlink"/>
            <w:noProof/>
            <w:color w:val="auto"/>
          </w:rPr>
          <w:noBreakHyphen/>
          <w:t>17: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_Toc55387595 \h </w:instrText>
        </w:r>
        <w:r w:rsidR="00DC08A1" w:rsidRPr="00400193">
          <w:rPr>
            <w:noProof/>
            <w:webHidden/>
          </w:rPr>
        </w:r>
        <w:r w:rsidR="00DC08A1" w:rsidRPr="00400193">
          <w:rPr>
            <w:noProof/>
            <w:webHidden/>
          </w:rPr>
          <w:fldChar w:fldCharType="separate"/>
        </w:r>
        <w:r w:rsidR="00BB7C18">
          <w:rPr>
            <w:noProof/>
            <w:webHidden/>
          </w:rPr>
          <w:t>155</w:t>
        </w:r>
        <w:r w:rsidR="00DC08A1" w:rsidRPr="00400193">
          <w:rPr>
            <w:noProof/>
            <w:webHidden/>
          </w:rPr>
          <w:fldChar w:fldCharType="end"/>
        </w:r>
      </w:hyperlink>
    </w:p>
    <w:p w14:paraId="28EAE032" w14:textId="59555E3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6" w:history="1">
        <w:r w:rsidR="00DC08A1" w:rsidRPr="00400193">
          <w:rPr>
            <w:rStyle w:val="Hyperlink"/>
            <w:noProof/>
            <w:color w:val="auto"/>
          </w:rPr>
          <w:t>Figure 5</w:t>
        </w:r>
        <w:r w:rsidR="00DC08A1" w:rsidRPr="00400193">
          <w:rPr>
            <w:rStyle w:val="Hyperlink"/>
            <w:noProof/>
            <w:color w:val="auto"/>
          </w:rPr>
          <w:noBreakHyphen/>
          <w:t>18: Normal P–P plot of regression standardised residual for the dependent variable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_Toc55387596 \h </w:instrText>
        </w:r>
        <w:r w:rsidR="00DC08A1" w:rsidRPr="00400193">
          <w:rPr>
            <w:noProof/>
            <w:webHidden/>
          </w:rPr>
        </w:r>
        <w:r w:rsidR="00DC08A1" w:rsidRPr="00400193">
          <w:rPr>
            <w:noProof/>
            <w:webHidden/>
          </w:rPr>
          <w:fldChar w:fldCharType="separate"/>
        </w:r>
        <w:r w:rsidR="00BB7C18">
          <w:rPr>
            <w:noProof/>
            <w:webHidden/>
          </w:rPr>
          <w:t>156</w:t>
        </w:r>
        <w:r w:rsidR="00DC08A1" w:rsidRPr="00400193">
          <w:rPr>
            <w:noProof/>
            <w:webHidden/>
          </w:rPr>
          <w:fldChar w:fldCharType="end"/>
        </w:r>
      </w:hyperlink>
    </w:p>
    <w:p w14:paraId="55A7B634" w14:textId="7882D4E4"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7" w:history="1">
        <w:r w:rsidR="00DC08A1" w:rsidRPr="00400193">
          <w:rPr>
            <w:rStyle w:val="Hyperlink"/>
            <w:noProof/>
            <w:color w:val="auto"/>
          </w:rPr>
          <w:t>Figure 5</w:t>
        </w:r>
        <w:r w:rsidR="00DC08A1" w:rsidRPr="00400193">
          <w:rPr>
            <w:rStyle w:val="Hyperlink"/>
            <w:noProof/>
            <w:color w:val="auto"/>
          </w:rPr>
          <w:noBreakHyphen/>
          <w:t>19: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_Toc55387597 \h </w:instrText>
        </w:r>
        <w:r w:rsidR="00DC08A1" w:rsidRPr="00400193">
          <w:rPr>
            <w:noProof/>
            <w:webHidden/>
          </w:rPr>
        </w:r>
        <w:r w:rsidR="00DC08A1" w:rsidRPr="00400193">
          <w:rPr>
            <w:noProof/>
            <w:webHidden/>
          </w:rPr>
          <w:fldChar w:fldCharType="separate"/>
        </w:r>
        <w:r w:rsidR="00BB7C18">
          <w:rPr>
            <w:noProof/>
            <w:webHidden/>
          </w:rPr>
          <w:t>158</w:t>
        </w:r>
        <w:r w:rsidR="00DC08A1" w:rsidRPr="00400193">
          <w:rPr>
            <w:noProof/>
            <w:webHidden/>
          </w:rPr>
          <w:fldChar w:fldCharType="end"/>
        </w:r>
      </w:hyperlink>
    </w:p>
    <w:p w14:paraId="1E05D324" w14:textId="5931814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8" w:history="1">
        <w:r w:rsidR="00DC08A1" w:rsidRPr="00400193">
          <w:rPr>
            <w:rStyle w:val="Hyperlink"/>
            <w:noProof/>
            <w:color w:val="auto"/>
          </w:rPr>
          <w:t>Figure 5</w:t>
        </w:r>
        <w:r w:rsidR="00DC08A1" w:rsidRPr="00400193">
          <w:rPr>
            <w:rStyle w:val="Hyperlink"/>
            <w:noProof/>
            <w:color w:val="auto"/>
          </w:rPr>
          <w:noBreakHyphen/>
          <w:t xml:space="preserve">20: </w:t>
        </w:r>
        <w:r w:rsidR="00DC08A1" w:rsidRPr="00400193">
          <w:rPr>
            <w:rStyle w:val="Hyperlink"/>
            <w:bCs/>
            <w:noProof/>
            <w:color w:val="auto"/>
            <w:cs/>
          </w:rPr>
          <w:t>‎</w:t>
        </w:r>
        <w:r w:rsidR="00DC08A1" w:rsidRPr="00400193">
          <w:rPr>
            <w:rStyle w:val="Hyperlink"/>
            <w:bCs/>
            <w:noProof/>
            <w:color w:val="auto"/>
          </w:rPr>
          <w:t>Normal P</w:t>
        </w:r>
        <w:r w:rsidR="00DC08A1" w:rsidRPr="00400193">
          <w:rPr>
            <w:rStyle w:val="Hyperlink"/>
            <w:noProof/>
            <w:color w:val="auto"/>
          </w:rPr>
          <w:t>–P plot of regression standardised residual for the dependent variable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_Toc55387598 \h </w:instrText>
        </w:r>
        <w:r w:rsidR="00DC08A1" w:rsidRPr="00400193">
          <w:rPr>
            <w:noProof/>
            <w:webHidden/>
          </w:rPr>
        </w:r>
        <w:r w:rsidR="00DC08A1" w:rsidRPr="00400193">
          <w:rPr>
            <w:noProof/>
            <w:webHidden/>
          </w:rPr>
          <w:fldChar w:fldCharType="separate"/>
        </w:r>
        <w:r w:rsidR="00BB7C18">
          <w:rPr>
            <w:noProof/>
            <w:webHidden/>
          </w:rPr>
          <w:t>159</w:t>
        </w:r>
        <w:r w:rsidR="00DC08A1" w:rsidRPr="00400193">
          <w:rPr>
            <w:noProof/>
            <w:webHidden/>
          </w:rPr>
          <w:fldChar w:fldCharType="end"/>
        </w:r>
      </w:hyperlink>
    </w:p>
    <w:p w14:paraId="6081D548" w14:textId="5DB3EF5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599" w:history="1">
        <w:r w:rsidR="00DC08A1" w:rsidRPr="00400193">
          <w:rPr>
            <w:rStyle w:val="Hyperlink"/>
            <w:noProof/>
            <w:color w:val="auto"/>
          </w:rPr>
          <w:t>Figure 5</w:t>
        </w:r>
        <w:r w:rsidR="00DC08A1" w:rsidRPr="00400193">
          <w:rPr>
            <w:rStyle w:val="Hyperlink"/>
            <w:noProof/>
            <w:color w:val="auto"/>
          </w:rPr>
          <w:noBreakHyphen/>
          <w:t>21: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_Toc55387599 \h </w:instrText>
        </w:r>
        <w:r w:rsidR="00DC08A1" w:rsidRPr="00400193">
          <w:rPr>
            <w:noProof/>
            <w:webHidden/>
          </w:rPr>
        </w:r>
        <w:r w:rsidR="00DC08A1" w:rsidRPr="00400193">
          <w:rPr>
            <w:noProof/>
            <w:webHidden/>
          </w:rPr>
          <w:fldChar w:fldCharType="separate"/>
        </w:r>
        <w:r w:rsidR="00BB7C18">
          <w:rPr>
            <w:noProof/>
            <w:webHidden/>
          </w:rPr>
          <w:t>161</w:t>
        </w:r>
        <w:r w:rsidR="00DC08A1" w:rsidRPr="00400193">
          <w:rPr>
            <w:noProof/>
            <w:webHidden/>
          </w:rPr>
          <w:fldChar w:fldCharType="end"/>
        </w:r>
      </w:hyperlink>
    </w:p>
    <w:p w14:paraId="6FE016C0" w14:textId="1E180EE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0" w:history="1">
        <w:r w:rsidR="00DC08A1" w:rsidRPr="00400193">
          <w:rPr>
            <w:rStyle w:val="Hyperlink"/>
            <w:noProof/>
            <w:color w:val="auto"/>
          </w:rPr>
          <w:t>Figure 5</w:t>
        </w:r>
        <w:r w:rsidR="00DC08A1" w:rsidRPr="00400193">
          <w:rPr>
            <w:rStyle w:val="Hyperlink"/>
            <w:noProof/>
            <w:color w:val="auto"/>
          </w:rPr>
          <w:noBreakHyphen/>
          <w:t>22: Normal P–P plot of regression standardised residual for the dependent variable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_Toc55387600 \h </w:instrText>
        </w:r>
        <w:r w:rsidR="00DC08A1" w:rsidRPr="00400193">
          <w:rPr>
            <w:noProof/>
            <w:webHidden/>
          </w:rPr>
        </w:r>
        <w:r w:rsidR="00DC08A1" w:rsidRPr="00400193">
          <w:rPr>
            <w:noProof/>
            <w:webHidden/>
          </w:rPr>
          <w:fldChar w:fldCharType="separate"/>
        </w:r>
        <w:r w:rsidR="00BB7C18">
          <w:rPr>
            <w:noProof/>
            <w:webHidden/>
          </w:rPr>
          <w:t>162</w:t>
        </w:r>
        <w:r w:rsidR="00DC08A1" w:rsidRPr="00400193">
          <w:rPr>
            <w:noProof/>
            <w:webHidden/>
          </w:rPr>
          <w:fldChar w:fldCharType="end"/>
        </w:r>
      </w:hyperlink>
    </w:p>
    <w:p w14:paraId="02D5BDAA" w14:textId="619ABFFA"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1" w:history="1">
        <w:r w:rsidR="00DC08A1" w:rsidRPr="00400193">
          <w:rPr>
            <w:rStyle w:val="Hyperlink"/>
            <w:noProof/>
            <w:color w:val="auto"/>
          </w:rPr>
          <w:t>Figure 5</w:t>
        </w:r>
        <w:r w:rsidR="00DC08A1" w:rsidRPr="00400193">
          <w:rPr>
            <w:rStyle w:val="Hyperlink"/>
            <w:noProof/>
            <w:color w:val="auto"/>
          </w:rPr>
          <w:noBreakHyphen/>
          <w:t>23: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_Toc55387601 \h </w:instrText>
        </w:r>
        <w:r w:rsidR="00DC08A1" w:rsidRPr="00400193">
          <w:rPr>
            <w:noProof/>
            <w:webHidden/>
          </w:rPr>
        </w:r>
        <w:r w:rsidR="00DC08A1" w:rsidRPr="00400193">
          <w:rPr>
            <w:noProof/>
            <w:webHidden/>
          </w:rPr>
          <w:fldChar w:fldCharType="separate"/>
        </w:r>
        <w:r w:rsidR="00BB7C18">
          <w:rPr>
            <w:noProof/>
            <w:webHidden/>
          </w:rPr>
          <w:t>164</w:t>
        </w:r>
        <w:r w:rsidR="00DC08A1" w:rsidRPr="00400193">
          <w:rPr>
            <w:noProof/>
            <w:webHidden/>
          </w:rPr>
          <w:fldChar w:fldCharType="end"/>
        </w:r>
      </w:hyperlink>
    </w:p>
    <w:p w14:paraId="5CD9C440" w14:textId="57D5C04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2" w:history="1">
        <w:r w:rsidR="00DC08A1" w:rsidRPr="00400193">
          <w:rPr>
            <w:rStyle w:val="Hyperlink"/>
            <w:noProof/>
            <w:color w:val="auto"/>
          </w:rPr>
          <w:t>Figure 5</w:t>
        </w:r>
        <w:r w:rsidR="00DC08A1" w:rsidRPr="00400193">
          <w:rPr>
            <w:rStyle w:val="Hyperlink"/>
            <w:noProof/>
            <w:color w:val="auto"/>
          </w:rPr>
          <w:noBreakHyphen/>
          <w:t>24: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_Toc55387602 \h </w:instrText>
        </w:r>
        <w:r w:rsidR="00DC08A1" w:rsidRPr="00400193">
          <w:rPr>
            <w:noProof/>
            <w:webHidden/>
          </w:rPr>
        </w:r>
        <w:r w:rsidR="00DC08A1" w:rsidRPr="00400193">
          <w:rPr>
            <w:noProof/>
            <w:webHidden/>
          </w:rPr>
          <w:fldChar w:fldCharType="separate"/>
        </w:r>
        <w:r w:rsidR="00BB7C18">
          <w:rPr>
            <w:noProof/>
            <w:webHidden/>
          </w:rPr>
          <w:t>165</w:t>
        </w:r>
        <w:r w:rsidR="00DC08A1" w:rsidRPr="00400193">
          <w:rPr>
            <w:noProof/>
            <w:webHidden/>
          </w:rPr>
          <w:fldChar w:fldCharType="end"/>
        </w:r>
      </w:hyperlink>
    </w:p>
    <w:p w14:paraId="294AAC83" w14:textId="12C7485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3" w:history="1">
        <w:r w:rsidR="00DC08A1" w:rsidRPr="00400193">
          <w:rPr>
            <w:rStyle w:val="Hyperlink"/>
            <w:noProof/>
            <w:color w:val="auto"/>
          </w:rPr>
          <w:t>Figure 5</w:t>
        </w:r>
        <w:r w:rsidR="00DC08A1" w:rsidRPr="00400193">
          <w:rPr>
            <w:rStyle w:val="Hyperlink"/>
            <w:noProof/>
            <w:color w:val="auto"/>
          </w:rPr>
          <w:noBreakHyphen/>
          <w:t>25: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_Toc55387603 \h </w:instrText>
        </w:r>
        <w:r w:rsidR="00DC08A1" w:rsidRPr="00400193">
          <w:rPr>
            <w:noProof/>
            <w:webHidden/>
          </w:rPr>
        </w:r>
        <w:r w:rsidR="00DC08A1" w:rsidRPr="00400193">
          <w:rPr>
            <w:noProof/>
            <w:webHidden/>
          </w:rPr>
          <w:fldChar w:fldCharType="separate"/>
        </w:r>
        <w:r w:rsidR="00BB7C18">
          <w:rPr>
            <w:noProof/>
            <w:webHidden/>
          </w:rPr>
          <w:t>165</w:t>
        </w:r>
        <w:r w:rsidR="00DC08A1" w:rsidRPr="00400193">
          <w:rPr>
            <w:noProof/>
            <w:webHidden/>
          </w:rPr>
          <w:fldChar w:fldCharType="end"/>
        </w:r>
      </w:hyperlink>
    </w:p>
    <w:p w14:paraId="30C8DF3A" w14:textId="74B12CF2"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4" w:history="1">
        <w:r w:rsidR="00DC08A1" w:rsidRPr="00400193">
          <w:rPr>
            <w:rStyle w:val="Hyperlink"/>
            <w:noProof/>
            <w:color w:val="auto"/>
          </w:rPr>
          <w:t>Figure 5</w:t>
        </w:r>
        <w:r w:rsidR="00DC08A1" w:rsidRPr="00400193">
          <w:rPr>
            <w:rStyle w:val="Hyperlink"/>
            <w:noProof/>
            <w:color w:val="auto"/>
          </w:rPr>
          <w:noBreakHyphen/>
          <w:t>26: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_Toc55387604 \h </w:instrText>
        </w:r>
        <w:r w:rsidR="00DC08A1" w:rsidRPr="00400193">
          <w:rPr>
            <w:noProof/>
            <w:webHidden/>
          </w:rPr>
        </w:r>
        <w:r w:rsidR="00DC08A1" w:rsidRPr="00400193">
          <w:rPr>
            <w:noProof/>
            <w:webHidden/>
          </w:rPr>
          <w:fldChar w:fldCharType="separate"/>
        </w:r>
        <w:r w:rsidR="00BB7C18">
          <w:rPr>
            <w:noProof/>
            <w:webHidden/>
          </w:rPr>
          <w:t>166</w:t>
        </w:r>
        <w:r w:rsidR="00DC08A1" w:rsidRPr="00400193">
          <w:rPr>
            <w:noProof/>
            <w:webHidden/>
          </w:rPr>
          <w:fldChar w:fldCharType="end"/>
        </w:r>
      </w:hyperlink>
    </w:p>
    <w:p w14:paraId="25289268" w14:textId="0A81A05A"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5" w:history="1">
        <w:r w:rsidR="00DC08A1" w:rsidRPr="00400193">
          <w:rPr>
            <w:rStyle w:val="Hyperlink"/>
            <w:noProof/>
            <w:color w:val="auto"/>
          </w:rPr>
          <w:t>Figure 5</w:t>
        </w:r>
        <w:r w:rsidR="00DC08A1" w:rsidRPr="00400193">
          <w:rPr>
            <w:rStyle w:val="Hyperlink"/>
            <w:noProof/>
            <w:color w:val="auto"/>
          </w:rPr>
          <w:noBreakHyphen/>
          <w:t>27: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_Toc55387605 \h </w:instrText>
        </w:r>
        <w:r w:rsidR="00DC08A1" w:rsidRPr="00400193">
          <w:rPr>
            <w:noProof/>
            <w:webHidden/>
          </w:rPr>
        </w:r>
        <w:r w:rsidR="00DC08A1" w:rsidRPr="00400193">
          <w:rPr>
            <w:noProof/>
            <w:webHidden/>
          </w:rPr>
          <w:fldChar w:fldCharType="separate"/>
        </w:r>
        <w:r w:rsidR="00BB7C18">
          <w:rPr>
            <w:noProof/>
            <w:webHidden/>
          </w:rPr>
          <w:t>168</w:t>
        </w:r>
        <w:r w:rsidR="00DC08A1" w:rsidRPr="00400193">
          <w:rPr>
            <w:noProof/>
            <w:webHidden/>
          </w:rPr>
          <w:fldChar w:fldCharType="end"/>
        </w:r>
      </w:hyperlink>
    </w:p>
    <w:p w14:paraId="20856D8F" w14:textId="2C357BC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6" w:history="1">
        <w:r w:rsidR="00DC08A1" w:rsidRPr="00400193">
          <w:rPr>
            <w:rStyle w:val="Hyperlink"/>
            <w:noProof/>
            <w:color w:val="auto"/>
          </w:rPr>
          <w:t>Figure 5</w:t>
        </w:r>
        <w:r w:rsidR="00DC08A1" w:rsidRPr="00400193">
          <w:rPr>
            <w:rStyle w:val="Hyperlink"/>
            <w:noProof/>
            <w:color w:val="auto"/>
          </w:rPr>
          <w:noBreakHyphen/>
          <w:t>28: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_Toc55387606 \h </w:instrText>
        </w:r>
        <w:r w:rsidR="00DC08A1" w:rsidRPr="00400193">
          <w:rPr>
            <w:noProof/>
            <w:webHidden/>
          </w:rPr>
        </w:r>
        <w:r w:rsidR="00DC08A1" w:rsidRPr="00400193">
          <w:rPr>
            <w:noProof/>
            <w:webHidden/>
          </w:rPr>
          <w:fldChar w:fldCharType="separate"/>
        </w:r>
        <w:r w:rsidR="00BB7C18">
          <w:rPr>
            <w:noProof/>
            <w:webHidden/>
          </w:rPr>
          <w:t>168</w:t>
        </w:r>
        <w:r w:rsidR="00DC08A1" w:rsidRPr="00400193">
          <w:rPr>
            <w:noProof/>
            <w:webHidden/>
          </w:rPr>
          <w:fldChar w:fldCharType="end"/>
        </w:r>
      </w:hyperlink>
    </w:p>
    <w:p w14:paraId="39C8CF41" w14:textId="4CA68B4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7" w:history="1">
        <w:r w:rsidR="00DC08A1" w:rsidRPr="00400193">
          <w:rPr>
            <w:rStyle w:val="Hyperlink"/>
            <w:noProof/>
            <w:color w:val="auto"/>
          </w:rPr>
          <w:t>Figure 5</w:t>
        </w:r>
        <w:r w:rsidR="00DC08A1" w:rsidRPr="00400193">
          <w:rPr>
            <w:rStyle w:val="Hyperlink"/>
            <w:noProof/>
            <w:color w:val="auto"/>
          </w:rPr>
          <w:noBreakHyphen/>
          <w:t>29: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_Toc55387607 \h </w:instrText>
        </w:r>
        <w:r w:rsidR="00DC08A1" w:rsidRPr="00400193">
          <w:rPr>
            <w:noProof/>
            <w:webHidden/>
          </w:rPr>
        </w:r>
        <w:r w:rsidR="00DC08A1" w:rsidRPr="00400193">
          <w:rPr>
            <w:noProof/>
            <w:webHidden/>
          </w:rPr>
          <w:fldChar w:fldCharType="separate"/>
        </w:r>
        <w:r w:rsidR="00BB7C18">
          <w:rPr>
            <w:noProof/>
            <w:webHidden/>
          </w:rPr>
          <w:t>169</w:t>
        </w:r>
        <w:r w:rsidR="00DC08A1" w:rsidRPr="00400193">
          <w:rPr>
            <w:noProof/>
            <w:webHidden/>
          </w:rPr>
          <w:fldChar w:fldCharType="end"/>
        </w:r>
      </w:hyperlink>
    </w:p>
    <w:p w14:paraId="67C3D551" w14:textId="66D1DD20"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8" w:history="1">
        <w:r w:rsidR="00DC08A1" w:rsidRPr="00400193">
          <w:rPr>
            <w:rStyle w:val="Hyperlink"/>
            <w:noProof/>
            <w:color w:val="auto"/>
          </w:rPr>
          <w:t>Figure 5</w:t>
        </w:r>
        <w:r w:rsidR="00DC08A1" w:rsidRPr="00400193">
          <w:rPr>
            <w:rStyle w:val="Hyperlink"/>
            <w:noProof/>
            <w:color w:val="auto"/>
          </w:rPr>
          <w:noBreakHyphen/>
          <w:t>30: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_Toc55387608 \h </w:instrText>
        </w:r>
        <w:r w:rsidR="00DC08A1" w:rsidRPr="00400193">
          <w:rPr>
            <w:noProof/>
            <w:webHidden/>
          </w:rPr>
        </w:r>
        <w:r w:rsidR="00DC08A1" w:rsidRPr="00400193">
          <w:rPr>
            <w:noProof/>
            <w:webHidden/>
          </w:rPr>
          <w:fldChar w:fldCharType="separate"/>
        </w:r>
        <w:r w:rsidR="00BB7C18">
          <w:rPr>
            <w:noProof/>
            <w:webHidden/>
          </w:rPr>
          <w:t>169</w:t>
        </w:r>
        <w:r w:rsidR="00DC08A1" w:rsidRPr="00400193">
          <w:rPr>
            <w:noProof/>
            <w:webHidden/>
          </w:rPr>
          <w:fldChar w:fldCharType="end"/>
        </w:r>
      </w:hyperlink>
    </w:p>
    <w:p w14:paraId="5EDB630F" w14:textId="1F9E5E4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09" w:history="1">
        <w:r w:rsidR="00DC08A1" w:rsidRPr="00400193">
          <w:rPr>
            <w:rStyle w:val="Hyperlink"/>
            <w:noProof/>
            <w:color w:val="auto"/>
          </w:rPr>
          <w:t>Figure 5</w:t>
        </w:r>
        <w:r w:rsidR="00DC08A1" w:rsidRPr="00400193">
          <w:rPr>
            <w:rStyle w:val="Hyperlink"/>
            <w:noProof/>
            <w:color w:val="auto"/>
          </w:rPr>
          <w:noBreakHyphen/>
          <w:t>31: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_Toc55387609 \h </w:instrText>
        </w:r>
        <w:r w:rsidR="00DC08A1" w:rsidRPr="00400193">
          <w:rPr>
            <w:noProof/>
            <w:webHidden/>
          </w:rPr>
        </w:r>
        <w:r w:rsidR="00DC08A1" w:rsidRPr="00400193">
          <w:rPr>
            <w:noProof/>
            <w:webHidden/>
          </w:rPr>
          <w:fldChar w:fldCharType="separate"/>
        </w:r>
        <w:r w:rsidR="00BB7C18">
          <w:rPr>
            <w:noProof/>
            <w:webHidden/>
          </w:rPr>
          <w:t>172</w:t>
        </w:r>
        <w:r w:rsidR="00DC08A1" w:rsidRPr="00400193">
          <w:rPr>
            <w:noProof/>
            <w:webHidden/>
          </w:rPr>
          <w:fldChar w:fldCharType="end"/>
        </w:r>
      </w:hyperlink>
    </w:p>
    <w:p w14:paraId="2174201A" w14:textId="2AC61BF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0" w:history="1">
        <w:r w:rsidR="00DC08A1" w:rsidRPr="00400193">
          <w:rPr>
            <w:rStyle w:val="Hyperlink"/>
            <w:noProof/>
            <w:color w:val="auto"/>
          </w:rPr>
          <w:t>Figure 5</w:t>
        </w:r>
        <w:r w:rsidR="00DC08A1" w:rsidRPr="00400193">
          <w:rPr>
            <w:rStyle w:val="Hyperlink"/>
            <w:noProof/>
            <w:color w:val="auto"/>
          </w:rPr>
          <w:noBreakHyphen/>
          <w:t>32: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_Toc55387610 \h </w:instrText>
        </w:r>
        <w:r w:rsidR="00DC08A1" w:rsidRPr="00400193">
          <w:rPr>
            <w:noProof/>
            <w:webHidden/>
          </w:rPr>
        </w:r>
        <w:r w:rsidR="00DC08A1" w:rsidRPr="00400193">
          <w:rPr>
            <w:noProof/>
            <w:webHidden/>
          </w:rPr>
          <w:fldChar w:fldCharType="separate"/>
        </w:r>
        <w:r w:rsidR="00BB7C18">
          <w:rPr>
            <w:noProof/>
            <w:webHidden/>
          </w:rPr>
          <w:t>172</w:t>
        </w:r>
        <w:r w:rsidR="00DC08A1" w:rsidRPr="00400193">
          <w:rPr>
            <w:noProof/>
            <w:webHidden/>
          </w:rPr>
          <w:fldChar w:fldCharType="end"/>
        </w:r>
      </w:hyperlink>
    </w:p>
    <w:p w14:paraId="7F003D43" w14:textId="75D20DFF"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1" w:history="1">
        <w:r w:rsidR="00DC08A1" w:rsidRPr="00400193">
          <w:rPr>
            <w:rStyle w:val="Hyperlink"/>
            <w:noProof/>
            <w:color w:val="auto"/>
          </w:rPr>
          <w:t>Figure 5</w:t>
        </w:r>
        <w:r w:rsidR="00DC08A1" w:rsidRPr="00400193">
          <w:rPr>
            <w:rStyle w:val="Hyperlink"/>
            <w:noProof/>
            <w:color w:val="auto"/>
          </w:rPr>
          <w:noBreakHyphen/>
          <w:t>33: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_Toc55387611 \h </w:instrText>
        </w:r>
        <w:r w:rsidR="00DC08A1" w:rsidRPr="00400193">
          <w:rPr>
            <w:noProof/>
            <w:webHidden/>
          </w:rPr>
        </w:r>
        <w:r w:rsidR="00DC08A1" w:rsidRPr="00400193">
          <w:rPr>
            <w:noProof/>
            <w:webHidden/>
          </w:rPr>
          <w:fldChar w:fldCharType="separate"/>
        </w:r>
        <w:r w:rsidR="00BB7C18">
          <w:rPr>
            <w:noProof/>
            <w:webHidden/>
          </w:rPr>
          <w:t>173</w:t>
        </w:r>
        <w:r w:rsidR="00DC08A1" w:rsidRPr="00400193">
          <w:rPr>
            <w:noProof/>
            <w:webHidden/>
          </w:rPr>
          <w:fldChar w:fldCharType="end"/>
        </w:r>
      </w:hyperlink>
    </w:p>
    <w:p w14:paraId="473B3FE8" w14:textId="5DE98D17"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2" w:history="1">
        <w:r w:rsidR="00DC08A1" w:rsidRPr="00400193">
          <w:rPr>
            <w:rStyle w:val="Hyperlink"/>
            <w:noProof/>
            <w:color w:val="auto"/>
          </w:rPr>
          <w:t>Figure 5</w:t>
        </w:r>
        <w:r w:rsidR="00DC08A1" w:rsidRPr="00400193">
          <w:rPr>
            <w:rStyle w:val="Hyperlink"/>
            <w:noProof/>
            <w:color w:val="auto"/>
          </w:rPr>
          <w:noBreakHyphen/>
          <w:t>34: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_Toc55387612 \h </w:instrText>
        </w:r>
        <w:r w:rsidR="00DC08A1" w:rsidRPr="00400193">
          <w:rPr>
            <w:noProof/>
            <w:webHidden/>
          </w:rPr>
        </w:r>
        <w:r w:rsidR="00DC08A1" w:rsidRPr="00400193">
          <w:rPr>
            <w:noProof/>
            <w:webHidden/>
          </w:rPr>
          <w:fldChar w:fldCharType="separate"/>
        </w:r>
        <w:r w:rsidR="00BB7C18">
          <w:rPr>
            <w:noProof/>
            <w:webHidden/>
          </w:rPr>
          <w:t>173</w:t>
        </w:r>
        <w:r w:rsidR="00DC08A1" w:rsidRPr="00400193">
          <w:rPr>
            <w:noProof/>
            <w:webHidden/>
          </w:rPr>
          <w:fldChar w:fldCharType="end"/>
        </w:r>
      </w:hyperlink>
    </w:p>
    <w:p w14:paraId="470F77D4" w14:textId="3C3B8D3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3" w:history="1">
        <w:r w:rsidR="00DC08A1" w:rsidRPr="00400193">
          <w:rPr>
            <w:rStyle w:val="Hyperlink"/>
            <w:noProof/>
            <w:color w:val="auto"/>
          </w:rPr>
          <w:t>Figure 5</w:t>
        </w:r>
        <w:r w:rsidR="00DC08A1" w:rsidRPr="00400193">
          <w:rPr>
            <w:rStyle w:val="Hyperlink"/>
            <w:noProof/>
            <w:color w:val="auto"/>
          </w:rPr>
          <w:noBreakHyphen/>
          <w:t>35: Scatter plot for residual results from the model for RP and VW and OR scales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_Toc55387613 \h </w:instrText>
        </w:r>
        <w:r w:rsidR="00DC08A1" w:rsidRPr="00400193">
          <w:rPr>
            <w:noProof/>
            <w:webHidden/>
          </w:rPr>
        </w:r>
        <w:r w:rsidR="00DC08A1" w:rsidRPr="00400193">
          <w:rPr>
            <w:noProof/>
            <w:webHidden/>
          </w:rPr>
          <w:fldChar w:fldCharType="separate"/>
        </w:r>
        <w:r w:rsidR="00BB7C18">
          <w:rPr>
            <w:noProof/>
            <w:webHidden/>
          </w:rPr>
          <w:t>176</w:t>
        </w:r>
        <w:r w:rsidR="00DC08A1" w:rsidRPr="00400193">
          <w:rPr>
            <w:noProof/>
            <w:webHidden/>
          </w:rPr>
          <w:fldChar w:fldCharType="end"/>
        </w:r>
      </w:hyperlink>
    </w:p>
    <w:p w14:paraId="3774E3F9" w14:textId="2593E67C"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4" w:history="1">
        <w:r w:rsidR="00DC08A1" w:rsidRPr="00400193">
          <w:rPr>
            <w:rStyle w:val="Hyperlink"/>
            <w:noProof/>
            <w:color w:val="auto"/>
          </w:rPr>
          <w:t>Figure 5</w:t>
        </w:r>
        <w:r w:rsidR="00DC08A1" w:rsidRPr="00400193">
          <w:rPr>
            <w:rStyle w:val="Hyperlink"/>
            <w:noProof/>
            <w:color w:val="auto"/>
          </w:rPr>
          <w:noBreakHyphen/>
          <w:t>36: Scatter plot for residual results from the model for RP and VW and OR scales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_Toc55387614 \h </w:instrText>
        </w:r>
        <w:r w:rsidR="00DC08A1" w:rsidRPr="00400193">
          <w:rPr>
            <w:noProof/>
            <w:webHidden/>
          </w:rPr>
        </w:r>
        <w:r w:rsidR="00DC08A1" w:rsidRPr="00400193">
          <w:rPr>
            <w:noProof/>
            <w:webHidden/>
          </w:rPr>
          <w:fldChar w:fldCharType="separate"/>
        </w:r>
        <w:r w:rsidR="00BB7C18">
          <w:rPr>
            <w:noProof/>
            <w:webHidden/>
          </w:rPr>
          <w:t>176</w:t>
        </w:r>
        <w:r w:rsidR="00DC08A1" w:rsidRPr="00400193">
          <w:rPr>
            <w:noProof/>
            <w:webHidden/>
          </w:rPr>
          <w:fldChar w:fldCharType="end"/>
        </w:r>
      </w:hyperlink>
    </w:p>
    <w:p w14:paraId="1A5A86C6" w14:textId="662443F6"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5" w:history="1">
        <w:r w:rsidR="00DC08A1" w:rsidRPr="00400193">
          <w:rPr>
            <w:rStyle w:val="Hyperlink"/>
            <w:noProof/>
            <w:color w:val="auto"/>
          </w:rPr>
          <w:t>Figure 5</w:t>
        </w:r>
        <w:r w:rsidR="00DC08A1" w:rsidRPr="00400193">
          <w:rPr>
            <w:rStyle w:val="Hyperlink"/>
            <w:noProof/>
            <w:color w:val="auto"/>
          </w:rPr>
          <w:noBreakHyphen/>
          <w:t>37: Histogram of the frequency of the standardised residuals for RP and VW and OR scales</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_Toc55387615 \h </w:instrText>
        </w:r>
        <w:r w:rsidR="00DC08A1" w:rsidRPr="00400193">
          <w:rPr>
            <w:noProof/>
            <w:webHidden/>
          </w:rPr>
        </w:r>
        <w:r w:rsidR="00DC08A1" w:rsidRPr="00400193">
          <w:rPr>
            <w:noProof/>
            <w:webHidden/>
          </w:rPr>
          <w:fldChar w:fldCharType="separate"/>
        </w:r>
        <w:r w:rsidR="00BB7C18">
          <w:rPr>
            <w:noProof/>
            <w:webHidden/>
          </w:rPr>
          <w:t>177</w:t>
        </w:r>
        <w:r w:rsidR="00DC08A1" w:rsidRPr="00400193">
          <w:rPr>
            <w:noProof/>
            <w:webHidden/>
          </w:rPr>
          <w:fldChar w:fldCharType="end"/>
        </w:r>
      </w:hyperlink>
    </w:p>
    <w:p w14:paraId="1DF12011" w14:textId="56120CD3"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6" w:history="1">
        <w:r w:rsidR="00DC08A1" w:rsidRPr="00400193">
          <w:rPr>
            <w:rStyle w:val="Hyperlink"/>
            <w:noProof/>
            <w:color w:val="auto"/>
          </w:rPr>
          <w:t>Figure 5</w:t>
        </w:r>
        <w:r w:rsidR="00DC08A1" w:rsidRPr="00400193">
          <w:rPr>
            <w:rStyle w:val="Hyperlink"/>
            <w:noProof/>
            <w:color w:val="auto"/>
          </w:rPr>
          <w:noBreakHyphen/>
          <w:t>38: Normal P–P plot of regression standardised residual for the dependent variable RP</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_Toc55387616 \h </w:instrText>
        </w:r>
        <w:r w:rsidR="00DC08A1" w:rsidRPr="00400193">
          <w:rPr>
            <w:noProof/>
            <w:webHidden/>
          </w:rPr>
        </w:r>
        <w:r w:rsidR="00DC08A1" w:rsidRPr="00400193">
          <w:rPr>
            <w:noProof/>
            <w:webHidden/>
          </w:rPr>
          <w:fldChar w:fldCharType="separate"/>
        </w:r>
        <w:r w:rsidR="00BB7C18">
          <w:rPr>
            <w:noProof/>
            <w:webHidden/>
          </w:rPr>
          <w:t>177</w:t>
        </w:r>
        <w:r w:rsidR="00DC08A1" w:rsidRPr="00400193">
          <w:rPr>
            <w:noProof/>
            <w:webHidden/>
          </w:rPr>
          <w:fldChar w:fldCharType="end"/>
        </w:r>
      </w:hyperlink>
    </w:p>
    <w:p w14:paraId="4667E040" w14:textId="712CBFC7"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7" w:history="1">
        <w:r w:rsidR="00DC08A1" w:rsidRPr="00400193">
          <w:rPr>
            <w:rStyle w:val="Hyperlink"/>
            <w:noProof/>
            <w:color w:val="auto"/>
          </w:rPr>
          <w:t>Figure 5</w:t>
        </w:r>
        <w:r w:rsidR="00DC08A1" w:rsidRPr="00400193">
          <w:rPr>
            <w:rStyle w:val="Hyperlink"/>
            <w:noProof/>
            <w:color w:val="auto"/>
          </w:rPr>
          <w:noBreakHyphen/>
          <w:t>39: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_Toc55387617 \h </w:instrText>
        </w:r>
        <w:r w:rsidR="00DC08A1" w:rsidRPr="00400193">
          <w:rPr>
            <w:noProof/>
            <w:webHidden/>
          </w:rPr>
        </w:r>
        <w:r w:rsidR="00DC08A1" w:rsidRPr="00400193">
          <w:rPr>
            <w:noProof/>
            <w:webHidden/>
          </w:rPr>
          <w:fldChar w:fldCharType="separate"/>
        </w:r>
        <w:r w:rsidR="00BB7C18">
          <w:rPr>
            <w:noProof/>
            <w:webHidden/>
          </w:rPr>
          <w:t>180</w:t>
        </w:r>
        <w:r w:rsidR="00DC08A1" w:rsidRPr="00400193">
          <w:rPr>
            <w:noProof/>
            <w:webHidden/>
          </w:rPr>
          <w:fldChar w:fldCharType="end"/>
        </w:r>
      </w:hyperlink>
    </w:p>
    <w:p w14:paraId="1A12DA4F" w14:textId="3725272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8" w:history="1">
        <w:r w:rsidR="00DC08A1" w:rsidRPr="00400193">
          <w:rPr>
            <w:rStyle w:val="Hyperlink"/>
            <w:noProof/>
            <w:color w:val="auto"/>
          </w:rPr>
          <w:t>Figure 5</w:t>
        </w:r>
        <w:r w:rsidR="00DC08A1" w:rsidRPr="00400193">
          <w:rPr>
            <w:rStyle w:val="Hyperlink"/>
            <w:noProof/>
            <w:color w:val="auto"/>
          </w:rPr>
          <w:noBreakHyphen/>
          <w:t>40: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_Toc55387618 \h </w:instrText>
        </w:r>
        <w:r w:rsidR="00DC08A1" w:rsidRPr="00400193">
          <w:rPr>
            <w:noProof/>
            <w:webHidden/>
          </w:rPr>
        </w:r>
        <w:r w:rsidR="00DC08A1" w:rsidRPr="00400193">
          <w:rPr>
            <w:noProof/>
            <w:webHidden/>
          </w:rPr>
          <w:fldChar w:fldCharType="separate"/>
        </w:r>
        <w:r w:rsidR="00BB7C18">
          <w:rPr>
            <w:noProof/>
            <w:webHidden/>
          </w:rPr>
          <w:t>180</w:t>
        </w:r>
        <w:r w:rsidR="00DC08A1" w:rsidRPr="00400193">
          <w:rPr>
            <w:noProof/>
            <w:webHidden/>
          </w:rPr>
          <w:fldChar w:fldCharType="end"/>
        </w:r>
      </w:hyperlink>
    </w:p>
    <w:p w14:paraId="604DC11E" w14:textId="2045098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19" w:history="1">
        <w:r w:rsidR="00DC08A1" w:rsidRPr="00400193">
          <w:rPr>
            <w:rStyle w:val="Hyperlink"/>
            <w:noProof/>
            <w:color w:val="auto"/>
          </w:rPr>
          <w:t>Figure 5</w:t>
        </w:r>
        <w:r w:rsidR="00DC08A1" w:rsidRPr="00400193">
          <w:rPr>
            <w:rStyle w:val="Hyperlink"/>
            <w:noProof/>
            <w:color w:val="auto"/>
          </w:rPr>
          <w:noBreakHyphen/>
          <w:t>41: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_Toc55387619 \h </w:instrText>
        </w:r>
        <w:r w:rsidR="00DC08A1" w:rsidRPr="00400193">
          <w:rPr>
            <w:noProof/>
            <w:webHidden/>
          </w:rPr>
        </w:r>
        <w:r w:rsidR="00DC08A1" w:rsidRPr="00400193">
          <w:rPr>
            <w:noProof/>
            <w:webHidden/>
          </w:rPr>
          <w:fldChar w:fldCharType="separate"/>
        </w:r>
        <w:r w:rsidR="00BB7C18">
          <w:rPr>
            <w:noProof/>
            <w:webHidden/>
          </w:rPr>
          <w:t>181</w:t>
        </w:r>
        <w:r w:rsidR="00DC08A1" w:rsidRPr="00400193">
          <w:rPr>
            <w:noProof/>
            <w:webHidden/>
          </w:rPr>
          <w:fldChar w:fldCharType="end"/>
        </w:r>
      </w:hyperlink>
    </w:p>
    <w:p w14:paraId="21F6937C" w14:textId="6A731AA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0" w:history="1">
        <w:r w:rsidR="00DC08A1" w:rsidRPr="00400193">
          <w:rPr>
            <w:rStyle w:val="Hyperlink"/>
            <w:noProof/>
            <w:color w:val="auto"/>
          </w:rPr>
          <w:t>Figure 5</w:t>
        </w:r>
        <w:r w:rsidR="00DC08A1" w:rsidRPr="00400193">
          <w:rPr>
            <w:rStyle w:val="Hyperlink"/>
            <w:noProof/>
            <w:color w:val="auto"/>
          </w:rPr>
          <w:noBreakHyphen/>
          <w:t>42: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_Toc55387620 \h </w:instrText>
        </w:r>
        <w:r w:rsidR="00DC08A1" w:rsidRPr="00400193">
          <w:rPr>
            <w:noProof/>
            <w:webHidden/>
          </w:rPr>
        </w:r>
        <w:r w:rsidR="00DC08A1" w:rsidRPr="00400193">
          <w:rPr>
            <w:noProof/>
            <w:webHidden/>
          </w:rPr>
          <w:fldChar w:fldCharType="separate"/>
        </w:r>
        <w:r w:rsidR="00BB7C18">
          <w:rPr>
            <w:noProof/>
            <w:webHidden/>
          </w:rPr>
          <w:t>181</w:t>
        </w:r>
        <w:r w:rsidR="00DC08A1" w:rsidRPr="00400193">
          <w:rPr>
            <w:noProof/>
            <w:webHidden/>
          </w:rPr>
          <w:fldChar w:fldCharType="end"/>
        </w:r>
      </w:hyperlink>
    </w:p>
    <w:p w14:paraId="0B84D1FE" w14:textId="25341134"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1" w:history="1">
        <w:r w:rsidR="00DC08A1" w:rsidRPr="00400193">
          <w:rPr>
            <w:rStyle w:val="Hyperlink"/>
            <w:noProof/>
            <w:color w:val="auto"/>
          </w:rPr>
          <w:t>Figure 5</w:t>
        </w:r>
        <w:r w:rsidR="00DC08A1" w:rsidRPr="00400193">
          <w:rPr>
            <w:rStyle w:val="Hyperlink"/>
            <w:noProof/>
            <w:color w:val="auto"/>
          </w:rPr>
          <w:noBreakHyphen/>
          <w:t>43: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_Toc55387621 \h </w:instrText>
        </w:r>
        <w:r w:rsidR="00DC08A1" w:rsidRPr="00400193">
          <w:rPr>
            <w:noProof/>
            <w:webHidden/>
          </w:rPr>
        </w:r>
        <w:r w:rsidR="00DC08A1" w:rsidRPr="00400193">
          <w:rPr>
            <w:noProof/>
            <w:webHidden/>
          </w:rPr>
          <w:fldChar w:fldCharType="separate"/>
        </w:r>
        <w:r w:rsidR="00BB7C18">
          <w:rPr>
            <w:noProof/>
            <w:webHidden/>
          </w:rPr>
          <w:t>182</w:t>
        </w:r>
        <w:r w:rsidR="00DC08A1" w:rsidRPr="00400193">
          <w:rPr>
            <w:noProof/>
            <w:webHidden/>
          </w:rPr>
          <w:fldChar w:fldCharType="end"/>
        </w:r>
      </w:hyperlink>
    </w:p>
    <w:p w14:paraId="0178BDDE" w14:textId="51DFE49F"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2" w:history="1">
        <w:r w:rsidR="00DC08A1" w:rsidRPr="00400193">
          <w:rPr>
            <w:rStyle w:val="Hyperlink"/>
            <w:noProof/>
            <w:color w:val="auto"/>
          </w:rPr>
          <w:t>Figure 5</w:t>
        </w:r>
        <w:r w:rsidR="00DC08A1" w:rsidRPr="00400193">
          <w:rPr>
            <w:rStyle w:val="Hyperlink"/>
            <w:noProof/>
            <w:color w:val="auto"/>
          </w:rPr>
          <w:noBreakHyphen/>
          <w:t>44: Scatter plot for residual results from the model for VW and RP</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_Toc55387622 \h </w:instrText>
        </w:r>
        <w:r w:rsidR="00DC08A1" w:rsidRPr="00400193">
          <w:rPr>
            <w:noProof/>
            <w:webHidden/>
          </w:rPr>
        </w:r>
        <w:r w:rsidR="00DC08A1" w:rsidRPr="00400193">
          <w:rPr>
            <w:noProof/>
            <w:webHidden/>
          </w:rPr>
          <w:fldChar w:fldCharType="separate"/>
        </w:r>
        <w:r w:rsidR="00BB7C18">
          <w:rPr>
            <w:noProof/>
            <w:webHidden/>
          </w:rPr>
          <w:t>184</w:t>
        </w:r>
        <w:r w:rsidR="00DC08A1" w:rsidRPr="00400193">
          <w:rPr>
            <w:noProof/>
            <w:webHidden/>
          </w:rPr>
          <w:fldChar w:fldCharType="end"/>
        </w:r>
      </w:hyperlink>
    </w:p>
    <w:p w14:paraId="101890CB" w14:textId="1A3157E3"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3" w:history="1">
        <w:r w:rsidR="00DC08A1" w:rsidRPr="00400193">
          <w:rPr>
            <w:rStyle w:val="Hyperlink"/>
            <w:noProof/>
            <w:color w:val="auto"/>
          </w:rPr>
          <w:t>Figure 5</w:t>
        </w:r>
        <w:r w:rsidR="00DC08A1" w:rsidRPr="00400193">
          <w:rPr>
            <w:rStyle w:val="Hyperlink"/>
            <w:noProof/>
            <w:color w:val="auto"/>
          </w:rPr>
          <w:noBreakHyphen/>
          <w:t>45: Scatter plot for residual results from the model for VW and IRF</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_Toc55387623 \h </w:instrText>
        </w:r>
        <w:r w:rsidR="00DC08A1" w:rsidRPr="00400193">
          <w:rPr>
            <w:noProof/>
            <w:webHidden/>
          </w:rPr>
        </w:r>
        <w:r w:rsidR="00DC08A1" w:rsidRPr="00400193">
          <w:rPr>
            <w:noProof/>
            <w:webHidden/>
          </w:rPr>
          <w:fldChar w:fldCharType="separate"/>
        </w:r>
        <w:r w:rsidR="00BB7C18">
          <w:rPr>
            <w:noProof/>
            <w:webHidden/>
          </w:rPr>
          <w:t>184</w:t>
        </w:r>
        <w:r w:rsidR="00DC08A1" w:rsidRPr="00400193">
          <w:rPr>
            <w:noProof/>
            <w:webHidden/>
          </w:rPr>
          <w:fldChar w:fldCharType="end"/>
        </w:r>
      </w:hyperlink>
    </w:p>
    <w:p w14:paraId="1977767E" w14:textId="51B61470"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4" w:history="1">
        <w:r w:rsidR="00DC08A1" w:rsidRPr="00400193">
          <w:rPr>
            <w:rStyle w:val="Hyperlink"/>
            <w:noProof/>
            <w:color w:val="auto"/>
          </w:rPr>
          <w:t>Figure 5</w:t>
        </w:r>
        <w:r w:rsidR="00DC08A1" w:rsidRPr="00400193">
          <w:rPr>
            <w:rStyle w:val="Hyperlink"/>
            <w:noProof/>
            <w:color w:val="auto"/>
          </w:rPr>
          <w:noBreakHyphen/>
          <w:t>46: Scatter plot for residual results from the model for VW and IRF*RP</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_Toc55387624 \h </w:instrText>
        </w:r>
        <w:r w:rsidR="00DC08A1" w:rsidRPr="00400193">
          <w:rPr>
            <w:noProof/>
            <w:webHidden/>
          </w:rPr>
        </w:r>
        <w:r w:rsidR="00DC08A1" w:rsidRPr="00400193">
          <w:rPr>
            <w:noProof/>
            <w:webHidden/>
          </w:rPr>
          <w:fldChar w:fldCharType="separate"/>
        </w:r>
        <w:r w:rsidR="00BB7C18">
          <w:rPr>
            <w:noProof/>
            <w:webHidden/>
          </w:rPr>
          <w:t>185</w:t>
        </w:r>
        <w:r w:rsidR="00DC08A1" w:rsidRPr="00400193">
          <w:rPr>
            <w:noProof/>
            <w:webHidden/>
          </w:rPr>
          <w:fldChar w:fldCharType="end"/>
        </w:r>
      </w:hyperlink>
    </w:p>
    <w:p w14:paraId="17098E57" w14:textId="5BC199AE"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5" w:history="1">
        <w:r w:rsidR="00DC08A1" w:rsidRPr="00400193">
          <w:rPr>
            <w:rStyle w:val="Hyperlink"/>
            <w:noProof/>
            <w:color w:val="auto"/>
          </w:rPr>
          <w:t>Figure 5</w:t>
        </w:r>
        <w:r w:rsidR="00DC08A1" w:rsidRPr="00400193">
          <w:rPr>
            <w:rStyle w:val="Hyperlink"/>
            <w:noProof/>
            <w:color w:val="auto"/>
          </w:rPr>
          <w:noBreakHyphen/>
          <w:t>47: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_Toc55387625 \h </w:instrText>
        </w:r>
        <w:r w:rsidR="00DC08A1" w:rsidRPr="00400193">
          <w:rPr>
            <w:noProof/>
            <w:webHidden/>
          </w:rPr>
        </w:r>
        <w:r w:rsidR="00DC08A1" w:rsidRPr="00400193">
          <w:rPr>
            <w:noProof/>
            <w:webHidden/>
          </w:rPr>
          <w:fldChar w:fldCharType="separate"/>
        </w:r>
        <w:r w:rsidR="00BB7C18">
          <w:rPr>
            <w:noProof/>
            <w:webHidden/>
          </w:rPr>
          <w:t>185</w:t>
        </w:r>
        <w:r w:rsidR="00DC08A1" w:rsidRPr="00400193">
          <w:rPr>
            <w:noProof/>
            <w:webHidden/>
          </w:rPr>
          <w:fldChar w:fldCharType="end"/>
        </w:r>
      </w:hyperlink>
    </w:p>
    <w:p w14:paraId="64A6512B" w14:textId="6014B5D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6" w:history="1">
        <w:r w:rsidR="00DC08A1" w:rsidRPr="00400193">
          <w:rPr>
            <w:rStyle w:val="Hyperlink"/>
            <w:noProof/>
            <w:color w:val="auto"/>
          </w:rPr>
          <w:t>Figure 5</w:t>
        </w:r>
        <w:r w:rsidR="00DC08A1" w:rsidRPr="00400193">
          <w:rPr>
            <w:rStyle w:val="Hyperlink"/>
            <w:noProof/>
            <w:color w:val="auto"/>
          </w:rPr>
          <w:noBreakHyphen/>
          <w:t>48: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_Toc55387626 \h </w:instrText>
        </w:r>
        <w:r w:rsidR="00DC08A1" w:rsidRPr="00400193">
          <w:rPr>
            <w:noProof/>
            <w:webHidden/>
          </w:rPr>
        </w:r>
        <w:r w:rsidR="00DC08A1" w:rsidRPr="00400193">
          <w:rPr>
            <w:noProof/>
            <w:webHidden/>
          </w:rPr>
          <w:fldChar w:fldCharType="separate"/>
        </w:r>
        <w:r w:rsidR="00BB7C18">
          <w:rPr>
            <w:noProof/>
            <w:webHidden/>
          </w:rPr>
          <w:t>186</w:t>
        </w:r>
        <w:r w:rsidR="00DC08A1" w:rsidRPr="00400193">
          <w:rPr>
            <w:noProof/>
            <w:webHidden/>
          </w:rPr>
          <w:fldChar w:fldCharType="end"/>
        </w:r>
      </w:hyperlink>
    </w:p>
    <w:p w14:paraId="5B84D199" w14:textId="0C229B3D"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7" w:history="1">
        <w:r w:rsidR="00DC08A1" w:rsidRPr="00400193">
          <w:rPr>
            <w:rStyle w:val="Hyperlink"/>
            <w:noProof/>
            <w:color w:val="auto"/>
          </w:rPr>
          <w:t>Figure 5</w:t>
        </w:r>
        <w:r w:rsidR="00DC08A1" w:rsidRPr="00400193">
          <w:rPr>
            <w:rStyle w:val="Hyperlink"/>
            <w:noProof/>
            <w:color w:val="auto"/>
          </w:rPr>
          <w:noBreakHyphen/>
          <w:t>49: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_Toc55387627 \h </w:instrText>
        </w:r>
        <w:r w:rsidR="00DC08A1" w:rsidRPr="00400193">
          <w:rPr>
            <w:noProof/>
            <w:webHidden/>
          </w:rPr>
        </w:r>
        <w:r w:rsidR="00DC08A1" w:rsidRPr="00400193">
          <w:rPr>
            <w:noProof/>
            <w:webHidden/>
          </w:rPr>
          <w:fldChar w:fldCharType="separate"/>
        </w:r>
        <w:r w:rsidR="00BB7C18">
          <w:rPr>
            <w:noProof/>
            <w:webHidden/>
          </w:rPr>
          <w:t>188</w:t>
        </w:r>
        <w:r w:rsidR="00DC08A1" w:rsidRPr="00400193">
          <w:rPr>
            <w:noProof/>
            <w:webHidden/>
          </w:rPr>
          <w:fldChar w:fldCharType="end"/>
        </w:r>
      </w:hyperlink>
    </w:p>
    <w:p w14:paraId="1169BD31" w14:textId="6BE626DD"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8" w:history="1">
        <w:r w:rsidR="00DC08A1" w:rsidRPr="00400193">
          <w:rPr>
            <w:rStyle w:val="Hyperlink"/>
            <w:noProof/>
            <w:color w:val="auto"/>
          </w:rPr>
          <w:t>Figure 5</w:t>
        </w:r>
        <w:r w:rsidR="00DC08A1" w:rsidRPr="00400193">
          <w:rPr>
            <w:rStyle w:val="Hyperlink"/>
            <w:noProof/>
            <w:color w:val="auto"/>
          </w:rPr>
          <w:noBreakHyphen/>
          <w:t>50: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_Toc55387628 \h </w:instrText>
        </w:r>
        <w:r w:rsidR="00DC08A1" w:rsidRPr="00400193">
          <w:rPr>
            <w:noProof/>
            <w:webHidden/>
          </w:rPr>
        </w:r>
        <w:r w:rsidR="00DC08A1" w:rsidRPr="00400193">
          <w:rPr>
            <w:noProof/>
            <w:webHidden/>
          </w:rPr>
          <w:fldChar w:fldCharType="separate"/>
        </w:r>
        <w:r w:rsidR="00BB7C18">
          <w:rPr>
            <w:noProof/>
            <w:webHidden/>
          </w:rPr>
          <w:t>189</w:t>
        </w:r>
        <w:r w:rsidR="00DC08A1" w:rsidRPr="00400193">
          <w:rPr>
            <w:noProof/>
            <w:webHidden/>
          </w:rPr>
          <w:fldChar w:fldCharType="end"/>
        </w:r>
      </w:hyperlink>
    </w:p>
    <w:p w14:paraId="208BB5C7" w14:textId="4BAC707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29" w:history="1">
        <w:r w:rsidR="00DC08A1" w:rsidRPr="00400193">
          <w:rPr>
            <w:rStyle w:val="Hyperlink"/>
            <w:noProof/>
            <w:color w:val="auto"/>
          </w:rPr>
          <w:t>Figure 5</w:t>
        </w:r>
        <w:r w:rsidR="00DC08A1" w:rsidRPr="00400193">
          <w:rPr>
            <w:rStyle w:val="Hyperlink"/>
            <w:noProof/>
            <w:color w:val="auto"/>
          </w:rPr>
          <w:noBreakHyphen/>
          <w:t>51: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_Toc55387629 \h </w:instrText>
        </w:r>
        <w:r w:rsidR="00DC08A1" w:rsidRPr="00400193">
          <w:rPr>
            <w:noProof/>
            <w:webHidden/>
          </w:rPr>
        </w:r>
        <w:r w:rsidR="00DC08A1" w:rsidRPr="00400193">
          <w:rPr>
            <w:noProof/>
            <w:webHidden/>
          </w:rPr>
          <w:fldChar w:fldCharType="separate"/>
        </w:r>
        <w:r w:rsidR="00BB7C18">
          <w:rPr>
            <w:noProof/>
            <w:webHidden/>
          </w:rPr>
          <w:t>189</w:t>
        </w:r>
        <w:r w:rsidR="00DC08A1" w:rsidRPr="00400193">
          <w:rPr>
            <w:noProof/>
            <w:webHidden/>
          </w:rPr>
          <w:fldChar w:fldCharType="end"/>
        </w:r>
      </w:hyperlink>
    </w:p>
    <w:p w14:paraId="2AC956E1" w14:textId="56C58E2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0" w:history="1">
        <w:r w:rsidR="00DC08A1" w:rsidRPr="00400193">
          <w:rPr>
            <w:rStyle w:val="Hyperlink"/>
            <w:noProof/>
            <w:color w:val="auto"/>
          </w:rPr>
          <w:t>Figure 5</w:t>
        </w:r>
        <w:r w:rsidR="00DC08A1" w:rsidRPr="00400193">
          <w:rPr>
            <w:rStyle w:val="Hyperlink"/>
            <w:noProof/>
            <w:color w:val="auto"/>
          </w:rPr>
          <w:noBreakHyphen/>
          <w:t>52: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_Toc55387630 \h </w:instrText>
        </w:r>
        <w:r w:rsidR="00DC08A1" w:rsidRPr="00400193">
          <w:rPr>
            <w:noProof/>
            <w:webHidden/>
          </w:rPr>
        </w:r>
        <w:r w:rsidR="00DC08A1" w:rsidRPr="00400193">
          <w:rPr>
            <w:noProof/>
            <w:webHidden/>
          </w:rPr>
          <w:fldChar w:fldCharType="separate"/>
        </w:r>
        <w:r w:rsidR="00BB7C18">
          <w:rPr>
            <w:noProof/>
            <w:webHidden/>
          </w:rPr>
          <w:t>190</w:t>
        </w:r>
        <w:r w:rsidR="00DC08A1" w:rsidRPr="00400193">
          <w:rPr>
            <w:noProof/>
            <w:webHidden/>
          </w:rPr>
          <w:fldChar w:fldCharType="end"/>
        </w:r>
      </w:hyperlink>
    </w:p>
    <w:p w14:paraId="0916C970" w14:textId="323F64BE"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1" w:history="1">
        <w:r w:rsidR="00DC08A1" w:rsidRPr="00400193">
          <w:rPr>
            <w:rStyle w:val="Hyperlink"/>
            <w:noProof/>
            <w:color w:val="auto"/>
          </w:rPr>
          <w:t>Figure 5</w:t>
        </w:r>
        <w:r w:rsidR="00DC08A1" w:rsidRPr="00400193">
          <w:rPr>
            <w:rStyle w:val="Hyperlink"/>
            <w:noProof/>
            <w:color w:val="auto"/>
          </w:rPr>
          <w:noBreakHyphen/>
          <w:t>53: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_Toc55387631 \h </w:instrText>
        </w:r>
        <w:r w:rsidR="00DC08A1" w:rsidRPr="00400193">
          <w:rPr>
            <w:noProof/>
            <w:webHidden/>
          </w:rPr>
        </w:r>
        <w:r w:rsidR="00DC08A1" w:rsidRPr="00400193">
          <w:rPr>
            <w:noProof/>
            <w:webHidden/>
          </w:rPr>
          <w:fldChar w:fldCharType="separate"/>
        </w:r>
        <w:r w:rsidR="00BB7C18">
          <w:rPr>
            <w:noProof/>
            <w:webHidden/>
          </w:rPr>
          <w:t>190</w:t>
        </w:r>
        <w:r w:rsidR="00DC08A1" w:rsidRPr="00400193">
          <w:rPr>
            <w:noProof/>
            <w:webHidden/>
          </w:rPr>
          <w:fldChar w:fldCharType="end"/>
        </w:r>
      </w:hyperlink>
    </w:p>
    <w:p w14:paraId="4A3A7D0B" w14:textId="764CD118"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2" w:history="1">
        <w:r w:rsidR="00DC08A1" w:rsidRPr="00400193">
          <w:rPr>
            <w:rStyle w:val="Hyperlink"/>
            <w:noProof/>
            <w:color w:val="auto"/>
          </w:rPr>
          <w:t>Figure 5</w:t>
        </w:r>
        <w:r w:rsidR="00DC08A1" w:rsidRPr="00400193">
          <w:rPr>
            <w:rStyle w:val="Hyperlink"/>
            <w:noProof/>
            <w:color w:val="auto"/>
          </w:rPr>
          <w:noBreakHyphen/>
          <w:t>54: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_Toc55387632 \h </w:instrText>
        </w:r>
        <w:r w:rsidR="00DC08A1" w:rsidRPr="00400193">
          <w:rPr>
            <w:noProof/>
            <w:webHidden/>
          </w:rPr>
        </w:r>
        <w:r w:rsidR="00DC08A1" w:rsidRPr="00400193">
          <w:rPr>
            <w:noProof/>
            <w:webHidden/>
          </w:rPr>
          <w:fldChar w:fldCharType="separate"/>
        </w:r>
        <w:r w:rsidR="00BB7C18">
          <w:rPr>
            <w:noProof/>
            <w:webHidden/>
          </w:rPr>
          <w:t>193</w:t>
        </w:r>
        <w:r w:rsidR="00DC08A1" w:rsidRPr="00400193">
          <w:rPr>
            <w:noProof/>
            <w:webHidden/>
          </w:rPr>
          <w:fldChar w:fldCharType="end"/>
        </w:r>
      </w:hyperlink>
    </w:p>
    <w:p w14:paraId="40DBE10B" w14:textId="6DBDC7FB"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3" w:history="1">
        <w:r w:rsidR="00DC08A1" w:rsidRPr="00400193">
          <w:rPr>
            <w:rStyle w:val="Hyperlink"/>
            <w:noProof/>
            <w:color w:val="auto"/>
          </w:rPr>
          <w:t>Figure 5</w:t>
        </w:r>
        <w:r w:rsidR="00DC08A1" w:rsidRPr="00400193">
          <w:rPr>
            <w:rStyle w:val="Hyperlink"/>
            <w:noProof/>
            <w:color w:val="auto"/>
          </w:rPr>
          <w:noBreakHyphen/>
          <w:t>55: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_Toc55387633 \h </w:instrText>
        </w:r>
        <w:r w:rsidR="00DC08A1" w:rsidRPr="00400193">
          <w:rPr>
            <w:noProof/>
            <w:webHidden/>
          </w:rPr>
        </w:r>
        <w:r w:rsidR="00DC08A1" w:rsidRPr="00400193">
          <w:rPr>
            <w:noProof/>
            <w:webHidden/>
          </w:rPr>
          <w:fldChar w:fldCharType="separate"/>
        </w:r>
        <w:r w:rsidR="00BB7C18">
          <w:rPr>
            <w:noProof/>
            <w:webHidden/>
          </w:rPr>
          <w:t>193</w:t>
        </w:r>
        <w:r w:rsidR="00DC08A1" w:rsidRPr="00400193">
          <w:rPr>
            <w:noProof/>
            <w:webHidden/>
          </w:rPr>
          <w:fldChar w:fldCharType="end"/>
        </w:r>
      </w:hyperlink>
    </w:p>
    <w:p w14:paraId="4E5538DD" w14:textId="3B495749"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4" w:history="1">
        <w:r w:rsidR="00DC08A1" w:rsidRPr="00400193">
          <w:rPr>
            <w:rStyle w:val="Hyperlink"/>
            <w:noProof/>
            <w:color w:val="auto"/>
          </w:rPr>
          <w:t>Figure 5</w:t>
        </w:r>
        <w:r w:rsidR="00DC08A1" w:rsidRPr="00400193">
          <w:rPr>
            <w:rStyle w:val="Hyperlink"/>
            <w:noProof/>
            <w:color w:val="auto"/>
          </w:rPr>
          <w:noBreakHyphen/>
          <w:t>56: Scatter plot for residual results from the model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_Toc55387634 \h </w:instrText>
        </w:r>
        <w:r w:rsidR="00DC08A1" w:rsidRPr="00400193">
          <w:rPr>
            <w:noProof/>
            <w:webHidden/>
          </w:rPr>
        </w:r>
        <w:r w:rsidR="00DC08A1" w:rsidRPr="00400193">
          <w:rPr>
            <w:noProof/>
            <w:webHidden/>
          </w:rPr>
          <w:fldChar w:fldCharType="separate"/>
        </w:r>
        <w:r w:rsidR="00BB7C18">
          <w:rPr>
            <w:noProof/>
            <w:webHidden/>
          </w:rPr>
          <w:t>194</w:t>
        </w:r>
        <w:r w:rsidR="00DC08A1" w:rsidRPr="00400193">
          <w:rPr>
            <w:noProof/>
            <w:webHidden/>
          </w:rPr>
          <w:fldChar w:fldCharType="end"/>
        </w:r>
      </w:hyperlink>
    </w:p>
    <w:p w14:paraId="36735645" w14:textId="15C7A961"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5" w:history="1">
        <w:r w:rsidR="00DC08A1" w:rsidRPr="00400193">
          <w:rPr>
            <w:rStyle w:val="Hyperlink"/>
            <w:noProof/>
            <w:color w:val="auto"/>
          </w:rPr>
          <w:t>Figure 5</w:t>
        </w:r>
        <w:r w:rsidR="00DC08A1" w:rsidRPr="00400193">
          <w:rPr>
            <w:rStyle w:val="Hyperlink"/>
            <w:noProof/>
            <w:color w:val="auto"/>
          </w:rPr>
          <w:noBreakHyphen/>
          <w:t>57: Histogram of the frequency of the standardised residuals for VW</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_Toc55387635 \h </w:instrText>
        </w:r>
        <w:r w:rsidR="00DC08A1" w:rsidRPr="00400193">
          <w:rPr>
            <w:noProof/>
            <w:webHidden/>
          </w:rPr>
        </w:r>
        <w:r w:rsidR="00DC08A1" w:rsidRPr="00400193">
          <w:rPr>
            <w:noProof/>
            <w:webHidden/>
          </w:rPr>
          <w:fldChar w:fldCharType="separate"/>
        </w:r>
        <w:r w:rsidR="00BB7C18">
          <w:rPr>
            <w:noProof/>
            <w:webHidden/>
          </w:rPr>
          <w:t>194</w:t>
        </w:r>
        <w:r w:rsidR="00DC08A1" w:rsidRPr="00400193">
          <w:rPr>
            <w:noProof/>
            <w:webHidden/>
          </w:rPr>
          <w:fldChar w:fldCharType="end"/>
        </w:r>
      </w:hyperlink>
    </w:p>
    <w:p w14:paraId="01C162B2" w14:textId="1BB3AAA8" w:rsidR="00DC08A1"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5387636" w:history="1">
        <w:r w:rsidR="00DC08A1" w:rsidRPr="00400193">
          <w:rPr>
            <w:rStyle w:val="Hyperlink"/>
            <w:noProof/>
            <w:color w:val="auto"/>
          </w:rPr>
          <w:t>Figure 5</w:t>
        </w:r>
        <w:r w:rsidR="00DC08A1" w:rsidRPr="00400193">
          <w:rPr>
            <w:rStyle w:val="Hyperlink"/>
            <w:noProof/>
            <w:color w:val="auto"/>
          </w:rPr>
          <w:noBreakHyphen/>
          <w:t>58: Normal P–P plot of regression standardised residual for the dependent variable</w:t>
        </w:r>
        <w:r w:rsidR="00DC08A1" w:rsidRPr="00400193">
          <w:rPr>
            <w:noProof/>
            <w:webHidden/>
          </w:rPr>
          <w:tab/>
        </w:r>
        <w:r w:rsidR="00DC08A1" w:rsidRPr="00400193">
          <w:rPr>
            <w:noProof/>
            <w:webHidden/>
          </w:rPr>
          <w:fldChar w:fldCharType="begin"/>
        </w:r>
        <w:r w:rsidR="00DC08A1" w:rsidRPr="00400193">
          <w:rPr>
            <w:noProof/>
            <w:webHidden/>
          </w:rPr>
          <w:instrText xml:space="preserve"> PAGEREF _Toc55387636 \h </w:instrText>
        </w:r>
        <w:r w:rsidR="00DC08A1" w:rsidRPr="00400193">
          <w:rPr>
            <w:noProof/>
            <w:webHidden/>
          </w:rPr>
        </w:r>
        <w:r w:rsidR="00DC08A1" w:rsidRPr="00400193">
          <w:rPr>
            <w:noProof/>
            <w:webHidden/>
          </w:rPr>
          <w:fldChar w:fldCharType="separate"/>
        </w:r>
        <w:r w:rsidR="00BB7C18">
          <w:rPr>
            <w:noProof/>
            <w:webHidden/>
          </w:rPr>
          <w:t>195</w:t>
        </w:r>
        <w:r w:rsidR="00DC08A1" w:rsidRPr="00400193">
          <w:rPr>
            <w:noProof/>
            <w:webHidden/>
          </w:rPr>
          <w:fldChar w:fldCharType="end"/>
        </w:r>
      </w:hyperlink>
    </w:p>
    <w:p w14:paraId="43A817AE" w14:textId="72F40108" w:rsidR="006E3616" w:rsidRPr="00400193" w:rsidRDefault="006E3616" w:rsidP="006E3616">
      <w:r w:rsidRPr="00400193">
        <w:fldChar w:fldCharType="end"/>
      </w:r>
    </w:p>
    <w:p w14:paraId="22A156BD" w14:textId="77777777" w:rsidR="006E3616" w:rsidRPr="00400193" w:rsidRDefault="006E3616" w:rsidP="006E3616">
      <w:pPr>
        <w:spacing w:after="0" w:line="240" w:lineRule="auto"/>
        <w:jc w:val="left"/>
      </w:pPr>
      <w:r w:rsidRPr="00400193">
        <w:br w:type="page"/>
      </w:r>
    </w:p>
    <w:p w14:paraId="2289530C" w14:textId="77777777" w:rsidR="006E3616" w:rsidRPr="00400193" w:rsidRDefault="006E3616" w:rsidP="002C636F">
      <w:pPr>
        <w:pStyle w:val="Heading1"/>
        <w:numPr>
          <w:ilvl w:val="0"/>
          <w:numId w:val="0"/>
        </w:numPr>
        <w:jc w:val="both"/>
      </w:pPr>
      <w:bookmarkStart w:id="11" w:name="_Toc61894635"/>
      <w:r w:rsidRPr="00400193">
        <w:lastRenderedPageBreak/>
        <w:t>List of Tables</w:t>
      </w:r>
      <w:bookmarkEnd w:id="11"/>
    </w:p>
    <w:p w14:paraId="2A21341B" w14:textId="55C2D836" w:rsidR="004259EA" w:rsidRPr="00400193" w:rsidRDefault="006E3616">
      <w:pPr>
        <w:pStyle w:val="TableofFigures"/>
        <w:tabs>
          <w:tab w:val="right" w:leader="dot" w:pos="9016"/>
        </w:tabs>
        <w:rPr>
          <w:rFonts w:asciiTheme="minorHAnsi" w:eastAsiaTheme="minorEastAsia" w:hAnsiTheme="minorHAnsi" w:cstheme="minorBidi"/>
          <w:noProof/>
          <w:sz w:val="22"/>
          <w:lang w:eastAsia="en-GB"/>
        </w:rPr>
      </w:pPr>
      <w:r w:rsidRPr="00400193">
        <w:fldChar w:fldCharType="begin"/>
      </w:r>
      <w:r w:rsidRPr="00400193">
        <w:instrText xml:space="preserve"> TOC \h \z \c "Table" </w:instrText>
      </w:r>
      <w:r w:rsidRPr="00400193">
        <w:fldChar w:fldCharType="separate"/>
      </w:r>
      <w:hyperlink w:anchor="_Toc52901526" w:history="1">
        <w:r w:rsidR="004259EA" w:rsidRPr="00400193">
          <w:rPr>
            <w:rStyle w:val="Hyperlink"/>
            <w:noProof/>
            <w:color w:val="auto"/>
          </w:rPr>
          <w:t>Table 2</w:t>
        </w:r>
        <w:r w:rsidR="004259EA" w:rsidRPr="00400193">
          <w:rPr>
            <w:rStyle w:val="Hyperlink"/>
            <w:noProof/>
            <w:color w:val="auto"/>
          </w:rPr>
          <w:noBreakHyphen/>
          <w:t>1: The current list of applicable ISO/IEC 27k standards related to business use</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_Toc52901526 \h </w:instrText>
        </w:r>
        <w:r w:rsidR="004259EA" w:rsidRPr="00400193">
          <w:rPr>
            <w:noProof/>
            <w:webHidden/>
          </w:rPr>
        </w:r>
        <w:r w:rsidR="004259EA" w:rsidRPr="00400193">
          <w:rPr>
            <w:noProof/>
            <w:webHidden/>
          </w:rPr>
          <w:fldChar w:fldCharType="separate"/>
        </w:r>
        <w:r w:rsidR="00BB7C18">
          <w:rPr>
            <w:noProof/>
            <w:webHidden/>
          </w:rPr>
          <w:t>15</w:t>
        </w:r>
        <w:r w:rsidR="004259EA" w:rsidRPr="00400193">
          <w:rPr>
            <w:noProof/>
            <w:webHidden/>
          </w:rPr>
          <w:fldChar w:fldCharType="end"/>
        </w:r>
      </w:hyperlink>
    </w:p>
    <w:p w14:paraId="56D8CA3F" w14:textId="6627115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27" w:history="1">
        <w:r w:rsidR="004259EA" w:rsidRPr="00400193">
          <w:rPr>
            <w:rStyle w:val="Hyperlink"/>
            <w:noProof/>
            <w:color w:val="auto"/>
          </w:rPr>
          <w:t>Table 2</w:t>
        </w:r>
        <w:r w:rsidR="004259EA" w:rsidRPr="00400193">
          <w:rPr>
            <w:rStyle w:val="Hyperlink"/>
            <w:noProof/>
            <w:color w:val="auto"/>
          </w:rPr>
          <w:noBreakHyphen/>
          <w:t>2: A consequences table. The financial damages in this table represent the absolute minimum cost. Source: Fowler (2015, p. 101)</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_Toc52901527 \h </w:instrText>
        </w:r>
        <w:r w:rsidR="004259EA" w:rsidRPr="00400193">
          <w:rPr>
            <w:noProof/>
            <w:webHidden/>
          </w:rPr>
        </w:r>
        <w:r w:rsidR="004259EA" w:rsidRPr="00400193">
          <w:rPr>
            <w:noProof/>
            <w:webHidden/>
          </w:rPr>
          <w:fldChar w:fldCharType="separate"/>
        </w:r>
        <w:r w:rsidR="00BB7C18">
          <w:rPr>
            <w:noProof/>
            <w:webHidden/>
          </w:rPr>
          <w:t>27</w:t>
        </w:r>
        <w:r w:rsidR="004259EA" w:rsidRPr="00400193">
          <w:rPr>
            <w:noProof/>
            <w:webHidden/>
          </w:rPr>
          <w:fldChar w:fldCharType="end"/>
        </w:r>
      </w:hyperlink>
    </w:p>
    <w:p w14:paraId="55D3B5F1" w14:textId="0388389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28" w:history="1">
        <w:r w:rsidR="004259EA" w:rsidRPr="00400193">
          <w:rPr>
            <w:rStyle w:val="Hyperlink"/>
            <w:noProof/>
            <w:color w:val="auto"/>
          </w:rPr>
          <w:t>Table 2</w:t>
        </w:r>
        <w:r w:rsidR="004259EA" w:rsidRPr="00400193">
          <w:rPr>
            <w:rStyle w:val="Hyperlink"/>
            <w:noProof/>
            <w:color w:val="auto"/>
          </w:rPr>
          <w:noBreakHyphen/>
          <w:t>3: The most common events in a cyber-attack. Note: several of these can occur simultaneously. Source: Fowler (2015, p. 99)</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_Toc52901528 \h </w:instrText>
        </w:r>
        <w:r w:rsidR="004259EA" w:rsidRPr="00400193">
          <w:rPr>
            <w:noProof/>
            <w:webHidden/>
          </w:rPr>
        </w:r>
        <w:r w:rsidR="004259EA" w:rsidRPr="00400193">
          <w:rPr>
            <w:noProof/>
            <w:webHidden/>
          </w:rPr>
          <w:fldChar w:fldCharType="separate"/>
        </w:r>
        <w:r w:rsidR="00BB7C18">
          <w:rPr>
            <w:noProof/>
            <w:webHidden/>
          </w:rPr>
          <w:t>28</w:t>
        </w:r>
        <w:r w:rsidR="004259EA" w:rsidRPr="00400193">
          <w:rPr>
            <w:noProof/>
            <w:webHidden/>
          </w:rPr>
          <w:fldChar w:fldCharType="end"/>
        </w:r>
      </w:hyperlink>
    </w:p>
    <w:p w14:paraId="35F7BD56" w14:textId="4DDC794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29" w:history="1">
        <w:r w:rsidR="004259EA" w:rsidRPr="00400193">
          <w:rPr>
            <w:rStyle w:val="Hyperlink"/>
            <w:noProof/>
            <w:color w:val="auto"/>
          </w:rPr>
          <w:t>Table 2</w:t>
        </w:r>
        <w:r w:rsidR="004259EA" w:rsidRPr="00400193">
          <w:rPr>
            <w:rStyle w:val="Hyperlink"/>
            <w:noProof/>
            <w:color w:val="auto"/>
          </w:rPr>
          <w:noBreakHyphen/>
          <w:t>4: Variation of Covey's four quadrants showing an assessment of the literature on existing CRM frameworks. This allowed the researcher to develop an alternative framework, avoiding any of the difficulties of existing frameworks.</w:t>
        </w:r>
        <w:r w:rsidR="004259EA" w:rsidRPr="00400193">
          <w:rPr>
            <w:rStyle w:val="Hyperlink"/>
            <w:noProof/>
            <w:color w:val="auto"/>
            <w:lang w:eastAsia="zh-CN" w:bidi="hi-IN"/>
          </w:rPr>
          <w:t xml:space="preserve"> </w:t>
        </w:r>
        <w:r w:rsidR="004259EA" w:rsidRPr="00400193">
          <w:rPr>
            <w:rStyle w:val="Hyperlink"/>
            <w:noProof/>
            <w:color w:val="auto"/>
          </w:rPr>
          <w:t>Source: adapted from Covey (1999); Keith (2014)</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_Toc52901529 \h </w:instrText>
        </w:r>
        <w:r w:rsidR="004259EA" w:rsidRPr="00400193">
          <w:rPr>
            <w:noProof/>
            <w:webHidden/>
          </w:rPr>
        </w:r>
        <w:r w:rsidR="004259EA" w:rsidRPr="00400193">
          <w:rPr>
            <w:noProof/>
            <w:webHidden/>
          </w:rPr>
          <w:fldChar w:fldCharType="separate"/>
        </w:r>
        <w:r w:rsidR="00BB7C18">
          <w:rPr>
            <w:noProof/>
            <w:webHidden/>
          </w:rPr>
          <w:t>43</w:t>
        </w:r>
        <w:r w:rsidR="004259EA" w:rsidRPr="00400193">
          <w:rPr>
            <w:noProof/>
            <w:webHidden/>
          </w:rPr>
          <w:fldChar w:fldCharType="end"/>
        </w:r>
      </w:hyperlink>
    </w:p>
    <w:p w14:paraId="7C275D76" w14:textId="4E0235C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0" w:history="1">
        <w:r w:rsidR="004259EA" w:rsidRPr="00400193">
          <w:rPr>
            <w:rStyle w:val="Hyperlink"/>
            <w:noProof/>
            <w:color w:val="auto"/>
          </w:rPr>
          <w:t>Table 3</w:t>
        </w:r>
        <w:r w:rsidR="004259EA" w:rsidRPr="00400193">
          <w:rPr>
            <w:rStyle w:val="Hyperlink"/>
            <w:noProof/>
            <w:color w:val="auto"/>
          </w:rPr>
          <w:noBreakHyphen/>
          <w:t>1: Some of the risks associated with cyber-terrorism.</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_Toc52901530 \h </w:instrText>
        </w:r>
        <w:r w:rsidR="004259EA" w:rsidRPr="00400193">
          <w:rPr>
            <w:noProof/>
            <w:webHidden/>
          </w:rPr>
        </w:r>
        <w:r w:rsidR="004259EA" w:rsidRPr="00400193">
          <w:rPr>
            <w:noProof/>
            <w:webHidden/>
          </w:rPr>
          <w:fldChar w:fldCharType="separate"/>
        </w:r>
        <w:r w:rsidR="00BB7C18">
          <w:rPr>
            <w:noProof/>
            <w:webHidden/>
          </w:rPr>
          <w:t>54</w:t>
        </w:r>
        <w:r w:rsidR="004259EA" w:rsidRPr="00400193">
          <w:rPr>
            <w:noProof/>
            <w:webHidden/>
          </w:rPr>
          <w:fldChar w:fldCharType="end"/>
        </w:r>
      </w:hyperlink>
    </w:p>
    <w:p w14:paraId="0D39742D" w14:textId="384DC1A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1" w:history="1">
        <w:r w:rsidR="004259EA" w:rsidRPr="00400193">
          <w:rPr>
            <w:rStyle w:val="Hyperlink"/>
            <w:noProof/>
            <w:color w:val="auto"/>
          </w:rPr>
          <w:t>Table 3</w:t>
        </w:r>
        <w:r w:rsidR="004259EA" w:rsidRPr="00400193">
          <w:rPr>
            <w:rStyle w:val="Hyperlink"/>
            <w:noProof/>
            <w:color w:val="auto"/>
          </w:rPr>
          <w:noBreakHyphen/>
          <w:t>2: Some of the risks associated with hacktivism.</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_Toc52901531 \h </w:instrText>
        </w:r>
        <w:r w:rsidR="004259EA" w:rsidRPr="00400193">
          <w:rPr>
            <w:noProof/>
            <w:webHidden/>
          </w:rPr>
        </w:r>
        <w:r w:rsidR="004259EA" w:rsidRPr="00400193">
          <w:rPr>
            <w:noProof/>
            <w:webHidden/>
          </w:rPr>
          <w:fldChar w:fldCharType="separate"/>
        </w:r>
        <w:r w:rsidR="00BB7C18">
          <w:rPr>
            <w:noProof/>
            <w:webHidden/>
          </w:rPr>
          <w:t>56</w:t>
        </w:r>
        <w:r w:rsidR="004259EA" w:rsidRPr="00400193">
          <w:rPr>
            <w:noProof/>
            <w:webHidden/>
          </w:rPr>
          <w:fldChar w:fldCharType="end"/>
        </w:r>
      </w:hyperlink>
    </w:p>
    <w:p w14:paraId="702AA302" w14:textId="51FD2D3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2" w:history="1">
        <w:r w:rsidR="004259EA" w:rsidRPr="00400193">
          <w:rPr>
            <w:rStyle w:val="Hyperlink"/>
            <w:noProof/>
            <w:color w:val="auto"/>
          </w:rPr>
          <w:t>Table 3</w:t>
        </w:r>
        <w:r w:rsidR="004259EA" w:rsidRPr="00400193">
          <w:rPr>
            <w:rStyle w:val="Hyperlink"/>
            <w:noProof/>
            <w:color w:val="auto"/>
          </w:rPr>
          <w:noBreakHyphen/>
          <w:t>3: Some of the risks associated with phishing</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_Toc52901532 \h </w:instrText>
        </w:r>
        <w:r w:rsidR="004259EA" w:rsidRPr="00400193">
          <w:rPr>
            <w:noProof/>
            <w:webHidden/>
          </w:rPr>
        </w:r>
        <w:r w:rsidR="004259EA" w:rsidRPr="00400193">
          <w:rPr>
            <w:noProof/>
            <w:webHidden/>
          </w:rPr>
          <w:fldChar w:fldCharType="separate"/>
        </w:r>
        <w:r w:rsidR="00BB7C18">
          <w:rPr>
            <w:noProof/>
            <w:webHidden/>
          </w:rPr>
          <w:t>58</w:t>
        </w:r>
        <w:r w:rsidR="004259EA" w:rsidRPr="00400193">
          <w:rPr>
            <w:noProof/>
            <w:webHidden/>
          </w:rPr>
          <w:fldChar w:fldCharType="end"/>
        </w:r>
      </w:hyperlink>
    </w:p>
    <w:p w14:paraId="2EBC7A90" w14:textId="66FD84A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3" w:history="1">
        <w:r w:rsidR="004259EA" w:rsidRPr="00400193">
          <w:rPr>
            <w:rStyle w:val="Hyperlink"/>
            <w:noProof/>
            <w:color w:val="auto"/>
          </w:rPr>
          <w:t>Table 3</w:t>
        </w:r>
        <w:r w:rsidR="004259EA" w:rsidRPr="00400193">
          <w:rPr>
            <w:rStyle w:val="Hyperlink"/>
            <w:noProof/>
            <w:color w:val="auto"/>
          </w:rPr>
          <w:noBreakHyphen/>
          <w:t>4: Some possible forms of financial fraud (cyber-risks).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_Toc52901533 \h </w:instrText>
        </w:r>
        <w:r w:rsidR="004259EA" w:rsidRPr="00400193">
          <w:rPr>
            <w:noProof/>
            <w:webHidden/>
          </w:rPr>
        </w:r>
        <w:r w:rsidR="004259EA" w:rsidRPr="00400193">
          <w:rPr>
            <w:noProof/>
            <w:webHidden/>
          </w:rPr>
          <w:fldChar w:fldCharType="separate"/>
        </w:r>
        <w:r w:rsidR="00BB7C18">
          <w:rPr>
            <w:noProof/>
            <w:webHidden/>
          </w:rPr>
          <w:t>59</w:t>
        </w:r>
        <w:r w:rsidR="004259EA" w:rsidRPr="00400193">
          <w:rPr>
            <w:noProof/>
            <w:webHidden/>
          </w:rPr>
          <w:fldChar w:fldCharType="end"/>
        </w:r>
      </w:hyperlink>
    </w:p>
    <w:p w14:paraId="0FB6C374" w14:textId="1E29E84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4" w:history="1">
        <w:r w:rsidR="004259EA" w:rsidRPr="00400193">
          <w:rPr>
            <w:rStyle w:val="Hyperlink"/>
            <w:noProof/>
            <w:color w:val="auto"/>
          </w:rPr>
          <w:t>Table 3</w:t>
        </w:r>
        <w:r w:rsidR="004259EA" w:rsidRPr="00400193">
          <w:rPr>
            <w:rStyle w:val="Hyperlink"/>
            <w:noProof/>
            <w:color w:val="auto"/>
          </w:rPr>
          <w:noBreakHyphen/>
          <w:t>5: Some possible criminal acts.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_Toc52901534 \h </w:instrText>
        </w:r>
        <w:r w:rsidR="004259EA" w:rsidRPr="00400193">
          <w:rPr>
            <w:noProof/>
            <w:webHidden/>
          </w:rPr>
        </w:r>
        <w:r w:rsidR="004259EA" w:rsidRPr="00400193">
          <w:rPr>
            <w:noProof/>
            <w:webHidden/>
          </w:rPr>
          <w:fldChar w:fldCharType="separate"/>
        </w:r>
        <w:r w:rsidR="00BB7C18">
          <w:rPr>
            <w:noProof/>
            <w:webHidden/>
          </w:rPr>
          <w:t>60</w:t>
        </w:r>
        <w:r w:rsidR="004259EA" w:rsidRPr="00400193">
          <w:rPr>
            <w:noProof/>
            <w:webHidden/>
          </w:rPr>
          <w:fldChar w:fldCharType="end"/>
        </w:r>
      </w:hyperlink>
    </w:p>
    <w:p w14:paraId="7174E426" w14:textId="392551C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5" w:history="1">
        <w:r w:rsidR="004259EA" w:rsidRPr="00400193">
          <w:rPr>
            <w:rStyle w:val="Hyperlink"/>
            <w:noProof/>
            <w:color w:val="auto"/>
          </w:rPr>
          <w:t>Table 3</w:t>
        </w:r>
        <w:r w:rsidR="004259EA" w:rsidRPr="00400193">
          <w:rPr>
            <w:rStyle w:val="Hyperlink"/>
            <w:noProof/>
            <w:color w:val="auto"/>
          </w:rPr>
          <w:noBreakHyphen/>
          <w:t xml:space="preserve">6: Some risks arising from not being threat aware. </w:t>
        </w:r>
        <w:r w:rsidR="004259EA" w:rsidRPr="00400193">
          <w:rPr>
            <w:rStyle w:val="Hyperlink"/>
            <w:noProof/>
            <w:color w:val="auto"/>
            <w:vertAlign w:val="superscript"/>
          </w:rPr>
          <w:t>a</w:t>
        </w:r>
        <w:r w:rsidR="004259EA" w:rsidRPr="00400193">
          <w:rPr>
            <w:rStyle w:val="Hyperlink"/>
            <w:noProof/>
            <w:color w:val="auto"/>
          </w:rPr>
          <w:t xml:space="preserve"> see Table 3</w:t>
        </w:r>
        <w:r w:rsidR="004259EA" w:rsidRPr="00400193">
          <w:rPr>
            <w:rStyle w:val="Hyperlink"/>
            <w:noProof/>
            <w:color w:val="auto"/>
          </w:rPr>
          <w:noBreakHyphen/>
          <w:t>2</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_Toc52901535 \h </w:instrText>
        </w:r>
        <w:r w:rsidR="004259EA" w:rsidRPr="00400193">
          <w:rPr>
            <w:noProof/>
            <w:webHidden/>
          </w:rPr>
        </w:r>
        <w:r w:rsidR="004259EA" w:rsidRPr="00400193">
          <w:rPr>
            <w:noProof/>
            <w:webHidden/>
          </w:rPr>
          <w:fldChar w:fldCharType="separate"/>
        </w:r>
        <w:r w:rsidR="00BB7C18">
          <w:rPr>
            <w:noProof/>
            <w:webHidden/>
          </w:rPr>
          <w:t>62</w:t>
        </w:r>
        <w:r w:rsidR="004259EA" w:rsidRPr="00400193">
          <w:rPr>
            <w:noProof/>
            <w:webHidden/>
          </w:rPr>
          <w:fldChar w:fldCharType="end"/>
        </w:r>
      </w:hyperlink>
    </w:p>
    <w:p w14:paraId="2C6169B0" w14:textId="561839F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6" w:history="1">
        <w:r w:rsidR="004259EA" w:rsidRPr="00400193">
          <w:rPr>
            <w:rStyle w:val="Hyperlink"/>
            <w:noProof/>
            <w:color w:val="auto"/>
          </w:rPr>
          <w:t>Table 3</w:t>
        </w:r>
        <w:r w:rsidR="004259EA" w:rsidRPr="00400193">
          <w:rPr>
            <w:rStyle w:val="Hyperlink"/>
            <w:noProof/>
            <w:color w:val="auto"/>
          </w:rPr>
          <w:noBreakHyphen/>
          <w:t>7: Some of the risks involved in not being 'risk aware'.</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_Toc52901536 \h </w:instrText>
        </w:r>
        <w:r w:rsidR="004259EA" w:rsidRPr="00400193">
          <w:rPr>
            <w:noProof/>
            <w:webHidden/>
          </w:rPr>
        </w:r>
        <w:r w:rsidR="004259EA" w:rsidRPr="00400193">
          <w:rPr>
            <w:noProof/>
            <w:webHidden/>
          </w:rPr>
          <w:fldChar w:fldCharType="separate"/>
        </w:r>
        <w:r w:rsidR="00BB7C18">
          <w:rPr>
            <w:noProof/>
            <w:webHidden/>
          </w:rPr>
          <w:t>64</w:t>
        </w:r>
        <w:r w:rsidR="004259EA" w:rsidRPr="00400193">
          <w:rPr>
            <w:noProof/>
            <w:webHidden/>
          </w:rPr>
          <w:fldChar w:fldCharType="end"/>
        </w:r>
      </w:hyperlink>
    </w:p>
    <w:p w14:paraId="30203D5C" w14:textId="795DD3E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7" w:history="1">
        <w:r w:rsidR="004259EA" w:rsidRPr="00400193">
          <w:rPr>
            <w:rStyle w:val="Hyperlink"/>
            <w:noProof/>
            <w:color w:val="auto"/>
          </w:rPr>
          <w:t>Table 3</w:t>
        </w:r>
        <w:r w:rsidR="004259EA" w:rsidRPr="00400193">
          <w:rPr>
            <w:rStyle w:val="Hyperlink"/>
            <w:noProof/>
            <w:color w:val="auto"/>
          </w:rPr>
          <w:noBreakHyphen/>
          <w:t>8: A few of the risks of laziness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_Toc52901537 \h </w:instrText>
        </w:r>
        <w:r w:rsidR="004259EA" w:rsidRPr="00400193">
          <w:rPr>
            <w:noProof/>
            <w:webHidden/>
          </w:rPr>
        </w:r>
        <w:r w:rsidR="004259EA" w:rsidRPr="00400193">
          <w:rPr>
            <w:noProof/>
            <w:webHidden/>
          </w:rPr>
          <w:fldChar w:fldCharType="separate"/>
        </w:r>
        <w:r w:rsidR="00BB7C18">
          <w:rPr>
            <w:noProof/>
            <w:webHidden/>
          </w:rPr>
          <w:t>66</w:t>
        </w:r>
        <w:r w:rsidR="004259EA" w:rsidRPr="00400193">
          <w:rPr>
            <w:noProof/>
            <w:webHidden/>
          </w:rPr>
          <w:fldChar w:fldCharType="end"/>
        </w:r>
      </w:hyperlink>
    </w:p>
    <w:p w14:paraId="5FDEC3A4" w14:textId="23E5D54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8" w:history="1">
        <w:r w:rsidR="004259EA" w:rsidRPr="00400193">
          <w:rPr>
            <w:rStyle w:val="Hyperlink"/>
            <w:noProof/>
            <w:color w:val="auto"/>
          </w:rPr>
          <w:t>Table 3</w:t>
        </w:r>
        <w:r w:rsidR="004259EA" w:rsidRPr="00400193">
          <w:rPr>
            <w:rStyle w:val="Hyperlink"/>
            <w:noProof/>
            <w:color w:val="auto"/>
          </w:rPr>
          <w:noBreakHyphen/>
          <w:t>9: The changes observed in cyber-attacks over time (Smith, 2015, p. 112)</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_Toc52901538 \h </w:instrText>
        </w:r>
        <w:r w:rsidR="004259EA" w:rsidRPr="00400193">
          <w:rPr>
            <w:noProof/>
            <w:webHidden/>
          </w:rPr>
        </w:r>
        <w:r w:rsidR="004259EA" w:rsidRPr="00400193">
          <w:rPr>
            <w:noProof/>
            <w:webHidden/>
          </w:rPr>
          <w:fldChar w:fldCharType="separate"/>
        </w:r>
        <w:r w:rsidR="00BB7C18">
          <w:rPr>
            <w:noProof/>
            <w:webHidden/>
          </w:rPr>
          <w:t>66</w:t>
        </w:r>
        <w:r w:rsidR="004259EA" w:rsidRPr="00400193">
          <w:rPr>
            <w:noProof/>
            <w:webHidden/>
          </w:rPr>
          <w:fldChar w:fldCharType="end"/>
        </w:r>
      </w:hyperlink>
    </w:p>
    <w:p w14:paraId="000466E3" w14:textId="0C0C581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39" w:history="1">
        <w:r w:rsidR="004259EA" w:rsidRPr="00400193">
          <w:rPr>
            <w:rStyle w:val="Hyperlink"/>
            <w:noProof/>
            <w:color w:val="auto"/>
          </w:rPr>
          <w:t>Table 3</w:t>
        </w:r>
        <w:r w:rsidR="004259EA" w:rsidRPr="00400193">
          <w:rPr>
            <w:rStyle w:val="Hyperlink"/>
            <w:noProof/>
            <w:color w:val="auto"/>
          </w:rPr>
          <w:noBreakHyphen/>
          <w:t>10: Some of the vulnerabilities caused by being connected to a network.</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_Toc52901539 \h </w:instrText>
        </w:r>
        <w:r w:rsidR="004259EA" w:rsidRPr="00400193">
          <w:rPr>
            <w:noProof/>
            <w:webHidden/>
          </w:rPr>
        </w:r>
        <w:r w:rsidR="004259EA" w:rsidRPr="00400193">
          <w:rPr>
            <w:noProof/>
            <w:webHidden/>
          </w:rPr>
          <w:fldChar w:fldCharType="separate"/>
        </w:r>
        <w:r w:rsidR="00BB7C18">
          <w:rPr>
            <w:noProof/>
            <w:webHidden/>
          </w:rPr>
          <w:t>71</w:t>
        </w:r>
        <w:r w:rsidR="004259EA" w:rsidRPr="00400193">
          <w:rPr>
            <w:noProof/>
            <w:webHidden/>
          </w:rPr>
          <w:fldChar w:fldCharType="end"/>
        </w:r>
      </w:hyperlink>
    </w:p>
    <w:p w14:paraId="43EBD30E" w14:textId="67607C2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0" w:history="1">
        <w:r w:rsidR="004259EA" w:rsidRPr="00400193">
          <w:rPr>
            <w:rStyle w:val="Hyperlink"/>
            <w:noProof/>
            <w:color w:val="auto"/>
          </w:rPr>
          <w:t>Table 3</w:t>
        </w:r>
        <w:r w:rsidR="004259EA" w:rsidRPr="00400193">
          <w:rPr>
            <w:rStyle w:val="Hyperlink"/>
            <w:noProof/>
            <w:color w:val="auto"/>
          </w:rPr>
          <w:noBreakHyphen/>
          <w:t>11: Some of the assets that may be put at risk by cyber-attack.</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_Toc52901540 \h </w:instrText>
        </w:r>
        <w:r w:rsidR="004259EA" w:rsidRPr="00400193">
          <w:rPr>
            <w:noProof/>
            <w:webHidden/>
          </w:rPr>
        </w:r>
        <w:r w:rsidR="004259EA" w:rsidRPr="00400193">
          <w:rPr>
            <w:noProof/>
            <w:webHidden/>
          </w:rPr>
          <w:fldChar w:fldCharType="separate"/>
        </w:r>
        <w:r w:rsidR="00BB7C18">
          <w:rPr>
            <w:noProof/>
            <w:webHidden/>
          </w:rPr>
          <w:t>74</w:t>
        </w:r>
        <w:r w:rsidR="004259EA" w:rsidRPr="00400193">
          <w:rPr>
            <w:noProof/>
            <w:webHidden/>
          </w:rPr>
          <w:fldChar w:fldCharType="end"/>
        </w:r>
      </w:hyperlink>
    </w:p>
    <w:p w14:paraId="490C8997" w14:textId="1E8067B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1" w:history="1">
        <w:r w:rsidR="004259EA" w:rsidRPr="00400193">
          <w:rPr>
            <w:rStyle w:val="Hyperlink"/>
            <w:noProof/>
            <w:color w:val="auto"/>
          </w:rPr>
          <w:t>Table 3</w:t>
        </w:r>
        <w:r w:rsidR="004259EA" w:rsidRPr="00400193">
          <w:rPr>
            <w:rStyle w:val="Hyperlink"/>
            <w:noProof/>
            <w:color w:val="auto"/>
          </w:rPr>
          <w:noBreakHyphen/>
          <w:t>12: Some of the public safety issues which may be put at risk by cyber-attack.</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_Toc52901541 \h </w:instrText>
        </w:r>
        <w:r w:rsidR="004259EA" w:rsidRPr="00400193">
          <w:rPr>
            <w:noProof/>
            <w:webHidden/>
          </w:rPr>
        </w:r>
        <w:r w:rsidR="004259EA" w:rsidRPr="00400193">
          <w:rPr>
            <w:noProof/>
            <w:webHidden/>
          </w:rPr>
          <w:fldChar w:fldCharType="separate"/>
        </w:r>
        <w:r w:rsidR="00BB7C18">
          <w:rPr>
            <w:noProof/>
            <w:webHidden/>
          </w:rPr>
          <w:t>75</w:t>
        </w:r>
        <w:r w:rsidR="004259EA" w:rsidRPr="00400193">
          <w:rPr>
            <w:noProof/>
            <w:webHidden/>
          </w:rPr>
          <w:fldChar w:fldCharType="end"/>
        </w:r>
      </w:hyperlink>
    </w:p>
    <w:p w14:paraId="010754D4" w14:textId="7B8CDA2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2" w:history="1">
        <w:r w:rsidR="004259EA" w:rsidRPr="00400193">
          <w:rPr>
            <w:rStyle w:val="Hyperlink"/>
            <w:noProof/>
            <w:color w:val="auto"/>
          </w:rPr>
          <w:t>Table 3</w:t>
        </w:r>
        <w:r w:rsidR="004259EA" w:rsidRPr="00400193">
          <w:rPr>
            <w:rStyle w:val="Hyperlink"/>
            <w:noProof/>
            <w:color w:val="auto"/>
          </w:rPr>
          <w:noBreakHyphen/>
          <w:t>13: Possible first responses to cyber-attack.</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_Toc52901542 \h </w:instrText>
        </w:r>
        <w:r w:rsidR="004259EA" w:rsidRPr="00400193">
          <w:rPr>
            <w:noProof/>
            <w:webHidden/>
          </w:rPr>
        </w:r>
        <w:r w:rsidR="004259EA" w:rsidRPr="00400193">
          <w:rPr>
            <w:noProof/>
            <w:webHidden/>
          </w:rPr>
          <w:fldChar w:fldCharType="separate"/>
        </w:r>
        <w:r w:rsidR="00BB7C18">
          <w:rPr>
            <w:noProof/>
            <w:webHidden/>
          </w:rPr>
          <w:t>78</w:t>
        </w:r>
        <w:r w:rsidR="004259EA" w:rsidRPr="00400193">
          <w:rPr>
            <w:noProof/>
            <w:webHidden/>
          </w:rPr>
          <w:fldChar w:fldCharType="end"/>
        </w:r>
      </w:hyperlink>
    </w:p>
    <w:p w14:paraId="114DFCDF" w14:textId="5F2B4BA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3" w:history="1">
        <w:r w:rsidR="004259EA" w:rsidRPr="00400193">
          <w:rPr>
            <w:rStyle w:val="Hyperlink"/>
            <w:noProof/>
            <w:color w:val="auto"/>
          </w:rPr>
          <w:t>Table 3</w:t>
        </w:r>
        <w:r w:rsidR="004259EA" w:rsidRPr="00400193">
          <w:rPr>
            <w:rStyle w:val="Hyperlink"/>
            <w:noProof/>
            <w:color w:val="auto"/>
          </w:rPr>
          <w:noBreakHyphen/>
          <w:t>14: The response sequence</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_Toc52901543 \h </w:instrText>
        </w:r>
        <w:r w:rsidR="004259EA" w:rsidRPr="00400193">
          <w:rPr>
            <w:noProof/>
            <w:webHidden/>
          </w:rPr>
        </w:r>
        <w:r w:rsidR="004259EA" w:rsidRPr="00400193">
          <w:rPr>
            <w:noProof/>
            <w:webHidden/>
          </w:rPr>
          <w:fldChar w:fldCharType="separate"/>
        </w:r>
        <w:r w:rsidR="00BB7C18">
          <w:rPr>
            <w:noProof/>
            <w:webHidden/>
          </w:rPr>
          <w:t>80</w:t>
        </w:r>
        <w:r w:rsidR="004259EA" w:rsidRPr="00400193">
          <w:rPr>
            <w:noProof/>
            <w:webHidden/>
          </w:rPr>
          <w:fldChar w:fldCharType="end"/>
        </w:r>
      </w:hyperlink>
    </w:p>
    <w:p w14:paraId="77EA9ECC" w14:textId="5DAAA65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4" w:history="1">
        <w:r w:rsidR="004259EA" w:rsidRPr="00400193">
          <w:rPr>
            <w:rStyle w:val="Hyperlink"/>
            <w:noProof/>
            <w:color w:val="auto"/>
          </w:rPr>
          <w:t>Table 4</w:t>
        </w:r>
        <w:r w:rsidR="004259EA" w:rsidRPr="00400193">
          <w:rPr>
            <w:rStyle w:val="Hyperlink"/>
            <w:noProof/>
            <w:color w:val="auto"/>
          </w:rPr>
          <w:noBreakHyphen/>
          <w:t>1: Differences between quantitative and qualitative methods. Source: adapted from McDaniel and Gates (2001)</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_Toc52901544 \h </w:instrText>
        </w:r>
        <w:r w:rsidR="004259EA" w:rsidRPr="00400193">
          <w:rPr>
            <w:noProof/>
            <w:webHidden/>
          </w:rPr>
        </w:r>
        <w:r w:rsidR="004259EA" w:rsidRPr="00400193">
          <w:rPr>
            <w:noProof/>
            <w:webHidden/>
          </w:rPr>
          <w:fldChar w:fldCharType="separate"/>
        </w:r>
        <w:r w:rsidR="00BB7C18">
          <w:rPr>
            <w:noProof/>
            <w:webHidden/>
          </w:rPr>
          <w:t>96</w:t>
        </w:r>
        <w:r w:rsidR="004259EA" w:rsidRPr="00400193">
          <w:rPr>
            <w:noProof/>
            <w:webHidden/>
          </w:rPr>
          <w:fldChar w:fldCharType="end"/>
        </w:r>
      </w:hyperlink>
    </w:p>
    <w:p w14:paraId="7EDAEEC1" w14:textId="4A18C22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5" w:history="1">
        <w:r w:rsidR="004259EA" w:rsidRPr="00400193">
          <w:rPr>
            <w:rStyle w:val="Hyperlink"/>
            <w:noProof/>
            <w:color w:val="auto"/>
          </w:rPr>
          <w:t>Table 4</w:t>
        </w:r>
        <w:r w:rsidR="004259EA" w:rsidRPr="00400193">
          <w:rPr>
            <w:rStyle w:val="Hyperlink"/>
            <w:noProof/>
            <w:color w:val="auto"/>
          </w:rPr>
          <w:noBreakHyphen/>
          <w:t>2: The pilot survey participants’ demographic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_Toc52901545 \h </w:instrText>
        </w:r>
        <w:r w:rsidR="004259EA" w:rsidRPr="00400193">
          <w:rPr>
            <w:noProof/>
            <w:webHidden/>
          </w:rPr>
        </w:r>
        <w:r w:rsidR="004259EA" w:rsidRPr="00400193">
          <w:rPr>
            <w:noProof/>
            <w:webHidden/>
          </w:rPr>
          <w:fldChar w:fldCharType="separate"/>
        </w:r>
        <w:r w:rsidR="00BB7C18">
          <w:rPr>
            <w:noProof/>
            <w:webHidden/>
          </w:rPr>
          <w:t>101</w:t>
        </w:r>
        <w:r w:rsidR="004259EA" w:rsidRPr="00400193">
          <w:rPr>
            <w:noProof/>
            <w:webHidden/>
          </w:rPr>
          <w:fldChar w:fldCharType="end"/>
        </w:r>
      </w:hyperlink>
    </w:p>
    <w:p w14:paraId="30066743" w14:textId="7162C48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6" w:history="1">
        <w:r w:rsidR="004259EA" w:rsidRPr="00400193">
          <w:rPr>
            <w:rStyle w:val="Hyperlink"/>
            <w:noProof/>
            <w:color w:val="auto"/>
          </w:rPr>
          <w:t>Table 5</w:t>
        </w:r>
        <w:r w:rsidR="004259EA" w:rsidRPr="00400193">
          <w:rPr>
            <w:rStyle w:val="Hyperlink"/>
            <w:noProof/>
            <w:color w:val="auto"/>
          </w:rPr>
          <w:noBreakHyphen/>
          <w:t xml:space="preserve">1: </w:t>
        </w:r>
        <w:r w:rsidR="004259EA" w:rsidRPr="00400193">
          <w:rPr>
            <w:rStyle w:val="Hyperlink"/>
            <w:noProof/>
            <w:color w:val="auto"/>
            <w:lang w:eastAsia="zh-CN" w:bidi="hi-IN"/>
          </w:rPr>
          <w:t>Cronbach’s Alpha values for the study measures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_Toc52901546 \h </w:instrText>
        </w:r>
        <w:r w:rsidR="004259EA" w:rsidRPr="00400193">
          <w:rPr>
            <w:noProof/>
            <w:webHidden/>
          </w:rPr>
        </w:r>
        <w:r w:rsidR="004259EA" w:rsidRPr="00400193">
          <w:rPr>
            <w:noProof/>
            <w:webHidden/>
          </w:rPr>
          <w:fldChar w:fldCharType="separate"/>
        </w:r>
        <w:r w:rsidR="00BB7C18">
          <w:rPr>
            <w:noProof/>
            <w:webHidden/>
          </w:rPr>
          <w:t>110</w:t>
        </w:r>
        <w:r w:rsidR="004259EA" w:rsidRPr="00400193">
          <w:rPr>
            <w:noProof/>
            <w:webHidden/>
          </w:rPr>
          <w:fldChar w:fldCharType="end"/>
        </w:r>
      </w:hyperlink>
    </w:p>
    <w:p w14:paraId="00B446A4" w14:textId="0A76AE5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7" w:history="1">
        <w:r w:rsidR="004259EA" w:rsidRPr="00400193">
          <w:rPr>
            <w:rStyle w:val="Hyperlink"/>
            <w:noProof/>
            <w:color w:val="auto"/>
          </w:rPr>
          <w:t>Table 5</w:t>
        </w:r>
        <w:r w:rsidR="004259EA" w:rsidRPr="00400193">
          <w:rPr>
            <w:rStyle w:val="Hyperlink"/>
            <w:noProof/>
            <w:color w:val="auto"/>
          </w:rPr>
          <w:noBreakHyphen/>
          <w:t>2. Reliability statistics of the scales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_Toc52901547 \h </w:instrText>
        </w:r>
        <w:r w:rsidR="004259EA" w:rsidRPr="00400193">
          <w:rPr>
            <w:noProof/>
            <w:webHidden/>
          </w:rPr>
        </w:r>
        <w:r w:rsidR="004259EA" w:rsidRPr="00400193">
          <w:rPr>
            <w:noProof/>
            <w:webHidden/>
          </w:rPr>
          <w:fldChar w:fldCharType="separate"/>
        </w:r>
        <w:r w:rsidR="00BB7C18">
          <w:rPr>
            <w:noProof/>
            <w:webHidden/>
          </w:rPr>
          <w:t>112</w:t>
        </w:r>
        <w:r w:rsidR="004259EA" w:rsidRPr="00400193">
          <w:rPr>
            <w:noProof/>
            <w:webHidden/>
          </w:rPr>
          <w:fldChar w:fldCharType="end"/>
        </w:r>
      </w:hyperlink>
    </w:p>
    <w:p w14:paraId="1F06B821" w14:textId="0351FE8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8" w:history="1">
        <w:r w:rsidR="004259EA" w:rsidRPr="00400193">
          <w:rPr>
            <w:rStyle w:val="Hyperlink"/>
            <w:noProof/>
            <w:color w:val="auto"/>
          </w:rPr>
          <w:t>Table 5</w:t>
        </w:r>
        <w:r w:rsidR="004259EA" w:rsidRPr="00400193">
          <w:rPr>
            <w:rStyle w:val="Hyperlink"/>
            <w:noProof/>
            <w:color w:val="auto"/>
          </w:rPr>
          <w:noBreakHyphen/>
          <w:t>3: Total variance explained by the components of KECA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_Toc52901548 \h </w:instrText>
        </w:r>
        <w:r w:rsidR="004259EA" w:rsidRPr="00400193">
          <w:rPr>
            <w:noProof/>
            <w:webHidden/>
          </w:rPr>
        </w:r>
        <w:r w:rsidR="004259EA" w:rsidRPr="00400193">
          <w:rPr>
            <w:noProof/>
            <w:webHidden/>
          </w:rPr>
          <w:fldChar w:fldCharType="separate"/>
        </w:r>
        <w:r w:rsidR="00BB7C18">
          <w:rPr>
            <w:noProof/>
            <w:webHidden/>
          </w:rPr>
          <w:t>122</w:t>
        </w:r>
        <w:r w:rsidR="004259EA" w:rsidRPr="00400193">
          <w:rPr>
            <w:noProof/>
            <w:webHidden/>
          </w:rPr>
          <w:fldChar w:fldCharType="end"/>
        </w:r>
      </w:hyperlink>
    </w:p>
    <w:p w14:paraId="5FD28674" w14:textId="543F141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49" w:history="1">
        <w:r w:rsidR="004259EA" w:rsidRPr="00400193">
          <w:rPr>
            <w:rStyle w:val="Hyperlink"/>
            <w:noProof/>
            <w:color w:val="auto"/>
          </w:rPr>
          <w:t>Table 5</w:t>
        </w:r>
        <w:r w:rsidR="004259EA" w:rsidRPr="00400193">
          <w:rPr>
            <w:rStyle w:val="Hyperlink"/>
            <w:noProof/>
            <w:color w:val="auto"/>
          </w:rPr>
          <w:noBreakHyphen/>
          <w:t>4: Kaiser–Meyer–Olkin test and Bartlett's test for sphericity for KECA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_Toc52901549 \h </w:instrText>
        </w:r>
        <w:r w:rsidR="004259EA" w:rsidRPr="00400193">
          <w:rPr>
            <w:noProof/>
            <w:webHidden/>
          </w:rPr>
        </w:r>
        <w:r w:rsidR="004259EA" w:rsidRPr="00400193">
          <w:rPr>
            <w:noProof/>
            <w:webHidden/>
          </w:rPr>
          <w:fldChar w:fldCharType="separate"/>
        </w:r>
        <w:r w:rsidR="00BB7C18">
          <w:rPr>
            <w:noProof/>
            <w:webHidden/>
          </w:rPr>
          <w:t>123</w:t>
        </w:r>
        <w:r w:rsidR="004259EA" w:rsidRPr="00400193">
          <w:rPr>
            <w:noProof/>
            <w:webHidden/>
          </w:rPr>
          <w:fldChar w:fldCharType="end"/>
        </w:r>
      </w:hyperlink>
    </w:p>
    <w:p w14:paraId="2A7D0BE3" w14:textId="76DEB88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0" w:history="1">
        <w:r w:rsidR="004259EA" w:rsidRPr="00400193">
          <w:rPr>
            <w:rStyle w:val="Hyperlink"/>
            <w:noProof/>
            <w:color w:val="auto"/>
          </w:rPr>
          <w:t>Table 5</w:t>
        </w:r>
        <w:r w:rsidR="004259EA" w:rsidRPr="00400193">
          <w:rPr>
            <w:rStyle w:val="Hyperlink"/>
            <w:noProof/>
            <w:color w:val="auto"/>
          </w:rPr>
          <w:noBreakHyphen/>
          <w:t>5: Cronbach’s alpha, number of questions and rotated component matrix for KECA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_Toc52901550 \h </w:instrText>
        </w:r>
        <w:r w:rsidR="004259EA" w:rsidRPr="00400193">
          <w:rPr>
            <w:noProof/>
            <w:webHidden/>
          </w:rPr>
        </w:r>
        <w:r w:rsidR="004259EA" w:rsidRPr="00400193">
          <w:rPr>
            <w:noProof/>
            <w:webHidden/>
          </w:rPr>
          <w:fldChar w:fldCharType="separate"/>
        </w:r>
        <w:r w:rsidR="00BB7C18">
          <w:rPr>
            <w:noProof/>
            <w:webHidden/>
          </w:rPr>
          <w:t>124</w:t>
        </w:r>
        <w:r w:rsidR="004259EA" w:rsidRPr="00400193">
          <w:rPr>
            <w:noProof/>
            <w:webHidden/>
          </w:rPr>
          <w:fldChar w:fldCharType="end"/>
        </w:r>
      </w:hyperlink>
    </w:p>
    <w:p w14:paraId="1A3DC94D" w14:textId="1048318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1" w:history="1">
        <w:r w:rsidR="004259EA" w:rsidRPr="00400193">
          <w:rPr>
            <w:rStyle w:val="Hyperlink"/>
            <w:noProof/>
            <w:color w:val="auto"/>
          </w:rPr>
          <w:t>Table 5</w:t>
        </w:r>
        <w:r w:rsidR="004259EA" w:rsidRPr="00400193">
          <w:rPr>
            <w:rStyle w:val="Hyperlink"/>
            <w:noProof/>
            <w:color w:val="auto"/>
          </w:rPr>
          <w:noBreakHyphen/>
          <w:t>6: Average variance extracted (AVE), composite reliability (CR), maximum shared variance (MSV) and average shared variance (ASV) of the scale KECA.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_Toc52901551 \h </w:instrText>
        </w:r>
        <w:r w:rsidR="004259EA" w:rsidRPr="00400193">
          <w:rPr>
            <w:noProof/>
            <w:webHidden/>
          </w:rPr>
        </w:r>
        <w:r w:rsidR="004259EA" w:rsidRPr="00400193">
          <w:rPr>
            <w:noProof/>
            <w:webHidden/>
          </w:rPr>
          <w:fldChar w:fldCharType="separate"/>
        </w:r>
        <w:r w:rsidR="00BB7C18">
          <w:rPr>
            <w:noProof/>
            <w:webHidden/>
          </w:rPr>
          <w:t>125</w:t>
        </w:r>
        <w:r w:rsidR="004259EA" w:rsidRPr="00400193">
          <w:rPr>
            <w:noProof/>
            <w:webHidden/>
          </w:rPr>
          <w:fldChar w:fldCharType="end"/>
        </w:r>
      </w:hyperlink>
    </w:p>
    <w:p w14:paraId="4F604D8A" w14:textId="2A0B4B5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2" w:history="1">
        <w:r w:rsidR="004259EA" w:rsidRPr="00400193">
          <w:rPr>
            <w:rStyle w:val="Hyperlink"/>
            <w:noProof/>
            <w:color w:val="auto"/>
          </w:rPr>
          <w:t>Table 5</w:t>
        </w:r>
        <w:r w:rsidR="004259EA" w:rsidRPr="00400193">
          <w:rPr>
            <w:rStyle w:val="Hyperlink"/>
            <w:noProof/>
            <w:color w:val="auto"/>
          </w:rPr>
          <w:noBreakHyphen/>
          <w:t>7: Total variance explained by the components of KEH</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_Toc52901552 \h </w:instrText>
        </w:r>
        <w:r w:rsidR="004259EA" w:rsidRPr="00400193">
          <w:rPr>
            <w:noProof/>
            <w:webHidden/>
          </w:rPr>
        </w:r>
        <w:r w:rsidR="004259EA" w:rsidRPr="00400193">
          <w:rPr>
            <w:noProof/>
            <w:webHidden/>
          </w:rPr>
          <w:fldChar w:fldCharType="separate"/>
        </w:r>
        <w:r w:rsidR="00BB7C18">
          <w:rPr>
            <w:noProof/>
            <w:webHidden/>
          </w:rPr>
          <w:t>126</w:t>
        </w:r>
        <w:r w:rsidR="004259EA" w:rsidRPr="00400193">
          <w:rPr>
            <w:noProof/>
            <w:webHidden/>
          </w:rPr>
          <w:fldChar w:fldCharType="end"/>
        </w:r>
      </w:hyperlink>
    </w:p>
    <w:p w14:paraId="3C8B744F" w14:textId="3FF4E5A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3" w:history="1">
        <w:r w:rsidR="004259EA" w:rsidRPr="00400193">
          <w:rPr>
            <w:rStyle w:val="Hyperlink"/>
            <w:noProof/>
            <w:color w:val="auto"/>
          </w:rPr>
          <w:t>Table 5</w:t>
        </w:r>
        <w:r w:rsidR="004259EA" w:rsidRPr="00400193">
          <w:rPr>
            <w:rStyle w:val="Hyperlink"/>
            <w:noProof/>
            <w:color w:val="auto"/>
          </w:rPr>
          <w:noBreakHyphen/>
          <w:t>8: Kaiser–Meyer–Olkin test and Bartlett's test of sphericity for KEH</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_Toc52901553 \h </w:instrText>
        </w:r>
        <w:r w:rsidR="004259EA" w:rsidRPr="00400193">
          <w:rPr>
            <w:noProof/>
            <w:webHidden/>
          </w:rPr>
        </w:r>
        <w:r w:rsidR="004259EA" w:rsidRPr="00400193">
          <w:rPr>
            <w:noProof/>
            <w:webHidden/>
          </w:rPr>
          <w:fldChar w:fldCharType="separate"/>
        </w:r>
        <w:r w:rsidR="00BB7C18">
          <w:rPr>
            <w:noProof/>
            <w:webHidden/>
          </w:rPr>
          <w:t>126</w:t>
        </w:r>
        <w:r w:rsidR="004259EA" w:rsidRPr="00400193">
          <w:rPr>
            <w:noProof/>
            <w:webHidden/>
          </w:rPr>
          <w:fldChar w:fldCharType="end"/>
        </w:r>
      </w:hyperlink>
    </w:p>
    <w:p w14:paraId="4CF9D7FC" w14:textId="51E93F1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4" w:history="1">
        <w:r w:rsidR="004259EA" w:rsidRPr="00400193">
          <w:rPr>
            <w:rStyle w:val="Hyperlink"/>
            <w:noProof/>
            <w:color w:val="auto"/>
          </w:rPr>
          <w:t>Table 5</w:t>
        </w:r>
        <w:r w:rsidR="004259EA" w:rsidRPr="00400193">
          <w:rPr>
            <w:rStyle w:val="Hyperlink"/>
            <w:noProof/>
            <w:color w:val="auto"/>
          </w:rPr>
          <w:noBreakHyphen/>
          <w:t>9: Cronbach’s alpha, number of questions and rotated component matrix for KEH</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_Toc52901554 \h </w:instrText>
        </w:r>
        <w:r w:rsidR="004259EA" w:rsidRPr="00400193">
          <w:rPr>
            <w:noProof/>
            <w:webHidden/>
          </w:rPr>
        </w:r>
        <w:r w:rsidR="004259EA" w:rsidRPr="00400193">
          <w:rPr>
            <w:noProof/>
            <w:webHidden/>
          </w:rPr>
          <w:fldChar w:fldCharType="separate"/>
        </w:r>
        <w:r w:rsidR="00BB7C18">
          <w:rPr>
            <w:noProof/>
            <w:webHidden/>
          </w:rPr>
          <w:t>127</w:t>
        </w:r>
        <w:r w:rsidR="004259EA" w:rsidRPr="00400193">
          <w:rPr>
            <w:noProof/>
            <w:webHidden/>
          </w:rPr>
          <w:fldChar w:fldCharType="end"/>
        </w:r>
      </w:hyperlink>
    </w:p>
    <w:p w14:paraId="27DFBDDC" w14:textId="019FBEB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5" w:history="1">
        <w:r w:rsidR="004259EA" w:rsidRPr="00400193">
          <w:rPr>
            <w:rStyle w:val="Hyperlink"/>
            <w:noProof/>
            <w:color w:val="auto"/>
          </w:rPr>
          <w:t>Table 5</w:t>
        </w:r>
        <w:r w:rsidR="004259EA" w:rsidRPr="00400193">
          <w:rPr>
            <w:rStyle w:val="Hyperlink"/>
            <w:noProof/>
            <w:color w:val="auto"/>
          </w:rPr>
          <w:noBreakHyphen/>
          <w:t>10: Average variance extracted (AVE), composite reliability (CR), maximum shared variance (MSV) and average shared variance (ASV) for KEH</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_Toc52901555 \h </w:instrText>
        </w:r>
        <w:r w:rsidR="004259EA" w:rsidRPr="00400193">
          <w:rPr>
            <w:noProof/>
            <w:webHidden/>
          </w:rPr>
        </w:r>
        <w:r w:rsidR="004259EA" w:rsidRPr="00400193">
          <w:rPr>
            <w:noProof/>
            <w:webHidden/>
          </w:rPr>
          <w:fldChar w:fldCharType="separate"/>
        </w:r>
        <w:r w:rsidR="00BB7C18">
          <w:rPr>
            <w:noProof/>
            <w:webHidden/>
          </w:rPr>
          <w:t>127</w:t>
        </w:r>
        <w:r w:rsidR="004259EA" w:rsidRPr="00400193">
          <w:rPr>
            <w:noProof/>
            <w:webHidden/>
          </w:rPr>
          <w:fldChar w:fldCharType="end"/>
        </w:r>
      </w:hyperlink>
    </w:p>
    <w:p w14:paraId="4D835632" w14:textId="7F9C47F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6" w:history="1">
        <w:r w:rsidR="004259EA" w:rsidRPr="00400193">
          <w:rPr>
            <w:rStyle w:val="Hyperlink"/>
            <w:noProof/>
            <w:color w:val="auto"/>
          </w:rPr>
          <w:t>Table 5</w:t>
        </w:r>
        <w:r w:rsidR="004259EA" w:rsidRPr="00400193">
          <w:rPr>
            <w:rStyle w:val="Hyperlink"/>
            <w:noProof/>
            <w:color w:val="auto"/>
          </w:rPr>
          <w:noBreakHyphen/>
          <w:t>11: Total variance explained by the components of KEP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_Toc52901556 \h </w:instrText>
        </w:r>
        <w:r w:rsidR="004259EA" w:rsidRPr="00400193">
          <w:rPr>
            <w:noProof/>
            <w:webHidden/>
          </w:rPr>
        </w:r>
        <w:r w:rsidR="004259EA" w:rsidRPr="00400193">
          <w:rPr>
            <w:noProof/>
            <w:webHidden/>
          </w:rPr>
          <w:fldChar w:fldCharType="separate"/>
        </w:r>
        <w:r w:rsidR="00BB7C18">
          <w:rPr>
            <w:noProof/>
            <w:webHidden/>
          </w:rPr>
          <w:t>128</w:t>
        </w:r>
        <w:r w:rsidR="004259EA" w:rsidRPr="00400193">
          <w:rPr>
            <w:noProof/>
            <w:webHidden/>
          </w:rPr>
          <w:fldChar w:fldCharType="end"/>
        </w:r>
      </w:hyperlink>
    </w:p>
    <w:p w14:paraId="428E9B9F" w14:textId="5924CD1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7" w:history="1">
        <w:r w:rsidR="004259EA" w:rsidRPr="00400193">
          <w:rPr>
            <w:rStyle w:val="Hyperlink"/>
            <w:noProof/>
            <w:color w:val="auto"/>
          </w:rPr>
          <w:t>Table 5</w:t>
        </w:r>
        <w:r w:rsidR="004259EA" w:rsidRPr="00400193">
          <w:rPr>
            <w:rStyle w:val="Hyperlink"/>
            <w:noProof/>
            <w:color w:val="auto"/>
          </w:rPr>
          <w:noBreakHyphen/>
          <w:t>12: Kaiser–Meyer–Olkin test and Bartlett's test of sphericity for KEP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_Toc52901557 \h </w:instrText>
        </w:r>
        <w:r w:rsidR="004259EA" w:rsidRPr="00400193">
          <w:rPr>
            <w:noProof/>
            <w:webHidden/>
          </w:rPr>
        </w:r>
        <w:r w:rsidR="004259EA" w:rsidRPr="00400193">
          <w:rPr>
            <w:noProof/>
            <w:webHidden/>
          </w:rPr>
          <w:fldChar w:fldCharType="separate"/>
        </w:r>
        <w:r w:rsidR="00BB7C18">
          <w:rPr>
            <w:noProof/>
            <w:webHidden/>
          </w:rPr>
          <w:t>128</w:t>
        </w:r>
        <w:r w:rsidR="004259EA" w:rsidRPr="00400193">
          <w:rPr>
            <w:noProof/>
            <w:webHidden/>
          </w:rPr>
          <w:fldChar w:fldCharType="end"/>
        </w:r>
      </w:hyperlink>
    </w:p>
    <w:p w14:paraId="73F50C55" w14:textId="74F39E7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8" w:history="1">
        <w:r w:rsidR="004259EA" w:rsidRPr="00400193">
          <w:rPr>
            <w:rStyle w:val="Hyperlink"/>
            <w:noProof/>
            <w:color w:val="auto"/>
          </w:rPr>
          <w:t>Table 5</w:t>
        </w:r>
        <w:r w:rsidR="004259EA" w:rsidRPr="00400193">
          <w:rPr>
            <w:rStyle w:val="Hyperlink"/>
            <w:noProof/>
            <w:color w:val="auto"/>
          </w:rPr>
          <w:noBreakHyphen/>
          <w:t>13: Cronbach’s alpha, number of questions and rotated component matrix for KEP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_Toc52901558 \h </w:instrText>
        </w:r>
        <w:r w:rsidR="004259EA" w:rsidRPr="00400193">
          <w:rPr>
            <w:noProof/>
            <w:webHidden/>
          </w:rPr>
        </w:r>
        <w:r w:rsidR="004259EA" w:rsidRPr="00400193">
          <w:rPr>
            <w:noProof/>
            <w:webHidden/>
          </w:rPr>
          <w:fldChar w:fldCharType="separate"/>
        </w:r>
        <w:r w:rsidR="00BB7C18">
          <w:rPr>
            <w:noProof/>
            <w:webHidden/>
          </w:rPr>
          <w:t>128</w:t>
        </w:r>
        <w:r w:rsidR="004259EA" w:rsidRPr="00400193">
          <w:rPr>
            <w:noProof/>
            <w:webHidden/>
          </w:rPr>
          <w:fldChar w:fldCharType="end"/>
        </w:r>
      </w:hyperlink>
    </w:p>
    <w:p w14:paraId="1AE71676" w14:textId="0081471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59" w:history="1">
        <w:r w:rsidR="004259EA" w:rsidRPr="00400193">
          <w:rPr>
            <w:rStyle w:val="Hyperlink"/>
            <w:noProof/>
            <w:color w:val="auto"/>
          </w:rPr>
          <w:t>Table 5</w:t>
        </w:r>
        <w:r w:rsidR="004259EA" w:rsidRPr="00400193">
          <w:rPr>
            <w:rStyle w:val="Hyperlink"/>
            <w:noProof/>
            <w:color w:val="auto"/>
          </w:rPr>
          <w:noBreakHyphen/>
          <w:t>14: Average variance extracted (AVE), composite reliability (CR), maximum shared variance (MSV) and average shared variance (ASV) for KEP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_Toc52901559 \h </w:instrText>
        </w:r>
        <w:r w:rsidR="004259EA" w:rsidRPr="00400193">
          <w:rPr>
            <w:noProof/>
            <w:webHidden/>
          </w:rPr>
        </w:r>
        <w:r w:rsidR="004259EA" w:rsidRPr="00400193">
          <w:rPr>
            <w:noProof/>
            <w:webHidden/>
          </w:rPr>
          <w:fldChar w:fldCharType="separate"/>
        </w:r>
        <w:r w:rsidR="00BB7C18">
          <w:rPr>
            <w:noProof/>
            <w:webHidden/>
          </w:rPr>
          <w:t>129</w:t>
        </w:r>
        <w:r w:rsidR="004259EA" w:rsidRPr="00400193">
          <w:rPr>
            <w:noProof/>
            <w:webHidden/>
          </w:rPr>
          <w:fldChar w:fldCharType="end"/>
        </w:r>
      </w:hyperlink>
    </w:p>
    <w:p w14:paraId="2E5570D4" w14:textId="29A41CD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0" w:history="1">
        <w:r w:rsidR="004259EA" w:rsidRPr="00400193">
          <w:rPr>
            <w:rStyle w:val="Hyperlink"/>
            <w:noProof/>
            <w:color w:val="auto"/>
          </w:rPr>
          <w:t>Table 5</w:t>
        </w:r>
        <w:r w:rsidR="004259EA" w:rsidRPr="00400193">
          <w:rPr>
            <w:rStyle w:val="Hyperlink"/>
            <w:noProof/>
            <w:color w:val="auto"/>
          </w:rPr>
          <w:noBreakHyphen/>
          <w:t>15: Total variance explained by the components of KEFF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_Toc52901560 \h </w:instrText>
        </w:r>
        <w:r w:rsidR="004259EA" w:rsidRPr="00400193">
          <w:rPr>
            <w:noProof/>
            <w:webHidden/>
          </w:rPr>
        </w:r>
        <w:r w:rsidR="004259EA" w:rsidRPr="00400193">
          <w:rPr>
            <w:noProof/>
            <w:webHidden/>
          </w:rPr>
          <w:fldChar w:fldCharType="separate"/>
        </w:r>
        <w:r w:rsidR="00BB7C18">
          <w:rPr>
            <w:noProof/>
            <w:webHidden/>
          </w:rPr>
          <w:t>129</w:t>
        </w:r>
        <w:r w:rsidR="004259EA" w:rsidRPr="00400193">
          <w:rPr>
            <w:noProof/>
            <w:webHidden/>
          </w:rPr>
          <w:fldChar w:fldCharType="end"/>
        </w:r>
      </w:hyperlink>
    </w:p>
    <w:p w14:paraId="1ED64531" w14:textId="42A5BF5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1" w:history="1">
        <w:r w:rsidR="004259EA" w:rsidRPr="00400193">
          <w:rPr>
            <w:rStyle w:val="Hyperlink"/>
            <w:noProof/>
            <w:color w:val="auto"/>
          </w:rPr>
          <w:t>Table 5</w:t>
        </w:r>
        <w:r w:rsidR="004259EA" w:rsidRPr="00400193">
          <w:rPr>
            <w:rStyle w:val="Hyperlink"/>
            <w:noProof/>
            <w:color w:val="auto"/>
          </w:rPr>
          <w:noBreakHyphen/>
          <w:t>16: Kaiser–Meyer–Olkin test and Bartlett's test of sphericity for KEFF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_Toc52901561 \h </w:instrText>
        </w:r>
        <w:r w:rsidR="004259EA" w:rsidRPr="00400193">
          <w:rPr>
            <w:noProof/>
            <w:webHidden/>
          </w:rPr>
        </w:r>
        <w:r w:rsidR="004259EA" w:rsidRPr="00400193">
          <w:rPr>
            <w:noProof/>
            <w:webHidden/>
          </w:rPr>
          <w:fldChar w:fldCharType="separate"/>
        </w:r>
        <w:r w:rsidR="00BB7C18">
          <w:rPr>
            <w:noProof/>
            <w:webHidden/>
          </w:rPr>
          <w:t>129</w:t>
        </w:r>
        <w:r w:rsidR="004259EA" w:rsidRPr="00400193">
          <w:rPr>
            <w:noProof/>
            <w:webHidden/>
          </w:rPr>
          <w:fldChar w:fldCharType="end"/>
        </w:r>
      </w:hyperlink>
    </w:p>
    <w:p w14:paraId="1D2929EA" w14:textId="086161B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2" w:history="1">
        <w:r w:rsidR="004259EA" w:rsidRPr="00400193">
          <w:rPr>
            <w:rStyle w:val="Hyperlink"/>
            <w:noProof/>
            <w:color w:val="auto"/>
          </w:rPr>
          <w:t>Table 5</w:t>
        </w:r>
        <w:r w:rsidR="004259EA" w:rsidRPr="00400193">
          <w:rPr>
            <w:rStyle w:val="Hyperlink"/>
            <w:noProof/>
            <w:color w:val="auto"/>
          </w:rPr>
          <w:noBreakHyphen/>
          <w:t>17: Cronbach’s alpha, number of questions and rotated component matrix for KEFF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_Toc52901562 \h </w:instrText>
        </w:r>
        <w:r w:rsidR="004259EA" w:rsidRPr="00400193">
          <w:rPr>
            <w:noProof/>
            <w:webHidden/>
          </w:rPr>
        </w:r>
        <w:r w:rsidR="004259EA" w:rsidRPr="00400193">
          <w:rPr>
            <w:noProof/>
            <w:webHidden/>
          </w:rPr>
          <w:fldChar w:fldCharType="separate"/>
        </w:r>
        <w:r w:rsidR="00BB7C18">
          <w:rPr>
            <w:noProof/>
            <w:webHidden/>
          </w:rPr>
          <w:t>130</w:t>
        </w:r>
        <w:r w:rsidR="004259EA" w:rsidRPr="00400193">
          <w:rPr>
            <w:noProof/>
            <w:webHidden/>
          </w:rPr>
          <w:fldChar w:fldCharType="end"/>
        </w:r>
      </w:hyperlink>
    </w:p>
    <w:p w14:paraId="4F39C9ED" w14:textId="5D6CE06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3" w:history="1">
        <w:r w:rsidR="004259EA" w:rsidRPr="00400193">
          <w:rPr>
            <w:rStyle w:val="Hyperlink"/>
            <w:noProof/>
            <w:color w:val="auto"/>
          </w:rPr>
          <w:t>Table 5</w:t>
        </w:r>
        <w:r w:rsidR="004259EA" w:rsidRPr="00400193">
          <w:rPr>
            <w:rStyle w:val="Hyperlink"/>
            <w:noProof/>
            <w:color w:val="auto"/>
          </w:rPr>
          <w:noBreakHyphen/>
          <w:t>18: Average variance extracted (AVE), composite reliability (CR), maximum shared variance (MSV) and average shared variance (ASV) for KEFF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_Toc52901563 \h </w:instrText>
        </w:r>
        <w:r w:rsidR="004259EA" w:rsidRPr="00400193">
          <w:rPr>
            <w:noProof/>
            <w:webHidden/>
          </w:rPr>
        </w:r>
        <w:r w:rsidR="004259EA" w:rsidRPr="00400193">
          <w:rPr>
            <w:noProof/>
            <w:webHidden/>
          </w:rPr>
          <w:fldChar w:fldCharType="separate"/>
        </w:r>
        <w:r w:rsidR="00BB7C18">
          <w:rPr>
            <w:noProof/>
            <w:webHidden/>
          </w:rPr>
          <w:t>130</w:t>
        </w:r>
        <w:r w:rsidR="004259EA" w:rsidRPr="00400193">
          <w:rPr>
            <w:noProof/>
            <w:webHidden/>
          </w:rPr>
          <w:fldChar w:fldCharType="end"/>
        </w:r>
      </w:hyperlink>
    </w:p>
    <w:p w14:paraId="770473B8" w14:textId="3420A57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4" w:history="1">
        <w:r w:rsidR="004259EA" w:rsidRPr="00400193">
          <w:rPr>
            <w:rStyle w:val="Hyperlink"/>
            <w:noProof/>
            <w:color w:val="auto"/>
          </w:rPr>
          <w:t>Table 5</w:t>
        </w:r>
        <w:r w:rsidR="004259EA" w:rsidRPr="00400193">
          <w:rPr>
            <w:rStyle w:val="Hyperlink"/>
            <w:noProof/>
            <w:color w:val="auto"/>
          </w:rPr>
          <w:noBreakHyphen/>
          <w:t>19:</w:t>
        </w:r>
        <w:r w:rsidR="004259EA" w:rsidRPr="00400193">
          <w:rPr>
            <w:rStyle w:val="Hyperlink"/>
            <w:noProof/>
            <w:color w:val="auto"/>
            <w:lang w:eastAsia="zh-CN" w:bidi="hi-IN"/>
          </w:rPr>
          <w:t xml:space="preserve"> </w:t>
        </w:r>
        <w:r w:rsidR="004259EA" w:rsidRPr="00400193">
          <w:rPr>
            <w:rStyle w:val="Hyperlink"/>
            <w:noProof/>
            <w:color w:val="auto"/>
          </w:rPr>
          <w:t>Total variance explained by the components of ETCA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_Toc52901564 \h </w:instrText>
        </w:r>
        <w:r w:rsidR="004259EA" w:rsidRPr="00400193">
          <w:rPr>
            <w:noProof/>
            <w:webHidden/>
          </w:rPr>
        </w:r>
        <w:r w:rsidR="004259EA" w:rsidRPr="00400193">
          <w:rPr>
            <w:noProof/>
            <w:webHidden/>
          </w:rPr>
          <w:fldChar w:fldCharType="separate"/>
        </w:r>
        <w:r w:rsidR="00BB7C18">
          <w:rPr>
            <w:noProof/>
            <w:webHidden/>
          </w:rPr>
          <w:t>131</w:t>
        </w:r>
        <w:r w:rsidR="004259EA" w:rsidRPr="00400193">
          <w:rPr>
            <w:noProof/>
            <w:webHidden/>
          </w:rPr>
          <w:fldChar w:fldCharType="end"/>
        </w:r>
      </w:hyperlink>
    </w:p>
    <w:p w14:paraId="00D845E5" w14:textId="51102FF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5" w:history="1">
        <w:r w:rsidR="004259EA" w:rsidRPr="00400193">
          <w:rPr>
            <w:rStyle w:val="Hyperlink"/>
            <w:noProof/>
            <w:color w:val="auto"/>
          </w:rPr>
          <w:t>Table 5</w:t>
        </w:r>
        <w:r w:rsidR="004259EA" w:rsidRPr="00400193">
          <w:rPr>
            <w:rStyle w:val="Hyperlink"/>
            <w:noProof/>
            <w:color w:val="auto"/>
          </w:rPr>
          <w:noBreakHyphen/>
          <w:t>20: Kaiser–Meyer–Olkin test and Bartlett's test for sphericity for ETCA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_Toc52901565 \h </w:instrText>
        </w:r>
        <w:r w:rsidR="004259EA" w:rsidRPr="00400193">
          <w:rPr>
            <w:noProof/>
            <w:webHidden/>
          </w:rPr>
        </w:r>
        <w:r w:rsidR="004259EA" w:rsidRPr="00400193">
          <w:rPr>
            <w:noProof/>
            <w:webHidden/>
          </w:rPr>
          <w:fldChar w:fldCharType="separate"/>
        </w:r>
        <w:r w:rsidR="00BB7C18">
          <w:rPr>
            <w:noProof/>
            <w:webHidden/>
          </w:rPr>
          <w:t>131</w:t>
        </w:r>
        <w:r w:rsidR="004259EA" w:rsidRPr="00400193">
          <w:rPr>
            <w:noProof/>
            <w:webHidden/>
          </w:rPr>
          <w:fldChar w:fldCharType="end"/>
        </w:r>
      </w:hyperlink>
    </w:p>
    <w:p w14:paraId="03FE12F9" w14:textId="20783C4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6" w:history="1">
        <w:r w:rsidR="004259EA" w:rsidRPr="00400193">
          <w:rPr>
            <w:rStyle w:val="Hyperlink"/>
            <w:noProof/>
            <w:color w:val="auto"/>
          </w:rPr>
          <w:t>Table 5</w:t>
        </w:r>
        <w:r w:rsidR="004259EA" w:rsidRPr="00400193">
          <w:rPr>
            <w:rStyle w:val="Hyperlink"/>
            <w:noProof/>
            <w:color w:val="auto"/>
          </w:rPr>
          <w:noBreakHyphen/>
          <w:t>21: Cronbach’s alpha, number of questions and rotated component matrix for ETCA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_Toc52901566 \h </w:instrText>
        </w:r>
        <w:r w:rsidR="004259EA" w:rsidRPr="00400193">
          <w:rPr>
            <w:noProof/>
            <w:webHidden/>
          </w:rPr>
        </w:r>
        <w:r w:rsidR="004259EA" w:rsidRPr="00400193">
          <w:rPr>
            <w:noProof/>
            <w:webHidden/>
          </w:rPr>
          <w:fldChar w:fldCharType="separate"/>
        </w:r>
        <w:r w:rsidR="00BB7C18">
          <w:rPr>
            <w:noProof/>
            <w:webHidden/>
          </w:rPr>
          <w:t>132</w:t>
        </w:r>
        <w:r w:rsidR="004259EA" w:rsidRPr="00400193">
          <w:rPr>
            <w:noProof/>
            <w:webHidden/>
          </w:rPr>
          <w:fldChar w:fldCharType="end"/>
        </w:r>
      </w:hyperlink>
    </w:p>
    <w:p w14:paraId="452A9773" w14:textId="50EC47C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7" w:history="1">
        <w:r w:rsidR="004259EA" w:rsidRPr="00400193">
          <w:rPr>
            <w:rStyle w:val="Hyperlink"/>
            <w:noProof/>
            <w:color w:val="auto"/>
          </w:rPr>
          <w:t>Table 5</w:t>
        </w:r>
        <w:r w:rsidR="004259EA" w:rsidRPr="00400193">
          <w:rPr>
            <w:rStyle w:val="Hyperlink"/>
            <w:noProof/>
            <w:color w:val="auto"/>
          </w:rPr>
          <w:noBreakHyphen/>
          <w:t>22: Average variance extracted (AVE), composite reliability (CR), maximum shared variance (MSV) and average shared variance (ASV) for ETCA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_Toc52901567 \h </w:instrText>
        </w:r>
        <w:r w:rsidR="004259EA" w:rsidRPr="00400193">
          <w:rPr>
            <w:noProof/>
            <w:webHidden/>
          </w:rPr>
        </w:r>
        <w:r w:rsidR="004259EA" w:rsidRPr="00400193">
          <w:rPr>
            <w:noProof/>
            <w:webHidden/>
          </w:rPr>
          <w:fldChar w:fldCharType="separate"/>
        </w:r>
        <w:r w:rsidR="00BB7C18">
          <w:rPr>
            <w:noProof/>
            <w:webHidden/>
          </w:rPr>
          <w:t>132</w:t>
        </w:r>
        <w:r w:rsidR="004259EA" w:rsidRPr="00400193">
          <w:rPr>
            <w:noProof/>
            <w:webHidden/>
          </w:rPr>
          <w:fldChar w:fldCharType="end"/>
        </w:r>
      </w:hyperlink>
    </w:p>
    <w:p w14:paraId="0E00F692" w14:textId="48139F7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8" w:history="1">
        <w:r w:rsidR="004259EA" w:rsidRPr="00400193">
          <w:rPr>
            <w:rStyle w:val="Hyperlink"/>
            <w:noProof/>
            <w:color w:val="auto"/>
          </w:rPr>
          <w:t>Table 5</w:t>
        </w:r>
        <w:r w:rsidR="004259EA" w:rsidRPr="00400193">
          <w:rPr>
            <w:rStyle w:val="Hyperlink"/>
            <w:noProof/>
            <w:color w:val="auto"/>
          </w:rPr>
          <w:noBreakHyphen/>
          <w:t>23: Total variance explained by the components of KILA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_Toc52901568 \h </w:instrText>
        </w:r>
        <w:r w:rsidR="004259EA" w:rsidRPr="00400193">
          <w:rPr>
            <w:noProof/>
            <w:webHidden/>
          </w:rPr>
        </w:r>
        <w:r w:rsidR="004259EA" w:rsidRPr="00400193">
          <w:rPr>
            <w:noProof/>
            <w:webHidden/>
          </w:rPr>
          <w:fldChar w:fldCharType="separate"/>
        </w:r>
        <w:r w:rsidR="00BB7C18">
          <w:rPr>
            <w:noProof/>
            <w:webHidden/>
          </w:rPr>
          <w:t>133</w:t>
        </w:r>
        <w:r w:rsidR="004259EA" w:rsidRPr="00400193">
          <w:rPr>
            <w:noProof/>
            <w:webHidden/>
          </w:rPr>
          <w:fldChar w:fldCharType="end"/>
        </w:r>
      </w:hyperlink>
    </w:p>
    <w:p w14:paraId="560006D2" w14:textId="1C5AAC5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69" w:history="1">
        <w:r w:rsidR="004259EA" w:rsidRPr="00400193">
          <w:rPr>
            <w:rStyle w:val="Hyperlink"/>
            <w:noProof/>
            <w:color w:val="auto"/>
          </w:rPr>
          <w:t>Table 5</w:t>
        </w:r>
        <w:r w:rsidR="004259EA" w:rsidRPr="00400193">
          <w:rPr>
            <w:rStyle w:val="Hyperlink"/>
            <w:noProof/>
            <w:color w:val="auto"/>
          </w:rPr>
          <w:noBreakHyphen/>
          <w:t>24: Kaiser–Meyer–Olkin test and Bartlett's test of sphericity for KILA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_Toc52901569 \h </w:instrText>
        </w:r>
        <w:r w:rsidR="004259EA" w:rsidRPr="00400193">
          <w:rPr>
            <w:noProof/>
            <w:webHidden/>
          </w:rPr>
        </w:r>
        <w:r w:rsidR="004259EA" w:rsidRPr="00400193">
          <w:rPr>
            <w:noProof/>
            <w:webHidden/>
          </w:rPr>
          <w:fldChar w:fldCharType="separate"/>
        </w:r>
        <w:r w:rsidR="00BB7C18">
          <w:rPr>
            <w:noProof/>
            <w:webHidden/>
          </w:rPr>
          <w:t>133</w:t>
        </w:r>
        <w:r w:rsidR="004259EA" w:rsidRPr="00400193">
          <w:rPr>
            <w:noProof/>
            <w:webHidden/>
          </w:rPr>
          <w:fldChar w:fldCharType="end"/>
        </w:r>
      </w:hyperlink>
    </w:p>
    <w:p w14:paraId="5A128094" w14:textId="660DD32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0" w:history="1">
        <w:r w:rsidR="004259EA" w:rsidRPr="00400193">
          <w:rPr>
            <w:rStyle w:val="Hyperlink"/>
            <w:noProof/>
            <w:color w:val="auto"/>
          </w:rPr>
          <w:t>Table 5</w:t>
        </w:r>
        <w:r w:rsidR="004259EA" w:rsidRPr="00400193">
          <w:rPr>
            <w:rStyle w:val="Hyperlink"/>
            <w:noProof/>
            <w:color w:val="auto"/>
          </w:rPr>
          <w:noBreakHyphen/>
          <w:t>25: Cronbach’s alpha, number of questions and rotated component matrix for KILA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_Toc52901570 \h </w:instrText>
        </w:r>
        <w:r w:rsidR="004259EA" w:rsidRPr="00400193">
          <w:rPr>
            <w:noProof/>
            <w:webHidden/>
          </w:rPr>
        </w:r>
        <w:r w:rsidR="004259EA" w:rsidRPr="00400193">
          <w:rPr>
            <w:noProof/>
            <w:webHidden/>
          </w:rPr>
          <w:fldChar w:fldCharType="separate"/>
        </w:r>
        <w:r w:rsidR="00BB7C18">
          <w:rPr>
            <w:noProof/>
            <w:webHidden/>
          </w:rPr>
          <w:t>134</w:t>
        </w:r>
        <w:r w:rsidR="004259EA" w:rsidRPr="00400193">
          <w:rPr>
            <w:noProof/>
            <w:webHidden/>
          </w:rPr>
          <w:fldChar w:fldCharType="end"/>
        </w:r>
      </w:hyperlink>
    </w:p>
    <w:p w14:paraId="12DB82E3" w14:textId="7100D9D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1" w:history="1">
        <w:r w:rsidR="004259EA" w:rsidRPr="00400193">
          <w:rPr>
            <w:rStyle w:val="Hyperlink"/>
            <w:noProof/>
            <w:color w:val="auto"/>
          </w:rPr>
          <w:t>Table 5</w:t>
        </w:r>
        <w:r w:rsidR="004259EA" w:rsidRPr="00400193">
          <w:rPr>
            <w:rStyle w:val="Hyperlink"/>
            <w:noProof/>
            <w:color w:val="auto"/>
          </w:rPr>
          <w:noBreakHyphen/>
          <w:t>26: Average variance extracted (AVE), composite reliability (CR),maximum shared variance (MSV) and average shared variance (ASV) for KILA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_Toc52901571 \h </w:instrText>
        </w:r>
        <w:r w:rsidR="004259EA" w:rsidRPr="00400193">
          <w:rPr>
            <w:noProof/>
            <w:webHidden/>
          </w:rPr>
        </w:r>
        <w:r w:rsidR="004259EA" w:rsidRPr="00400193">
          <w:rPr>
            <w:noProof/>
            <w:webHidden/>
          </w:rPr>
          <w:fldChar w:fldCharType="separate"/>
        </w:r>
        <w:r w:rsidR="00BB7C18">
          <w:rPr>
            <w:noProof/>
            <w:webHidden/>
          </w:rPr>
          <w:t>134</w:t>
        </w:r>
        <w:r w:rsidR="004259EA" w:rsidRPr="00400193">
          <w:rPr>
            <w:noProof/>
            <w:webHidden/>
          </w:rPr>
          <w:fldChar w:fldCharType="end"/>
        </w:r>
      </w:hyperlink>
    </w:p>
    <w:p w14:paraId="0A38FF22" w14:textId="5558681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2" w:history="1">
        <w:r w:rsidR="004259EA" w:rsidRPr="00400193">
          <w:rPr>
            <w:rStyle w:val="Hyperlink"/>
            <w:noProof/>
            <w:color w:val="auto"/>
          </w:rPr>
          <w:t>Table 5</w:t>
        </w:r>
        <w:r w:rsidR="004259EA" w:rsidRPr="00400193">
          <w:rPr>
            <w:rStyle w:val="Hyperlink"/>
            <w:noProof/>
            <w:color w:val="auto"/>
          </w:rPr>
          <w:noBreakHyphen/>
          <w:t>27: Total variance explained by the components of KIRC</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_Toc52901572 \h </w:instrText>
        </w:r>
        <w:r w:rsidR="004259EA" w:rsidRPr="00400193">
          <w:rPr>
            <w:noProof/>
            <w:webHidden/>
          </w:rPr>
        </w:r>
        <w:r w:rsidR="004259EA" w:rsidRPr="00400193">
          <w:rPr>
            <w:noProof/>
            <w:webHidden/>
          </w:rPr>
          <w:fldChar w:fldCharType="separate"/>
        </w:r>
        <w:r w:rsidR="00BB7C18">
          <w:rPr>
            <w:noProof/>
            <w:webHidden/>
          </w:rPr>
          <w:t>135</w:t>
        </w:r>
        <w:r w:rsidR="004259EA" w:rsidRPr="00400193">
          <w:rPr>
            <w:noProof/>
            <w:webHidden/>
          </w:rPr>
          <w:fldChar w:fldCharType="end"/>
        </w:r>
      </w:hyperlink>
    </w:p>
    <w:p w14:paraId="47A06576" w14:textId="6B713FD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3" w:history="1">
        <w:r w:rsidR="004259EA" w:rsidRPr="00400193">
          <w:rPr>
            <w:rStyle w:val="Hyperlink"/>
            <w:noProof/>
            <w:color w:val="auto"/>
          </w:rPr>
          <w:t>Table 5</w:t>
        </w:r>
        <w:r w:rsidR="004259EA" w:rsidRPr="00400193">
          <w:rPr>
            <w:rStyle w:val="Hyperlink"/>
            <w:noProof/>
            <w:color w:val="auto"/>
          </w:rPr>
          <w:noBreakHyphen/>
          <w:t>28: Kaiser–Meyer–Olkin test and Bartlett's test of sphericity for KIRC</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_Toc52901573 \h </w:instrText>
        </w:r>
        <w:r w:rsidR="004259EA" w:rsidRPr="00400193">
          <w:rPr>
            <w:noProof/>
            <w:webHidden/>
          </w:rPr>
        </w:r>
        <w:r w:rsidR="004259EA" w:rsidRPr="00400193">
          <w:rPr>
            <w:noProof/>
            <w:webHidden/>
          </w:rPr>
          <w:fldChar w:fldCharType="separate"/>
        </w:r>
        <w:r w:rsidR="00BB7C18">
          <w:rPr>
            <w:noProof/>
            <w:webHidden/>
          </w:rPr>
          <w:t>135</w:t>
        </w:r>
        <w:r w:rsidR="004259EA" w:rsidRPr="00400193">
          <w:rPr>
            <w:noProof/>
            <w:webHidden/>
          </w:rPr>
          <w:fldChar w:fldCharType="end"/>
        </w:r>
      </w:hyperlink>
    </w:p>
    <w:p w14:paraId="6F613CDA" w14:textId="2C42F4F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4" w:history="1">
        <w:r w:rsidR="004259EA" w:rsidRPr="00400193">
          <w:rPr>
            <w:rStyle w:val="Hyperlink"/>
            <w:noProof/>
            <w:color w:val="auto"/>
          </w:rPr>
          <w:t>Table 5</w:t>
        </w:r>
        <w:r w:rsidR="004259EA" w:rsidRPr="00400193">
          <w:rPr>
            <w:rStyle w:val="Hyperlink"/>
            <w:noProof/>
            <w:color w:val="auto"/>
          </w:rPr>
          <w:noBreakHyphen/>
          <w:t>29: Cronbach’s alpha, number of questions and rotated component matrix for KIRC</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_Toc52901574 \h </w:instrText>
        </w:r>
        <w:r w:rsidR="004259EA" w:rsidRPr="00400193">
          <w:rPr>
            <w:noProof/>
            <w:webHidden/>
          </w:rPr>
        </w:r>
        <w:r w:rsidR="004259EA" w:rsidRPr="00400193">
          <w:rPr>
            <w:noProof/>
            <w:webHidden/>
          </w:rPr>
          <w:fldChar w:fldCharType="separate"/>
        </w:r>
        <w:r w:rsidR="00BB7C18">
          <w:rPr>
            <w:noProof/>
            <w:webHidden/>
          </w:rPr>
          <w:t>136</w:t>
        </w:r>
        <w:r w:rsidR="004259EA" w:rsidRPr="00400193">
          <w:rPr>
            <w:noProof/>
            <w:webHidden/>
          </w:rPr>
          <w:fldChar w:fldCharType="end"/>
        </w:r>
      </w:hyperlink>
    </w:p>
    <w:p w14:paraId="00686100" w14:textId="441ED5E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5" w:history="1">
        <w:r w:rsidR="004259EA" w:rsidRPr="00400193">
          <w:rPr>
            <w:rStyle w:val="Hyperlink"/>
            <w:noProof/>
            <w:color w:val="auto"/>
          </w:rPr>
          <w:t>Table 5</w:t>
        </w:r>
        <w:r w:rsidR="004259EA" w:rsidRPr="00400193">
          <w:rPr>
            <w:rStyle w:val="Hyperlink"/>
            <w:noProof/>
            <w:color w:val="auto"/>
          </w:rPr>
          <w:noBreakHyphen/>
          <w:t>30: Average variance extracted (AVE), composite reliability (CR), maximum shared variance (MSV) and average shared variance (ASV) for KIRC</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_Toc52901575 \h </w:instrText>
        </w:r>
        <w:r w:rsidR="004259EA" w:rsidRPr="00400193">
          <w:rPr>
            <w:noProof/>
            <w:webHidden/>
          </w:rPr>
        </w:r>
        <w:r w:rsidR="004259EA" w:rsidRPr="00400193">
          <w:rPr>
            <w:noProof/>
            <w:webHidden/>
          </w:rPr>
          <w:fldChar w:fldCharType="separate"/>
        </w:r>
        <w:r w:rsidR="00BB7C18">
          <w:rPr>
            <w:noProof/>
            <w:webHidden/>
          </w:rPr>
          <w:t>136</w:t>
        </w:r>
        <w:r w:rsidR="004259EA" w:rsidRPr="00400193">
          <w:rPr>
            <w:noProof/>
            <w:webHidden/>
          </w:rPr>
          <w:fldChar w:fldCharType="end"/>
        </w:r>
      </w:hyperlink>
    </w:p>
    <w:p w14:paraId="3F5DDC65" w14:textId="5FBA081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6" w:history="1">
        <w:r w:rsidR="004259EA" w:rsidRPr="00400193">
          <w:rPr>
            <w:rStyle w:val="Hyperlink"/>
            <w:noProof/>
            <w:color w:val="auto"/>
          </w:rPr>
          <w:t>Table 5</w:t>
        </w:r>
        <w:r w:rsidR="004259EA" w:rsidRPr="00400193">
          <w:rPr>
            <w:rStyle w:val="Hyperlink"/>
            <w:noProof/>
            <w:color w:val="auto"/>
          </w:rPr>
          <w:noBreakHyphen/>
          <w:t>31: Total variance explained by the components of KIFF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_Toc52901576 \h </w:instrText>
        </w:r>
        <w:r w:rsidR="004259EA" w:rsidRPr="00400193">
          <w:rPr>
            <w:noProof/>
            <w:webHidden/>
          </w:rPr>
        </w:r>
        <w:r w:rsidR="004259EA" w:rsidRPr="00400193">
          <w:rPr>
            <w:noProof/>
            <w:webHidden/>
          </w:rPr>
          <w:fldChar w:fldCharType="separate"/>
        </w:r>
        <w:r w:rsidR="00BB7C18">
          <w:rPr>
            <w:noProof/>
            <w:webHidden/>
          </w:rPr>
          <w:t>137</w:t>
        </w:r>
        <w:r w:rsidR="004259EA" w:rsidRPr="00400193">
          <w:rPr>
            <w:noProof/>
            <w:webHidden/>
          </w:rPr>
          <w:fldChar w:fldCharType="end"/>
        </w:r>
      </w:hyperlink>
    </w:p>
    <w:p w14:paraId="0EDCECA8" w14:textId="65CFE99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7" w:history="1">
        <w:r w:rsidR="004259EA" w:rsidRPr="00400193">
          <w:rPr>
            <w:rStyle w:val="Hyperlink"/>
            <w:noProof/>
            <w:color w:val="auto"/>
          </w:rPr>
          <w:t>Table 5</w:t>
        </w:r>
        <w:r w:rsidR="004259EA" w:rsidRPr="00400193">
          <w:rPr>
            <w:rStyle w:val="Hyperlink"/>
            <w:noProof/>
            <w:color w:val="auto"/>
          </w:rPr>
          <w:noBreakHyphen/>
          <w:t>32: Kaiser–Meyer–Olkin test and Bartlett's test of sphericity for KIFF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_Toc52901577 \h </w:instrText>
        </w:r>
        <w:r w:rsidR="004259EA" w:rsidRPr="00400193">
          <w:rPr>
            <w:noProof/>
            <w:webHidden/>
          </w:rPr>
        </w:r>
        <w:r w:rsidR="004259EA" w:rsidRPr="00400193">
          <w:rPr>
            <w:noProof/>
            <w:webHidden/>
          </w:rPr>
          <w:fldChar w:fldCharType="separate"/>
        </w:r>
        <w:r w:rsidR="00BB7C18">
          <w:rPr>
            <w:noProof/>
            <w:webHidden/>
          </w:rPr>
          <w:t>137</w:t>
        </w:r>
        <w:r w:rsidR="004259EA" w:rsidRPr="00400193">
          <w:rPr>
            <w:noProof/>
            <w:webHidden/>
          </w:rPr>
          <w:fldChar w:fldCharType="end"/>
        </w:r>
      </w:hyperlink>
    </w:p>
    <w:p w14:paraId="4C6FA25A" w14:textId="64940D7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8" w:history="1">
        <w:r w:rsidR="004259EA" w:rsidRPr="00400193">
          <w:rPr>
            <w:rStyle w:val="Hyperlink"/>
            <w:noProof/>
            <w:color w:val="auto"/>
          </w:rPr>
          <w:t>Table 5</w:t>
        </w:r>
        <w:r w:rsidR="004259EA" w:rsidRPr="00400193">
          <w:rPr>
            <w:rStyle w:val="Hyperlink"/>
            <w:noProof/>
            <w:color w:val="auto"/>
          </w:rPr>
          <w:noBreakHyphen/>
          <w:t>33: Mean, standard deviation, communalities and rotated component matrix for KIFF survey.</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_Toc52901578 \h </w:instrText>
        </w:r>
        <w:r w:rsidR="004259EA" w:rsidRPr="00400193">
          <w:rPr>
            <w:noProof/>
            <w:webHidden/>
          </w:rPr>
        </w:r>
        <w:r w:rsidR="004259EA" w:rsidRPr="00400193">
          <w:rPr>
            <w:noProof/>
            <w:webHidden/>
          </w:rPr>
          <w:fldChar w:fldCharType="separate"/>
        </w:r>
        <w:r w:rsidR="00BB7C18">
          <w:rPr>
            <w:noProof/>
            <w:webHidden/>
          </w:rPr>
          <w:t>137</w:t>
        </w:r>
        <w:r w:rsidR="004259EA" w:rsidRPr="00400193">
          <w:rPr>
            <w:noProof/>
            <w:webHidden/>
          </w:rPr>
          <w:fldChar w:fldCharType="end"/>
        </w:r>
      </w:hyperlink>
    </w:p>
    <w:p w14:paraId="71B42ECF" w14:textId="5E6D211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79" w:history="1">
        <w:r w:rsidR="004259EA" w:rsidRPr="00400193">
          <w:rPr>
            <w:rStyle w:val="Hyperlink"/>
            <w:noProof/>
            <w:color w:val="auto"/>
          </w:rPr>
          <w:t>Table 5</w:t>
        </w:r>
        <w:r w:rsidR="004259EA" w:rsidRPr="00400193">
          <w:rPr>
            <w:rStyle w:val="Hyperlink"/>
            <w:noProof/>
            <w:color w:val="auto"/>
          </w:rPr>
          <w:noBreakHyphen/>
          <w:t>34: Average variance extracted (AVE), composite reliability (CR), maximum shared variance (MSV) and average shared variance (ASV) of KIFF</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_Toc52901579 \h </w:instrText>
        </w:r>
        <w:r w:rsidR="004259EA" w:rsidRPr="00400193">
          <w:rPr>
            <w:noProof/>
            <w:webHidden/>
          </w:rPr>
        </w:r>
        <w:r w:rsidR="004259EA" w:rsidRPr="00400193">
          <w:rPr>
            <w:noProof/>
            <w:webHidden/>
          </w:rPr>
          <w:fldChar w:fldCharType="separate"/>
        </w:r>
        <w:r w:rsidR="00BB7C18">
          <w:rPr>
            <w:noProof/>
            <w:webHidden/>
          </w:rPr>
          <w:t>138</w:t>
        </w:r>
        <w:r w:rsidR="004259EA" w:rsidRPr="00400193">
          <w:rPr>
            <w:noProof/>
            <w:webHidden/>
          </w:rPr>
          <w:fldChar w:fldCharType="end"/>
        </w:r>
      </w:hyperlink>
    </w:p>
    <w:p w14:paraId="2874AC6B" w14:textId="52B27D7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0" w:history="1">
        <w:r w:rsidR="004259EA" w:rsidRPr="00400193">
          <w:rPr>
            <w:rStyle w:val="Hyperlink"/>
            <w:noProof/>
            <w:color w:val="auto"/>
          </w:rPr>
          <w:t>Table 5</w:t>
        </w:r>
        <w:r w:rsidR="004259EA" w:rsidRPr="00400193">
          <w:rPr>
            <w:rStyle w:val="Hyperlink"/>
            <w:noProof/>
            <w:color w:val="auto"/>
          </w:rPr>
          <w:noBreakHyphen/>
          <w:t>35: Total variance explained by the components of ITCA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_Toc52901580 \h </w:instrText>
        </w:r>
        <w:r w:rsidR="004259EA" w:rsidRPr="00400193">
          <w:rPr>
            <w:noProof/>
            <w:webHidden/>
          </w:rPr>
        </w:r>
        <w:r w:rsidR="004259EA" w:rsidRPr="00400193">
          <w:rPr>
            <w:noProof/>
            <w:webHidden/>
          </w:rPr>
          <w:fldChar w:fldCharType="separate"/>
        </w:r>
        <w:r w:rsidR="00BB7C18">
          <w:rPr>
            <w:noProof/>
            <w:webHidden/>
          </w:rPr>
          <w:t>138</w:t>
        </w:r>
        <w:r w:rsidR="004259EA" w:rsidRPr="00400193">
          <w:rPr>
            <w:noProof/>
            <w:webHidden/>
          </w:rPr>
          <w:fldChar w:fldCharType="end"/>
        </w:r>
      </w:hyperlink>
    </w:p>
    <w:p w14:paraId="1F074A08" w14:textId="729D984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1" w:history="1">
        <w:r w:rsidR="004259EA" w:rsidRPr="00400193">
          <w:rPr>
            <w:rStyle w:val="Hyperlink"/>
            <w:noProof/>
            <w:color w:val="auto"/>
          </w:rPr>
          <w:t>Table 5</w:t>
        </w:r>
        <w:r w:rsidR="004259EA" w:rsidRPr="00400193">
          <w:rPr>
            <w:rStyle w:val="Hyperlink"/>
            <w:noProof/>
            <w:color w:val="auto"/>
          </w:rPr>
          <w:noBreakHyphen/>
          <w:t>36: Kaiser–Meyer–Olkin test and Bartlett's test of sphericity for ITCA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_Toc52901581 \h </w:instrText>
        </w:r>
        <w:r w:rsidR="004259EA" w:rsidRPr="00400193">
          <w:rPr>
            <w:noProof/>
            <w:webHidden/>
          </w:rPr>
        </w:r>
        <w:r w:rsidR="004259EA" w:rsidRPr="00400193">
          <w:rPr>
            <w:noProof/>
            <w:webHidden/>
          </w:rPr>
          <w:fldChar w:fldCharType="separate"/>
        </w:r>
        <w:r w:rsidR="00BB7C18">
          <w:rPr>
            <w:noProof/>
            <w:webHidden/>
          </w:rPr>
          <w:t>138</w:t>
        </w:r>
        <w:r w:rsidR="004259EA" w:rsidRPr="00400193">
          <w:rPr>
            <w:noProof/>
            <w:webHidden/>
          </w:rPr>
          <w:fldChar w:fldCharType="end"/>
        </w:r>
      </w:hyperlink>
    </w:p>
    <w:p w14:paraId="75AFE17B" w14:textId="4226B3A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2" w:history="1">
        <w:r w:rsidR="004259EA" w:rsidRPr="00400193">
          <w:rPr>
            <w:rStyle w:val="Hyperlink"/>
            <w:noProof/>
            <w:color w:val="auto"/>
          </w:rPr>
          <w:t>Table 5</w:t>
        </w:r>
        <w:r w:rsidR="004259EA" w:rsidRPr="00400193">
          <w:rPr>
            <w:rStyle w:val="Hyperlink"/>
            <w:noProof/>
            <w:color w:val="auto"/>
          </w:rPr>
          <w:noBreakHyphen/>
          <w:t>37: Cronbach’s alpha, number of questions and rotated component matrix for ITCA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_Toc52901582 \h </w:instrText>
        </w:r>
        <w:r w:rsidR="004259EA" w:rsidRPr="00400193">
          <w:rPr>
            <w:noProof/>
            <w:webHidden/>
          </w:rPr>
        </w:r>
        <w:r w:rsidR="004259EA" w:rsidRPr="00400193">
          <w:rPr>
            <w:noProof/>
            <w:webHidden/>
          </w:rPr>
          <w:fldChar w:fldCharType="separate"/>
        </w:r>
        <w:r w:rsidR="00BB7C18">
          <w:rPr>
            <w:noProof/>
            <w:webHidden/>
          </w:rPr>
          <w:t>139</w:t>
        </w:r>
        <w:r w:rsidR="004259EA" w:rsidRPr="00400193">
          <w:rPr>
            <w:noProof/>
            <w:webHidden/>
          </w:rPr>
          <w:fldChar w:fldCharType="end"/>
        </w:r>
      </w:hyperlink>
    </w:p>
    <w:p w14:paraId="776A1DF2" w14:textId="2D6BCA2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3" w:history="1">
        <w:r w:rsidR="004259EA" w:rsidRPr="00400193">
          <w:rPr>
            <w:rStyle w:val="Hyperlink"/>
            <w:noProof/>
            <w:color w:val="auto"/>
          </w:rPr>
          <w:t>Table 5</w:t>
        </w:r>
        <w:r w:rsidR="004259EA" w:rsidRPr="00400193">
          <w:rPr>
            <w:rStyle w:val="Hyperlink"/>
            <w:noProof/>
            <w:color w:val="auto"/>
          </w:rPr>
          <w:noBreakHyphen/>
          <w:t>38: Average variance extracted (AVE), composite reliability (CR), maximum shared variance (MSV) and average shared variance (ASV) for ITCA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_Toc52901583 \h </w:instrText>
        </w:r>
        <w:r w:rsidR="004259EA" w:rsidRPr="00400193">
          <w:rPr>
            <w:noProof/>
            <w:webHidden/>
          </w:rPr>
        </w:r>
        <w:r w:rsidR="004259EA" w:rsidRPr="00400193">
          <w:rPr>
            <w:noProof/>
            <w:webHidden/>
          </w:rPr>
          <w:fldChar w:fldCharType="separate"/>
        </w:r>
        <w:r w:rsidR="00BB7C18">
          <w:rPr>
            <w:noProof/>
            <w:webHidden/>
          </w:rPr>
          <w:t>139</w:t>
        </w:r>
        <w:r w:rsidR="004259EA" w:rsidRPr="00400193">
          <w:rPr>
            <w:noProof/>
            <w:webHidden/>
          </w:rPr>
          <w:fldChar w:fldCharType="end"/>
        </w:r>
      </w:hyperlink>
    </w:p>
    <w:p w14:paraId="3D0BCD44" w14:textId="4A3B9B0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4" w:history="1">
        <w:r w:rsidR="004259EA" w:rsidRPr="00400193">
          <w:rPr>
            <w:rStyle w:val="Hyperlink"/>
            <w:noProof/>
            <w:color w:val="auto"/>
          </w:rPr>
          <w:t>Table 5</w:t>
        </w:r>
        <w:r w:rsidR="004259EA" w:rsidRPr="00400193">
          <w:rPr>
            <w:rStyle w:val="Hyperlink"/>
            <w:noProof/>
            <w:color w:val="auto"/>
          </w:rPr>
          <w:noBreakHyphen/>
          <w:t>39: Total variance explained by the components of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_Toc52901584 \h </w:instrText>
        </w:r>
        <w:r w:rsidR="004259EA" w:rsidRPr="00400193">
          <w:rPr>
            <w:noProof/>
            <w:webHidden/>
          </w:rPr>
        </w:r>
        <w:r w:rsidR="004259EA" w:rsidRPr="00400193">
          <w:rPr>
            <w:noProof/>
            <w:webHidden/>
          </w:rPr>
          <w:fldChar w:fldCharType="separate"/>
        </w:r>
        <w:r w:rsidR="00BB7C18">
          <w:rPr>
            <w:noProof/>
            <w:webHidden/>
          </w:rPr>
          <w:t>139</w:t>
        </w:r>
        <w:r w:rsidR="004259EA" w:rsidRPr="00400193">
          <w:rPr>
            <w:noProof/>
            <w:webHidden/>
          </w:rPr>
          <w:fldChar w:fldCharType="end"/>
        </w:r>
      </w:hyperlink>
    </w:p>
    <w:p w14:paraId="08CE8964" w14:textId="48F2D32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5" w:history="1">
        <w:r w:rsidR="004259EA" w:rsidRPr="00400193">
          <w:rPr>
            <w:rStyle w:val="Hyperlink"/>
            <w:noProof/>
            <w:color w:val="auto"/>
          </w:rPr>
          <w:t>Table 5</w:t>
        </w:r>
        <w:r w:rsidR="004259EA" w:rsidRPr="00400193">
          <w:rPr>
            <w:rStyle w:val="Hyperlink"/>
            <w:noProof/>
            <w:color w:val="auto"/>
          </w:rPr>
          <w:noBreakHyphen/>
          <w:t>40: Kaiser-Meyer-Olkin test and Bartlett's test of sphericity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_Toc52901585 \h </w:instrText>
        </w:r>
        <w:r w:rsidR="004259EA" w:rsidRPr="00400193">
          <w:rPr>
            <w:noProof/>
            <w:webHidden/>
          </w:rPr>
        </w:r>
        <w:r w:rsidR="004259EA" w:rsidRPr="00400193">
          <w:rPr>
            <w:noProof/>
            <w:webHidden/>
          </w:rPr>
          <w:fldChar w:fldCharType="separate"/>
        </w:r>
        <w:r w:rsidR="00BB7C18">
          <w:rPr>
            <w:noProof/>
            <w:webHidden/>
          </w:rPr>
          <w:t>140</w:t>
        </w:r>
        <w:r w:rsidR="004259EA" w:rsidRPr="00400193">
          <w:rPr>
            <w:noProof/>
            <w:webHidden/>
          </w:rPr>
          <w:fldChar w:fldCharType="end"/>
        </w:r>
      </w:hyperlink>
    </w:p>
    <w:p w14:paraId="76797314" w14:textId="0B821FB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6" w:history="1">
        <w:r w:rsidR="004259EA" w:rsidRPr="00400193">
          <w:rPr>
            <w:rStyle w:val="Hyperlink"/>
            <w:noProof/>
            <w:color w:val="auto"/>
          </w:rPr>
          <w:t>Table 5</w:t>
        </w:r>
        <w:r w:rsidR="004259EA" w:rsidRPr="00400193">
          <w:rPr>
            <w:rStyle w:val="Hyperlink"/>
            <w:noProof/>
            <w:color w:val="auto"/>
          </w:rPr>
          <w:noBreakHyphen/>
          <w:t>41: Cronbach’s alpha, number of questions and rotated component matrix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_Toc52901586 \h </w:instrText>
        </w:r>
        <w:r w:rsidR="004259EA" w:rsidRPr="00400193">
          <w:rPr>
            <w:noProof/>
            <w:webHidden/>
          </w:rPr>
        </w:r>
        <w:r w:rsidR="004259EA" w:rsidRPr="00400193">
          <w:rPr>
            <w:noProof/>
            <w:webHidden/>
          </w:rPr>
          <w:fldChar w:fldCharType="separate"/>
        </w:r>
        <w:r w:rsidR="00BB7C18">
          <w:rPr>
            <w:noProof/>
            <w:webHidden/>
          </w:rPr>
          <w:t>140</w:t>
        </w:r>
        <w:r w:rsidR="004259EA" w:rsidRPr="00400193">
          <w:rPr>
            <w:noProof/>
            <w:webHidden/>
          </w:rPr>
          <w:fldChar w:fldCharType="end"/>
        </w:r>
      </w:hyperlink>
    </w:p>
    <w:p w14:paraId="2C40B77C" w14:textId="3E17E914"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7" w:history="1">
        <w:r w:rsidR="004259EA" w:rsidRPr="00400193">
          <w:rPr>
            <w:rStyle w:val="Hyperlink"/>
            <w:noProof/>
            <w:color w:val="auto"/>
          </w:rPr>
          <w:t>Table 5</w:t>
        </w:r>
        <w:r w:rsidR="004259EA" w:rsidRPr="00400193">
          <w:rPr>
            <w:rStyle w:val="Hyperlink"/>
            <w:noProof/>
            <w:color w:val="auto"/>
          </w:rPr>
          <w:noBreakHyphen/>
          <w:t>42: Average variance extracted (AVE), composite reliability (CR), maximum shared variance (MSV) and average shared variance (ASV)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_Toc52901587 \h </w:instrText>
        </w:r>
        <w:r w:rsidR="004259EA" w:rsidRPr="00400193">
          <w:rPr>
            <w:noProof/>
            <w:webHidden/>
          </w:rPr>
        </w:r>
        <w:r w:rsidR="004259EA" w:rsidRPr="00400193">
          <w:rPr>
            <w:noProof/>
            <w:webHidden/>
          </w:rPr>
          <w:fldChar w:fldCharType="separate"/>
        </w:r>
        <w:r w:rsidR="00BB7C18">
          <w:rPr>
            <w:noProof/>
            <w:webHidden/>
          </w:rPr>
          <w:t>141</w:t>
        </w:r>
        <w:r w:rsidR="004259EA" w:rsidRPr="00400193">
          <w:rPr>
            <w:noProof/>
            <w:webHidden/>
          </w:rPr>
          <w:fldChar w:fldCharType="end"/>
        </w:r>
      </w:hyperlink>
    </w:p>
    <w:p w14:paraId="49CBD535" w14:textId="06E539B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8" w:history="1">
        <w:r w:rsidR="004259EA" w:rsidRPr="00400193">
          <w:rPr>
            <w:rStyle w:val="Hyperlink"/>
            <w:noProof/>
            <w:color w:val="auto"/>
          </w:rPr>
          <w:t>Table 5</w:t>
        </w:r>
        <w:r w:rsidR="004259EA" w:rsidRPr="00400193">
          <w:rPr>
            <w:rStyle w:val="Hyperlink"/>
            <w:noProof/>
            <w:color w:val="auto"/>
          </w:rPr>
          <w:noBreakHyphen/>
          <w:t>43: Total variance explained by the components of VWP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_Toc52901588 \h </w:instrText>
        </w:r>
        <w:r w:rsidR="004259EA" w:rsidRPr="00400193">
          <w:rPr>
            <w:noProof/>
            <w:webHidden/>
          </w:rPr>
        </w:r>
        <w:r w:rsidR="004259EA" w:rsidRPr="00400193">
          <w:rPr>
            <w:noProof/>
            <w:webHidden/>
          </w:rPr>
          <w:fldChar w:fldCharType="separate"/>
        </w:r>
        <w:r w:rsidR="00BB7C18">
          <w:rPr>
            <w:noProof/>
            <w:webHidden/>
          </w:rPr>
          <w:t>141</w:t>
        </w:r>
        <w:r w:rsidR="004259EA" w:rsidRPr="00400193">
          <w:rPr>
            <w:noProof/>
            <w:webHidden/>
          </w:rPr>
          <w:fldChar w:fldCharType="end"/>
        </w:r>
      </w:hyperlink>
    </w:p>
    <w:p w14:paraId="2BBF1ED5" w14:textId="2D58E74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89" w:history="1">
        <w:r w:rsidR="004259EA" w:rsidRPr="00400193">
          <w:rPr>
            <w:rStyle w:val="Hyperlink"/>
            <w:noProof/>
            <w:color w:val="auto"/>
          </w:rPr>
          <w:t>Table 5</w:t>
        </w:r>
        <w:r w:rsidR="004259EA" w:rsidRPr="00400193">
          <w:rPr>
            <w:rStyle w:val="Hyperlink"/>
            <w:noProof/>
            <w:color w:val="auto"/>
          </w:rPr>
          <w:noBreakHyphen/>
          <w:t>44: Kaiser–Meyer–Olkin test and Bartlett's test of sphericity for VWP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_Toc52901589 \h </w:instrText>
        </w:r>
        <w:r w:rsidR="004259EA" w:rsidRPr="00400193">
          <w:rPr>
            <w:noProof/>
            <w:webHidden/>
          </w:rPr>
        </w:r>
        <w:r w:rsidR="004259EA" w:rsidRPr="00400193">
          <w:rPr>
            <w:noProof/>
            <w:webHidden/>
          </w:rPr>
          <w:fldChar w:fldCharType="separate"/>
        </w:r>
        <w:r w:rsidR="00BB7C18">
          <w:rPr>
            <w:noProof/>
            <w:webHidden/>
          </w:rPr>
          <w:t>142</w:t>
        </w:r>
        <w:r w:rsidR="004259EA" w:rsidRPr="00400193">
          <w:rPr>
            <w:noProof/>
            <w:webHidden/>
          </w:rPr>
          <w:fldChar w:fldCharType="end"/>
        </w:r>
      </w:hyperlink>
    </w:p>
    <w:p w14:paraId="5E0E9D48" w14:textId="5FC2941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0" w:history="1">
        <w:r w:rsidR="004259EA" w:rsidRPr="00400193">
          <w:rPr>
            <w:rStyle w:val="Hyperlink"/>
            <w:noProof/>
            <w:color w:val="auto"/>
          </w:rPr>
          <w:t>Table 5</w:t>
        </w:r>
        <w:r w:rsidR="004259EA" w:rsidRPr="00400193">
          <w:rPr>
            <w:rStyle w:val="Hyperlink"/>
            <w:noProof/>
            <w:color w:val="auto"/>
          </w:rPr>
          <w:noBreakHyphen/>
          <w:t>45: Cronbach’s alpha, number of questions and rotated component matrix for VWP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_Toc52901590 \h </w:instrText>
        </w:r>
        <w:r w:rsidR="004259EA" w:rsidRPr="00400193">
          <w:rPr>
            <w:noProof/>
            <w:webHidden/>
          </w:rPr>
        </w:r>
        <w:r w:rsidR="004259EA" w:rsidRPr="00400193">
          <w:rPr>
            <w:noProof/>
            <w:webHidden/>
          </w:rPr>
          <w:fldChar w:fldCharType="separate"/>
        </w:r>
        <w:r w:rsidR="00BB7C18">
          <w:rPr>
            <w:noProof/>
            <w:webHidden/>
          </w:rPr>
          <w:t>142</w:t>
        </w:r>
        <w:r w:rsidR="004259EA" w:rsidRPr="00400193">
          <w:rPr>
            <w:noProof/>
            <w:webHidden/>
          </w:rPr>
          <w:fldChar w:fldCharType="end"/>
        </w:r>
      </w:hyperlink>
    </w:p>
    <w:p w14:paraId="71B4AD11" w14:textId="22D5ABD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1" w:history="1">
        <w:r w:rsidR="004259EA" w:rsidRPr="00400193">
          <w:rPr>
            <w:rStyle w:val="Hyperlink"/>
            <w:noProof/>
            <w:color w:val="auto"/>
          </w:rPr>
          <w:t>Table 5</w:t>
        </w:r>
        <w:r w:rsidR="004259EA" w:rsidRPr="00400193">
          <w:rPr>
            <w:rStyle w:val="Hyperlink"/>
            <w:noProof/>
            <w:color w:val="auto"/>
          </w:rPr>
          <w:noBreakHyphen/>
          <w:t>46: Average variance extracted (AVE), composite reliability (CR), maximum shared variance (MSV) and average shared variance (ASV) for VWP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_Toc52901591 \h </w:instrText>
        </w:r>
        <w:r w:rsidR="004259EA" w:rsidRPr="00400193">
          <w:rPr>
            <w:noProof/>
            <w:webHidden/>
          </w:rPr>
        </w:r>
        <w:r w:rsidR="004259EA" w:rsidRPr="00400193">
          <w:rPr>
            <w:noProof/>
            <w:webHidden/>
          </w:rPr>
          <w:fldChar w:fldCharType="separate"/>
        </w:r>
        <w:r w:rsidR="00BB7C18">
          <w:rPr>
            <w:noProof/>
            <w:webHidden/>
          </w:rPr>
          <w:t>143</w:t>
        </w:r>
        <w:r w:rsidR="004259EA" w:rsidRPr="00400193">
          <w:rPr>
            <w:noProof/>
            <w:webHidden/>
          </w:rPr>
          <w:fldChar w:fldCharType="end"/>
        </w:r>
      </w:hyperlink>
    </w:p>
    <w:p w14:paraId="3B60642E" w14:textId="63788E1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2" w:history="1">
        <w:r w:rsidR="004259EA" w:rsidRPr="00400193">
          <w:rPr>
            <w:rStyle w:val="Hyperlink"/>
            <w:noProof/>
            <w:color w:val="auto"/>
          </w:rPr>
          <w:t>Table 5</w:t>
        </w:r>
        <w:r w:rsidR="004259EA" w:rsidRPr="00400193">
          <w:rPr>
            <w:rStyle w:val="Hyperlink"/>
            <w:noProof/>
            <w:color w:val="auto"/>
          </w:rPr>
          <w:noBreakHyphen/>
          <w:t>47: Total variance explained by the components of RP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_Toc52901592 \h </w:instrText>
        </w:r>
        <w:r w:rsidR="004259EA" w:rsidRPr="00400193">
          <w:rPr>
            <w:noProof/>
            <w:webHidden/>
          </w:rPr>
        </w:r>
        <w:r w:rsidR="004259EA" w:rsidRPr="00400193">
          <w:rPr>
            <w:noProof/>
            <w:webHidden/>
          </w:rPr>
          <w:fldChar w:fldCharType="separate"/>
        </w:r>
        <w:r w:rsidR="00BB7C18">
          <w:rPr>
            <w:noProof/>
            <w:webHidden/>
          </w:rPr>
          <w:t>143</w:t>
        </w:r>
        <w:r w:rsidR="004259EA" w:rsidRPr="00400193">
          <w:rPr>
            <w:noProof/>
            <w:webHidden/>
          </w:rPr>
          <w:fldChar w:fldCharType="end"/>
        </w:r>
      </w:hyperlink>
    </w:p>
    <w:p w14:paraId="7BF00E0D" w14:textId="663E7B6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3" w:history="1">
        <w:r w:rsidR="004259EA" w:rsidRPr="00400193">
          <w:rPr>
            <w:rStyle w:val="Hyperlink"/>
            <w:noProof/>
            <w:color w:val="auto"/>
          </w:rPr>
          <w:t>Table 5</w:t>
        </w:r>
        <w:r w:rsidR="004259EA" w:rsidRPr="00400193">
          <w:rPr>
            <w:rStyle w:val="Hyperlink"/>
            <w:noProof/>
            <w:color w:val="auto"/>
          </w:rPr>
          <w:noBreakHyphen/>
          <w:t>48: Kaiser-Meyer-Olkin test and Bartlett's test of sphericity for RP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_Toc52901593 \h </w:instrText>
        </w:r>
        <w:r w:rsidR="004259EA" w:rsidRPr="00400193">
          <w:rPr>
            <w:noProof/>
            <w:webHidden/>
          </w:rPr>
        </w:r>
        <w:r w:rsidR="004259EA" w:rsidRPr="00400193">
          <w:rPr>
            <w:noProof/>
            <w:webHidden/>
          </w:rPr>
          <w:fldChar w:fldCharType="separate"/>
        </w:r>
        <w:r w:rsidR="00BB7C18">
          <w:rPr>
            <w:noProof/>
            <w:webHidden/>
          </w:rPr>
          <w:t>143</w:t>
        </w:r>
        <w:r w:rsidR="004259EA" w:rsidRPr="00400193">
          <w:rPr>
            <w:noProof/>
            <w:webHidden/>
          </w:rPr>
          <w:fldChar w:fldCharType="end"/>
        </w:r>
      </w:hyperlink>
    </w:p>
    <w:p w14:paraId="435804A7" w14:textId="743F1AF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4" w:history="1">
        <w:r w:rsidR="004259EA" w:rsidRPr="00400193">
          <w:rPr>
            <w:rStyle w:val="Hyperlink"/>
            <w:noProof/>
            <w:color w:val="auto"/>
          </w:rPr>
          <w:t>Table 5</w:t>
        </w:r>
        <w:r w:rsidR="004259EA" w:rsidRPr="00400193">
          <w:rPr>
            <w:rStyle w:val="Hyperlink"/>
            <w:noProof/>
            <w:color w:val="auto"/>
          </w:rPr>
          <w:noBreakHyphen/>
          <w:t>49: Cronbach’s alpha, number of questions and rotated component matrix for RP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_Toc52901594 \h </w:instrText>
        </w:r>
        <w:r w:rsidR="004259EA" w:rsidRPr="00400193">
          <w:rPr>
            <w:noProof/>
            <w:webHidden/>
          </w:rPr>
        </w:r>
        <w:r w:rsidR="004259EA" w:rsidRPr="00400193">
          <w:rPr>
            <w:noProof/>
            <w:webHidden/>
          </w:rPr>
          <w:fldChar w:fldCharType="separate"/>
        </w:r>
        <w:r w:rsidR="00BB7C18">
          <w:rPr>
            <w:noProof/>
            <w:webHidden/>
          </w:rPr>
          <w:t>144</w:t>
        </w:r>
        <w:r w:rsidR="004259EA" w:rsidRPr="00400193">
          <w:rPr>
            <w:noProof/>
            <w:webHidden/>
          </w:rPr>
          <w:fldChar w:fldCharType="end"/>
        </w:r>
      </w:hyperlink>
    </w:p>
    <w:p w14:paraId="22B7654B" w14:textId="59358A1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5" w:history="1">
        <w:r w:rsidR="004259EA" w:rsidRPr="00400193">
          <w:rPr>
            <w:rStyle w:val="Hyperlink"/>
            <w:noProof/>
            <w:color w:val="auto"/>
          </w:rPr>
          <w:t>Table 5</w:t>
        </w:r>
        <w:r w:rsidR="004259EA" w:rsidRPr="00400193">
          <w:rPr>
            <w:rStyle w:val="Hyperlink"/>
            <w:noProof/>
            <w:color w:val="auto"/>
          </w:rPr>
          <w:noBreakHyphen/>
          <w:t>50: Average variance extracted (AVE), composite reliability (CR), maximum shared variance (MSV) and average shared variance (ASV) for RP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_Toc52901595 \h </w:instrText>
        </w:r>
        <w:r w:rsidR="004259EA" w:rsidRPr="00400193">
          <w:rPr>
            <w:noProof/>
            <w:webHidden/>
          </w:rPr>
        </w:r>
        <w:r w:rsidR="004259EA" w:rsidRPr="00400193">
          <w:rPr>
            <w:noProof/>
            <w:webHidden/>
          </w:rPr>
          <w:fldChar w:fldCharType="separate"/>
        </w:r>
        <w:r w:rsidR="00BB7C18">
          <w:rPr>
            <w:noProof/>
            <w:webHidden/>
          </w:rPr>
          <w:t>144</w:t>
        </w:r>
        <w:r w:rsidR="004259EA" w:rsidRPr="00400193">
          <w:rPr>
            <w:noProof/>
            <w:webHidden/>
          </w:rPr>
          <w:fldChar w:fldCharType="end"/>
        </w:r>
      </w:hyperlink>
    </w:p>
    <w:p w14:paraId="70B5B3ED" w14:textId="675DB5D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6" w:history="1">
        <w:r w:rsidR="004259EA" w:rsidRPr="00400193">
          <w:rPr>
            <w:rStyle w:val="Hyperlink"/>
            <w:noProof/>
            <w:color w:val="auto"/>
          </w:rPr>
          <w:t>Table 5</w:t>
        </w:r>
        <w:r w:rsidR="004259EA" w:rsidRPr="00400193">
          <w:rPr>
            <w:rStyle w:val="Hyperlink"/>
            <w:noProof/>
            <w:color w:val="auto"/>
          </w:rPr>
          <w:noBreakHyphen/>
          <w:t>51: Total variance explained by the components of OR</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_Toc52901596 \h </w:instrText>
        </w:r>
        <w:r w:rsidR="004259EA" w:rsidRPr="00400193">
          <w:rPr>
            <w:noProof/>
            <w:webHidden/>
          </w:rPr>
        </w:r>
        <w:r w:rsidR="004259EA" w:rsidRPr="00400193">
          <w:rPr>
            <w:noProof/>
            <w:webHidden/>
          </w:rPr>
          <w:fldChar w:fldCharType="separate"/>
        </w:r>
        <w:r w:rsidR="00BB7C18">
          <w:rPr>
            <w:noProof/>
            <w:webHidden/>
          </w:rPr>
          <w:t>145</w:t>
        </w:r>
        <w:r w:rsidR="004259EA" w:rsidRPr="00400193">
          <w:rPr>
            <w:noProof/>
            <w:webHidden/>
          </w:rPr>
          <w:fldChar w:fldCharType="end"/>
        </w:r>
      </w:hyperlink>
    </w:p>
    <w:p w14:paraId="05C48875" w14:textId="25128DA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7" w:history="1">
        <w:r w:rsidR="004259EA" w:rsidRPr="00400193">
          <w:rPr>
            <w:rStyle w:val="Hyperlink"/>
            <w:noProof/>
            <w:color w:val="auto"/>
          </w:rPr>
          <w:t>Table 5</w:t>
        </w:r>
        <w:r w:rsidR="004259EA" w:rsidRPr="00400193">
          <w:rPr>
            <w:rStyle w:val="Hyperlink"/>
            <w:noProof/>
            <w:color w:val="auto"/>
          </w:rPr>
          <w:noBreakHyphen/>
          <w:t>52: Kaiser–Meyer–Olkin test and Bartlett's test of sphericity for RP</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_Toc52901597 \h </w:instrText>
        </w:r>
        <w:r w:rsidR="004259EA" w:rsidRPr="00400193">
          <w:rPr>
            <w:noProof/>
            <w:webHidden/>
          </w:rPr>
        </w:r>
        <w:r w:rsidR="004259EA" w:rsidRPr="00400193">
          <w:rPr>
            <w:noProof/>
            <w:webHidden/>
          </w:rPr>
          <w:fldChar w:fldCharType="separate"/>
        </w:r>
        <w:r w:rsidR="00BB7C18">
          <w:rPr>
            <w:noProof/>
            <w:webHidden/>
          </w:rPr>
          <w:t>145</w:t>
        </w:r>
        <w:r w:rsidR="004259EA" w:rsidRPr="00400193">
          <w:rPr>
            <w:noProof/>
            <w:webHidden/>
          </w:rPr>
          <w:fldChar w:fldCharType="end"/>
        </w:r>
      </w:hyperlink>
    </w:p>
    <w:p w14:paraId="5FB39FA2" w14:textId="373CF7C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8" w:history="1">
        <w:r w:rsidR="004259EA" w:rsidRPr="00400193">
          <w:rPr>
            <w:rStyle w:val="Hyperlink"/>
            <w:noProof/>
            <w:color w:val="auto"/>
          </w:rPr>
          <w:t>Table 5</w:t>
        </w:r>
        <w:r w:rsidR="004259EA" w:rsidRPr="00400193">
          <w:rPr>
            <w:rStyle w:val="Hyperlink"/>
            <w:noProof/>
            <w:color w:val="auto"/>
          </w:rPr>
          <w:noBreakHyphen/>
          <w:t>53: Mean, standard deviation, communalities and rotated component matrix for OR</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_Toc52901598 \h </w:instrText>
        </w:r>
        <w:r w:rsidR="004259EA" w:rsidRPr="00400193">
          <w:rPr>
            <w:noProof/>
            <w:webHidden/>
          </w:rPr>
        </w:r>
        <w:r w:rsidR="004259EA" w:rsidRPr="00400193">
          <w:rPr>
            <w:noProof/>
            <w:webHidden/>
          </w:rPr>
          <w:fldChar w:fldCharType="separate"/>
        </w:r>
        <w:r w:rsidR="00BB7C18">
          <w:rPr>
            <w:noProof/>
            <w:webHidden/>
          </w:rPr>
          <w:t>146</w:t>
        </w:r>
        <w:r w:rsidR="004259EA" w:rsidRPr="00400193">
          <w:rPr>
            <w:noProof/>
            <w:webHidden/>
          </w:rPr>
          <w:fldChar w:fldCharType="end"/>
        </w:r>
      </w:hyperlink>
    </w:p>
    <w:p w14:paraId="08FFED5C" w14:textId="060382E4"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599" w:history="1">
        <w:r w:rsidR="004259EA" w:rsidRPr="00400193">
          <w:rPr>
            <w:rStyle w:val="Hyperlink"/>
            <w:noProof/>
            <w:color w:val="auto"/>
          </w:rPr>
          <w:t>Table 5</w:t>
        </w:r>
        <w:r w:rsidR="004259EA" w:rsidRPr="00400193">
          <w:rPr>
            <w:rStyle w:val="Hyperlink"/>
            <w:noProof/>
            <w:color w:val="auto"/>
          </w:rPr>
          <w:noBreakHyphen/>
          <w:t>54: Average variance extracted (AVE), composite reliability (CR), maximum shared variance (MSV) and average shared variance (ASV) for OR</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_Toc52901599 \h </w:instrText>
        </w:r>
        <w:r w:rsidR="004259EA" w:rsidRPr="00400193">
          <w:rPr>
            <w:noProof/>
            <w:webHidden/>
          </w:rPr>
        </w:r>
        <w:r w:rsidR="004259EA" w:rsidRPr="00400193">
          <w:rPr>
            <w:noProof/>
            <w:webHidden/>
          </w:rPr>
          <w:fldChar w:fldCharType="separate"/>
        </w:r>
        <w:r w:rsidR="00BB7C18">
          <w:rPr>
            <w:noProof/>
            <w:webHidden/>
          </w:rPr>
          <w:t>146</w:t>
        </w:r>
        <w:r w:rsidR="004259EA" w:rsidRPr="00400193">
          <w:rPr>
            <w:noProof/>
            <w:webHidden/>
          </w:rPr>
          <w:fldChar w:fldCharType="end"/>
        </w:r>
      </w:hyperlink>
    </w:p>
    <w:p w14:paraId="5D419E4A" w14:textId="3B83D464"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0" w:history="1">
        <w:r w:rsidR="004259EA" w:rsidRPr="00400193">
          <w:rPr>
            <w:rStyle w:val="Hyperlink"/>
            <w:noProof/>
            <w:color w:val="auto"/>
          </w:rPr>
          <w:t>Table 5</w:t>
        </w:r>
        <w:r w:rsidR="004259EA" w:rsidRPr="00400193">
          <w:rPr>
            <w:rStyle w:val="Hyperlink"/>
            <w:noProof/>
            <w:color w:val="auto"/>
          </w:rPr>
          <w:noBreakHyphen/>
          <w:t xml:space="preserve">55: </w:t>
        </w:r>
        <w:r w:rsidR="004259EA" w:rsidRPr="00400193">
          <w:rPr>
            <w:rStyle w:val="Hyperlink"/>
            <w:noProof/>
            <w:color w:val="auto"/>
            <w:lang w:eastAsia="zh-CN" w:bidi="hi-IN"/>
          </w:rPr>
          <w:t>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_Toc52901600 \h </w:instrText>
        </w:r>
        <w:r w:rsidR="004259EA" w:rsidRPr="00400193">
          <w:rPr>
            <w:noProof/>
            <w:webHidden/>
          </w:rPr>
        </w:r>
        <w:r w:rsidR="004259EA" w:rsidRPr="00400193">
          <w:rPr>
            <w:noProof/>
            <w:webHidden/>
          </w:rPr>
          <w:fldChar w:fldCharType="separate"/>
        </w:r>
        <w:r w:rsidR="00BB7C18">
          <w:rPr>
            <w:noProof/>
            <w:webHidden/>
          </w:rPr>
          <w:t>150</w:t>
        </w:r>
        <w:r w:rsidR="004259EA" w:rsidRPr="00400193">
          <w:rPr>
            <w:noProof/>
            <w:webHidden/>
          </w:rPr>
          <w:fldChar w:fldCharType="end"/>
        </w:r>
      </w:hyperlink>
    </w:p>
    <w:p w14:paraId="39625BBE" w14:textId="4F69BBC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1" w:history="1">
        <w:r w:rsidR="004259EA" w:rsidRPr="00400193">
          <w:rPr>
            <w:rStyle w:val="Hyperlink"/>
            <w:noProof/>
            <w:color w:val="auto"/>
          </w:rPr>
          <w:t>Table 5</w:t>
        </w:r>
        <w:r w:rsidR="004259EA" w:rsidRPr="00400193">
          <w:rPr>
            <w:rStyle w:val="Hyperlink"/>
            <w:noProof/>
            <w:color w:val="auto"/>
          </w:rPr>
          <w:noBreakHyphen/>
          <w:t xml:space="preserve">56: </w:t>
        </w:r>
        <w:r w:rsidR="004259EA" w:rsidRPr="00400193">
          <w:rPr>
            <w:rStyle w:val="Hyperlink"/>
            <w:noProof/>
            <w:color w:val="auto"/>
            <w:lang w:eastAsia="zh-CN" w:bidi="hi-IN"/>
          </w:rPr>
          <w:t xml:space="preserve">Analysis of Variance </w:t>
        </w:r>
        <w:r w:rsidR="004259EA" w:rsidRPr="00400193">
          <w:rPr>
            <w:rStyle w:val="Hyperlink"/>
            <w:noProof/>
            <w:color w:val="auto"/>
            <w:vertAlign w:val="superscript"/>
            <w:lang w:eastAsia="zh-CN" w:bidi="hi-IN"/>
          </w:rPr>
          <w:t xml:space="preserve">a </w:t>
        </w:r>
        <w:r w:rsidR="004259EA" w:rsidRPr="00400193">
          <w:rPr>
            <w:rStyle w:val="Hyperlink"/>
            <w:noProof/>
            <w:color w:val="auto"/>
            <w:lang w:eastAsia="zh-CN" w:bidi="hi-IN"/>
          </w:rPr>
          <w:t>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_Toc52901601 \h </w:instrText>
        </w:r>
        <w:r w:rsidR="004259EA" w:rsidRPr="00400193">
          <w:rPr>
            <w:noProof/>
            <w:webHidden/>
          </w:rPr>
        </w:r>
        <w:r w:rsidR="004259EA" w:rsidRPr="00400193">
          <w:rPr>
            <w:noProof/>
            <w:webHidden/>
          </w:rPr>
          <w:fldChar w:fldCharType="separate"/>
        </w:r>
        <w:r w:rsidR="00BB7C18">
          <w:rPr>
            <w:noProof/>
            <w:webHidden/>
          </w:rPr>
          <w:t>150</w:t>
        </w:r>
        <w:r w:rsidR="004259EA" w:rsidRPr="00400193">
          <w:rPr>
            <w:noProof/>
            <w:webHidden/>
          </w:rPr>
          <w:fldChar w:fldCharType="end"/>
        </w:r>
      </w:hyperlink>
    </w:p>
    <w:p w14:paraId="0D666038" w14:textId="227F6C4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2" w:history="1">
        <w:r w:rsidR="004259EA" w:rsidRPr="00400193">
          <w:rPr>
            <w:rStyle w:val="Hyperlink"/>
            <w:noProof/>
            <w:color w:val="auto"/>
          </w:rPr>
          <w:t>Table 5</w:t>
        </w:r>
        <w:r w:rsidR="004259EA" w:rsidRPr="00400193">
          <w:rPr>
            <w:rStyle w:val="Hyperlink"/>
            <w:noProof/>
            <w:color w:val="auto"/>
          </w:rPr>
          <w:noBreakHyphen/>
          <w:t>57:</w:t>
        </w:r>
        <w:r w:rsidR="004259EA" w:rsidRPr="00400193">
          <w:rPr>
            <w:rStyle w:val="Hyperlink"/>
            <w:noProof/>
            <w:color w:val="auto"/>
            <w:lang w:eastAsia="zh-CN" w:bidi="hi-IN"/>
          </w:rPr>
          <w:t xml:space="preserve"> </w:t>
        </w:r>
        <w:r w:rsidR="004259EA" w:rsidRPr="00400193">
          <w:rPr>
            <w:rStyle w:val="Hyperlink"/>
            <w:noProof/>
            <w:color w:val="auto"/>
            <w:lang w:bidi="hi-IN"/>
          </w:rPr>
          <w:t xml:space="preserve">Coefficients </w:t>
        </w:r>
        <w:r w:rsidR="004259EA" w:rsidRPr="00400193">
          <w:rPr>
            <w:rStyle w:val="Hyperlink"/>
            <w:noProof/>
            <w:color w:val="auto"/>
            <w:vertAlign w:val="superscript"/>
            <w:lang w:bidi="hi-IN"/>
          </w:rPr>
          <w:t xml:space="preserve">a </w:t>
        </w:r>
        <w:r w:rsidR="004259EA" w:rsidRPr="00400193">
          <w:rPr>
            <w:rStyle w:val="Hyperlink"/>
            <w:noProof/>
            <w:color w:val="auto"/>
            <w:vertAlign w:val="superscript"/>
          </w:rPr>
          <w:t xml:space="preserve"> </w:t>
        </w:r>
        <w:r w:rsidR="004259EA" w:rsidRPr="00400193">
          <w:rPr>
            <w:rStyle w:val="Hyperlink"/>
            <w:noProof/>
            <w:color w:val="auto"/>
          </w:rPr>
          <w:t>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_Toc52901602 \h </w:instrText>
        </w:r>
        <w:r w:rsidR="004259EA" w:rsidRPr="00400193">
          <w:rPr>
            <w:noProof/>
            <w:webHidden/>
          </w:rPr>
        </w:r>
        <w:r w:rsidR="004259EA" w:rsidRPr="00400193">
          <w:rPr>
            <w:noProof/>
            <w:webHidden/>
          </w:rPr>
          <w:fldChar w:fldCharType="separate"/>
        </w:r>
        <w:r w:rsidR="00BB7C18">
          <w:rPr>
            <w:noProof/>
            <w:webHidden/>
          </w:rPr>
          <w:t>150</w:t>
        </w:r>
        <w:r w:rsidR="004259EA" w:rsidRPr="00400193">
          <w:rPr>
            <w:noProof/>
            <w:webHidden/>
          </w:rPr>
          <w:fldChar w:fldCharType="end"/>
        </w:r>
      </w:hyperlink>
    </w:p>
    <w:p w14:paraId="2B85EFCE" w14:textId="4FC9717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3" w:history="1">
        <w:r w:rsidR="004259EA" w:rsidRPr="00400193">
          <w:rPr>
            <w:rStyle w:val="Hyperlink"/>
            <w:noProof/>
            <w:color w:val="auto"/>
          </w:rPr>
          <w:t>Table 5</w:t>
        </w:r>
        <w:r w:rsidR="004259EA" w:rsidRPr="00400193">
          <w:rPr>
            <w:rStyle w:val="Hyperlink"/>
            <w:noProof/>
            <w:color w:val="auto"/>
          </w:rPr>
          <w:noBreakHyphen/>
          <w:t>58: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_Toc52901603 \h </w:instrText>
        </w:r>
        <w:r w:rsidR="004259EA" w:rsidRPr="00400193">
          <w:rPr>
            <w:noProof/>
            <w:webHidden/>
          </w:rPr>
        </w:r>
        <w:r w:rsidR="004259EA" w:rsidRPr="00400193">
          <w:rPr>
            <w:noProof/>
            <w:webHidden/>
          </w:rPr>
          <w:fldChar w:fldCharType="separate"/>
        </w:r>
        <w:r w:rsidR="00BB7C18">
          <w:rPr>
            <w:noProof/>
            <w:webHidden/>
          </w:rPr>
          <w:t>151</w:t>
        </w:r>
        <w:r w:rsidR="004259EA" w:rsidRPr="00400193">
          <w:rPr>
            <w:noProof/>
            <w:webHidden/>
          </w:rPr>
          <w:fldChar w:fldCharType="end"/>
        </w:r>
      </w:hyperlink>
    </w:p>
    <w:p w14:paraId="4C4D72CC" w14:textId="568891C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4" w:history="1">
        <w:r w:rsidR="004259EA" w:rsidRPr="00400193">
          <w:rPr>
            <w:rStyle w:val="Hyperlink"/>
            <w:noProof/>
            <w:color w:val="auto"/>
          </w:rPr>
          <w:t>Table 5</w:t>
        </w:r>
        <w:r w:rsidR="004259EA" w:rsidRPr="00400193">
          <w:rPr>
            <w:rStyle w:val="Hyperlink"/>
            <w:noProof/>
            <w:color w:val="auto"/>
          </w:rPr>
          <w:noBreakHyphen/>
          <w:t xml:space="preserve">59: </w:t>
        </w:r>
        <w:r w:rsidR="004259EA" w:rsidRPr="00400193">
          <w:rPr>
            <w:rStyle w:val="Hyperlink"/>
            <w:noProof/>
            <w:color w:val="auto"/>
            <w:lang w:eastAsia="zh-CN" w:bidi="hi-IN"/>
          </w:rPr>
          <w:t xml:space="preserve">Residual statistics </w:t>
        </w:r>
        <w:r w:rsidR="004259EA" w:rsidRPr="00400193">
          <w:rPr>
            <w:rStyle w:val="Hyperlink"/>
            <w:noProof/>
            <w:color w:val="auto"/>
            <w:vertAlign w:val="superscript"/>
            <w:lang w:eastAsia="zh-CN" w:bidi="hi-IN"/>
          </w:rPr>
          <w:t>a</w:t>
        </w:r>
        <w:r w:rsidR="004259EA" w:rsidRPr="00400193">
          <w:rPr>
            <w:rStyle w:val="Hyperlink"/>
            <w:noProof/>
            <w:color w:val="auto"/>
            <w:lang w:eastAsia="zh-CN" w:bidi="hi-IN"/>
          </w:rPr>
          <w:t xml:space="preserve">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_Toc52901604 \h </w:instrText>
        </w:r>
        <w:r w:rsidR="004259EA" w:rsidRPr="00400193">
          <w:rPr>
            <w:noProof/>
            <w:webHidden/>
          </w:rPr>
        </w:r>
        <w:r w:rsidR="004259EA" w:rsidRPr="00400193">
          <w:rPr>
            <w:noProof/>
            <w:webHidden/>
          </w:rPr>
          <w:fldChar w:fldCharType="separate"/>
        </w:r>
        <w:r w:rsidR="00BB7C18">
          <w:rPr>
            <w:noProof/>
            <w:webHidden/>
          </w:rPr>
          <w:t>151</w:t>
        </w:r>
        <w:r w:rsidR="004259EA" w:rsidRPr="00400193">
          <w:rPr>
            <w:noProof/>
            <w:webHidden/>
          </w:rPr>
          <w:fldChar w:fldCharType="end"/>
        </w:r>
      </w:hyperlink>
    </w:p>
    <w:p w14:paraId="5239E874" w14:textId="435E33A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5" w:history="1">
        <w:r w:rsidR="004259EA" w:rsidRPr="00400193">
          <w:rPr>
            <w:rStyle w:val="Hyperlink"/>
            <w:noProof/>
            <w:color w:val="auto"/>
          </w:rPr>
          <w:t>Table 5</w:t>
        </w:r>
        <w:r w:rsidR="004259EA" w:rsidRPr="00400193">
          <w:rPr>
            <w:rStyle w:val="Hyperlink"/>
            <w:noProof/>
            <w:color w:val="auto"/>
          </w:rPr>
          <w:noBreakHyphen/>
          <w:t xml:space="preserve">60: </w:t>
        </w:r>
        <w:r w:rsidR="004259EA" w:rsidRPr="00400193">
          <w:rPr>
            <w:rStyle w:val="Hyperlink"/>
            <w:noProof/>
            <w:color w:val="auto"/>
            <w:lang w:eastAsia="zh-CN" w:bidi="hi-IN"/>
          </w:rPr>
          <w:t>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_Toc52901605 \h </w:instrText>
        </w:r>
        <w:r w:rsidR="004259EA" w:rsidRPr="00400193">
          <w:rPr>
            <w:noProof/>
            <w:webHidden/>
          </w:rPr>
        </w:r>
        <w:r w:rsidR="004259EA" w:rsidRPr="00400193">
          <w:rPr>
            <w:noProof/>
            <w:webHidden/>
          </w:rPr>
          <w:fldChar w:fldCharType="separate"/>
        </w:r>
        <w:r w:rsidR="00BB7C18">
          <w:rPr>
            <w:noProof/>
            <w:webHidden/>
          </w:rPr>
          <w:t>153</w:t>
        </w:r>
        <w:r w:rsidR="004259EA" w:rsidRPr="00400193">
          <w:rPr>
            <w:noProof/>
            <w:webHidden/>
          </w:rPr>
          <w:fldChar w:fldCharType="end"/>
        </w:r>
      </w:hyperlink>
    </w:p>
    <w:p w14:paraId="12979D02" w14:textId="06941B1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6" w:history="1">
        <w:r w:rsidR="004259EA" w:rsidRPr="00400193">
          <w:rPr>
            <w:rStyle w:val="Hyperlink"/>
            <w:noProof/>
            <w:color w:val="auto"/>
          </w:rPr>
          <w:t>Table 5</w:t>
        </w:r>
        <w:r w:rsidR="004259EA" w:rsidRPr="00400193">
          <w:rPr>
            <w:rStyle w:val="Hyperlink"/>
            <w:noProof/>
            <w:color w:val="auto"/>
          </w:rPr>
          <w:noBreakHyphen/>
          <w:t xml:space="preserve">61: </w:t>
        </w:r>
        <w:r w:rsidR="004259EA" w:rsidRPr="00400193">
          <w:rPr>
            <w:rStyle w:val="Hyperlink"/>
            <w:noProof/>
            <w:color w:val="auto"/>
            <w:lang w:eastAsia="zh-CN" w:bidi="hi-IN"/>
          </w:rPr>
          <w:t xml:space="preserve">Analysis of variance </w:t>
        </w:r>
        <w:r w:rsidR="004259EA" w:rsidRPr="00400193">
          <w:rPr>
            <w:rStyle w:val="Hyperlink"/>
            <w:noProof/>
            <w:color w:val="auto"/>
            <w:vertAlign w:val="superscript"/>
            <w:lang w:eastAsia="zh-CN" w:bidi="hi-IN"/>
          </w:rPr>
          <w:t xml:space="preserve">a </w:t>
        </w:r>
        <w:r w:rsidR="004259EA" w:rsidRPr="00400193">
          <w:rPr>
            <w:rStyle w:val="Hyperlink"/>
            <w:noProof/>
            <w:color w:val="auto"/>
            <w:lang w:eastAsia="zh-CN" w:bidi="hi-IN"/>
          </w:rPr>
          <w:t>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_Toc52901606 \h </w:instrText>
        </w:r>
        <w:r w:rsidR="004259EA" w:rsidRPr="00400193">
          <w:rPr>
            <w:noProof/>
            <w:webHidden/>
          </w:rPr>
        </w:r>
        <w:r w:rsidR="004259EA" w:rsidRPr="00400193">
          <w:rPr>
            <w:noProof/>
            <w:webHidden/>
          </w:rPr>
          <w:fldChar w:fldCharType="separate"/>
        </w:r>
        <w:r w:rsidR="00BB7C18">
          <w:rPr>
            <w:noProof/>
            <w:webHidden/>
          </w:rPr>
          <w:t>154</w:t>
        </w:r>
        <w:r w:rsidR="004259EA" w:rsidRPr="00400193">
          <w:rPr>
            <w:noProof/>
            <w:webHidden/>
          </w:rPr>
          <w:fldChar w:fldCharType="end"/>
        </w:r>
      </w:hyperlink>
    </w:p>
    <w:p w14:paraId="5D6F1AA9" w14:textId="1CAF714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7" w:history="1">
        <w:r w:rsidR="004259EA" w:rsidRPr="00400193">
          <w:rPr>
            <w:rStyle w:val="Hyperlink"/>
            <w:noProof/>
            <w:color w:val="auto"/>
          </w:rPr>
          <w:t>Table 5</w:t>
        </w:r>
        <w:r w:rsidR="004259EA" w:rsidRPr="00400193">
          <w:rPr>
            <w:rStyle w:val="Hyperlink"/>
            <w:noProof/>
            <w:color w:val="auto"/>
          </w:rPr>
          <w:noBreakHyphen/>
          <w:t>62:</w:t>
        </w:r>
        <w:r w:rsidR="004259EA" w:rsidRPr="00400193">
          <w:rPr>
            <w:rStyle w:val="Hyperlink"/>
            <w:noProof/>
            <w:color w:val="auto"/>
            <w:lang w:eastAsia="zh-CN" w:bidi="hi-IN"/>
          </w:rPr>
          <w:t xml:space="preserve"> Coefficients </w:t>
        </w:r>
        <w:r w:rsidR="004259EA" w:rsidRPr="00400193">
          <w:rPr>
            <w:rStyle w:val="Hyperlink"/>
            <w:noProof/>
            <w:color w:val="auto"/>
            <w:vertAlign w:val="superscript"/>
            <w:lang w:eastAsia="zh-CN" w:bidi="hi-IN"/>
          </w:rPr>
          <w:t xml:space="preserve">a </w:t>
        </w:r>
        <w:r w:rsidR="004259EA" w:rsidRPr="00400193">
          <w:rPr>
            <w:rStyle w:val="Hyperlink"/>
            <w:noProof/>
            <w:color w:val="auto"/>
            <w:lang w:eastAsia="zh-CN" w:bidi="hi-IN"/>
          </w:rPr>
          <w:t>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_Toc52901607 \h </w:instrText>
        </w:r>
        <w:r w:rsidR="004259EA" w:rsidRPr="00400193">
          <w:rPr>
            <w:noProof/>
            <w:webHidden/>
          </w:rPr>
        </w:r>
        <w:r w:rsidR="004259EA" w:rsidRPr="00400193">
          <w:rPr>
            <w:noProof/>
            <w:webHidden/>
          </w:rPr>
          <w:fldChar w:fldCharType="separate"/>
        </w:r>
        <w:r w:rsidR="00BB7C18">
          <w:rPr>
            <w:noProof/>
            <w:webHidden/>
          </w:rPr>
          <w:t>154</w:t>
        </w:r>
        <w:r w:rsidR="004259EA" w:rsidRPr="00400193">
          <w:rPr>
            <w:noProof/>
            <w:webHidden/>
          </w:rPr>
          <w:fldChar w:fldCharType="end"/>
        </w:r>
      </w:hyperlink>
    </w:p>
    <w:p w14:paraId="0A5EA36F" w14:textId="1F332C2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8" w:history="1">
        <w:r w:rsidR="004259EA" w:rsidRPr="00400193">
          <w:rPr>
            <w:rStyle w:val="Hyperlink"/>
            <w:noProof/>
            <w:color w:val="auto"/>
          </w:rPr>
          <w:t>Table 5</w:t>
        </w:r>
        <w:r w:rsidR="004259EA" w:rsidRPr="00400193">
          <w:rPr>
            <w:rStyle w:val="Hyperlink"/>
            <w:noProof/>
            <w:color w:val="auto"/>
          </w:rPr>
          <w:noBreakHyphen/>
          <w:t>63: Testing</w:t>
        </w:r>
        <w:r w:rsidR="004259EA" w:rsidRPr="00400193">
          <w:rPr>
            <w:rStyle w:val="Hyperlink"/>
            <w:noProof/>
            <w:color w:val="auto"/>
            <w:lang w:eastAsia="zh-CN" w:bidi="hi-IN"/>
          </w:rPr>
          <w:t xml:space="preserve"> </w:t>
        </w:r>
        <w:r w:rsidR="004259EA" w:rsidRPr="00400193">
          <w:rPr>
            <w:rStyle w:val="Hyperlink"/>
            <w:noProof/>
            <w:color w:val="auto"/>
          </w:rPr>
          <w:t>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_Toc52901608 \h </w:instrText>
        </w:r>
        <w:r w:rsidR="004259EA" w:rsidRPr="00400193">
          <w:rPr>
            <w:noProof/>
            <w:webHidden/>
          </w:rPr>
        </w:r>
        <w:r w:rsidR="004259EA" w:rsidRPr="00400193">
          <w:rPr>
            <w:noProof/>
            <w:webHidden/>
          </w:rPr>
          <w:fldChar w:fldCharType="separate"/>
        </w:r>
        <w:r w:rsidR="00BB7C18">
          <w:rPr>
            <w:noProof/>
            <w:webHidden/>
          </w:rPr>
          <w:t>154</w:t>
        </w:r>
        <w:r w:rsidR="004259EA" w:rsidRPr="00400193">
          <w:rPr>
            <w:noProof/>
            <w:webHidden/>
          </w:rPr>
          <w:fldChar w:fldCharType="end"/>
        </w:r>
      </w:hyperlink>
    </w:p>
    <w:p w14:paraId="6BB08B39" w14:textId="6AEBF484"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09" w:history="1">
        <w:r w:rsidR="004259EA" w:rsidRPr="00400193">
          <w:rPr>
            <w:rStyle w:val="Hyperlink"/>
            <w:noProof/>
            <w:color w:val="auto"/>
          </w:rPr>
          <w:t>Table 5</w:t>
        </w:r>
        <w:r w:rsidR="004259EA" w:rsidRPr="00400193">
          <w:rPr>
            <w:rStyle w:val="Hyperlink"/>
            <w:noProof/>
            <w:color w:val="auto"/>
          </w:rPr>
          <w:noBreakHyphen/>
          <w:t xml:space="preserve">64: Residual statistics </w:t>
        </w:r>
        <w:r w:rsidR="004259EA" w:rsidRPr="00400193">
          <w:rPr>
            <w:rStyle w:val="Hyperlink"/>
            <w:noProof/>
            <w:color w:val="auto"/>
            <w:vertAlign w:val="superscript"/>
          </w:rPr>
          <w:t>a</w:t>
        </w:r>
        <w:r w:rsidR="004259EA" w:rsidRPr="00400193">
          <w:rPr>
            <w:rStyle w:val="Hyperlink"/>
            <w:noProof/>
            <w:color w:val="auto"/>
          </w:rPr>
          <w:t xml:space="preserve">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_Toc52901609 \h </w:instrText>
        </w:r>
        <w:r w:rsidR="004259EA" w:rsidRPr="00400193">
          <w:rPr>
            <w:noProof/>
            <w:webHidden/>
          </w:rPr>
        </w:r>
        <w:r w:rsidR="004259EA" w:rsidRPr="00400193">
          <w:rPr>
            <w:noProof/>
            <w:webHidden/>
          </w:rPr>
          <w:fldChar w:fldCharType="separate"/>
        </w:r>
        <w:r w:rsidR="00BB7C18">
          <w:rPr>
            <w:noProof/>
            <w:webHidden/>
          </w:rPr>
          <w:t>155</w:t>
        </w:r>
        <w:r w:rsidR="004259EA" w:rsidRPr="00400193">
          <w:rPr>
            <w:noProof/>
            <w:webHidden/>
          </w:rPr>
          <w:fldChar w:fldCharType="end"/>
        </w:r>
      </w:hyperlink>
    </w:p>
    <w:p w14:paraId="6EDA08DC" w14:textId="054E951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0" w:history="1">
        <w:r w:rsidR="004259EA" w:rsidRPr="00400193">
          <w:rPr>
            <w:rStyle w:val="Hyperlink"/>
            <w:noProof/>
            <w:color w:val="auto"/>
          </w:rPr>
          <w:t>Table 5</w:t>
        </w:r>
        <w:r w:rsidR="004259EA" w:rsidRPr="00400193">
          <w:rPr>
            <w:rStyle w:val="Hyperlink"/>
            <w:noProof/>
            <w:color w:val="auto"/>
          </w:rPr>
          <w:noBreakHyphen/>
          <w:t xml:space="preserve">65: </w:t>
        </w:r>
        <w:r w:rsidR="004259EA" w:rsidRPr="00400193">
          <w:rPr>
            <w:rStyle w:val="Hyperlink"/>
            <w:noProof/>
            <w:color w:val="auto"/>
            <w:lang w:eastAsia="zh-CN" w:bidi="hi-IN"/>
          </w:rPr>
          <w:t>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_Toc52901610 \h </w:instrText>
        </w:r>
        <w:r w:rsidR="004259EA" w:rsidRPr="00400193">
          <w:rPr>
            <w:noProof/>
            <w:webHidden/>
          </w:rPr>
        </w:r>
        <w:r w:rsidR="004259EA" w:rsidRPr="00400193">
          <w:rPr>
            <w:noProof/>
            <w:webHidden/>
          </w:rPr>
          <w:fldChar w:fldCharType="separate"/>
        </w:r>
        <w:r w:rsidR="00BB7C18">
          <w:rPr>
            <w:noProof/>
            <w:webHidden/>
          </w:rPr>
          <w:t>156</w:t>
        </w:r>
        <w:r w:rsidR="004259EA" w:rsidRPr="00400193">
          <w:rPr>
            <w:noProof/>
            <w:webHidden/>
          </w:rPr>
          <w:fldChar w:fldCharType="end"/>
        </w:r>
      </w:hyperlink>
    </w:p>
    <w:p w14:paraId="3D92C334" w14:textId="1AFA945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1" w:history="1">
        <w:r w:rsidR="004259EA" w:rsidRPr="00400193">
          <w:rPr>
            <w:rStyle w:val="Hyperlink"/>
            <w:noProof/>
            <w:color w:val="auto"/>
          </w:rPr>
          <w:t>Table 5</w:t>
        </w:r>
        <w:r w:rsidR="004259EA" w:rsidRPr="00400193">
          <w:rPr>
            <w:rStyle w:val="Hyperlink"/>
            <w:noProof/>
            <w:color w:val="auto"/>
          </w:rPr>
          <w:noBreakHyphen/>
          <w:t xml:space="preserve">66: Analysis of variance </w:t>
        </w:r>
        <w:r w:rsidR="004259EA" w:rsidRPr="00400193">
          <w:rPr>
            <w:rStyle w:val="Hyperlink"/>
            <w:noProof/>
            <w:color w:val="auto"/>
            <w:vertAlign w:val="superscript"/>
          </w:rPr>
          <w:t xml:space="preserve">a </w:t>
        </w:r>
        <w:r w:rsidR="004259EA" w:rsidRPr="00400193">
          <w:rPr>
            <w:rStyle w:val="Hyperlink"/>
            <w:noProof/>
            <w:color w:val="auto"/>
          </w:rPr>
          <w:t>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_Toc52901611 \h </w:instrText>
        </w:r>
        <w:r w:rsidR="004259EA" w:rsidRPr="00400193">
          <w:rPr>
            <w:noProof/>
            <w:webHidden/>
          </w:rPr>
        </w:r>
        <w:r w:rsidR="004259EA" w:rsidRPr="00400193">
          <w:rPr>
            <w:noProof/>
            <w:webHidden/>
          </w:rPr>
          <w:fldChar w:fldCharType="separate"/>
        </w:r>
        <w:r w:rsidR="00BB7C18">
          <w:rPr>
            <w:noProof/>
            <w:webHidden/>
          </w:rPr>
          <w:t>157</w:t>
        </w:r>
        <w:r w:rsidR="004259EA" w:rsidRPr="00400193">
          <w:rPr>
            <w:noProof/>
            <w:webHidden/>
          </w:rPr>
          <w:fldChar w:fldCharType="end"/>
        </w:r>
      </w:hyperlink>
    </w:p>
    <w:p w14:paraId="42576F4B" w14:textId="7AF0D7F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2" w:history="1">
        <w:r w:rsidR="004259EA" w:rsidRPr="00400193">
          <w:rPr>
            <w:rStyle w:val="Hyperlink"/>
            <w:noProof/>
            <w:color w:val="auto"/>
          </w:rPr>
          <w:t>Table 5</w:t>
        </w:r>
        <w:r w:rsidR="004259EA" w:rsidRPr="00400193">
          <w:rPr>
            <w:rStyle w:val="Hyperlink"/>
            <w:noProof/>
            <w:color w:val="auto"/>
          </w:rPr>
          <w:noBreakHyphen/>
          <w:t xml:space="preserve">67: Coefficients </w:t>
        </w:r>
        <w:r w:rsidR="004259EA" w:rsidRPr="00400193">
          <w:rPr>
            <w:rStyle w:val="Hyperlink"/>
            <w:noProof/>
            <w:color w:val="auto"/>
            <w:vertAlign w:val="superscript"/>
          </w:rPr>
          <w:t xml:space="preserve">a </w:t>
        </w:r>
        <w:r w:rsidR="004259EA" w:rsidRPr="00400193">
          <w:rPr>
            <w:rStyle w:val="Hyperlink"/>
            <w:noProof/>
            <w:color w:val="auto"/>
          </w:rPr>
          <w:t>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_Toc52901612 \h </w:instrText>
        </w:r>
        <w:r w:rsidR="004259EA" w:rsidRPr="00400193">
          <w:rPr>
            <w:noProof/>
            <w:webHidden/>
          </w:rPr>
        </w:r>
        <w:r w:rsidR="004259EA" w:rsidRPr="00400193">
          <w:rPr>
            <w:noProof/>
            <w:webHidden/>
          </w:rPr>
          <w:fldChar w:fldCharType="separate"/>
        </w:r>
        <w:r w:rsidR="00BB7C18">
          <w:rPr>
            <w:noProof/>
            <w:webHidden/>
          </w:rPr>
          <w:t>157</w:t>
        </w:r>
        <w:r w:rsidR="004259EA" w:rsidRPr="00400193">
          <w:rPr>
            <w:noProof/>
            <w:webHidden/>
          </w:rPr>
          <w:fldChar w:fldCharType="end"/>
        </w:r>
      </w:hyperlink>
    </w:p>
    <w:p w14:paraId="2F555C13" w14:textId="28FA790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3" w:history="1">
        <w:r w:rsidR="004259EA" w:rsidRPr="00400193">
          <w:rPr>
            <w:rStyle w:val="Hyperlink"/>
            <w:noProof/>
            <w:color w:val="auto"/>
          </w:rPr>
          <w:t>Table 5</w:t>
        </w:r>
        <w:r w:rsidR="004259EA" w:rsidRPr="00400193">
          <w:rPr>
            <w:rStyle w:val="Hyperlink"/>
            <w:noProof/>
            <w:color w:val="auto"/>
          </w:rPr>
          <w:noBreakHyphen/>
          <w:t>68: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_Toc52901613 \h </w:instrText>
        </w:r>
        <w:r w:rsidR="004259EA" w:rsidRPr="00400193">
          <w:rPr>
            <w:noProof/>
            <w:webHidden/>
          </w:rPr>
        </w:r>
        <w:r w:rsidR="004259EA" w:rsidRPr="00400193">
          <w:rPr>
            <w:noProof/>
            <w:webHidden/>
          </w:rPr>
          <w:fldChar w:fldCharType="separate"/>
        </w:r>
        <w:r w:rsidR="00BB7C18">
          <w:rPr>
            <w:noProof/>
            <w:webHidden/>
          </w:rPr>
          <w:t>157</w:t>
        </w:r>
        <w:r w:rsidR="004259EA" w:rsidRPr="00400193">
          <w:rPr>
            <w:noProof/>
            <w:webHidden/>
          </w:rPr>
          <w:fldChar w:fldCharType="end"/>
        </w:r>
      </w:hyperlink>
    </w:p>
    <w:p w14:paraId="78BA17D8" w14:textId="0263907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4" w:history="1">
        <w:r w:rsidR="004259EA" w:rsidRPr="00400193">
          <w:rPr>
            <w:rStyle w:val="Hyperlink"/>
            <w:noProof/>
            <w:color w:val="auto"/>
          </w:rPr>
          <w:t>Table 5</w:t>
        </w:r>
        <w:r w:rsidR="004259EA" w:rsidRPr="00400193">
          <w:rPr>
            <w:rStyle w:val="Hyperlink"/>
            <w:noProof/>
            <w:color w:val="auto"/>
          </w:rPr>
          <w:noBreakHyphen/>
          <w:t xml:space="preserve">69: Residuals </w:t>
        </w:r>
        <w:r w:rsidR="004259EA" w:rsidRPr="00400193">
          <w:rPr>
            <w:rStyle w:val="Hyperlink"/>
            <w:noProof/>
            <w:color w:val="auto"/>
            <w:vertAlign w:val="superscript"/>
          </w:rPr>
          <w:t xml:space="preserve">a </w:t>
        </w:r>
        <w:r w:rsidR="004259EA" w:rsidRPr="00400193">
          <w:rPr>
            <w:rStyle w:val="Hyperlink"/>
            <w:noProof/>
            <w:color w:val="auto"/>
          </w:rPr>
          <w:t>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_Toc52901614 \h </w:instrText>
        </w:r>
        <w:r w:rsidR="004259EA" w:rsidRPr="00400193">
          <w:rPr>
            <w:noProof/>
            <w:webHidden/>
          </w:rPr>
        </w:r>
        <w:r w:rsidR="004259EA" w:rsidRPr="00400193">
          <w:rPr>
            <w:noProof/>
            <w:webHidden/>
          </w:rPr>
          <w:fldChar w:fldCharType="separate"/>
        </w:r>
        <w:r w:rsidR="00BB7C18">
          <w:rPr>
            <w:noProof/>
            <w:webHidden/>
          </w:rPr>
          <w:t>158</w:t>
        </w:r>
        <w:r w:rsidR="004259EA" w:rsidRPr="00400193">
          <w:rPr>
            <w:noProof/>
            <w:webHidden/>
          </w:rPr>
          <w:fldChar w:fldCharType="end"/>
        </w:r>
      </w:hyperlink>
    </w:p>
    <w:p w14:paraId="1631BC99" w14:textId="7AC4506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5" w:history="1">
        <w:r w:rsidR="004259EA" w:rsidRPr="00400193">
          <w:rPr>
            <w:rStyle w:val="Hyperlink"/>
            <w:noProof/>
            <w:color w:val="auto"/>
          </w:rPr>
          <w:t>Table 5</w:t>
        </w:r>
        <w:r w:rsidR="004259EA" w:rsidRPr="00400193">
          <w:rPr>
            <w:rStyle w:val="Hyperlink"/>
            <w:noProof/>
            <w:color w:val="auto"/>
          </w:rPr>
          <w:noBreakHyphen/>
          <w:t>70: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_Toc52901615 \h </w:instrText>
        </w:r>
        <w:r w:rsidR="004259EA" w:rsidRPr="00400193">
          <w:rPr>
            <w:noProof/>
            <w:webHidden/>
          </w:rPr>
        </w:r>
        <w:r w:rsidR="004259EA" w:rsidRPr="00400193">
          <w:rPr>
            <w:noProof/>
            <w:webHidden/>
          </w:rPr>
          <w:fldChar w:fldCharType="separate"/>
        </w:r>
        <w:r w:rsidR="00BB7C18">
          <w:rPr>
            <w:noProof/>
            <w:webHidden/>
          </w:rPr>
          <w:t>159</w:t>
        </w:r>
        <w:r w:rsidR="004259EA" w:rsidRPr="00400193">
          <w:rPr>
            <w:noProof/>
            <w:webHidden/>
          </w:rPr>
          <w:fldChar w:fldCharType="end"/>
        </w:r>
      </w:hyperlink>
    </w:p>
    <w:p w14:paraId="0D1CE844" w14:textId="3680BF5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6" w:history="1">
        <w:r w:rsidR="004259EA" w:rsidRPr="00400193">
          <w:rPr>
            <w:rStyle w:val="Hyperlink"/>
            <w:noProof/>
            <w:color w:val="auto"/>
          </w:rPr>
          <w:t>Table 5</w:t>
        </w:r>
        <w:r w:rsidR="004259EA" w:rsidRPr="00400193">
          <w:rPr>
            <w:rStyle w:val="Hyperlink"/>
            <w:noProof/>
            <w:color w:val="auto"/>
          </w:rPr>
          <w:noBreakHyphen/>
          <w:t>71: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_Toc52901616 \h </w:instrText>
        </w:r>
        <w:r w:rsidR="004259EA" w:rsidRPr="00400193">
          <w:rPr>
            <w:noProof/>
            <w:webHidden/>
          </w:rPr>
        </w:r>
        <w:r w:rsidR="004259EA" w:rsidRPr="00400193">
          <w:rPr>
            <w:noProof/>
            <w:webHidden/>
          </w:rPr>
          <w:fldChar w:fldCharType="separate"/>
        </w:r>
        <w:r w:rsidR="00BB7C18">
          <w:rPr>
            <w:noProof/>
            <w:webHidden/>
          </w:rPr>
          <w:t>160</w:t>
        </w:r>
        <w:r w:rsidR="004259EA" w:rsidRPr="00400193">
          <w:rPr>
            <w:noProof/>
            <w:webHidden/>
          </w:rPr>
          <w:fldChar w:fldCharType="end"/>
        </w:r>
      </w:hyperlink>
    </w:p>
    <w:p w14:paraId="29073266" w14:textId="7871AE5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7" w:history="1">
        <w:r w:rsidR="004259EA" w:rsidRPr="00400193">
          <w:rPr>
            <w:rStyle w:val="Hyperlink"/>
            <w:noProof/>
            <w:color w:val="auto"/>
          </w:rPr>
          <w:t>Table 5</w:t>
        </w:r>
        <w:r w:rsidR="004259EA" w:rsidRPr="00400193">
          <w:rPr>
            <w:rStyle w:val="Hyperlink"/>
            <w:noProof/>
            <w:color w:val="auto"/>
          </w:rPr>
          <w:noBreakHyphen/>
          <w:t xml:space="preserve">72: Coefficients </w:t>
        </w:r>
        <w:r w:rsidR="004259EA" w:rsidRPr="00400193">
          <w:rPr>
            <w:rStyle w:val="Hyperlink"/>
            <w:noProof/>
            <w:color w:val="auto"/>
            <w:vertAlign w:val="superscript"/>
          </w:rPr>
          <w:t>a</w:t>
        </w:r>
        <w:r w:rsidR="004259EA" w:rsidRPr="00400193">
          <w:rPr>
            <w:rStyle w:val="Hyperlink"/>
            <w:noProof/>
            <w:color w:val="auto"/>
          </w:rPr>
          <w:t xml:space="preserve"> 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_Toc52901617 \h </w:instrText>
        </w:r>
        <w:r w:rsidR="004259EA" w:rsidRPr="00400193">
          <w:rPr>
            <w:noProof/>
            <w:webHidden/>
          </w:rPr>
        </w:r>
        <w:r w:rsidR="004259EA" w:rsidRPr="00400193">
          <w:rPr>
            <w:noProof/>
            <w:webHidden/>
          </w:rPr>
          <w:fldChar w:fldCharType="separate"/>
        </w:r>
        <w:r w:rsidR="00BB7C18">
          <w:rPr>
            <w:noProof/>
            <w:webHidden/>
          </w:rPr>
          <w:t>160</w:t>
        </w:r>
        <w:r w:rsidR="004259EA" w:rsidRPr="00400193">
          <w:rPr>
            <w:noProof/>
            <w:webHidden/>
          </w:rPr>
          <w:fldChar w:fldCharType="end"/>
        </w:r>
      </w:hyperlink>
    </w:p>
    <w:p w14:paraId="142547A7" w14:textId="3C9EA3C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8" w:history="1">
        <w:r w:rsidR="004259EA" w:rsidRPr="00400193">
          <w:rPr>
            <w:rStyle w:val="Hyperlink"/>
            <w:noProof/>
            <w:color w:val="auto"/>
          </w:rPr>
          <w:t>Table 5</w:t>
        </w:r>
        <w:r w:rsidR="004259EA" w:rsidRPr="00400193">
          <w:rPr>
            <w:rStyle w:val="Hyperlink"/>
            <w:noProof/>
            <w:color w:val="auto"/>
          </w:rPr>
          <w:noBreakHyphen/>
          <w:t>73: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_Toc52901618 \h </w:instrText>
        </w:r>
        <w:r w:rsidR="004259EA" w:rsidRPr="00400193">
          <w:rPr>
            <w:noProof/>
            <w:webHidden/>
          </w:rPr>
        </w:r>
        <w:r w:rsidR="004259EA" w:rsidRPr="00400193">
          <w:rPr>
            <w:noProof/>
            <w:webHidden/>
          </w:rPr>
          <w:fldChar w:fldCharType="separate"/>
        </w:r>
        <w:r w:rsidR="00BB7C18">
          <w:rPr>
            <w:noProof/>
            <w:webHidden/>
          </w:rPr>
          <w:t>160</w:t>
        </w:r>
        <w:r w:rsidR="004259EA" w:rsidRPr="00400193">
          <w:rPr>
            <w:noProof/>
            <w:webHidden/>
          </w:rPr>
          <w:fldChar w:fldCharType="end"/>
        </w:r>
      </w:hyperlink>
    </w:p>
    <w:p w14:paraId="753A87EA" w14:textId="15779CD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19" w:history="1">
        <w:r w:rsidR="004259EA" w:rsidRPr="00400193">
          <w:rPr>
            <w:rStyle w:val="Hyperlink"/>
            <w:noProof/>
            <w:color w:val="auto"/>
          </w:rPr>
          <w:t>Table 5</w:t>
        </w:r>
        <w:r w:rsidR="004259EA" w:rsidRPr="00400193">
          <w:rPr>
            <w:rStyle w:val="Hyperlink"/>
            <w:noProof/>
            <w:color w:val="auto"/>
          </w:rPr>
          <w:noBreakHyphen/>
          <w:t>74: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_Toc52901619 \h </w:instrText>
        </w:r>
        <w:r w:rsidR="004259EA" w:rsidRPr="00400193">
          <w:rPr>
            <w:noProof/>
            <w:webHidden/>
          </w:rPr>
        </w:r>
        <w:r w:rsidR="004259EA" w:rsidRPr="00400193">
          <w:rPr>
            <w:noProof/>
            <w:webHidden/>
          </w:rPr>
          <w:fldChar w:fldCharType="separate"/>
        </w:r>
        <w:r w:rsidR="00BB7C18">
          <w:rPr>
            <w:noProof/>
            <w:webHidden/>
          </w:rPr>
          <w:t>161</w:t>
        </w:r>
        <w:r w:rsidR="004259EA" w:rsidRPr="00400193">
          <w:rPr>
            <w:noProof/>
            <w:webHidden/>
          </w:rPr>
          <w:fldChar w:fldCharType="end"/>
        </w:r>
      </w:hyperlink>
    </w:p>
    <w:p w14:paraId="617D0954" w14:textId="5765B6E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0" w:history="1">
        <w:r w:rsidR="004259EA" w:rsidRPr="00400193">
          <w:rPr>
            <w:rStyle w:val="Hyperlink"/>
            <w:noProof/>
            <w:color w:val="auto"/>
          </w:rPr>
          <w:t>Table 5</w:t>
        </w:r>
        <w:r w:rsidR="004259EA" w:rsidRPr="00400193">
          <w:rPr>
            <w:rStyle w:val="Hyperlink"/>
            <w:noProof/>
            <w:color w:val="auto"/>
          </w:rPr>
          <w:noBreakHyphen/>
          <w:t>75: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_Toc52901620 \h </w:instrText>
        </w:r>
        <w:r w:rsidR="004259EA" w:rsidRPr="00400193">
          <w:rPr>
            <w:noProof/>
            <w:webHidden/>
          </w:rPr>
        </w:r>
        <w:r w:rsidR="004259EA" w:rsidRPr="00400193">
          <w:rPr>
            <w:noProof/>
            <w:webHidden/>
          </w:rPr>
          <w:fldChar w:fldCharType="separate"/>
        </w:r>
        <w:r w:rsidR="00BB7C18">
          <w:rPr>
            <w:noProof/>
            <w:webHidden/>
          </w:rPr>
          <w:t>163</w:t>
        </w:r>
        <w:r w:rsidR="004259EA" w:rsidRPr="00400193">
          <w:rPr>
            <w:noProof/>
            <w:webHidden/>
          </w:rPr>
          <w:fldChar w:fldCharType="end"/>
        </w:r>
      </w:hyperlink>
    </w:p>
    <w:p w14:paraId="14DBB5F5" w14:textId="30F7453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1" w:history="1">
        <w:r w:rsidR="004259EA" w:rsidRPr="00400193">
          <w:rPr>
            <w:rStyle w:val="Hyperlink"/>
            <w:noProof/>
            <w:color w:val="auto"/>
          </w:rPr>
          <w:t>Table 5</w:t>
        </w:r>
        <w:r w:rsidR="004259EA" w:rsidRPr="00400193">
          <w:rPr>
            <w:rStyle w:val="Hyperlink"/>
            <w:noProof/>
            <w:color w:val="auto"/>
          </w:rPr>
          <w:noBreakHyphen/>
          <w:t>76: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_Toc52901621 \h </w:instrText>
        </w:r>
        <w:r w:rsidR="004259EA" w:rsidRPr="00400193">
          <w:rPr>
            <w:noProof/>
            <w:webHidden/>
          </w:rPr>
        </w:r>
        <w:r w:rsidR="004259EA" w:rsidRPr="00400193">
          <w:rPr>
            <w:noProof/>
            <w:webHidden/>
          </w:rPr>
          <w:fldChar w:fldCharType="separate"/>
        </w:r>
        <w:r w:rsidR="00BB7C18">
          <w:rPr>
            <w:noProof/>
            <w:webHidden/>
          </w:rPr>
          <w:t>163</w:t>
        </w:r>
        <w:r w:rsidR="004259EA" w:rsidRPr="00400193">
          <w:rPr>
            <w:noProof/>
            <w:webHidden/>
          </w:rPr>
          <w:fldChar w:fldCharType="end"/>
        </w:r>
      </w:hyperlink>
    </w:p>
    <w:p w14:paraId="4BE034B2" w14:textId="161538B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2" w:history="1">
        <w:r w:rsidR="004259EA" w:rsidRPr="00400193">
          <w:rPr>
            <w:rStyle w:val="Hyperlink"/>
            <w:noProof/>
            <w:color w:val="auto"/>
          </w:rPr>
          <w:t>Table 5</w:t>
        </w:r>
        <w:r w:rsidR="004259EA" w:rsidRPr="00400193">
          <w:rPr>
            <w:rStyle w:val="Hyperlink"/>
            <w:noProof/>
            <w:color w:val="auto"/>
          </w:rPr>
          <w:noBreakHyphen/>
          <w:t>77: Coefficients 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_Toc52901622 \h </w:instrText>
        </w:r>
        <w:r w:rsidR="004259EA" w:rsidRPr="00400193">
          <w:rPr>
            <w:noProof/>
            <w:webHidden/>
          </w:rPr>
        </w:r>
        <w:r w:rsidR="004259EA" w:rsidRPr="00400193">
          <w:rPr>
            <w:noProof/>
            <w:webHidden/>
          </w:rPr>
          <w:fldChar w:fldCharType="separate"/>
        </w:r>
        <w:r w:rsidR="00BB7C18">
          <w:rPr>
            <w:noProof/>
            <w:webHidden/>
          </w:rPr>
          <w:t>163</w:t>
        </w:r>
        <w:r w:rsidR="004259EA" w:rsidRPr="00400193">
          <w:rPr>
            <w:noProof/>
            <w:webHidden/>
          </w:rPr>
          <w:fldChar w:fldCharType="end"/>
        </w:r>
      </w:hyperlink>
    </w:p>
    <w:p w14:paraId="73526F72" w14:textId="4C9B439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3" w:history="1">
        <w:r w:rsidR="004259EA" w:rsidRPr="00400193">
          <w:rPr>
            <w:rStyle w:val="Hyperlink"/>
            <w:noProof/>
            <w:color w:val="auto"/>
          </w:rPr>
          <w:t>Table 5</w:t>
        </w:r>
        <w:r w:rsidR="004259EA" w:rsidRPr="00400193">
          <w:rPr>
            <w:rStyle w:val="Hyperlink"/>
            <w:noProof/>
            <w:color w:val="auto"/>
          </w:rPr>
          <w:noBreakHyphen/>
          <w:t>78: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_Toc52901623 \h </w:instrText>
        </w:r>
        <w:r w:rsidR="004259EA" w:rsidRPr="00400193">
          <w:rPr>
            <w:noProof/>
            <w:webHidden/>
          </w:rPr>
        </w:r>
        <w:r w:rsidR="004259EA" w:rsidRPr="00400193">
          <w:rPr>
            <w:noProof/>
            <w:webHidden/>
          </w:rPr>
          <w:fldChar w:fldCharType="separate"/>
        </w:r>
        <w:r w:rsidR="00BB7C18">
          <w:rPr>
            <w:noProof/>
            <w:webHidden/>
          </w:rPr>
          <w:t>163</w:t>
        </w:r>
        <w:r w:rsidR="004259EA" w:rsidRPr="00400193">
          <w:rPr>
            <w:noProof/>
            <w:webHidden/>
          </w:rPr>
          <w:fldChar w:fldCharType="end"/>
        </w:r>
      </w:hyperlink>
    </w:p>
    <w:p w14:paraId="3C8A6000" w14:textId="1CF34CD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4" w:history="1">
        <w:r w:rsidR="004259EA" w:rsidRPr="00400193">
          <w:rPr>
            <w:rStyle w:val="Hyperlink"/>
            <w:noProof/>
            <w:color w:val="auto"/>
          </w:rPr>
          <w:t>Table 5</w:t>
        </w:r>
        <w:r w:rsidR="004259EA" w:rsidRPr="00400193">
          <w:rPr>
            <w:rStyle w:val="Hyperlink"/>
            <w:noProof/>
            <w:color w:val="auto"/>
          </w:rPr>
          <w:noBreakHyphen/>
          <w:t xml:space="preserve">79: Residual statistics </w:t>
        </w:r>
        <w:r w:rsidR="004259EA" w:rsidRPr="00400193">
          <w:rPr>
            <w:rStyle w:val="Hyperlink"/>
            <w:noProof/>
            <w:color w:val="auto"/>
            <w:vertAlign w:val="superscript"/>
          </w:rPr>
          <w:t>a</w:t>
        </w:r>
        <w:r w:rsidR="004259EA" w:rsidRPr="00400193">
          <w:rPr>
            <w:rStyle w:val="Hyperlink"/>
            <w:noProof/>
            <w:color w:val="auto"/>
          </w:rPr>
          <w:t xml:space="preserve">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_Toc52901624 \h </w:instrText>
        </w:r>
        <w:r w:rsidR="004259EA" w:rsidRPr="00400193">
          <w:rPr>
            <w:noProof/>
            <w:webHidden/>
          </w:rPr>
        </w:r>
        <w:r w:rsidR="004259EA" w:rsidRPr="00400193">
          <w:rPr>
            <w:noProof/>
            <w:webHidden/>
          </w:rPr>
          <w:fldChar w:fldCharType="separate"/>
        </w:r>
        <w:r w:rsidR="00BB7C18">
          <w:rPr>
            <w:noProof/>
            <w:webHidden/>
          </w:rPr>
          <w:t>164</w:t>
        </w:r>
        <w:r w:rsidR="004259EA" w:rsidRPr="00400193">
          <w:rPr>
            <w:noProof/>
            <w:webHidden/>
          </w:rPr>
          <w:fldChar w:fldCharType="end"/>
        </w:r>
      </w:hyperlink>
    </w:p>
    <w:p w14:paraId="2391B5F2" w14:textId="5AFF699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5" w:history="1">
        <w:r w:rsidR="004259EA" w:rsidRPr="00400193">
          <w:rPr>
            <w:rStyle w:val="Hyperlink"/>
            <w:noProof/>
            <w:color w:val="auto"/>
          </w:rPr>
          <w:t>Table 5</w:t>
        </w:r>
        <w:r w:rsidR="004259EA" w:rsidRPr="00400193">
          <w:rPr>
            <w:rStyle w:val="Hyperlink"/>
            <w:noProof/>
            <w:color w:val="auto"/>
          </w:rPr>
          <w:noBreakHyphen/>
          <w:t>80: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_Toc52901625 \h </w:instrText>
        </w:r>
        <w:r w:rsidR="004259EA" w:rsidRPr="00400193">
          <w:rPr>
            <w:noProof/>
            <w:webHidden/>
          </w:rPr>
        </w:r>
        <w:r w:rsidR="004259EA" w:rsidRPr="00400193">
          <w:rPr>
            <w:noProof/>
            <w:webHidden/>
          </w:rPr>
          <w:fldChar w:fldCharType="separate"/>
        </w:r>
        <w:r w:rsidR="00BB7C18">
          <w:rPr>
            <w:noProof/>
            <w:webHidden/>
          </w:rPr>
          <w:t>166</w:t>
        </w:r>
        <w:r w:rsidR="004259EA" w:rsidRPr="00400193">
          <w:rPr>
            <w:noProof/>
            <w:webHidden/>
          </w:rPr>
          <w:fldChar w:fldCharType="end"/>
        </w:r>
      </w:hyperlink>
    </w:p>
    <w:p w14:paraId="27FDC581" w14:textId="7D6D133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6" w:history="1">
        <w:r w:rsidR="004259EA" w:rsidRPr="00400193">
          <w:rPr>
            <w:rStyle w:val="Hyperlink"/>
            <w:noProof/>
            <w:color w:val="auto"/>
          </w:rPr>
          <w:t>Table 5</w:t>
        </w:r>
        <w:r w:rsidR="004259EA" w:rsidRPr="00400193">
          <w:rPr>
            <w:rStyle w:val="Hyperlink"/>
            <w:noProof/>
            <w:color w:val="auto"/>
          </w:rPr>
          <w:noBreakHyphen/>
          <w:t>81: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_Toc52901626 \h </w:instrText>
        </w:r>
        <w:r w:rsidR="004259EA" w:rsidRPr="00400193">
          <w:rPr>
            <w:noProof/>
            <w:webHidden/>
          </w:rPr>
        </w:r>
        <w:r w:rsidR="004259EA" w:rsidRPr="00400193">
          <w:rPr>
            <w:noProof/>
            <w:webHidden/>
          </w:rPr>
          <w:fldChar w:fldCharType="separate"/>
        </w:r>
        <w:r w:rsidR="00BB7C18">
          <w:rPr>
            <w:noProof/>
            <w:webHidden/>
          </w:rPr>
          <w:t>167</w:t>
        </w:r>
        <w:r w:rsidR="004259EA" w:rsidRPr="00400193">
          <w:rPr>
            <w:noProof/>
            <w:webHidden/>
          </w:rPr>
          <w:fldChar w:fldCharType="end"/>
        </w:r>
      </w:hyperlink>
    </w:p>
    <w:p w14:paraId="4D8EAF5E" w14:textId="72D3DCB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7" w:history="1">
        <w:r w:rsidR="004259EA" w:rsidRPr="00400193">
          <w:rPr>
            <w:rStyle w:val="Hyperlink"/>
            <w:noProof/>
            <w:color w:val="auto"/>
          </w:rPr>
          <w:t>Table 5</w:t>
        </w:r>
        <w:r w:rsidR="004259EA" w:rsidRPr="00400193">
          <w:rPr>
            <w:rStyle w:val="Hyperlink"/>
            <w:noProof/>
            <w:color w:val="auto"/>
          </w:rPr>
          <w:noBreakHyphen/>
          <w:t xml:space="preserve">82: Coefficients </w:t>
        </w:r>
        <w:r w:rsidR="004259EA" w:rsidRPr="00400193">
          <w:rPr>
            <w:rStyle w:val="Hyperlink"/>
            <w:noProof/>
            <w:color w:val="auto"/>
            <w:vertAlign w:val="superscript"/>
          </w:rPr>
          <w:t>a</w:t>
        </w:r>
        <w:r w:rsidR="004259EA" w:rsidRPr="00400193">
          <w:rPr>
            <w:rStyle w:val="Hyperlink"/>
            <w:noProof/>
            <w:color w:val="auto"/>
          </w:rPr>
          <w:t xml:space="preserve"> 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_Toc52901627 \h </w:instrText>
        </w:r>
        <w:r w:rsidR="004259EA" w:rsidRPr="00400193">
          <w:rPr>
            <w:noProof/>
            <w:webHidden/>
          </w:rPr>
        </w:r>
        <w:r w:rsidR="004259EA" w:rsidRPr="00400193">
          <w:rPr>
            <w:noProof/>
            <w:webHidden/>
          </w:rPr>
          <w:fldChar w:fldCharType="separate"/>
        </w:r>
        <w:r w:rsidR="00BB7C18">
          <w:rPr>
            <w:noProof/>
            <w:webHidden/>
          </w:rPr>
          <w:t>167</w:t>
        </w:r>
        <w:r w:rsidR="004259EA" w:rsidRPr="00400193">
          <w:rPr>
            <w:noProof/>
            <w:webHidden/>
          </w:rPr>
          <w:fldChar w:fldCharType="end"/>
        </w:r>
      </w:hyperlink>
    </w:p>
    <w:p w14:paraId="75EA8A41" w14:textId="07C562F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8" w:history="1">
        <w:r w:rsidR="004259EA" w:rsidRPr="00400193">
          <w:rPr>
            <w:rStyle w:val="Hyperlink"/>
            <w:noProof/>
            <w:color w:val="auto"/>
          </w:rPr>
          <w:t>Table 5</w:t>
        </w:r>
        <w:r w:rsidR="004259EA" w:rsidRPr="00400193">
          <w:rPr>
            <w:rStyle w:val="Hyperlink"/>
            <w:noProof/>
            <w:color w:val="auto"/>
          </w:rPr>
          <w:noBreakHyphen/>
          <w:t>83: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_Toc52901628 \h </w:instrText>
        </w:r>
        <w:r w:rsidR="004259EA" w:rsidRPr="00400193">
          <w:rPr>
            <w:noProof/>
            <w:webHidden/>
          </w:rPr>
        </w:r>
        <w:r w:rsidR="004259EA" w:rsidRPr="00400193">
          <w:rPr>
            <w:noProof/>
            <w:webHidden/>
          </w:rPr>
          <w:fldChar w:fldCharType="separate"/>
        </w:r>
        <w:r w:rsidR="00BB7C18">
          <w:rPr>
            <w:noProof/>
            <w:webHidden/>
          </w:rPr>
          <w:t>167</w:t>
        </w:r>
        <w:r w:rsidR="004259EA" w:rsidRPr="00400193">
          <w:rPr>
            <w:noProof/>
            <w:webHidden/>
          </w:rPr>
          <w:fldChar w:fldCharType="end"/>
        </w:r>
      </w:hyperlink>
    </w:p>
    <w:p w14:paraId="41C6C90A" w14:textId="7D6C350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29" w:history="1">
        <w:r w:rsidR="004259EA" w:rsidRPr="00400193">
          <w:rPr>
            <w:rStyle w:val="Hyperlink"/>
            <w:noProof/>
            <w:color w:val="auto"/>
          </w:rPr>
          <w:t>Table 5</w:t>
        </w:r>
        <w:r w:rsidR="004259EA" w:rsidRPr="00400193">
          <w:rPr>
            <w:rStyle w:val="Hyperlink"/>
            <w:noProof/>
            <w:color w:val="auto"/>
          </w:rPr>
          <w:noBreakHyphen/>
          <w:t>84: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_Toc52901629 \h </w:instrText>
        </w:r>
        <w:r w:rsidR="004259EA" w:rsidRPr="00400193">
          <w:rPr>
            <w:noProof/>
            <w:webHidden/>
          </w:rPr>
        </w:r>
        <w:r w:rsidR="004259EA" w:rsidRPr="00400193">
          <w:rPr>
            <w:noProof/>
            <w:webHidden/>
          </w:rPr>
          <w:fldChar w:fldCharType="separate"/>
        </w:r>
        <w:r w:rsidR="00BB7C18">
          <w:rPr>
            <w:noProof/>
            <w:webHidden/>
          </w:rPr>
          <w:t>168</w:t>
        </w:r>
        <w:r w:rsidR="004259EA" w:rsidRPr="00400193">
          <w:rPr>
            <w:noProof/>
            <w:webHidden/>
          </w:rPr>
          <w:fldChar w:fldCharType="end"/>
        </w:r>
      </w:hyperlink>
    </w:p>
    <w:p w14:paraId="021B4DFE" w14:textId="63B6B69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0" w:history="1">
        <w:r w:rsidR="004259EA" w:rsidRPr="00400193">
          <w:rPr>
            <w:rStyle w:val="Hyperlink"/>
            <w:noProof/>
            <w:color w:val="auto"/>
          </w:rPr>
          <w:t>Table 5</w:t>
        </w:r>
        <w:r w:rsidR="004259EA" w:rsidRPr="00400193">
          <w:rPr>
            <w:rStyle w:val="Hyperlink"/>
            <w:noProof/>
            <w:color w:val="auto"/>
          </w:rPr>
          <w:noBreakHyphen/>
          <w:t>85: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_Toc52901630 \h </w:instrText>
        </w:r>
        <w:r w:rsidR="004259EA" w:rsidRPr="00400193">
          <w:rPr>
            <w:noProof/>
            <w:webHidden/>
          </w:rPr>
        </w:r>
        <w:r w:rsidR="004259EA" w:rsidRPr="00400193">
          <w:rPr>
            <w:noProof/>
            <w:webHidden/>
          </w:rPr>
          <w:fldChar w:fldCharType="separate"/>
        </w:r>
        <w:r w:rsidR="00BB7C18">
          <w:rPr>
            <w:noProof/>
            <w:webHidden/>
          </w:rPr>
          <w:t>170</w:t>
        </w:r>
        <w:r w:rsidR="004259EA" w:rsidRPr="00400193">
          <w:rPr>
            <w:noProof/>
            <w:webHidden/>
          </w:rPr>
          <w:fldChar w:fldCharType="end"/>
        </w:r>
      </w:hyperlink>
    </w:p>
    <w:p w14:paraId="6C8BB614" w14:textId="0C651E3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1" w:history="1">
        <w:r w:rsidR="004259EA" w:rsidRPr="00400193">
          <w:rPr>
            <w:rStyle w:val="Hyperlink"/>
            <w:noProof/>
            <w:color w:val="auto"/>
          </w:rPr>
          <w:t>Table 5</w:t>
        </w:r>
        <w:r w:rsidR="004259EA" w:rsidRPr="00400193">
          <w:rPr>
            <w:rStyle w:val="Hyperlink"/>
            <w:noProof/>
            <w:color w:val="auto"/>
          </w:rPr>
          <w:noBreakHyphen/>
          <w:t xml:space="preserve">86: Analysis of Variance </w:t>
        </w:r>
        <w:r w:rsidR="004259EA" w:rsidRPr="00400193">
          <w:rPr>
            <w:rStyle w:val="Hyperlink"/>
            <w:noProof/>
            <w:color w:val="auto"/>
            <w:vertAlign w:val="superscript"/>
          </w:rPr>
          <w:t>a</w:t>
        </w:r>
        <w:r w:rsidR="004259EA" w:rsidRPr="00400193">
          <w:rPr>
            <w:rStyle w:val="Hyperlink"/>
            <w:noProof/>
            <w:color w:val="auto"/>
          </w:rPr>
          <w:t xml:space="preserv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_Toc52901631 \h </w:instrText>
        </w:r>
        <w:r w:rsidR="004259EA" w:rsidRPr="00400193">
          <w:rPr>
            <w:noProof/>
            <w:webHidden/>
          </w:rPr>
        </w:r>
        <w:r w:rsidR="004259EA" w:rsidRPr="00400193">
          <w:rPr>
            <w:noProof/>
            <w:webHidden/>
          </w:rPr>
          <w:fldChar w:fldCharType="separate"/>
        </w:r>
        <w:r w:rsidR="00BB7C18">
          <w:rPr>
            <w:noProof/>
            <w:webHidden/>
          </w:rPr>
          <w:t>170</w:t>
        </w:r>
        <w:r w:rsidR="004259EA" w:rsidRPr="00400193">
          <w:rPr>
            <w:noProof/>
            <w:webHidden/>
          </w:rPr>
          <w:fldChar w:fldCharType="end"/>
        </w:r>
      </w:hyperlink>
    </w:p>
    <w:p w14:paraId="46D50EEF" w14:textId="500ACC3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2" w:history="1">
        <w:r w:rsidR="004259EA" w:rsidRPr="00400193">
          <w:rPr>
            <w:rStyle w:val="Hyperlink"/>
            <w:noProof/>
            <w:color w:val="auto"/>
          </w:rPr>
          <w:t>Table 5</w:t>
        </w:r>
        <w:r w:rsidR="004259EA" w:rsidRPr="00400193">
          <w:rPr>
            <w:rStyle w:val="Hyperlink"/>
            <w:noProof/>
            <w:color w:val="auto"/>
          </w:rPr>
          <w:noBreakHyphen/>
          <w:t xml:space="preserve">87: Coefficients </w:t>
        </w:r>
        <w:r w:rsidR="004259EA" w:rsidRPr="00400193">
          <w:rPr>
            <w:rStyle w:val="Hyperlink"/>
            <w:noProof/>
            <w:color w:val="auto"/>
            <w:vertAlign w:val="superscript"/>
          </w:rPr>
          <w:t>a</w:t>
        </w:r>
        <w:r w:rsidR="004259EA" w:rsidRPr="00400193">
          <w:rPr>
            <w:rStyle w:val="Hyperlink"/>
            <w:noProof/>
            <w:color w:val="auto"/>
          </w:rPr>
          <w:t xml:space="preserve"> of the regression model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_Toc52901632 \h </w:instrText>
        </w:r>
        <w:r w:rsidR="004259EA" w:rsidRPr="00400193">
          <w:rPr>
            <w:noProof/>
            <w:webHidden/>
          </w:rPr>
        </w:r>
        <w:r w:rsidR="004259EA" w:rsidRPr="00400193">
          <w:rPr>
            <w:noProof/>
            <w:webHidden/>
          </w:rPr>
          <w:fldChar w:fldCharType="separate"/>
        </w:r>
        <w:r w:rsidR="00BB7C18">
          <w:rPr>
            <w:noProof/>
            <w:webHidden/>
          </w:rPr>
          <w:t>171</w:t>
        </w:r>
        <w:r w:rsidR="004259EA" w:rsidRPr="00400193">
          <w:rPr>
            <w:noProof/>
            <w:webHidden/>
          </w:rPr>
          <w:fldChar w:fldCharType="end"/>
        </w:r>
      </w:hyperlink>
    </w:p>
    <w:p w14:paraId="76AAC65B" w14:textId="7C3814C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3" w:history="1">
        <w:r w:rsidR="004259EA" w:rsidRPr="00400193">
          <w:rPr>
            <w:rStyle w:val="Hyperlink"/>
            <w:noProof/>
            <w:color w:val="auto"/>
          </w:rPr>
          <w:t>Table 5</w:t>
        </w:r>
        <w:r w:rsidR="004259EA" w:rsidRPr="00400193">
          <w:rPr>
            <w:rStyle w:val="Hyperlink"/>
            <w:noProof/>
            <w:color w:val="auto"/>
          </w:rPr>
          <w:noBreakHyphen/>
          <w:t>88: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_Toc52901633 \h </w:instrText>
        </w:r>
        <w:r w:rsidR="004259EA" w:rsidRPr="00400193">
          <w:rPr>
            <w:noProof/>
            <w:webHidden/>
          </w:rPr>
        </w:r>
        <w:r w:rsidR="004259EA" w:rsidRPr="00400193">
          <w:rPr>
            <w:noProof/>
            <w:webHidden/>
          </w:rPr>
          <w:fldChar w:fldCharType="separate"/>
        </w:r>
        <w:r w:rsidR="00BB7C18">
          <w:rPr>
            <w:noProof/>
            <w:webHidden/>
          </w:rPr>
          <w:t>171</w:t>
        </w:r>
        <w:r w:rsidR="004259EA" w:rsidRPr="00400193">
          <w:rPr>
            <w:noProof/>
            <w:webHidden/>
          </w:rPr>
          <w:fldChar w:fldCharType="end"/>
        </w:r>
      </w:hyperlink>
    </w:p>
    <w:p w14:paraId="1088819B" w14:textId="40BCD30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4" w:history="1">
        <w:r w:rsidR="004259EA" w:rsidRPr="00400193">
          <w:rPr>
            <w:rStyle w:val="Hyperlink"/>
            <w:noProof/>
            <w:color w:val="auto"/>
          </w:rPr>
          <w:t>Table 5</w:t>
        </w:r>
        <w:r w:rsidR="004259EA" w:rsidRPr="00400193">
          <w:rPr>
            <w:rStyle w:val="Hyperlink"/>
            <w:noProof/>
            <w:color w:val="auto"/>
          </w:rPr>
          <w:noBreakHyphen/>
          <w:t>89: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_Toc52901634 \h </w:instrText>
        </w:r>
        <w:r w:rsidR="004259EA" w:rsidRPr="00400193">
          <w:rPr>
            <w:noProof/>
            <w:webHidden/>
          </w:rPr>
        </w:r>
        <w:r w:rsidR="004259EA" w:rsidRPr="00400193">
          <w:rPr>
            <w:noProof/>
            <w:webHidden/>
          </w:rPr>
          <w:fldChar w:fldCharType="separate"/>
        </w:r>
        <w:r w:rsidR="00BB7C18">
          <w:rPr>
            <w:noProof/>
            <w:webHidden/>
          </w:rPr>
          <w:t>171</w:t>
        </w:r>
        <w:r w:rsidR="004259EA" w:rsidRPr="00400193">
          <w:rPr>
            <w:noProof/>
            <w:webHidden/>
          </w:rPr>
          <w:fldChar w:fldCharType="end"/>
        </w:r>
      </w:hyperlink>
    </w:p>
    <w:p w14:paraId="5FE0C430" w14:textId="48F3229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5" w:history="1">
        <w:r w:rsidR="004259EA" w:rsidRPr="00400193">
          <w:rPr>
            <w:rStyle w:val="Hyperlink"/>
            <w:noProof/>
            <w:color w:val="auto"/>
          </w:rPr>
          <w:t>Table 5</w:t>
        </w:r>
        <w:r w:rsidR="004259EA" w:rsidRPr="00400193">
          <w:rPr>
            <w:rStyle w:val="Hyperlink"/>
            <w:noProof/>
            <w:color w:val="auto"/>
          </w:rPr>
          <w:noBreakHyphen/>
          <w:t>90: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_Toc52901635 \h </w:instrText>
        </w:r>
        <w:r w:rsidR="004259EA" w:rsidRPr="00400193">
          <w:rPr>
            <w:noProof/>
            <w:webHidden/>
          </w:rPr>
        </w:r>
        <w:r w:rsidR="004259EA" w:rsidRPr="00400193">
          <w:rPr>
            <w:noProof/>
            <w:webHidden/>
          </w:rPr>
          <w:fldChar w:fldCharType="separate"/>
        </w:r>
        <w:r w:rsidR="00BB7C18">
          <w:rPr>
            <w:noProof/>
            <w:webHidden/>
          </w:rPr>
          <w:t>174</w:t>
        </w:r>
        <w:r w:rsidR="004259EA" w:rsidRPr="00400193">
          <w:rPr>
            <w:noProof/>
            <w:webHidden/>
          </w:rPr>
          <w:fldChar w:fldCharType="end"/>
        </w:r>
      </w:hyperlink>
    </w:p>
    <w:p w14:paraId="4CD35E12" w14:textId="543CAB8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6" w:history="1">
        <w:r w:rsidR="004259EA" w:rsidRPr="00400193">
          <w:rPr>
            <w:rStyle w:val="Hyperlink"/>
            <w:noProof/>
            <w:color w:val="auto"/>
          </w:rPr>
          <w:t>Table 5</w:t>
        </w:r>
        <w:r w:rsidR="004259EA" w:rsidRPr="00400193">
          <w:rPr>
            <w:rStyle w:val="Hyperlink"/>
            <w:noProof/>
            <w:color w:val="auto"/>
          </w:rPr>
          <w:noBreakHyphen/>
          <w:t>91: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_Toc52901636 \h </w:instrText>
        </w:r>
        <w:r w:rsidR="004259EA" w:rsidRPr="00400193">
          <w:rPr>
            <w:noProof/>
            <w:webHidden/>
          </w:rPr>
        </w:r>
        <w:r w:rsidR="004259EA" w:rsidRPr="00400193">
          <w:rPr>
            <w:noProof/>
            <w:webHidden/>
          </w:rPr>
          <w:fldChar w:fldCharType="separate"/>
        </w:r>
        <w:r w:rsidR="00BB7C18">
          <w:rPr>
            <w:noProof/>
            <w:webHidden/>
          </w:rPr>
          <w:t>174</w:t>
        </w:r>
        <w:r w:rsidR="004259EA" w:rsidRPr="00400193">
          <w:rPr>
            <w:noProof/>
            <w:webHidden/>
          </w:rPr>
          <w:fldChar w:fldCharType="end"/>
        </w:r>
      </w:hyperlink>
    </w:p>
    <w:p w14:paraId="63CCC34F" w14:textId="04540BF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7" w:history="1">
        <w:r w:rsidR="004259EA" w:rsidRPr="00400193">
          <w:rPr>
            <w:rStyle w:val="Hyperlink"/>
            <w:noProof/>
            <w:color w:val="auto"/>
          </w:rPr>
          <w:t>Table 5</w:t>
        </w:r>
        <w:r w:rsidR="004259EA" w:rsidRPr="00400193">
          <w:rPr>
            <w:rStyle w:val="Hyperlink"/>
            <w:noProof/>
            <w:color w:val="auto"/>
          </w:rPr>
          <w:noBreakHyphen/>
          <w:t>92: Coefficients of the regression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_Toc52901637 \h </w:instrText>
        </w:r>
        <w:r w:rsidR="004259EA" w:rsidRPr="00400193">
          <w:rPr>
            <w:noProof/>
            <w:webHidden/>
          </w:rPr>
        </w:r>
        <w:r w:rsidR="004259EA" w:rsidRPr="00400193">
          <w:rPr>
            <w:noProof/>
            <w:webHidden/>
          </w:rPr>
          <w:fldChar w:fldCharType="separate"/>
        </w:r>
        <w:r w:rsidR="00BB7C18">
          <w:rPr>
            <w:noProof/>
            <w:webHidden/>
          </w:rPr>
          <w:t>174</w:t>
        </w:r>
        <w:r w:rsidR="004259EA" w:rsidRPr="00400193">
          <w:rPr>
            <w:noProof/>
            <w:webHidden/>
          </w:rPr>
          <w:fldChar w:fldCharType="end"/>
        </w:r>
      </w:hyperlink>
    </w:p>
    <w:p w14:paraId="416DA7AF" w14:textId="67D64A0F"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8" w:history="1">
        <w:r w:rsidR="004259EA" w:rsidRPr="00400193">
          <w:rPr>
            <w:rStyle w:val="Hyperlink"/>
            <w:noProof/>
            <w:color w:val="auto"/>
          </w:rPr>
          <w:t>Table 5</w:t>
        </w:r>
        <w:r w:rsidR="004259EA" w:rsidRPr="00400193">
          <w:rPr>
            <w:rStyle w:val="Hyperlink"/>
            <w:noProof/>
            <w:color w:val="auto"/>
          </w:rPr>
          <w:noBreakHyphen/>
          <w:t>93: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_Toc52901638 \h </w:instrText>
        </w:r>
        <w:r w:rsidR="004259EA" w:rsidRPr="00400193">
          <w:rPr>
            <w:noProof/>
            <w:webHidden/>
          </w:rPr>
        </w:r>
        <w:r w:rsidR="004259EA" w:rsidRPr="00400193">
          <w:rPr>
            <w:noProof/>
            <w:webHidden/>
          </w:rPr>
          <w:fldChar w:fldCharType="separate"/>
        </w:r>
        <w:r w:rsidR="00BB7C18">
          <w:rPr>
            <w:noProof/>
            <w:webHidden/>
          </w:rPr>
          <w:t>175</w:t>
        </w:r>
        <w:r w:rsidR="004259EA" w:rsidRPr="00400193">
          <w:rPr>
            <w:noProof/>
            <w:webHidden/>
          </w:rPr>
          <w:fldChar w:fldCharType="end"/>
        </w:r>
      </w:hyperlink>
    </w:p>
    <w:p w14:paraId="26C6B353" w14:textId="2156DE9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39" w:history="1">
        <w:r w:rsidR="004259EA" w:rsidRPr="00400193">
          <w:rPr>
            <w:rStyle w:val="Hyperlink"/>
            <w:noProof/>
            <w:color w:val="auto"/>
          </w:rPr>
          <w:t>Table 5</w:t>
        </w:r>
        <w:r w:rsidR="004259EA" w:rsidRPr="00400193">
          <w:rPr>
            <w:rStyle w:val="Hyperlink"/>
            <w:noProof/>
            <w:color w:val="auto"/>
          </w:rPr>
          <w:noBreakHyphen/>
          <w:t>94: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_Toc52901639 \h </w:instrText>
        </w:r>
        <w:r w:rsidR="004259EA" w:rsidRPr="00400193">
          <w:rPr>
            <w:noProof/>
            <w:webHidden/>
          </w:rPr>
        </w:r>
        <w:r w:rsidR="004259EA" w:rsidRPr="00400193">
          <w:rPr>
            <w:noProof/>
            <w:webHidden/>
          </w:rPr>
          <w:fldChar w:fldCharType="separate"/>
        </w:r>
        <w:r w:rsidR="00BB7C18">
          <w:rPr>
            <w:noProof/>
            <w:webHidden/>
          </w:rPr>
          <w:t>175</w:t>
        </w:r>
        <w:r w:rsidR="004259EA" w:rsidRPr="00400193">
          <w:rPr>
            <w:noProof/>
            <w:webHidden/>
          </w:rPr>
          <w:fldChar w:fldCharType="end"/>
        </w:r>
      </w:hyperlink>
    </w:p>
    <w:p w14:paraId="2FDA4D52" w14:textId="33796B2E"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0" w:history="1">
        <w:r w:rsidR="004259EA" w:rsidRPr="00400193">
          <w:rPr>
            <w:rStyle w:val="Hyperlink"/>
            <w:noProof/>
            <w:color w:val="auto"/>
          </w:rPr>
          <w:t>Table 5</w:t>
        </w:r>
        <w:r w:rsidR="004259EA" w:rsidRPr="00400193">
          <w:rPr>
            <w:rStyle w:val="Hyperlink"/>
            <w:noProof/>
            <w:color w:val="auto"/>
          </w:rPr>
          <w:noBreakHyphen/>
          <w:t>95: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_Toc52901640 \h </w:instrText>
        </w:r>
        <w:r w:rsidR="004259EA" w:rsidRPr="00400193">
          <w:rPr>
            <w:noProof/>
            <w:webHidden/>
          </w:rPr>
        </w:r>
        <w:r w:rsidR="004259EA" w:rsidRPr="00400193">
          <w:rPr>
            <w:noProof/>
            <w:webHidden/>
          </w:rPr>
          <w:fldChar w:fldCharType="separate"/>
        </w:r>
        <w:r w:rsidR="00BB7C18">
          <w:rPr>
            <w:noProof/>
            <w:webHidden/>
          </w:rPr>
          <w:t>178</w:t>
        </w:r>
        <w:r w:rsidR="004259EA" w:rsidRPr="00400193">
          <w:rPr>
            <w:noProof/>
            <w:webHidden/>
          </w:rPr>
          <w:fldChar w:fldCharType="end"/>
        </w:r>
      </w:hyperlink>
    </w:p>
    <w:p w14:paraId="64D51848" w14:textId="425A617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1" w:history="1">
        <w:r w:rsidR="004259EA" w:rsidRPr="00400193">
          <w:rPr>
            <w:rStyle w:val="Hyperlink"/>
            <w:noProof/>
            <w:color w:val="auto"/>
          </w:rPr>
          <w:t>Table 5</w:t>
        </w:r>
        <w:r w:rsidR="004259EA" w:rsidRPr="00400193">
          <w:rPr>
            <w:rStyle w:val="Hyperlink"/>
            <w:noProof/>
            <w:color w:val="auto"/>
          </w:rPr>
          <w:noBreakHyphen/>
          <w:t xml:space="preserve">96: Analysis of variance </w:t>
        </w:r>
        <w:r w:rsidR="004259EA" w:rsidRPr="00400193">
          <w:rPr>
            <w:rStyle w:val="Hyperlink"/>
            <w:noProof/>
            <w:color w:val="auto"/>
            <w:vertAlign w:val="superscript"/>
          </w:rPr>
          <w:t>a</w:t>
        </w:r>
        <w:r w:rsidR="004259EA" w:rsidRPr="00400193">
          <w:rPr>
            <w:rStyle w:val="Hyperlink"/>
            <w:noProof/>
            <w:color w:val="auto"/>
          </w:rPr>
          <w:t xml:space="preserv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_Toc52901641 \h </w:instrText>
        </w:r>
        <w:r w:rsidR="004259EA" w:rsidRPr="00400193">
          <w:rPr>
            <w:noProof/>
            <w:webHidden/>
          </w:rPr>
        </w:r>
        <w:r w:rsidR="004259EA" w:rsidRPr="00400193">
          <w:rPr>
            <w:noProof/>
            <w:webHidden/>
          </w:rPr>
          <w:fldChar w:fldCharType="separate"/>
        </w:r>
        <w:r w:rsidR="00BB7C18">
          <w:rPr>
            <w:noProof/>
            <w:webHidden/>
          </w:rPr>
          <w:t>178</w:t>
        </w:r>
        <w:r w:rsidR="004259EA" w:rsidRPr="00400193">
          <w:rPr>
            <w:noProof/>
            <w:webHidden/>
          </w:rPr>
          <w:fldChar w:fldCharType="end"/>
        </w:r>
      </w:hyperlink>
    </w:p>
    <w:p w14:paraId="5E1165A9" w14:textId="2700FEA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2" w:history="1">
        <w:r w:rsidR="004259EA" w:rsidRPr="00400193">
          <w:rPr>
            <w:rStyle w:val="Hyperlink"/>
            <w:noProof/>
            <w:color w:val="auto"/>
          </w:rPr>
          <w:t>Table 5</w:t>
        </w:r>
        <w:r w:rsidR="004259EA" w:rsidRPr="00400193">
          <w:rPr>
            <w:rStyle w:val="Hyperlink"/>
            <w:noProof/>
            <w:color w:val="auto"/>
          </w:rPr>
          <w:noBreakHyphen/>
          <w:t xml:space="preserve">97: Coefficients </w:t>
        </w:r>
        <w:r w:rsidR="004259EA" w:rsidRPr="00400193">
          <w:rPr>
            <w:rStyle w:val="Hyperlink"/>
            <w:noProof/>
            <w:color w:val="auto"/>
            <w:vertAlign w:val="superscript"/>
          </w:rPr>
          <w:t>a</w:t>
        </w:r>
        <w:r w:rsidR="004259EA" w:rsidRPr="00400193">
          <w:rPr>
            <w:rStyle w:val="Hyperlink"/>
            <w:noProof/>
            <w:color w:val="auto"/>
          </w:rPr>
          <w:t xml:space="preserve"> of the regression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_Toc52901642 \h </w:instrText>
        </w:r>
        <w:r w:rsidR="004259EA" w:rsidRPr="00400193">
          <w:rPr>
            <w:noProof/>
            <w:webHidden/>
          </w:rPr>
        </w:r>
        <w:r w:rsidR="004259EA" w:rsidRPr="00400193">
          <w:rPr>
            <w:noProof/>
            <w:webHidden/>
          </w:rPr>
          <w:fldChar w:fldCharType="separate"/>
        </w:r>
        <w:r w:rsidR="00BB7C18">
          <w:rPr>
            <w:noProof/>
            <w:webHidden/>
          </w:rPr>
          <w:t>178</w:t>
        </w:r>
        <w:r w:rsidR="004259EA" w:rsidRPr="00400193">
          <w:rPr>
            <w:noProof/>
            <w:webHidden/>
          </w:rPr>
          <w:fldChar w:fldCharType="end"/>
        </w:r>
      </w:hyperlink>
    </w:p>
    <w:p w14:paraId="5C75E6A0" w14:textId="5B071F9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3" w:history="1">
        <w:r w:rsidR="004259EA" w:rsidRPr="00400193">
          <w:rPr>
            <w:rStyle w:val="Hyperlink"/>
            <w:noProof/>
            <w:color w:val="auto"/>
          </w:rPr>
          <w:t>Table 5</w:t>
        </w:r>
        <w:r w:rsidR="004259EA" w:rsidRPr="00400193">
          <w:rPr>
            <w:rStyle w:val="Hyperlink"/>
            <w:noProof/>
            <w:color w:val="auto"/>
          </w:rPr>
          <w:noBreakHyphen/>
          <w:t>98: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_Toc52901643 \h </w:instrText>
        </w:r>
        <w:r w:rsidR="004259EA" w:rsidRPr="00400193">
          <w:rPr>
            <w:noProof/>
            <w:webHidden/>
          </w:rPr>
        </w:r>
        <w:r w:rsidR="004259EA" w:rsidRPr="00400193">
          <w:rPr>
            <w:noProof/>
            <w:webHidden/>
          </w:rPr>
          <w:fldChar w:fldCharType="separate"/>
        </w:r>
        <w:r w:rsidR="00BB7C18">
          <w:rPr>
            <w:noProof/>
            <w:webHidden/>
          </w:rPr>
          <w:t>179</w:t>
        </w:r>
        <w:r w:rsidR="004259EA" w:rsidRPr="00400193">
          <w:rPr>
            <w:noProof/>
            <w:webHidden/>
          </w:rPr>
          <w:fldChar w:fldCharType="end"/>
        </w:r>
      </w:hyperlink>
    </w:p>
    <w:p w14:paraId="321D66FC" w14:textId="6EE1712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4" w:history="1">
        <w:r w:rsidR="004259EA" w:rsidRPr="00400193">
          <w:rPr>
            <w:rStyle w:val="Hyperlink"/>
            <w:noProof/>
            <w:color w:val="auto"/>
          </w:rPr>
          <w:t>Table 5</w:t>
        </w:r>
        <w:r w:rsidR="004259EA" w:rsidRPr="00400193">
          <w:rPr>
            <w:rStyle w:val="Hyperlink"/>
            <w:noProof/>
            <w:color w:val="auto"/>
          </w:rPr>
          <w:noBreakHyphen/>
          <w:t>99: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_Toc52901644 \h </w:instrText>
        </w:r>
        <w:r w:rsidR="004259EA" w:rsidRPr="00400193">
          <w:rPr>
            <w:noProof/>
            <w:webHidden/>
          </w:rPr>
        </w:r>
        <w:r w:rsidR="004259EA" w:rsidRPr="00400193">
          <w:rPr>
            <w:noProof/>
            <w:webHidden/>
          </w:rPr>
          <w:fldChar w:fldCharType="separate"/>
        </w:r>
        <w:r w:rsidR="00BB7C18">
          <w:rPr>
            <w:noProof/>
            <w:webHidden/>
          </w:rPr>
          <w:t>179</w:t>
        </w:r>
        <w:r w:rsidR="004259EA" w:rsidRPr="00400193">
          <w:rPr>
            <w:noProof/>
            <w:webHidden/>
          </w:rPr>
          <w:fldChar w:fldCharType="end"/>
        </w:r>
      </w:hyperlink>
    </w:p>
    <w:p w14:paraId="2D04A9BD" w14:textId="0173F25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5" w:history="1">
        <w:r w:rsidR="004259EA" w:rsidRPr="00400193">
          <w:rPr>
            <w:rStyle w:val="Hyperlink"/>
            <w:noProof/>
            <w:color w:val="auto"/>
          </w:rPr>
          <w:t>Table 5</w:t>
        </w:r>
        <w:r w:rsidR="004259EA" w:rsidRPr="00400193">
          <w:rPr>
            <w:rStyle w:val="Hyperlink"/>
            <w:noProof/>
            <w:color w:val="auto"/>
          </w:rPr>
          <w:noBreakHyphen/>
          <w:t>100: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_Toc52901645 \h </w:instrText>
        </w:r>
        <w:r w:rsidR="004259EA" w:rsidRPr="00400193">
          <w:rPr>
            <w:noProof/>
            <w:webHidden/>
          </w:rPr>
        </w:r>
        <w:r w:rsidR="004259EA" w:rsidRPr="00400193">
          <w:rPr>
            <w:noProof/>
            <w:webHidden/>
          </w:rPr>
          <w:fldChar w:fldCharType="separate"/>
        </w:r>
        <w:r w:rsidR="00BB7C18">
          <w:rPr>
            <w:noProof/>
            <w:webHidden/>
          </w:rPr>
          <w:t>182</w:t>
        </w:r>
        <w:r w:rsidR="004259EA" w:rsidRPr="00400193">
          <w:rPr>
            <w:noProof/>
            <w:webHidden/>
          </w:rPr>
          <w:fldChar w:fldCharType="end"/>
        </w:r>
      </w:hyperlink>
    </w:p>
    <w:p w14:paraId="26F0897C" w14:textId="325E83E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6" w:history="1">
        <w:r w:rsidR="004259EA" w:rsidRPr="00400193">
          <w:rPr>
            <w:rStyle w:val="Hyperlink"/>
            <w:noProof/>
            <w:color w:val="auto"/>
          </w:rPr>
          <w:t>Table 5</w:t>
        </w:r>
        <w:r w:rsidR="004259EA" w:rsidRPr="00400193">
          <w:rPr>
            <w:rStyle w:val="Hyperlink"/>
            <w:noProof/>
            <w:color w:val="auto"/>
          </w:rPr>
          <w:noBreakHyphen/>
          <w:t>101: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_Toc52901646 \h </w:instrText>
        </w:r>
        <w:r w:rsidR="004259EA" w:rsidRPr="00400193">
          <w:rPr>
            <w:noProof/>
            <w:webHidden/>
          </w:rPr>
        </w:r>
        <w:r w:rsidR="004259EA" w:rsidRPr="00400193">
          <w:rPr>
            <w:noProof/>
            <w:webHidden/>
          </w:rPr>
          <w:fldChar w:fldCharType="separate"/>
        </w:r>
        <w:r w:rsidR="00BB7C18">
          <w:rPr>
            <w:noProof/>
            <w:webHidden/>
          </w:rPr>
          <w:t>183</w:t>
        </w:r>
        <w:r w:rsidR="004259EA" w:rsidRPr="00400193">
          <w:rPr>
            <w:noProof/>
            <w:webHidden/>
          </w:rPr>
          <w:fldChar w:fldCharType="end"/>
        </w:r>
      </w:hyperlink>
    </w:p>
    <w:p w14:paraId="74D71B02" w14:textId="7DEE1AC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7" w:history="1">
        <w:r w:rsidR="004259EA" w:rsidRPr="00400193">
          <w:rPr>
            <w:rStyle w:val="Hyperlink"/>
            <w:noProof/>
            <w:color w:val="auto"/>
          </w:rPr>
          <w:t>Table 5</w:t>
        </w:r>
        <w:r w:rsidR="004259EA" w:rsidRPr="00400193">
          <w:rPr>
            <w:rStyle w:val="Hyperlink"/>
            <w:noProof/>
            <w:color w:val="auto"/>
          </w:rPr>
          <w:noBreakHyphen/>
          <w:t>102: Coefficients of the regression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_Toc52901647 \h </w:instrText>
        </w:r>
        <w:r w:rsidR="004259EA" w:rsidRPr="00400193">
          <w:rPr>
            <w:noProof/>
            <w:webHidden/>
          </w:rPr>
        </w:r>
        <w:r w:rsidR="004259EA" w:rsidRPr="00400193">
          <w:rPr>
            <w:noProof/>
            <w:webHidden/>
          </w:rPr>
          <w:fldChar w:fldCharType="separate"/>
        </w:r>
        <w:r w:rsidR="00BB7C18">
          <w:rPr>
            <w:noProof/>
            <w:webHidden/>
          </w:rPr>
          <w:t>183</w:t>
        </w:r>
        <w:r w:rsidR="004259EA" w:rsidRPr="00400193">
          <w:rPr>
            <w:noProof/>
            <w:webHidden/>
          </w:rPr>
          <w:fldChar w:fldCharType="end"/>
        </w:r>
      </w:hyperlink>
    </w:p>
    <w:p w14:paraId="7B340812" w14:textId="051890A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8" w:history="1">
        <w:r w:rsidR="004259EA" w:rsidRPr="00400193">
          <w:rPr>
            <w:rStyle w:val="Hyperlink"/>
            <w:noProof/>
            <w:color w:val="auto"/>
          </w:rPr>
          <w:t>Table 5</w:t>
        </w:r>
        <w:r w:rsidR="004259EA" w:rsidRPr="00400193">
          <w:rPr>
            <w:rStyle w:val="Hyperlink"/>
            <w:noProof/>
            <w:color w:val="auto"/>
          </w:rPr>
          <w:noBreakHyphen/>
          <w:t>103: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_Toc52901648 \h </w:instrText>
        </w:r>
        <w:r w:rsidR="004259EA" w:rsidRPr="00400193">
          <w:rPr>
            <w:noProof/>
            <w:webHidden/>
          </w:rPr>
        </w:r>
        <w:r w:rsidR="004259EA" w:rsidRPr="00400193">
          <w:rPr>
            <w:noProof/>
            <w:webHidden/>
          </w:rPr>
          <w:fldChar w:fldCharType="separate"/>
        </w:r>
        <w:r w:rsidR="00BB7C18">
          <w:rPr>
            <w:noProof/>
            <w:webHidden/>
          </w:rPr>
          <w:t>183</w:t>
        </w:r>
        <w:r w:rsidR="004259EA" w:rsidRPr="00400193">
          <w:rPr>
            <w:noProof/>
            <w:webHidden/>
          </w:rPr>
          <w:fldChar w:fldCharType="end"/>
        </w:r>
      </w:hyperlink>
    </w:p>
    <w:p w14:paraId="16268D8F" w14:textId="0A0EC9BB"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49" w:history="1">
        <w:r w:rsidR="004259EA" w:rsidRPr="00400193">
          <w:rPr>
            <w:rStyle w:val="Hyperlink"/>
            <w:noProof/>
            <w:color w:val="auto"/>
          </w:rPr>
          <w:t>Table 5</w:t>
        </w:r>
        <w:r w:rsidR="004259EA" w:rsidRPr="00400193">
          <w:rPr>
            <w:rStyle w:val="Hyperlink"/>
            <w:noProof/>
            <w:color w:val="auto"/>
          </w:rPr>
          <w:noBreakHyphen/>
          <w:t>104: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_Toc52901649 \h </w:instrText>
        </w:r>
        <w:r w:rsidR="004259EA" w:rsidRPr="00400193">
          <w:rPr>
            <w:noProof/>
            <w:webHidden/>
          </w:rPr>
        </w:r>
        <w:r w:rsidR="004259EA" w:rsidRPr="00400193">
          <w:rPr>
            <w:noProof/>
            <w:webHidden/>
          </w:rPr>
          <w:fldChar w:fldCharType="separate"/>
        </w:r>
        <w:r w:rsidR="00BB7C18">
          <w:rPr>
            <w:noProof/>
            <w:webHidden/>
          </w:rPr>
          <w:t>184</w:t>
        </w:r>
        <w:r w:rsidR="004259EA" w:rsidRPr="00400193">
          <w:rPr>
            <w:noProof/>
            <w:webHidden/>
          </w:rPr>
          <w:fldChar w:fldCharType="end"/>
        </w:r>
      </w:hyperlink>
    </w:p>
    <w:p w14:paraId="60115388" w14:textId="4B83F222"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0" w:history="1">
        <w:r w:rsidR="004259EA" w:rsidRPr="00400193">
          <w:rPr>
            <w:rStyle w:val="Hyperlink"/>
            <w:noProof/>
            <w:color w:val="auto"/>
          </w:rPr>
          <w:t>Table 5</w:t>
        </w:r>
        <w:r w:rsidR="004259EA" w:rsidRPr="00400193">
          <w:rPr>
            <w:rStyle w:val="Hyperlink"/>
            <w:noProof/>
            <w:color w:val="auto"/>
          </w:rPr>
          <w:noBreakHyphen/>
          <w:t>105: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_Toc52901650 \h </w:instrText>
        </w:r>
        <w:r w:rsidR="004259EA" w:rsidRPr="00400193">
          <w:rPr>
            <w:noProof/>
            <w:webHidden/>
          </w:rPr>
        </w:r>
        <w:r w:rsidR="004259EA" w:rsidRPr="00400193">
          <w:rPr>
            <w:noProof/>
            <w:webHidden/>
          </w:rPr>
          <w:fldChar w:fldCharType="separate"/>
        </w:r>
        <w:r w:rsidR="00BB7C18">
          <w:rPr>
            <w:noProof/>
            <w:webHidden/>
          </w:rPr>
          <w:t>187</w:t>
        </w:r>
        <w:r w:rsidR="004259EA" w:rsidRPr="00400193">
          <w:rPr>
            <w:noProof/>
            <w:webHidden/>
          </w:rPr>
          <w:fldChar w:fldCharType="end"/>
        </w:r>
      </w:hyperlink>
    </w:p>
    <w:p w14:paraId="13BE652C" w14:textId="6031EE28"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1" w:history="1">
        <w:r w:rsidR="004259EA" w:rsidRPr="00400193">
          <w:rPr>
            <w:rStyle w:val="Hyperlink"/>
            <w:noProof/>
            <w:color w:val="auto"/>
          </w:rPr>
          <w:t>Table 5</w:t>
        </w:r>
        <w:r w:rsidR="004259EA" w:rsidRPr="00400193">
          <w:rPr>
            <w:rStyle w:val="Hyperlink"/>
            <w:noProof/>
            <w:color w:val="auto"/>
          </w:rPr>
          <w:noBreakHyphen/>
          <w:t>106: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_Toc52901651 \h </w:instrText>
        </w:r>
        <w:r w:rsidR="004259EA" w:rsidRPr="00400193">
          <w:rPr>
            <w:noProof/>
            <w:webHidden/>
          </w:rPr>
        </w:r>
        <w:r w:rsidR="004259EA" w:rsidRPr="00400193">
          <w:rPr>
            <w:noProof/>
            <w:webHidden/>
          </w:rPr>
          <w:fldChar w:fldCharType="separate"/>
        </w:r>
        <w:r w:rsidR="00BB7C18">
          <w:rPr>
            <w:noProof/>
            <w:webHidden/>
          </w:rPr>
          <w:t>187</w:t>
        </w:r>
        <w:r w:rsidR="004259EA" w:rsidRPr="00400193">
          <w:rPr>
            <w:noProof/>
            <w:webHidden/>
          </w:rPr>
          <w:fldChar w:fldCharType="end"/>
        </w:r>
      </w:hyperlink>
    </w:p>
    <w:p w14:paraId="0A3BF785" w14:textId="34D60E3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2" w:history="1">
        <w:r w:rsidR="004259EA" w:rsidRPr="00400193">
          <w:rPr>
            <w:rStyle w:val="Hyperlink"/>
            <w:noProof/>
            <w:color w:val="auto"/>
          </w:rPr>
          <w:t>Table 5</w:t>
        </w:r>
        <w:r w:rsidR="004259EA" w:rsidRPr="00400193">
          <w:rPr>
            <w:rStyle w:val="Hyperlink"/>
            <w:noProof/>
            <w:color w:val="auto"/>
          </w:rPr>
          <w:noBreakHyphen/>
          <w:t xml:space="preserve">107: Coefficients </w:t>
        </w:r>
        <w:r w:rsidR="004259EA" w:rsidRPr="00400193">
          <w:rPr>
            <w:rStyle w:val="Hyperlink"/>
            <w:noProof/>
            <w:color w:val="auto"/>
            <w:vertAlign w:val="superscript"/>
          </w:rPr>
          <w:t>a</w:t>
        </w:r>
        <w:r w:rsidR="004259EA" w:rsidRPr="00400193">
          <w:rPr>
            <w:rStyle w:val="Hyperlink"/>
            <w:noProof/>
            <w:color w:val="auto"/>
          </w:rPr>
          <w:t xml:space="preserve"> of the regression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_Toc52901652 \h </w:instrText>
        </w:r>
        <w:r w:rsidR="004259EA" w:rsidRPr="00400193">
          <w:rPr>
            <w:noProof/>
            <w:webHidden/>
          </w:rPr>
        </w:r>
        <w:r w:rsidR="004259EA" w:rsidRPr="00400193">
          <w:rPr>
            <w:noProof/>
            <w:webHidden/>
          </w:rPr>
          <w:fldChar w:fldCharType="separate"/>
        </w:r>
        <w:r w:rsidR="00BB7C18">
          <w:rPr>
            <w:noProof/>
            <w:webHidden/>
          </w:rPr>
          <w:t>187</w:t>
        </w:r>
        <w:r w:rsidR="004259EA" w:rsidRPr="00400193">
          <w:rPr>
            <w:noProof/>
            <w:webHidden/>
          </w:rPr>
          <w:fldChar w:fldCharType="end"/>
        </w:r>
      </w:hyperlink>
    </w:p>
    <w:p w14:paraId="39935513" w14:textId="71153DEC"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3" w:history="1">
        <w:r w:rsidR="004259EA" w:rsidRPr="00400193">
          <w:rPr>
            <w:rStyle w:val="Hyperlink"/>
            <w:noProof/>
            <w:color w:val="auto"/>
          </w:rPr>
          <w:t>Table 5</w:t>
        </w:r>
        <w:r w:rsidR="004259EA" w:rsidRPr="00400193">
          <w:rPr>
            <w:rStyle w:val="Hyperlink"/>
            <w:noProof/>
            <w:color w:val="auto"/>
          </w:rPr>
          <w:noBreakHyphen/>
          <w:t>108: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_Toc52901653 \h </w:instrText>
        </w:r>
        <w:r w:rsidR="004259EA" w:rsidRPr="00400193">
          <w:rPr>
            <w:noProof/>
            <w:webHidden/>
          </w:rPr>
        </w:r>
        <w:r w:rsidR="004259EA" w:rsidRPr="00400193">
          <w:rPr>
            <w:noProof/>
            <w:webHidden/>
          </w:rPr>
          <w:fldChar w:fldCharType="separate"/>
        </w:r>
        <w:r w:rsidR="00BB7C18">
          <w:rPr>
            <w:noProof/>
            <w:webHidden/>
          </w:rPr>
          <w:t>187</w:t>
        </w:r>
        <w:r w:rsidR="004259EA" w:rsidRPr="00400193">
          <w:rPr>
            <w:noProof/>
            <w:webHidden/>
          </w:rPr>
          <w:fldChar w:fldCharType="end"/>
        </w:r>
      </w:hyperlink>
    </w:p>
    <w:p w14:paraId="643396BD" w14:textId="246EB52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4" w:history="1">
        <w:r w:rsidR="004259EA" w:rsidRPr="00400193">
          <w:rPr>
            <w:rStyle w:val="Hyperlink"/>
            <w:noProof/>
            <w:color w:val="auto"/>
          </w:rPr>
          <w:t>Table 5</w:t>
        </w:r>
        <w:r w:rsidR="004259EA" w:rsidRPr="00400193">
          <w:rPr>
            <w:rStyle w:val="Hyperlink"/>
            <w:noProof/>
            <w:color w:val="auto"/>
          </w:rPr>
          <w:noBreakHyphen/>
          <w:t>109: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_Toc52901654 \h </w:instrText>
        </w:r>
        <w:r w:rsidR="004259EA" w:rsidRPr="00400193">
          <w:rPr>
            <w:noProof/>
            <w:webHidden/>
          </w:rPr>
        </w:r>
        <w:r w:rsidR="004259EA" w:rsidRPr="00400193">
          <w:rPr>
            <w:noProof/>
            <w:webHidden/>
          </w:rPr>
          <w:fldChar w:fldCharType="separate"/>
        </w:r>
        <w:r w:rsidR="00BB7C18">
          <w:rPr>
            <w:noProof/>
            <w:webHidden/>
          </w:rPr>
          <w:t>188</w:t>
        </w:r>
        <w:r w:rsidR="004259EA" w:rsidRPr="00400193">
          <w:rPr>
            <w:noProof/>
            <w:webHidden/>
          </w:rPr>
          <w:fldChar w:fldCharType="end"/>
        </w:r>
      </w:hyperlink>
    </w:p>
    <w:p w14:paraId="2A2AAC86" w14:textId="6EA72B04"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5" w:history="1">
        <w:r w:rsidR="004259EA" w:rsidRPr="00400193">
          <w:rPr>
            <w:rStyle w:val="Hyperlink"/>
            <w:noProof/>
            <w:color w:val="auto"/>
          </w:rPr>
          <w:t>Table 5</w:t>
        </w:r>
        <w:r w:rsidR="004259EA" w:rsidRPr="00400193">
          <w:rPr>
            <w:rStyle w:val="Hyperlink"/>
            <w:noProof/>
            <w:color w:val="auto"/>
          </w:rPr>
          <w:noBreakHyphen/>
          <w:t>110: Regression model summary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_Toc52901655 \h </w:instrText>
        </w:r>
        <w:r w:rsidR="004259EA" w:rsidRPr="00400193">
          <w:rPr>
            <w:noProof/>
            <w:webHidden/>
          </w:rPr>
        </w:r>
        <w:r w:rsidR="004259EA" w:rsidRPr="00400193">
          <w:rPr>
            <w:noProof/>
            <w:webHidden/>
          </w:rPr>
          <w:fldChar w:fldCharType="separate"/>
        </w:r>
        <w:r w:rsidR="00BB7C18">
          <w:rPr>
            <w:noProof/>
            <w:webHidden/>
          </w:rPr>
          <w:t>191</w:t>
        </w:r>
        <w:r w:rsidR="004259EA" w:rsidRPr="00400193">
          <w:rPr>
            <w:noProof/>
            <w:webHidden/>
          </w:rPr>
          <w:fldChar w:fldCharType="end"/>
        </w:r>
      </w:hyperlink>
    </w:p>
    <w:p w14:paraId="42295EAE" w14:textId="511AA167"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6" w:history="1">
        <w:r w:rsidR="004259EA" w:rsidRPr="00400193">
          <w:rPr>
            <w:rStyle w:val="Hyperlink"/>
            <w:noProof/>
            <w:color w:val="auto"/>
          </w:rPr>
          <w:t>Table 5</w:t>
        </w:r>
        <w:r w:rsidR="004259EA" w:rsidRPr="00400193">
          <w:rPr>
            <w:rStyle w:val="Hyperlink"/>
            <w:noProof/>
            <w:color w:val="auto"/>
          </w:rPr>
          <w:noBreakHyphen/>
          <w:t>111: Analysis of variance of the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_Toc52901656 \h </w:instrText>
        </w:r>
        <w:r w:rsidR="004259EA" w:rsidRPr="00400193">
          <w:rPr>
            <w:noProof/>
            <w:webHidden/>
          </w:rPr>
        </w:r>
        <w:r w:rsidR="004259EA" w:rsidRPr="00400193">
          <w:rPr>
            <w:noProof/>
            <w:webHidden/>
          </w:rPr>
          <w:fldChar w:fldCharType="separate"/>
        </w:r>
        <w:r w:rsidR="00BB7C18">
          <w:rPr>
            <w:noProof/>
            <w:webHidden/>
          </w:rPr>
          <w:t>191</w:t>
        </w:r>
        <w:r w:rsidR="004259EA" w:rsidRPr="00400193">
          <w:rPr>
            <w:noProof/>
            <w:webHidden/>
          </w:rPr>
          <w:fldChar w:fldCharType="end"/>
        </w:r>
      </w:hyperlink>
    </w:p>
    <w:p w14:paraId="4822166C" w14:textId="1B3557F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7" w:history="1">
        <w:r w:rsidR="004259EA" w:rsidRPr="00400193">
          <w:rPr>
            <w:rStyle w:val="Hyperlink"/>
            <w:noProof/>
            <w:color w:val="auto"/>
          </w:rPr>
          <w:t>Table 5</w:t>
        </w:r>
        <w:r w:rsidR="004259EA" w:rsidRPr="00400193">
          <w:rPr>
            <w:rStyle w:val="Hyperlink"/>
            <w:noProof/>
            <w:color w:val="auto"/>
          </w:rPr>
          <w:noBreakHyphen/>
          <w:t>112: Coefficients of the regression model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_Toc52901657 \h </w:instrText>
        </w:r>
        <w:r w:rsidR="004259EA" w:rsidRPr="00400193">
          <w:rPr>
            <w:noProof/>
            <w:webHidden/>
          </w:rPr>
        </w:r>
        <w:r w:rsidR="004259EA" w:rsidRPr="00400193">
          <w:rPr>
            <w:noProof/>
            <w:webHidden/>
          </w:rPr>
          <w:fldChar w:fldCharType="separate"/>
        </w:r>
        <w:r w:rsidR="00BB7C18">
          <w:rPr>
            <w:noProof/>
            <w:webHidden/>
          </w:rPr>
          <w:t>191</w:t>
        </w:r>
        <w:r w:rsidR="004259EA" w:rsidRPr="00400193">
          <w:rPr>
            <w:noProof/>
            <w:webHidden/>
          </w:rPr>
          <w:fldChar w:fldCharType="end"/>
        </w:r>
      </w:hyperlink>
    </w:p>
    <w:p w14:paraId="5EC30593" w14:textId="78137B0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8" w:history="1">
        <w:r w:rsidR="004259EA" w:rsidRPr="00400193">
          <w:rPr>
            <w:rStyle w:val="Hyperlink"/>
            <w:noProof/>
            <w:color w:val="auto"/>
          </w:rPr>
          <w:t>Table 5</w:t>
        </w:r>
        <w:r w:rsidR="004259EA" w:rsidRPr="00400193">
          <w:rPr>
            <w:rStyle w:val="Hyperlink"/>
            <w:noProof/>
            <w:color w:val="auto"/>
          </w:rPr>
          <w:noBreakHyphen/>
          <w:t>113: Testing the collinearity between variables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_Toc52901658 \h </w:instrText>
        </w:r>
        <w:r w:rsidR="004259EA" w:rsidRPr="00400193">
          <w:rPr>
            <w:noProof/>
            <w:webHidden/>
          </w:rPr>
        </w:r>
        <w:r w:rsidR="004259EA" w:rsidRPr="00400193">
          <w:rPr>
            <w:noProof/>
            <w:webHidden/>
          </w:rPr>
          <w:fldChar w:fldCharType="separate"/>
        </w:r>
        <w:r w:rsidR="00BB7C18">
          <w:rPr>
            <w:noProof/>
            <w:webHidden/>
          </w:rPr>
          <w:t>192</w:t>
        </w:r>
        <w:r w:rsidR="004259EA" w:rsidRPr="00400193">
          <w:rPr>
            <w:noProof/>
            <w:webHidden/>
          </w:rPr>
          <w:fldChar w:fldCharType="end"/>
        </w:r>
      </w:hyperlink>
    </w:p>
    <w:p w14:paraId="7AB9B828" w14:textId="15E6EFF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59" w:history="1">
        <w:r w:rsidR="004259EA" w:rsidRPr="00400193">
          <w:rPr>
            <w:rStyle w:val="Hyperlink"/>
            <w:noProof/>
            <w:color w:val="auto"/>
          </w:rPr>
          <w:t>Table 5</w:t>
        </w:r>
        <w:r w:rsidR="004259EA" w:rsidRPr="00400193">
          <w:rPr>
            <w:rStyle w:val="Hyperlink"/>
            <w:noProof/>
            <w:color w:val="auto"/>
          </w:rPr>
          <w:noBreakHyphen/>
          <w:t>114: Residual statistics of the model regression for VW</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_Toc52901659 \h </w:instrText>
        </w:r>
        <w:r w:rsidR="004259EA" w:rsidRPr="00400193">
          <w:rPr>
            <w:noProof/>
            <w:webHidden/>
          </w:rPr>
        </w:r>
        <w:r w:rsidR="004259EA" w:rsidRPr="00400193">
          <w:rPr>
            <w:noProof/>
            <w:webHidden/>
          </w:rPr>
          <w:fldChar w:fldCharType="separate"/>
        </w:r>
        <w:r w:rsidR="00BB7C18">
          <w:rPr>
            <w:noProof/>
            <w:webHidden/>
          </w:rPr>
          <w:t>192</w:t>
        </w:r>
        <w:r w:rsidR="004259EA" w:rsidRPr="00400193">
          <w:rPr>
            <w:noProof/>
            <w:webHidden/>
          </w:rPr>
          <w:fldChar w:fldCharType="end"/>
        </w:r>
      </w:hyperlink>
    </w:p>
    <w:p w14:paraId="41DADBFB" w14:textId="476495AD"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0" w:history="1">
        <w:r w:rsidR="004259EA" w:rsidRPr="00400193">
          <w:rPr>
            <w:rStyle w:val="Hyperlink"/>
            <w:noProof/>
            <w:color w:val="auto"/>
          </w:rPr>
          <w:t>Table 6</w:t>
        </w:r>
        <w:r w:rsidR="004259EA" w:rsidRPr="00400193">
          <w:rPr>
            <w:rStyle w:val="Hyperlink"/>
            <w:noProof/>
            <w:color w:val="auto"/>
          </w:rPr>
          <w:noBreakHyphen/>
          <w:t>1: The research hypotheses and outcomes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_Toc52901660 \h </w:instrText>
        </w:r>
        <w:r w:rsidR="004259EA" w:rsidRPr="00400193">
          <w:rPr>
            <w:noProof/>
            <w:webHidden/>
          </w:rPr>
        </w:r>
        <w:r w:rsidR="004259EA" w:rsidRPr="00400193">
          <w:rPr>
            <w:noProof/>
            <w:webHidden/>
          </w:rPr>
          <w:fldChar w:fldCharType="separate"/>
        </w:r>
        <w:r w:rsidR="00BB7C18">
          <w:rPr>
            <w:noProof/>
            <w:webHidden/>
          </w:rPr>
          <w:t>206</w:t>
        </w:r>
        <w:r w:rsidR="004259EA" w:rsidRPr="00400193">
          <w:rPr>
            <w:noProof/>
            <w:webHidden/>
          </w:rPr>
          <w:fldChar w:fldCharType="end"/>
        </w:r>
      </w:hyperlink>
    </w:p>
    <w:p w14:paraId="0435F2FF" w14:textId="31F79B01"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1" w:history="1">
        <w:r w:rsidR="004259EA" w:rsidRPr="00400193">
          <w:rPr>
            <w:rStyle w:val="Hyperlink"/>
            <w:noProof/>
            <w:color w:val="auto"/>
          </w:rPr>
          <w:t>Table 0</w:t>
        </w:r>
        <w:r w:rsidR="004259EA" w:rsidRPr="00400193">
          <w:rPr>
            <w:rStyle w:val="Hyperlink"/>
            <w:noProof/>
            <w:color w:val="auto"/>
          </w:rPr>
          <w:noBreakHyphen/>
          <w:t>1: Descriptive statistics of the original dataset. See Table 0-3 for explanation of codes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_Toc52901661 \h </w:instrText>
        </w:r>
        <w:r w:rsidR="004259EA" w:rsidRPr="00400193">
          <w:rPr>
            <w:noProof/>
            <w:webHidden/>
          </w:rPr>
        </w:r>
        <w:r w:rsidR="004259EA" w:rsidRPr="00400193">
          <w:rPr>
            <w:noProof/>
            <w:webHidden/>
          </w:rPr>
          <w:fldChar w:fldCharType="separate"/>
        </w:r>
        <w:r w:rsidR="00BB7C18">
          <w:rPr>
            <w:noProof/>
            <w:webHidden/>
          </w:rPr>
          <w:t>260</w:t>
        </w:r>
        <w:r w:rsidR="004259EA" w:rsidRPr="00400193">
          <w:rPr>
            <w:noProof/>
            <w:webHidden/>
          </w:rPr>
          <w:fldChar w:fldCharType="end"/>
        </w:r>
      </w:hyperlink>
    </w:p>
    <w:p w14:paraId="24B7C6B4" w14:textId="063E8243"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2" w:history="1">
        <w:r w:rsidR="004259EA" w:rsidRPr="00400193">
          <w:rPr>
            <w:rStyle w:val="Hyperlink"/>
            <w:noProof/>
            <w:color w:val="auto"/>
          </w:rPr>
          <w:t>Table 0</w:t>
        </w:r>
        <w:r w:rsidR="004259EA" w:rsidRPr="00400193">
          <w:rPr>
            <w:rStyle w:val="Hyperlink"/>
            <w:noProof/>
            <w:color w:val="auto"/>
          </w:rPr>
          <w:noBreakHyphen/>
          <w:t>2: The original mean and 5% trimmed mean values, difference between them, minimum, maximum, skewness and kurtosis for the study variables</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_Toc52901662 \h </w:instrText>
        </w:r>
        <w:r w:rsidR="004259EA" w:rsidRPr="00400193">
          <w:rPr>
            <w:noProof/>
            <w:webHidden/>
          </w:rPr>
        </w:r>
        <w:r w:rsidR="004259EA" w:rsidRPr="00400193">
          <w:rPr>
            <w:noProof/>
            <w:webHidden/>
          </w:rPr>
          <w:fldChar w:fldCharType="separate"/>
        </w:r>
        <w:r w:rsidR="00BB7C18">
          <w:rPr>
            <w:noProof/>
            <w:webHidden/>
          </w:rPr>
          <w:t>264</w:t>
        </w:r>
        <w:r w:rsidR="004259EA" w:rsidRPr="00400193">
          <w:rPr>
            <w:noProof/>
            <w:webHidden/>
          </w:rPr>
          <w:fldChar w:fldCharType="end"/>
        </w:r>
      </w:hyperlink>
    </w:p>
    <w:p w14:paraId="394EA55B" w14:textId="5E1AAF20"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3" w:history="1">
        <w:r w:rsidR="004259EA" w:rsidRPr="00400193">
          <w:rPr>
            <w:rStyle w:val="Hyperlink"/>
            <w:noProof/>
            <w:color w:val="auto"/>
          </w:rPr>
          <w:t>Table 0</w:t>
        </w:r>
        <w:r w:rsidR="004259EA" w:rsidRPr="00400193">
          <w:rPr>
            <w:rStyle w:val="Hyperlink"/>
            <w:noProof/>
            <w:color w:val="auto"/>
          </w:rPr>
          <w:noBreakHyphen/>
          <w:t>3: Codes for Internal Threats and Cronbach’s Alpha for the study measures using the primary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_Toc52901663 \h </w:instrText>
        </w:r>
        <w:r w:rsidR="004259EA" w:rsidRPr="00400193">
          <w:rPr>
            <w:noProof/>
            <w:webHidden/>
          </w:rPr>
        </w:r>
        <w:r w:rsidR="004259EA" w:rsidRPr="00400193">
          <w:rPr>
            <w:noProof/>
            <w:webHidden/>
          </w:rPr>
          <w:fldChar w:fldCharType="separate"/>
        </w:r>
        <w:r w:rsidR="00BB7C18">
          <w:rPr>
            <w:noProof/>
            <w:webHidden/>
          </w:rPr>
          <w:t>265</w:t>
        </w:r>
        <w:r w:rsidR="004259EA" w:rsidRPr="00400193">
          <w:rPr>
            <w:noProof/>
            <w:webHidden/>
          </w:rPr>
          <w:fldChar w:fldCharType="end"/>
        </w:r>
      </w:hyperlink>
    </w:p>
    <w:p w14:paraId="192A7638" w14:textId="3613900A"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4" w:history="1">
        <w:r w:rsidR="004259EA" w:rsidRPr="00400193">
          <w:rPr>
            <w:rStyle w:val="Hyperlink"/>
            <w:noProof/>
            <w:color w:val="auto"/>
          </w:rPr>
          <w:t>Table 0</w:t>
        </w:r>
        <w:r w:rsidR="004259EA" w:rsidRPr="00400193">
          <w:rPr>
            <w:rStyle w:val="Hyperlink"/>
            <w:noProof/>
            <w:color w:val="auto"/>
          </w:rPr>
          <w:noBreakHyphen/>
          <w:t>4: Codes for Vulnerabilities and Weaknesses and Cronbach’s Alpha for the study measures using the primary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_Toc52901664 \h </w:instrText>
        </w:r>
        <w:r w:rsidR="004259EA" w:rsidRPr="00400193">
          <w:rPr>
            <w:noProof/>
            <w:webHidden/>
          </w:rPr>
        </w:r>
        <w:r w:rsidR="004259EA" w:rsidRPr="00400193">
          <w:rPr>
            <w:noProof/>
            <w:webHidden/>
          </w:rPr>
          <w:fldChar w:fldCharType="separate"/>
        </w:r>
        <w:r w:rsidR="00BB7C18">
          <w:rPr>
            <w:noProof/>
            <w:webHidden/>
          </w:rPr>
          <w:t>266</w:t>
        </w:r>
        <w:r w:rsidR="004259EA" w:rsidRPr="00400193">
          <w:rPr>
            <w:noProof/>
            <w:webHidden/>
          </w:rPr>
          <w:fldChar w:fldCharType="end"/>
        </w:r>
      </w:hyperlink>
    </w:p>
    <w:p w14:paraId="0D05F3E0" w14:textId="672BD925"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5" w:history="1">
        <w:r w:rsidR="004259EA" w:rsidRPr="00400193">
          <w:rPr>
            <w:rStyle w:val="Hyperlink"/>
            <w:noProof/>
            <w:color w:val="auto"/>
          </w:rPr>
          <w:t>Table 0</w:t>
        </w:r>
        <w:r w:rsidR="004259EA" w:rsidRPr="00400193">
          <w:rPr>
            <w:rStyle w:val="Hyperlink"/>
            <w:noProof/>
            <w:color w:val="auto"/>
          </w:rPr>
          <w:noBreakHyphen/>
          <w:t>5: Codes for Responses in Place and Cronbach’s Alpha for the study measures using the primary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_Toc52901665 \h </w:instrText>
        </w:r>
        <w:r w:rsidR="004259EA" w:rsidRPr="00400193">
          <w:rPr>
            <w:noProof/>
            <w:webHidden/>
          </w:rPr>
        </w:r>
        <w:r w:rsidR="004259EA" w:rsidRPr="00400193">
          <w:rPr>
            <w:noProof/>
            <w:webHidden/>
          </w:rPr>
          <w:fldChar w:fldCharType="separate"/>
        </w:r>
        <w:r w:rsidR="00BB7C18">
          <w:rPr>
            <w:noProof/>
            <w:webHidden/>
          </w:rPr>
          <w:t>266</w:t>
        </w:r>
        <w:r w:rsidR="004259EA" w:rsidRPr="00400193">
          <w:rPr>
            <w:noProof/>
            <w:webHidden/>
          </w:rPr>
          <w:fldChar w:fldCharType="end"/>
        </w:r>
      </w:hyperlink>
    </w:p>
    <w:p w14:paraId="38698E53" w14:textId="75CDD226"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6" w:history="1">
        <w:r w:rsidR="004259EA" w:rsidRPr="00400193">
          <w:rPr>
            <w:rStyle w:val="Hyperlink"/>
            <w:noProof/>
            <w:color w:val="auto"/>
          </w:rPr>
          <w:t>Table 0</w:t>
        </w:r>
        <w:r w:rsidR="004259EA" w:rsidRPr="00400193">
          <w:rPr>
            <w:rStyle w:val="Hyperlink"/>
            <w:noProof/>
            <w:color w:val="auto"/>
          </w:rPr>
          <w:noBreakHyphen/>
          <w:t>6: Codes for Organisational Resilience and Cronbach’s Alpha for the study measures using the primary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_Toc52901666 \h </w:instrText>
        </w:r>
        <w:r w:rsidR="004259EA" w:rsidRPr="00400193">
          <w:rPr>
            <w:noProof/>
            <w:webHidden/>
          </w:rPr>
        </w:r>
        <w:r w:rsidR="004259EA" w:rsidRPr="00400193">
          <w:rPr>
            <w:noProof/>
            <w:webHidden/>
          </w:rPr>
          <w:fldChar w:fldCharType="separate"/>
        </w:r>
        <w:r w:rsidR="00BB7C18">
          <w:rPr>
            <w:noProof/>
            <w:webHidden/>
          </w:rPr>
          <w:t>267</w:t>
        </w:r>
        <w:r w:rsidR="004259EA" w:rsidRPr="00400193">
          <w:rPr>
            <w:noProof/>
            <w:webHidden/>
          </w:rPr>
          <w:fldChar w:fldCharType="end"/>
        </w:r>
      </w:hyperlink>
    </w:p>
    <w:p w14:paraId="4485D799" w14:textId="57E7AA79" w:rsidR="004259EA" w:rsidRPr="00400193" w:rsidRDefault="00724BEE">
      <w:pPr>
        <w:pStyle w:val="TableofFigures"/>
        <w:tabs>
          <w:tab w:val="right" w:leader="dot" w:pos="9016"/>
        </w:tabs>
        <w:rPr>
          <w:rFonts w:asciiTheme="minorHAnsi" w:eastAsiaTheme="minorEastAsia" w:hAnsiTheme="minorHAnsi" w:cstheme="minorBidi"/>
          <w:noProof/>
          <w:sz w:val="22"/>
          <w:lang w:eastAsia="en-GB"/>
        </w:rPr>
      </w:pPr>
      <w:hyperlink w:anchor="_Toc52901667" w:history="1">
        <w:r w:rsidR="004259EA" w:rsidRPr="00400193">
          <w:rPr>
            <w:rStyle w:val="Hyperlink"/>
            <w:noProof/>
            <w:color w:val="auto"/>
          </w:rPr>
          <w:t>Table 0</w:t>
        </w:r>
        <w:r w:rsidR="004259EA" w:rsidRPr="00400193">
          <w:rPr>
            <w:rStyle w:val="Hyperlink"/>
            <w:noProof/>
            <w:color w:val="auto"/>
          </w:rPr>
          <w:noBreakHyphen/>
          <w:t>7: Codes for Key External Threats and Cronbach’s Alpha for the study measures using the primary data</w:t>
        </w:r>
        <w:r w:rsidR="004259EA" w:rsidRPr="00400193">
          <w:rPr>
            <w:noProof/>
            <w:webHidden/>
          </w:rPr>
          <w:tab/>
        </w:r>
        <w:r w:rsidR="004259EA" w:rsidRPr="00400193">
          <w:rPr>
            <w:noProof/>
            <w:webHidden/>
          </w:rPr>
          <w:fldChar w:fldCharType="begin"/>
        </w:r>
        <w:r w:rsidR="004259EA" w:rsidRPr="00400193">
          <w:rPr>
            <w:noProof/>
            <w:webHidden/>
          </w:rPr>
          <w:instrText xml:space="preserve"> PAGEREF _Toc52901667 \h </w:instrText>
        </w:r>
        <w:r w:rsidR="004259EA" w:rsidRPr="00400193">
          <w:rPr>
            <w:noProof/>
            <w:webHidden/>
          </w:rPr>
        </w:r>
        <w:r w:rsidR="004259EA" w:rsidRPr="00400193">
          <w:rPr>
            <w:noProof/>
            <w:webHidden/>
          </w:rPr>
          <w:fldChar w:fldCharType="separate"/>
        </w:r>
        <w:r w:rsidR="00BB7C18">
          <w:rPr>
            <w:noProof/>
            <w:webHidden/>
          </w:rPr>
          <w:t>269</w:t>
        </w:r>
        <w:r w:rsidR="004259EA" w:rsidRPr="00400193">
          <w:rPr>
            <w:noProof/>
            <w:webHidden/>
          </w:rPr>
          <w:fldChar w:fldCharType="end"/>
        </w:r>
      </w:hyperlink>
    </w:p>
    <w:p w14:paraId="37F84A8D" w14:textId="5DACF36E" w:rsidR="006E3616" w:rsidRPr="00400193" w:rsidRDefault="006E3616" w:rsidP="006E3616">
      <w:r w:rsidRPr="00400193">
        <w:fldChar w:fldCharType="end"/>
      </w:r>
    </w:p>
    <w:p w14:paraId="4B50CED3" w14:textId="77777777" w:rsidR="006E3616" w:rsidRPr="00400193" w:rsidRDefault="006E3616" w:rsidP="006E3616">
      <w:pPr>
        <w:spacing w:line="259" w:lineRule="auto"/>
        <w:jc w:val="left"/>
      </w:pPr>
    </w:p>
    <w:p w14:paraId="761B590E" w14:textId="77777777" w:rsidR="006E3616" w:rsidRPr="00400193" w:rsidRDefault="006E3616" w:rsidP="006E3616">
      <w:pPr>
        <w:spacing w:after="0" w:line="240" w:lineRule="auto"/>
        <w:jc w:val="left"/>
        <w:rPr>
          <w:rFonts w:eastAsia="Times New Roman"/>
          <w:b/>
          <w:sz w:val="32"/>
          <w:szCs w:val="32"/>
        </w:rPr>
      </w:pPr>
    </w:p>
    <w:p w14:paraId="12345737" w14:textId="77777777" w:rsidR="006E3616" w:rsidRPr="00400193" w:rsidRDefault="006E3616" w:rsidP="002C636F">
      <w:pPr>
        <w:pStyle w:val="Heading1"/>
        <w:numPr>
          <w:ilvl w:val="0"/>
          <w:numId w:val="0"/>
        </w:numPr>
        <w:jc w:val="both"/>
        <w:rPr>
          <w:rFonts w:eastAsia="Calibri"/>
        </w:rPr>
      </w:pPr>
      <w:bookmarkStart w:id="12" w:name="_Toc40631728"/>
      <w:bookmarkStart w:id="13" w:name="_Toc61894636"/>
      <w:r w:rsidRPr="00400193">
        <w:rPr>
          <w:rFonts w:eastAsia="Calibri"/>
        </w:rPr>
        <w:t xml:space="preserve">Glossary and </w:t>
      </w:r>
      <w:bookmarkStart w:id="14" w:name="_Toc494233272"/>
      <w:r w:rsidRPr="00400193">
        <w:rPr>
          <w:rFonts w:eastAsia="Calibri"/>
        </w:rPr>
        <w:t>Abbreviation</w:t>
      </w:r>
      <w:bookmarkEnd w:id="14"/>
      <w:r w:rsidRPr="00400193">
        <w:rPr>
          <w:rFonts w:eastAsia="Calibri"/>
        </w:rPr>
        <w:t>s</w:t>
      </w:r>
      <w:bookmarkEnd w:id="12"/>
      <w:bookmarkEnd w:id="13"/>
    </w:p>
    <w:p w14:paraId="7D028675" w14:textId="77777777" w:rsidR="006E3616" w:rsidRPr="00400193" w:rsidRDefault="006E3616" w:rsidP="006E3616">
      <w:pPr>
        <w:spacing w:before="120" w:after="120" w:line="240" w:lineRule="auto"/>
        <w:rPr>
          <w:rFonts w:eastAsia="Arial Unicode MS" w:cs="Times New Roman"/>
          <w:b/>
          <w:szCs w:val="24"/>
        </w:rPr>
        <w:sectPr w:rsidR="006E3616" w:rsidRPr="00400193" w:rsidSect="003B5486">
          <w:headerReference w:type="default" r:id="rId13"/>
          <w:footerReference w:type="default" r:id="rId14"/>
          <w:pgSz w:w="11906" w:h="16838"/>
          <w:pgMar w:top="1440" w:right="1440" w:bottom="1440" w:left="1440" w:header="0" w:footer="397" w:gutter="0"/>
          <w:pgNumType w:fmt="lowerRoman" w:start="1"/>
          <w:cols w:space="708"/>
          <w:docGrid w:linePitch="360"/>
        </w:sectPr>
      </w:pPr>
    </w:p>
    <w:p w14:paraId="5E5E7DF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lastRenderedPageBreak/>
        <w:t>ARITO</w:t>
      </w:r>
      <w:r w:rsidRPr="00400193">
        <w:rPr>
          <w:rFonts w:eastAsia="Arial Unicode MS"/>
          <w:b/>
          <w:szCs w:val="24"/>
          <w:u w:val="dotted"/>
        </w:rPr>
        <w:tab/>
      </w:r>
      <w:r w:rsidRPr="00400193">
        <w:rPr>
          <w:rFonts w:eastAsia="Arial Unicode MS"/>
          <w:bCs/>
          <w:szCs w:val="24"/>
        </w:rPr>
        <w:t>Accurate Risk Impact Tolerance</w:t>
      </w:r>
    </w:p>
    <w:p w14:paraId="6A1446E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BSI</w:t>
      </w:r>
      <w:r w:rsidRPr="00400193">
        <w:rPr>
          <w:rFonts w:eastAsia="Arial Unicode MS"/>
          <w:b/>
          <w:szCs w:val="24"/>
          <w:u w:val="dotted"/>
        </w:rPr>
        <w:tab/>
      </w:r>
      <w:r w:rsidRPr="00400193">
        <w:rPr>
          <w:rFonts w:eastAsia="Arial Unicode MS"/>
          <w:bCs/>
          <w:szCs w:val="24"/>
        </w:rPr>
        <w:t>British Standards Institution</w:t>
      </w:r>
    </w:p>
    <w:p w14:paraId="26F0C64A"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CERT</w:t>
      </w:r>
      <w:r w:rsidRPr="00400193">
        <w:rPr>
          <w:rFonts w:eastAsia="Arial Unicode MS"/>
          <w:b/>
          <w:szCs w:val="24"/>
          <w:u w:val="dotted"/>
        </w:rPr>
        <w:tab/>
      </w:r>
      <w:r w:rsidRPr="00400193">
        <w:rPr>
          <w:rFonts w:eastAsia="Arial Unicode MS"/>
          <w:bCs/>
          <w:szCs w:val="24"/>
        </w:rPr>
        <w:t>Computer Emergency Response Teams</w:t>
      </w:r>
    </w:p>
    <w:p w14:paraId="7DF3CB7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CI</w:t>
      </w:r>
      <w:r w:rsidRPr="00400193">
        <w:rPr>
          <w:rFonts w:eastAsia="Arial Unicode MS"/>
          <w:b/>
          <w:szCs w:val="24"/>
          <w:u w:val="dotted"/>
        </w:rPr>
        <w:tab/>
      </w:r>
      <w:r w:rsidRPr="00400193">
        <w:rPr>
          <w:rFonts w:eastAsia="Arial Unicode MS"/>
          <w:bCs/>
          <w:szCs w:val="24"/>
        </w:rPr>
        <w:t>Critical Infrastructure</w:t>
      </w:r>
    </w:p>
    <w:p w14:paraId="0CD1721E"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CIA</w:t>
      </w:r>
      <w:r w:rsidRPr="00400193">
        <w:rPr>
          <w:rFonts w:eastAsia="Arial Unicode MS"/>
          <w:b/>
          <w:szCs w:val="24"/>
          <w:u w:val="dotted"/>
        </w:rPr>
        <w:tab/>
      </w:r>
      <w:r w:rsidRPr="00400193">
        <w:rPr>
          <w:rFonts w:eastAsia="Arial Unicode MS"/>
          <w:bCs/>
          <w:szCs w:val="24"/>
        </w:rPr>
        <w:t>(USA)Central Intelligence Agency</w:t>
      </w:r>
    </w:p>
    <w:p w14:paraId="5A13B34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CIIP</w:t>
      </w:r>
      <w:r w:rsidRPr="00400193">
        <w:rPr>
          <w:rFonts w:eastAsia="Arial Unicode MS"/>
          <w:b/>
          <w:szCs w:val="24"/>
          <w:u w:val="dotted"/>
        </w:rPr>
        <w:tab/>
      </w:r>
      <w:r w:rsidRPr="00400193">
        <w:rPr>
          <w:rFonts w:eastAsia="Arial Unicode MS"/>
          <w:bCs/>
          <w:szCs w:val="24"/>
        </w:rPr>
        <w:t>Critical Information Infrastructure Protection</w:t>
      </w:r>
    </w:p>
    <w:p w14:paraId="40D278F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CIO</w:t>
      </w:r>
      <w:r w:rsidRPr="00400193">
        <w:rPr>
          <w:rFonts w:eastAsia="Arial Unicode MS"/>
          <w:b/>
          <w:szCs w:val="24"/>
          <w:u w:val="dotted"/>
        </w:rPr>
        <w:tab/>
      </w:r>
      <w:r w:rsidRPr="00400193">
        <w:rPr>
          <w:rFonts w:eastAsia="Arial Unicode MS"/>
          <w:bCs/>
          <w:szCs w:val="24"/>
        </w:rPr>
        <w:t>Chief Information Officer</w:t>
      </w:r>
    </w:p>
    <w:p w14:paraId="6577C6CA"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COSO</w:t>
      </w:r>
      <w:r w:rsidRPr="00400193">
        <w:rPr>
          <w:rFonts w:eastAsia="Arial Unicode MS"/>
          <w:b/>
          <w:szCs w:val="24"/>
          <w:u w:val="dotted"/>
        </w:rPr>
        <w:tab/>
      </w:r>
      <w:r w:rsidRPr="00400193">
        <w:rPr>
          <w:rFonts w:eastAsia="Arial Unicode MS"/>
          <w:bCs/>
          <w:szCs w:val="24"/>
        </w:rPr>
        <w:t>Committee of Sponsoring Organisations</w:t>
      </w:r>
    </w:p>
    <w:p w14:paraId="3F12278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CRAAC</w:t>
      </w:r>
      <w:r w:rsidRPr="00400193">
        <w:rPr>
          <w:rFonts w:eastAsia="Arial Unicode MS"/>
          <w:b/>
          <w:szCs w:val="24"/>
          <w:u w:val="dotted"/>
        </w:rPr>
        <w:tab/>
      </w:r>
      <w:r w:rsidRPr="00400193">
        <w:rPr>
          <w:rFonts w:eastAsia="Arial Unicode MS"/>
          <w:bCs/>
          <w:szCs w:val="24"/>
        </w:rPr>
        <w:t>Context-Risk-Aware Access Control</w:t>
      </w:r>
    </w:p>
    <w:p w14:paraId="368307F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CRM</w:t>
      </w:r>
      <w:r w:rsidRPr="00400193">
        <w:rPr>
          <w:rFonts w:eastAsia="Arial Unicode MS"/>
          <w:b/>
          <w:szCs w:val="24"/>
          <w:u w:val="dotted"/>
        </w:rPr>
        <w:tab/>
      </w:r>
      <w:r w:rsidRPr="00400193">
        <w:rPr>
          <w:rFonts w:eastAsia="Arial Unicode MS"/>
          <w:bCs/>
          <w:szCs w:val="24"/>
        </w:rPr>
        <w:t>Cyber Risk Management</w:t>
      </w:r>
    </w:p>
    <w:p w14:paraId="5BD63340"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CRRM</w:t>
      </w:r>
      <w:r w:rsidRPr="00400193">
        <w:rPr>
          <w:rFonts w:eastAsia="Arial Unicode MS"/>
          <w:b/>
          <w:szCs w:val="24"/>
          <w:u w:val="dotted"/>
        </w:rPr>
        <w:tab/>
      </w:r>
      <w:r w:rsidRPr="00400193">
        <w:rPr>
          <w:rFonts w:eastAsia="Arial Unicode MS"/>
          <w:bCs/>
          <w:szCs w:val="24"/>
        </w:rPr>
        <w:t>Cyber Risk Resilience Model</w:t>
      </w:r>
    </w:p>
    <w:p w14:paraId="4378FCE2"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CSIRT</w:t>
      </w:r>
      <w:r w:rsidRPr="00400193">
        <w:rPr>
          <w:rFonts w:eastAsia="Arial Unicode MS"/>
          <w:b/>
          <w:szCs w:val="24"/>
          <w:u w:val="dotted"/>
        </w:rPr>
        <w:tab/>
      </w:r>
      <w:r w:rsidRPr="00400193">
        <w:rPr>
          <w:rFonts w:eastAsia="Arial Unicode MS"/>
          <w:bCs/>
          <w:szCs w:val="24"/>
        </w:rPr>
        <w:t>Computer Security Incident Response Team</w:t>
      </w:r>
    </w:p>
    <w:p w14:paraId="138A53C1"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CVE</w:t>
      </w:r>
      <w:r w:rsidRPr="00400193">
        <w:rPr>
          <w:rFonts w:eastAsia="Arial Unicode MS"/>
          <w:b/>
          <w:szCs w:val="24"/>
          <w:u w:val="dotted"/>
        </w:rPr>
        <w:tab/>
      </w:r>
      <w:r w:rsidRPr="00400193">
        <w:rPr>
          <w:rFonts w:eastAsia="Arial Unicode MS"/>
          <w:bCs/>
          <w:szCs w:val="24"/>
        </w:rPr>
        <w:t xml:space="preserve">Common Vulnerabilities and Exposures </w:t>
      </w:r>
    </w:p>
    <w:p w14:paraId="3CBBCAEF"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DDOS</w:t>
      </w:r>
      <w:r w:rsidRPr="00400193">
        <w:rPr>
          <w:rFonts w:eastAsia="Arial Unicode MS"/>
          <w:b/>
          <w:szCs w:val="24"/>
          <w:u w:val="dotted"/>
        </w:rPr>
        <w:tab/>
      </w:r>
      <w:r w:rsidRPr="00400193">
        <w:rPr>
          <w:rFonts w:eastAsia="Arial Unicode MS"/>
          <w:bCs/>
          <w:szCs w:val="24"/>
        </w:rPr>
        <w:t>Distributed Denial of Service</w:t>
      </w:r>
    </w:p>
    <w:p w14:paraId="0B65190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DNS</w:t>
      </w:r>
      <w:r w:rsidRPr="00400193">
        <w:rPr>
          <w:rFonts w:eastAsia="Arial Unicode MS"/>
          <w:b/>
          <w:szCs w:val="24"/>
          <w:u w:val="dotted"/>
        </w:rPr>
        <w:tab/>
      </w:r>
      <w:r w:rsidRPr="00400193">
        <w:rPr>
          <w:rFonts w:eastAsia="Arial Unicode MS"/>
          <w:bCs/>
          <w:szCs w:val="24"/>
        </w:rPr>
        <w:t>Domain Name Server</w:t>
      </w:r>
    </w:p>
    <w:p w14:paraId="407DF217"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DOS</w:t>
      </w:r>
      <w:r w:rsidRPr="00400193">
        <w:rPr>
          <w:rFonts w:eastAsia="Arial Unicode MS"/>
          <w:b/>
          <w:szCs w:val="24"/>
          <w:u w:val="dotted"/>
        </w:rPr>
        <w:tab/>
      </w:r>
      <w:r w:rsidRPr="00400193">
        <w:rPr>
          <w:rFonts w:eastAsia="Arial Unicode MS"/>
          <w:bCs/>
          <w:szCs w:val="24"/>
        </w:rPr>
        <w:t>Denial of Service</w:t>
      </w:r>
    </w:p>
    <w:p w14:paraId="3ABD404F"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ERF</w:t>
      </w:r>
      <w:r w:rsidRPr="00400193">
        <w:rPr>
          <w:rFonts w:eastAsia="Arial Unicode MS"/>
          <w:b/>
          <w:szCs w:val="24"/>
          <w:u w:val="dotted"/>
        </w:rPr>
        <w:tab/>
      </w:r>
      <w:r w:rsidRPr="00400193">
        <w:rPr>
          <w:rFonts w:eastAsia="Arial Unicode MS"/>
          <w:bCs/>
          <w:szCs w:val="24"/>
        </w:rPr>
        <w:t>External Risk Factors</w:t>
      </w:r>
    </w:p>
    <w:p w14:paraId="0958FC61"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ERM</w:t>
      </w:r>
      <w:r w:rsidRPr="00400193">
        <w:rPr>
          <w:rFonts w:eastAsia="Arial Unicode MS"/>
          <w:b/>
          <w:szCs w:val="24"/>
          <w:u w:val="dotted"/>
        </w:rPr>
        <w:tab/>
      </w:r>
      <w:r w:rsidRPr="00400193">
        <w:rPr>
          <w:rFonts w:eastAsia="Arial Unicode MS"/>
          <w:bCs/>
          <w:szCs w:val="24"/>
        </w:rPr>
        <w:t>Enterprise Risk Management</w:t>
      </w:r>
    </w:p>
    <w:p w14:paraId="35D6DB5F"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EU</w:t>
      </w:r>
      <w:r w:rsidRPr="00400193">
        <w:rPr>
          <w:rFonts w:eastAsia="Arial Unicode MS"/>
          <w:b/>
          <w:szCs w:val="24"/>
          <w:u w:val="dotted"/>
        </w:rPr>
        <w:tab/>
      </w:r>
      <w:r w:rsidRPr="00400193">
        <w:rPr>
          <w:rFonts w:eastAsia="Arial Unicode MS"/>
          <w:bCs/>
          <w:szCs w:val="24"/>
        </w:rPr>
        <w:t>European Union</w:t>
      </w:r>
    </w:p>
    <w:p w14:paraId="0EAAA5F4"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GCHQ</w:t>
      </w:r>
      <w:r w:rsidRPr="00400193">
        <w:rPr>
          <w:rFonts w:eastAsia="Arial Unicode MS"/>
          <w:b/>
          <w:szCs w:val="24"/>
          <w:u w:val="dotted"/>
        </w:rPr>
        <w:tab/>
      </w:r>
      <w:r w:rsidRPr="00400193">
        <w:rPr>
          <w:rFonts w:eastAsia="Arial Unicode MS"/>
          <w:bCs/>
          <w:szCs w:val="24"/>
        </w:rPr>
        <w:t>(UK) Government Communication Headquarters</w:t>
      </w:r>
    </w:p>
    <w:p w14:paraId="43AD3E55"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IaaS</w:t>
      </w:r>
      <w:r w:rsidRPr="00400193">
        <w:rPr>
          <w:rFonts w:eastAsia="Arial Unicode MS"/>
          <w:b/>
          <w:szCs w:val="24"/>
          <w:u w:val="dotted"/>
        </w:rPr>
        <w:tab/>
      </w:r>
      <w:r w:rsidRPr="00400193">
        <w:rPr>
          <w:rFonts w:eastAsia="Arial Unicode MS"/>
          <w:bCs/>
          <w:szCs w:val="24"/>
        </w:rPr>
        <w:t>Infrastructure as a Service</w:t>
      </w:r>
    </w:p>
    <w:p w14:paraId="683D21A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ICS</w:t>
      </w:r>
      <w:r w:rsidRPr="00400193">
        <w:rPr>
          <w:rFonts w:eastAsia="Arial Unicode MS"/>
          <w:b/>
          <w:szCs w:val="24"/>
          <w:u w:val="dotted"/>
        </w:rPr>
        <w:tab/>
      </w:r>
      <w:r w:rsidRPr="00400193">
        <w:rPr>
          <w:rFonts w:eastAsia="Arial Unicode MS"/>
          <w:bCs/>
          <w:szCs w:val="24"/>
        </w:rPr>
        <w:t>Industrial Control Systems</w:t>
      </w:r>
    </w:p>
    <w:p w14:paraId="0C4147FC"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ICT</w:t>
      </w:r>
      <w:r w:rsidRPr="00400193">
        <w:rPr>
          <w:rFonts w:eastAsia="Arial Unicode MS"/>
          <w:b/>
          <w:szCs w:val="24"/>
          <w:u w:val="dotted"/>
        </w:rPr>
        <w:tab/>
      </w:r>
      <w:r w:rsidRPr="00400193">
        <w:rPr>
          <w:rFonts w:eastAsia="Arial Unicode MS"/>
          <w:bCs/>
          <w:szCs w:val="24"/>
        </w:rPr>
        <w:t>Information and Communication Technology</w:t>
      </w:r>
    </w:p>
    <w:p w14:paraId="3F733E20"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ID</w:t>
      </w:r>
      <w:r w:rsidRPr="00400193">
        <w:rPr>
          <w:rFonts w:eastAsia="Arial Unicode MS"/>
          <w:b/>
          <w:szCs w:val="24"/>
          <w:u w:val="dotted"/>
        </w:rPr>
        <w:tab/>
      </w:r>
      <w:r w:rsidRPr="00400193">
        <w:rPr>
          <w:rFonts w:eastAsia="Arial Unicode MS"/>
          <w:bCs/>
          <w:szCs w:val="24"/>
        </w:rPr>
        <w:t>(User) Identity</w:t>
      </w:r>
    </w:p>
    <w:p w14:paraId="43233894"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IDAC</w:t>
      </w:r>
      <w:r w:rsidRPr="00400193">
        <w:rPr>
          <w:rFonts w:eastAsia="Arial Unicode MS"/>
          <w:b/>
          <w:szCs w:val="24"/>
          <w:u w:val="dotted"/>
        </w:rPr>
        <w:tab/>
      </w:r>
      <w:r w:rsidRPr="00400193">
        <w:rPr>
          <w:rFonts w:eastAsia="Arial Unicode MS"/>
          <w:bCs/>
          <w:szCs w:val="24"/>
        </w:rPr>
        <w:t>International Digital Asset Classification</w:t>
      </w:r>
    </w:p>
    <w:p w14:paraId="393E4F45"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lastRenderedPageBreak/>
        <w:t>IDS</w:t>
      </w:r>
      <w:r w:rsidRPr="00400193">
        <w:rPr>
          <w:rFonts w:eastAsia="Arial Unicode MS"/>
          <w:b/>
          <w:szCs w:val="24"/>
          <w:u w:val="dotted"/>
        </w:rPr>
        <w:tab/>
      </w:r>
      <w:r w:rsidRPr="00400193">
        <w:rPr>
          <w:rFonts w:eastAsia="Arial Unicode MS"/>
          <w:bCs/>
          <w:szCs w:val="24"/>
        </w:rPr>
        <w:t>Intrusion Detection System</w:t>
      </w:r>
    </w:p>
    <w:p w14:paraId="2673EB2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IoT</w:t>
      </w:r>
      <w:r w:rsidRPr="00400193">
        <w:rPr>
          <w:rFonts w:eastAsia="Arial Unicode MS"/>
          <w:b/>
          <w:szCs w:val="24"/>
          <w:u w:val="dotted"/>
        </w:rPr>
        <w:tab/>
      </w:r>
      <w:r w:rsidRPr="00400193">
        <w:rPr>
          <w:rFonts w:eastAsia="Arial Unicode MS"/>
          <w:bCs/>
          <w:szCs w:val="24"/>
        </w:rPr>
        <w:t>Internet of Things</w:t>
      </w:r>
    </w:p>
    <w:p w14:paraId="4811E06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IPS</w:t>
      </w:r>
      <w:r w:rsidRPr="00400193">
        <w:rPr>
          <w:rFonts w:eastAsia="Arial Unicode MS"/>
          <w:b/>
          <w:szCs w:val="24"/>
          <w:u w:val="dotted"/>
        </w:rPr>
        <w:tab/>
      </w:r>
      <w:r w:rsidRPr="00400193">
        <w:rPr>
          <w:rFonts w:eastAsia="Arial Unicode MS"/>
          <w:bCs/>
          <w:szCs w:val="24"/>
        </w:rPr>
        <w:t>Intrusion Prevention Sensor</w:t>
      </w:r>
    </w:p>
    <w:p w14:paraId="70DAE56C"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IRF</w:t>
      </w:r>
      <w:r w:rsidRPr="00400193">
        <w:rPr>
          <w:rFonts w:eastAsia="Arial Unicode MS"/>
          <w:b/>
          <w:szCs w:val="24"/>
          <w:u w:val="dotted"/>
        </w:rPr>
        <w:tab/>
      </w:r>
      <w:r w:rsidRPr="00400193">
        <w:rPr>
          <w:rFonts w:eastAsia="Arial Unicode MS"/>
          <w:bCs/>
          <w:szCs w:val="24"/>
        </w:rPr>
        <w:t>Internal Risk Factors</w:t>
      </w:r>
    </w:p>
    <w:p w14:paraId="18A052C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IRM</w:t>
      </w:r>
      <w:r w:rsidRPr="00400193">
        <w:rPr>
          <w:rFonts w:eastAsia="Arial Unicode MS"/>
          <w:b/>
          <w:szCs w:val="24"/>
          <w:u w:val="dotted"/>
        </w:rPr>
        <w:tab/>
      </w:r>
      <w:r w:rsidRPr="00400193">
        <w:rPr>
          <w:rFonts w:eastAsia="Arial Unicode MS"/>
          <w:bCs/>
          <w:szCs w:val="24"/>
        </w:rPr>
        <w:t>Institute of Risk Management</w:t>
      </w:r>
    </w:p>
    <w:p w14:paraId="599551F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ISG</w:t>
      </w:r>
      <w:r w:rsidRPr="00400193">
        <w:rPr>
          <w:rFonts w:eastAsia="Arial Unicode MS"/>
          <w:b/>
          <w:szCs w:val="24"/>
          <w:u w:val="dotted"/>
        </w:rPr>
        <w:tab/>
      </w:r>
      <w:r w:rsidRPr="00400193">
        <w:rPr>
          <w:rFonts w:eastAsia="Arial Unicode MS"/>
          <w:bCs/>
          <w:szCs w:val="24"/>
        </w:rPr>
        <w:t>Information Security Governance</w:t>
      </w:r>
    </w:p>
    <w:p w14:paraId="50768C95"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ISMS</w:t>
      </w:r>
      <w:r w:rsidRPr="00400193">
        <w:rPr>
          <w:rFonts w:eastAsia="Arial Unicode MS"/>
          <w:b/>
          <w:szCs w:val="24"/>
          <w:u w:val="dotted"/>
        </w:rPr>
        <w:tab/>
      </w:r>
      <w:r w:rsidRPr="00400193">
        <w:rPr>
          <w:rFonts w:eastAsia="Arial Unicode MS"/>
          <w:bCs/>
          <w:szCs w:val="24"/>
        </w:rPr>
        <w:t>Information Security Management System</w:t>
      </w:r>
    </w:p>
    <w:p w14:paraId="6EFC02C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ISO</w:t>
      </w:r>
      <w:r w:rsidRPr="00400193">
        <w:rPr>
          <w:rFonts w:eastAsia="Arial Unicode MS"/>
          <w:b/>
          <w:szCs w:val="24"/>
          <w:u w:val="dotted"/>
        </w:rPr>
        <w:tab/>
      </w:r>
      <w:r w:rsidRPr="00400193">
        <w:rPr>
          <w:rFonts w:eastAsia="Arial Unicode MS"/>
          <w:bCs/>
          <w:szCs w:val="24"/>
        </w:rPr>
        <w:t>International Standards Organisation</w:t>
      </w:r>
    </w:p>
    <w:p w14:paraId="55034D2E"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IT</w:t>
      </w:r>
      <w:r w:rsidRPr="00400193">
        <w:rPr>
          <w:rFonts w:eastAsia="Arial Unicode MS"/>
          <w:b/>
          <w:szCs w:val="24"/>
          <w:u w:val="dotted"/>
        </w:rPr>
        <w:tab/>
      </w:r>
      <w:r w:rsidRPr="00400193">
        <w:rPr>
          <w:rFonts w:eastAsia="Arial Unicode MS"/>
          <w:bCs/>
          <w:szCs w:val="24"/>
        </w:rPr>
        <w:t>Information Technology</w:t>
      </w:r>
    </w:p>
    <w:p w14:paraId="7AB4C33C"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LMS</w:t>
      </w:r>
      <w:r w:rsidRPr="00400193">
        <w:rPr>
          <w:rFonts w:eastAsia="Arial Unicode MS"/>
          <w:b/>
          <w:szCs w:val="24"/>
          <w:u w:val="dotted"/>
        </w:rPr>
        <w:tab/>
      </w:r>
      <w:r w:rsidRPr="00400193">
        <w:rPr>
          <w:rFonts w:eastAsia="Arial Unicode MS"/>
          <w:bCs/>
          <w:szCs w:val="24"/>
        </w:rPr>
        <w:t>Learning Management System</w:t>
      </w:r>
    </w:p>
    <w:p w14:paraId="03B2D9B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MEA</w:t>
      </w:r>
      <w:r w:rsidRPr="00400193">
        <w:rPr>
          <w:rFonts w:eastAsia="Arial Unicode MS"/>
          <w:b/>
          <w:szCs w:val="24"/>
          <w:u w:val="dotted"/>
        </w:rPr>
        <w:tab/>
      </w:r>
      <w:r w:rsidRPr="00400193">
        <w:rPr>
          <w:rFonts w:eastAsia="Arial Unicode MS"/>
          <w:bCs/>
          <w:szCs w:val="24"/>
        </w:rPr>
        <w:t>Middle East Area</w:t>
      </w:r>
    </w:p>
    <w:p w14:paraId="7F574AAC"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MENA</w:t>
      </w:r>
      <w:r w:rsidRPr="00400193">
        <w:rPr>
          <w:rFonts w:eastAsia="Arial Unicode MS"/>
          <w:b/>
          <w:szCs w:val="24"/>
          <w:u w:val="dotted"/>
        </w:rPr>
        <w:tab/>
      </w:r>
      <w:r w:rsidRPr="00400193">
        <w:rPr>
          <w:rFonts w:eastAsia="Arial Unicode MS"/>
          <w:bCs/>
          <w:szCs w:val="24"/>
        </w:rPr>
        <w:t>Middle East and North Africa</w:t>
      </w:r>
    </w:p>
    <w:p w14:paraId="52D898BA"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MITM</w:t>
      </w:r>
      <w:r w:rsidRPr="00400193">
        <w:rPr>
          <w:rFonts w:eastAsia="Arial Unicode MS"/>
          <w:b/>
          <w:szCs w:val="24"/>
          <w:u w:val="dotted"/>
        </w:rPr>
        <w:tab/>
      </w:r>
      <w:r w:rsidRPr="00400193">
        <w:rPr>
          <w:rFonts w:eastAsia="Arial Unicode MS"/>
          <w:bCs/>
          <w:szCs w:val="24"/>
        </w:rPr>
        <w:t>Man in the Middle (Attack)</w:t>
      </w:r>
    </w:p>
    <w:p w14:paraId="5A67F54E"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OPSEC</w:t>
      </w:r>
      <w:r w:rsidRPr="00400193">
        <w:rPr>
          <w:rFonts w:eastAsia="Arial Unicode MS"/>
          <w:b/>
          <w:szCs w:val="24"/>
          <w:u w:val="dotted"/>
        </w:rPr>
        <w:tab/>
      </w:r>
      <w:r w:rsidRPr="00400193">
        <w:rPr>
          <w:rFonts w:eastAsia="Arial Unicode MS"/>
          <w:bCs/>
          <w:szCs w:val="24"/>
        </w:rPr>
        <w:t>Operations Security</w:t>
      </w:r>
    </w:p>
    <w:p w14:paraId="613A9417"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ORe</w:t>
      </w:r>
      <w:r w:rsidRPr="00400193">
        <w:rPr>
          <w:rFonts w:eastAsia="Arial Unicode MS"/>
          <w:b/>
          <w:szCs w:val="24"/>
          <w:u w:val="dotted"/>
        </w:rPr>
        <w:tab/>
      </w:r>
      <w:r w:rsidRPr="00400193">
        <w:rPr>
          <w:rFonts w:eastAsia="Arial Unicode MS"/>
          <w:bCs/>
          <w:szCs w:val="24"/>
        </w:rPr>
        <w:t>Organisational Resilience</w:t>
      </w:r>
    </w:p>
    <w:p w14:paraId="1F501FA2"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OS</w:t>
      </w:r>
      <w:r w:rsidRPr="00400193">
        <w:rPr>
          <w:rFonts w:eastAsia="Arial Unicode MS"/>
          <w:b/>
          <w:szCs w:val="24"/>
          <w:u w:val="dotted"/>
        </w:rPr>
        <w:tab/>
      </w:r>
      <w:r w:rsidRPr="00400193">
        <w:rPr>
          <w:rFonts w:eastAsia="Arial Unicode MS"/>
          <w:bCs/>
          <w:szCs w:val="24"/>
        </w:rPr>
        <w:t>Operating System</w:t>
      </w:r>
    </w:p>
    <w:p w14:paraId="5FDA4531"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OSA</w:t>
      </w:r>
      <w:r w:rsidRPr="00400193">
        <w:rPr>
          <w:rFonts w:eastAsia="Arial Unicode MS"/>
          <w:b/>
          <w:szCs w:val="24"/>
          <w:u w:val="dotted"/>
        </w:rPr>
        <w:tab/>
      </w:r>
      <w:r w:rsidRPr="00400193">
        <w:rPr>
          <w:rFonts w:eastAsia="Arial Unicode MS"/>
          <w:bCs/>
          <w:szCs w:val="24"/>
        </w:rPr>
        <w:t>Over-The-Shoulder Attack</w:t>
      </w:r>
    </w:p>
    <w:p w14:paraId="539D639B"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PaaS</w:t>
      </w:r>
      <w:r w:rsidRPr="00400193">
        <w:rPr>
          <w:rFonts w:eastAsia="Arial Unicode MS"/>
          <w:b/>
          <w:szCs w:val="24"/>
          <w:u w:val="dotted"/>
        </w:rPr>
        <w:tab/>
      </w:r>
      <w:r w:rsidRPr="00400193">
        <w:rPr>
          <w:rFonts w:eastAsia="Arial Unicode MS"/>
          <w:bCs/>
          <w:szCs w:val="24"/>
        </w:rPr>
        <w:t>Platform as a Service</w:t>
      </w:r>
    </w:p>
    <w:p w14:paraId="5803265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PDCA</w:t>
      </w:r>
      <w:r w:rsidRPr="00400193">
        <w:rPr>
          <w:rFonts w:eastAsia="Arial Unicode MS"/>
          <w:b/>
          <w:szCs w:val="24"/>
          <w:u w:val="dotted"/>
        </w:rPr>
        <w:tab/>
      </w:r>
      <w:r w:rsidRPr="00400193">
        <w:rPr>
          <w:rFonts w:eastAsia="Arial Unicode MS"/>
          <w:bCs/>
          <w:szCs w:val="24"/>
        </w:rPr>
        <w:t>Plan, Do, Check, Act Cycle (Also Called PDSA Or Deming Cycle)</w:t>
      </w:r>
    </w:p>
    <w:p w14:paraId="0BE2F38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PDOS</w:t>
      </w:r>
      <w:r w:rsidRPr="00400193">
        <w:rPr>
          <w:rFonts w:eastAsia="Arial Unicode MS"/>
          <w:b/>
          <w:szCs w:val="24"/>
          <w:u w:val="dotted"/>
        </w:rPr>
        <w:tab/>
      </w:r>
      <w:r w:rsidRPr="00400193">
        <w:rPr>
          <w:rFonts w:eastAsia="Arial Unicode MS"/>
          <w:bCs/>
          <w:szCs w:val="24"/>
        </w:rPr>
        <w:t>Personal Denial of Service</w:t>
      </w:r>
    </w:p>
    <w:p w14:paraId="1CA5820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PRA</w:t>
      </w:r>
      <w:r w:rsidRPr="00400193">
        <w:rPr>
          <w:rFonts w:eastAsia="Arial Unicode MS"/>
          <w:b/>
          <w:szCs w:val="24"/>
          <w:u w:val="dotted"/>
        </w:rPr>
        <w:tab/>
      </w:r>
      <w:r w:rsidRPr="00400193">
        <w:rPr>
          <w:rFonts w:eastAsia="Arial Unicode MS"/>
          <w:bCs/>
          <w:szCs w:val="24"/>
        </w:rPr>
        <w:t>Probability Risk Analysis</w:t>
      </w:r>
    </w:p>
    <w:p w14:paraId="1479DCF3"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RFID</w:t>
      </w:r>
      <w:r w:rsidRPr="00400193">
        <w:rPr>
          <w:rFonts w:eastAsia="Arial Unicode MS"/>
          <w:b/>
          <w:szCs w:val="24"/>
          <w:u w:val="dotted"/>
        </w:rPr>
        <w:tab/>
      </w:r>
      <w:r w:rsidRPr="00400193">
        <w:rPr>
          <w:rFonts w:eastAsia="Arial Unicode MS"/>
          <w:bCs/>
          <w:szCs w:val="24"/>
        </w:rPr>
        <w:t>Radio Frequency Identification</w:t>
      </w:r>
    </w:p>
    <w:p w14:paraId="221E15AB"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RM</w:t>
      </w:r>
      <w:r w:rsidRPr="00400193">
        <w:rPr>
          <w:rFonts w:eastAsia="Arial Unicode MS"/>
          <w:b/>
          <w:szCs w:val="24"/>
          <w:u w:val="dotted"/>
        </w:rPr>
        <w:tab/>
      </w:r>
      <w:r w:rsidRPr="00400193">
        <w:rPr>
          <w:rFonts w:eastAsia="Arial Unicode MS"/>
          <w:bCs/>
          <w:szCs w:val="24"/>
        </w:rPr>
        <w:t>Risk Management</w:t>
      </w:r>
    </w:p>
    <w:p w14:paraId="77320E3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RP</w:t>
      </w:r>
      <w:r w:rsidRPr="00400193">
        <w:rPr>
          <w:rFonts w:eastAsia="Arial Unicode MS"/>
          <w:b/>
          <w:szCs w:val="24"/>
          <w:u w:val="dotted"/>
        </w:rPr>
        <w:tab/>
      </w:r>
      <w:r w:rsidRPr="00400193">
        <w:rPr>
          <w:rFonts w:eastAsia="Arial Unicode MS"/>
          <w:bCs/>
          <w:szCs w:val="24"/>
        </w:rPr>
        <w:t>Response in Place</w:t>
      </w:r>
    </w:p>
    <w:p w14:paraId="56587706"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RQ</w:t>
      </w:r>
      <w:r w:rsidRPr="00400193">
        <w:rPr>
          <w:rFonts w:eastAsia="Arial Unicode MS"/>
          <w:b/>
          <w:szCs w:val="24"/>
          <w:u w:val="dotted"/>
        </w:rPr>
        <w:tab/>
      </w:r>
      <w:r w:rsidRPr="00400193">
        <w:rPr>
          <w:rFonts w:eastAsia="Arial Unicode MS"/>
          <w:bCs/>
          <w:szCs w:val="24"/>
        </w:rPr>
        <w:t>Research Question</w:t>
      </w:r>
    </w:p>
    <w:p w14:paraId="1ADB049D"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SaaS</w:t>
      </w:r>
      <w:r w:rsidRPr="00400193">
        <w:rPr>
          <w:rFonts w:eastAsia="Arial Unicode MS"/>
          <w:b/>
          <w:szCs w:val="24"/>
          <w:u w:val="dotted"/>
        </w:rPr>
        <w:tab/>
      </w:r>
      <w:r w:rsidRPr="00400193">
        <w:rPr>
          <w:rFonts w:eastAsia="Arial Unicode MS"/>
          <w:bCs/>
          <w:szCs w:val="24"/>
        </w:rPr>
        <w:t>Software as a Service</w:t>
      </w:r>
    </w:p>
    <w:p w14:paraId="5F4CAFEF"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SCADA</w:t>
      </w:r>
      <w:r w:rsidRPr="00400193">
        <w:rPr>
          <w:rFonts w:eastAsia="Arial Unicode MS"/>
          <w:b/>
          <w:szCs w:val="24"/>
          <w:u w:val="dotted"/>
        </w:rPr>
        <w:tab/>
      </w:r>
      <w:r w:rsidRPr="00400193">
        <w:rPr>
          <w:rFonts w:eastAsia="Arial Unicode MS"/>
          <w:bCs/>
          <w:szCs w:val="24"/>
        </w:rPr>
        <w:t>Supervisory Control and Data Acquisition</w:t>
      </w:r>
    </w:p>
    <w:p w14:paraId="1C0646CF"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SD</w:t>
      </w:r>
      <w:r w:rsidRPr="00400193">
        <w:rPr>
          <w:rFonts w:eastAsia="Arial Unicode MS"/>
          <w:b/>
          <w:szCs w:val="24"/>
          <w:u w:val="dotted"/>
        </w:rPr>
        <w:tab/>
      </w:r>
      <w:r w:rsidRPr="00400193">
        <w:rPr>
          <w:rFonts w:eastAsia="Arial Unicode MS"/>
          <w:bCs/>
          <w:szCs w:val="24"/>
        </w:rPr>
        <w:t>System Dynamics</w:t>
      </w:r>
    </w:p>
    <w:p w14:paraId="37D724A7"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lastRenderedPageBreak/>
        <w:t>SIA</w:t>
      </w:r>
      <w:r w:rsidRPr="00400193">
        <w:rPr>
          <w:rFonts w:eastAsia="Arial Unicode MS"/>
          <w:b/>
          <w:szCs w:val="24"/>
          <w:u w:val="dotted"/>
        </w:rPr>
        <w:tab/>
      </w:r>
      <w:r w:rsidRPr="00400193">
        <w:rPr>
          <w:rFonts w:eastAsia="Arial Unicode MS"/>
          <w:bCs/>
          <w:szCs w:val="24"/>
        </w:rPr>
        <w:t>Security, Intelligence and Analytics</w:t>
      </w:r>
    </w:p>
    <w:p w14:paraId="53A5F003"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SIEM</w:t>
      </w:r>
      <w:r w:rsidRPr="00400193">
        <w:rPr>
          <w:rFonts w:eastAsia="Arial Unicode MS"/>
          <w:b/>
          <w:szCs w:val="24"/>
          <w:u w:val="dotted"/>
        </w:rPr>
        <w:tab/>
      </w:r>
      <w:r w:rsidRPr="00400193">
        <w:rPr>
          <w:rFonts w:eastAsia="Arial Unicode MS"/>
          <w:bCs/>
          <w:szCs w:val="24"/>
        </w:rPr>
        <w:t>Security Information and Event Management</w:t>
      </w:r>
    </w:p>
    <w:p w14:paraId="1FF578A9"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SME</w:t>
      </w:r>
      <w:r w:rsidRPr="00400193">
        <w:rPr>
          <w:rFonts w:eastAsia="Arial Unicode MS"/>
          <w:b/>
          <w:szCs w:val="24"/>
          <w:u w:val="dotted"/>
        </w:rPr>
        <w:tab/>
      </w:r>
      <w:r w:rsidRPr="00400193">
        <w:rPr>
          <w:rFonts w:eastAsia="Arial Unicode MS"/>
          <w:bCs/>
          <w:szCs w:val="24"/>
        </w:rPr>
        <w:t>Small to Medium-Sized Enterprise</w:t>
      </w:r>
    </w:p>
    <w:p w14:paraId="2722AF82"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TRA</w:t>
      </w:r>
      <w:r w:rsidRPr="00400193">
        <w:rPr>
          <w:rFonts w:eastAsia="Arial Unicode MS"/>
          <w:b/>
          <w:szCs w:val="24"/>
          <w:u w:val="dotted"/>
        </w:rPr>
        <w:tab/>
      </w:r>
      <w:r w:rsidRPr="00400193">
        <w:rPr>
          <w:rFonts w:eastAsia="Arial Unicode MS"/>
          <w:bCs/>
          <w:szCs w:val="24"/>
        </w:rPr>
        <w:t>Telecommunication Regulation Authority</w:t>
      </w:r>
    </w:p>
    <w:p w14:paraId="78B3C5F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UAE</w:t>
      </w:r>
      <w:r w:rsidRPr="00400193">
        <w:rPr>
          <w:rFonts w:eastAsia="Arial Unicode MS"/>
          <w:b/>
          <w:szCs w:val="24"/>
          <w:u w:val="dotted"/>
        </w:rPr>
        <w:tab/>
      </w:r>
      <w:r w:rsidRPr="00400193">
        <w:rPr>
          <w:rFonts w:eastAsia="Arial Unicode MS"/>
          <w:bCs/>
          <w:szCs w:val="24"/>
        </w:rPr>
        <w:t>United Arab Emirates</w:t>
      </w:r>
    </w:p>
    <w:p w14:paraId="23BEC0B1"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UAV</w:t>
      </w:r>
      <w:r w:rsidRPr="00400193">
        <w:rPr>
          <w:rFonts w:eastAsia="Arial Unicode MS"/>
          <w:b/>
          <w:szCs w:val="24"/>
          <w:u w:val="dotted"/>
        </w:rPr>
        <w:tab/>
      </w:r>
      <w:r w:rsidRPr="00400193">
        <w:rPr>
          <w:rFonts w:eastAsia="Arial Unicode MS"/>
          <w:bCs/>
          <w:szCs w:val="24"/>
        </w:rPr>
        <w:t xml:space="preserve">Unmanned Aerial Vehicle (Drone) </w:t>
      </w:r>
    </w:p>
    <w:p w14:paraId="67F31B0B"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UN</w:t>
      </w:r>
      <w:r w:rsidRPr="00400193">
        <w:rPr>
          <w:rFonts w:eastAsia="Arial Unicode MS"/>
          <w:b/>
          <w:szCs w:val="24"/>
          <w:u w:val="dotted"/>
        </w:rPr>
        <w:tab/>
      </w:r>
      <w:r w:rsidRPr="00400193">
        <w:rPr>
          <w:rFonts w:eastAsia="Arial Unicode MS"/>
          <w:bCs/>
          <w:szCs w:val="24"/>
        </w:rPr>
        <w:t>United Nations</w:t>
      </w:r>
    </w:p>
    <w:p w14:paraId="74615F8B"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USP</w:t>
      </w:r>
      <w:r w:rsidRPr="00400193">
        <w:rPr>
          <w:rFonts w:eastAsia="Arial Unicode MS"/>
          <w:b/>
          <w:szCs w:val="24"/>
          <w:u w:val="dotted"/>
        </w:rPr>
        <w:tab/>
      </w:r>
      <w:r w:rsidRPr="00400193">
        <w:rPr>
          <w:rFonts w:eastAsia="Arial Unicode MS"/>
          <w:bCs/>
          <w:szCs w:val="24"/>
        </w:rPr>
        <w:t>Unique Selling Point</w:t>
      </w:r>
    </w:p>
    <w:p w14:paraId="569B3C93"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UTM</w:t>
      </w:r>
      <w:r w:rsidRPr="00400193">
        <w:rPr>
          <w:rFonts w:eastAsia="Arial Unicode MS"/>
          <w:b/>
          <w:szCs w:val="24"/>
          <w:u w:val="dotted"/>
        </w:rPr>
        <w:tab/>
      </w:r>
      <w:r w:rsidRPr="00400193">
        <w:rPr>
          <w:rFonts w:eastAsia="Arial Unicode MS"/>
          <w:bCs/>
          <w:szCs w:val="24"/>
        </w:rPr>
        <w:t>Unified Threat Management</w:t>
      </w:r>
    </w:p>
    <w:p w14:paraId="1C6FAE98" w14:textId="77777777" w:rsidR="00DD07A5" w:rsidRPr="00400193" w:rsidRDefault="00DD07A5" w:rsidP="006E3616">
      <w:pPr>
        <w:spacing w:after="0" w:line="240" w:lineRule="auto"/>
        <w:ind w:left="1440" w:hanging="1440"/>
        <w:jc w:val="left"/>
        <w:rPr>
          <w:rFonts w:eastAsia="Arial Unicode MS"/>
          <w:bCs/>
          <w:szCs w:val="24"/>
        </w:rPr>
      </w:pPr>
      <w:r w:rsidRPr="00400193">
        <w:rPr>
          <w:rFonts w:eastAsia="Arial Unicode MS"/>
          <w:b/>
          <w:szCs w:val="24"/>
        </w:rPr>
        <w:t>VW</w:t>
      </w:r>
      <w:r w:rsidRPr="00400193">
        <w:rPr>
          <w:rFonts w:eastAsia="Arial Unicode MS"/>
          <w:b/>
          <w:szCs w:val="24"/>
          <w:u w:val="dotted"/>
        </w:rPr>
        <w:tab/>
      </w:r>
      <w:r w:rsidRPr="00400193">
        <w:rPr>
          <w:rFonts w:eastAsia="Arial Unicode MS"/>
          <w:bCs/>
          <w:szCs w:val="24"/>
        </w:rPr>
        <w:t>Vulnerabilities and Weaknesses</w:t>
      </w:r>
    </w:p>
    <w:p w14:paraId="4DFCD29F" w14:textId="77777777" w:rsidR="006E3616" w:rsidRPr="00400193" w:rsidRDefault="006E3616" w:rsidP="006E3616">
      <w:pPr>
        <w:spacing w:after="0" w:line="240" w:lineRule="auto"/>
        <w:ind w:left="1440" w:hanging="1440"/>
        <w:jc w:val="left"/>
        <w:rPr>
          <w:rFonts w:eastAsia="Arial Unicode MS"/>
          <w:bCs/>
          <w:szCs w:val="24"/>
        </w:rPr>
      </w:pPr>
    </w:p>
    <w:p w14:paraId="7728FF17" w14:textId="77777777" w:rsidR="006E3616" w:rsidRPr="00400193" w:rsidRDefault="006E3616" w:rsidP="006E3616">
      <w:pPr>
        <w:spacing w:before="120" w:after="120" w:line="240" w:lineRule="auto"/>
        <w:rPr>
          <w:rFonts w:eastAsia="Arial Unicode MS"/>
          <w:bCs/>
          <w:szCs w:val="24"/>
        </w:rPr>
      </w:pPr>
    </w:p>
    <w:p w14:paraId="7ACF13AE" w14:textId="77777777" w:rsidR="006E3616" w:rsidRPr="00400193" w:rsidRDefault="006E3616" w:rsidP="006E3616">
      <w:pPr>
        <w:spacing w:before="120" w:after="120" w:line="240" w:lineRule="auto"/>
        <w:rPr>
          <w:rFonts w:eastAsia="Arial Unicode MS"/>
          <w:bCs/>
          <w:szCs w:val="24"/>
        </w:rPr>
      </w:pPr>
    </w:p>
    <w:p w14:paraId="75330400" w14:textId="77777777" w:rsidR="006E3616" w:rsidRPr="00400193" w:rsidRDefault="006E3616" w:rsidP="006E3616">
      <w:pPr>
        <w:spacing w:before="120" w:after="120" w:line="240" w:lineRule="auto"/>
        <w:rPr>
          <w:rFonts w:eastAsia="Arial Unicode MS"/>
          <w:bCs/>
          <w:szCs w:val="24"/>
        </w:rPr>
        <w:sectPr w:rsidR="006E3616" w:rsidRPr="00400193" w:rsidSect="003B5486">
          <w:type w:val="continuous"/>
          <w:pgSz w:w="11906" w:h="16838"/>
          <w:pgMar w:top="1440" w:right="1440" w:bottom="1440" w:left="1440" w:header="0" w:footer="397" w:gutter="0"/>
          <w:pgNumType w:fmt="lowerRoman"/>
          <w:cols w:num="2" w:space="708"/>
          <w:docGrid w:linePitch="360"/>
        </w:sectPr>
      </w:pPr>
    </w:p>
    <w:p w14:paraId="412D75B3" w14:textId="77777777" w:rsidR="006E3616" w:rsidRPr="00400193" w:rsidRDefault="006E3616" w:rsidP="00BC5829">
      <w:pPr>
        <w:pStyle w:val="Heading1"/>
        <w:ind w:left="0"/>
        <w:rPr>
          <w:rFonts w:eastAsia="Arial Unicode MS"/>
        </w:rPr>
      </w:pPr>
      <w:bookmarkStart w:id="15" w:name="_Toc61894637"/>
      <w:bookmarkStart w:id="16" w:name="_Hlk42545217"/>
      <w:r w:rsidRPr="00400193">
        <w:rPr>
          <w:rFonts w:eastAsia="Arial Unicode MS"/>
          <w:iCs/>
        </w:rPr>
        <w:lastRenderedPageBreak/>
        <w:t>I</w:t>
      </w:r>
      <w:r w:rsidRPr="00400193">
        <w:rPr>
          <w:rFonts w:eastAsia="Arial Unicode MS"/>
        </w:rPr>
        <w:t>ntroduction</w:t>
      </w:r>
      <w:bookmarkEnd w:id="15"/>
      <w:r w:rsidRPr="00400193">
        <w:rPr>
          <w:rFonts w:eastAsia="Arial Unicode MS"/>
        </w:rPr>
        <w:t xml:space="preserve"> </w:t>
      </w:r>
    </w:p>
    <w:p w14:paraId="08093E0E" w14:textId="77777777" w:rsidR="006E3616" w:rsidRPr="00400193" w:rsidRDefault="006E3616" w:rsidP="006E3616">
      <w:pPr>
        <w:pStyle w:val="Heading2"/>
        <w:rPr>
          <w:rFonts w:eastAsia="Arial Unicode MS"/>
        </w:rPr>
      </w:pPr>
      <w:bookmarkStart w:id="17" w:name="_ojdakz2dkjlp"/>
      <w:bookmarkStart w:id="18" w:name="_Toc61894638"/>
      <w:bookmarkEnd w:id="17"/>
      <w:r w:rsidRPr="00400193">
        <w:rPr>
          <w:rFonts w:eastAsia="Arial Unicode MS"/>
        </w:rPr>
        <w:t>Introduction</w:t>
      </w:r>
      <w:bookmarkEnd w:id="18"/>
    </w:p>
    <w:p w14:paraId="659E5362" w14:textId="77777777" w:rsidR="006E3616" w:rsidRPr="00400193" w:rsidRDefault="006E3616" w:rsidP="006E3616">
      <w:r w:rsidRPr="00400193">
        <w:t>This research thesis investigates the impact of the adoption of cyber-risk resilience practices within public sector organisations in the United Arab Emirates (UAE). The key objective of this investigation was to explore and assess the level of awareness and readiness among public sector employees and officials about reducing the negative effect of cyber-attacks on business continuity, and therefore support the adoption of cyber-risk resilience practices in public sector organisations in the UAE. This is important because the government aims to change the economy in the UAE, with greater reliance on information and communication technology (ICT).</w:t>
      </w:r>
    </w:p>
    <w:p w14:paraId="05F1CE91" w14:textId="2902397D" w:rsidR="006E3616" w:rsidRPr="00400193" w:rsidRDefault="006E3616" w:rsidP="006E3616">
      <w:r w:rsidRPr="00400193">
        <w:t xml:space="preserve">The message about the importance of cyber-security and the need for organisational resilience is not new and has been researched for several decades (Button </w:t>
      </w:r>
      <w:r w:rsidR="00337F8A" w:rsidRPr="00400193">
        <w:t>and</w:t>
      </w:r>
      <w:r w:rsidRPr="00400193">
        <w:t xml:space="preserve"> Cross, 2017). However, the message does not seem to have been fully understood, because carelessness remains one of the major weaknesses or vulnerabilities of companies operating in e-commerce (Amoroso, 2011). It is also true that increasing awareness among individuals of the risks involving technology decreases the vulnerability to attack (Deloitte, 2011). This research provides an insight into this and other phenomena, and a framework to reduce their effect. The investigation also gives an insight into emerging threats to cyber-security and measures existing levels of organisational resilience in the public sector in the UAE.</w:t>
      </w:r>
    </w:p>
    <w:p w14:paraId="288E3CBC" w14:textId="7DE062ED" w:rsidR="006E3616" w:rsidRPr="00400193" w:rsidRDefault="006E3616" w:rsidP="006E3616">
      <w:r w:rsidRPr="00400193">
        <w:t>This opening chapter provides a brief introduction to the thesis. Section 1.2 gives the rationale and background for the research, detailing the situation in the UAE’s public sector and the reasons for the project. This leads naturally to Sections 1.3 and 1.4, the problem statement and research questions. Section 1.5 sets out the research objectives and Section</w:t>
      </w:r>
      <w:r w:rsidR="00BF4C8F" w:rsidRPr="00400193">
        <w:t>s</w:t>
      </w:r>
      <w:r w:rsidRPr="00400193">
        <w:t xml:space="preserve"> 1.</w:t>
      </w:r>
      <w:r w:rsidR="00BF4C8F" w:rsidRPr="00400193">
        <w:t>6</w:t>
      </w:r>
      <w:r w:rsidRPr="00400193">
        <w:t xml:space="preserve"> and 1.</w:t>
      </w:r>
      <w:r w:rsidR="00BF4C8F" w:rsidRPr="00400193">
        <w:t>7</w:t>
      </w:r>
      <w:r w:rsidRPr="00400193">
        <w:t xml:space="preserve"> set out the structure of the research and summarise the chapter.</w:t>
      </w:r>
    </w:p>
    <w:p w14:paraId="52F4C317" w14:textId="77777777" w:rsidR="0078028D" w:rsidRPr="00400193" w:rsidRDefault="0078028D" w:rsidP="0078028D">
      <w:pPr>
        <w:pStyle w:val="Heading2"/>
        <w:rPr>
          <w:rFonts w:eastAsia="Arial Unicode MS"/>
        </w:rPr>
      </w:pPr>
      <w:bookmarkStart w:id="19" w:name="_2s8eyo1"/>
      <w:bookmarkStart w:id="20" w:name="_3rdcrjn"/>
      <w:bookmarkStart w:id="21" w:name="_Toc61894639"/>
      <w:bookmarkEnd w:id="19"/>
      <w:bookmarkEnd w:id="20"/>
      <w:r w:rsidRPr="00400193">
        <w:rPr>
          <w:rFonts w:eastAsia="Arial Unicode MS"/>
        </w:rPr>
        <w:t>Rationale and Background of Study</w:t>
      </w:r>
      <w:bookmarkEnd w:id="21"/>
    </w:p>
    <w:p w14:paraId="12ED33FB" w14:textId="01312591" w:rsidR="0078028D" w:rsidRPr="00400193" w:rsidRDefault="0078028D" w:rsidP="0078028D">
      <w:r w:rsidRPr="00400193">
        <w:t xml:space="preserve">In the past few decades, many researchers (see, </w:t>
      </w:r>
      <w:r w:rsidRPr="00400193">
        <w:rPr>
          <w:i/>
          <w:iCs/>
        </w:rPr>
        <w:t>inter alia</w:t>
      </w:r>
      <w:r w:rsidRPr="00400193">
        <w:t xml:space="preserve">, Hopkin, 2018; McCumber, 2004; Mckenna, Staheli </w:t>
      </w:r>
      <w:r w:rsidR="00337F8A" w:rsidRPr="00400193">
        <w:t>and</w:t>
      </w:r>
      <w:r w:rsidRPr="00400193">
        <w:t xml:space="preserve"> Meyer, 2015) have argued that cyber-resilience is more important than cyber-security, because if a system is accessible, it is, by definition, not </w:t>
      </w:r>
      <w:r w:rsidRPr="00400193">
        <w:lastRenderedPageBreak/>
        <w:t>secure (Schneier, 2012). Resilience cannot prevent an attack, but it can give the organisation an opportunity to mitigate the outcome of an attack and quickly recover.</w:t>
      </w:r>
    </w:p>
    <w:p w14:paraId="30EFE9DE" w14:textId="0A7AF14B" w:rsidR="0078028D" w:rsidRPr="00400193" w:rsidRDefault="0078028D" w:rsidP="0078028D">
      <w:r w:rsidRPr="00400193">
        <w:t xml:space="preserve">To help citizens and businesses to develop a safe and secure cyber-infrastructure, the Telecommunications Regulatory Authority (TRA) in the UAE launched “The UAE’s National Cybersecurity Strategy” (TRA, 2020) in 2020. The TRA is responsible for the ICT sector and digital transformation in the country. The strategy is based on five pillars (see </w:t>
      </w:r>
      <w:r w:rsidR="004E7116" w:rsidRPr="00400193">
        <w:fldChar w:fldCharType="begin"/>
      </w:r>
      <w:r w:rsidR="004E7116" w:rsidRPr="00400193">
        <w:instrText xml:space="preserve"> REF _Ref44933683 \h </w:instrText>
      </w:r>
      <w:r w:rsidR="004E7116" w:rsidRPr="00400193">
        <w:fldChar w:fldCharType="separate"/>
      </w:r>
      <w:r w:rsidR="00BB7C18" w:rsidRPr="00400193">
        <w:t xml:space="preserve">Figure </w:t>
      </w:r>
      <w:r w:rsidR="00BB7C18">
        <w:rPr>
          <w:noProof/>
          <w:cs/>
        </w:rPr>
        <w:t>‎</w:t>
      </w:r>
      <w:r w:rsidR="00BB7C18">
        <w:rPr>
          <w:noProof/>
        </w:rPr>
        <w:t>1</w:t>
      </w:r>
      <w:r w:rsidR="00BB7C18" w:rsidRPr="00400193">
        <w:noBreakHyphen/>
      </w:r>
      <w:r w:rsidR="00BB7C18">
        <w:rPr>
          <w:noProof/>
        </w:rPr>
        <w:t>1</w:t>
      </w:r>
      <w:r w:rsidR="004E7116" w:rsidRPr="00400193">
        <w:fldChar w:fldCharType="end"/>
      </w:r>
      <w:r w:rsidRPr="00400193">
        <w:t xml:space="preserve">) and 60 initiatives. This research aims to create a usable framework to improve cyber-resilience within government organisations and the public sector in the UAE and increase the levels of awareness of cyber-threats among UAE public sector employees. </w:t>
      </w:r>
    </w:p>
    <w:p w14:paraId="7EEBC0A3" w14:textId="77777777" w:rsidR="0078028D" w:rsidRPr="00400193" w:rsidRDefault="0078028D" w:rsidP="0078028D">
      <w:r w:rsidRPr="00400193">
        <w:t>There are specific concerns about cybersecurity in the UAE. The government, private sector, and other key elements of Emirati society believe they are vulnerable to malicious cyberattacks usually directed against Western states and more fully developed economies (Darkmatter, 2020; Kaspersky, 2018). The UAE’s new Cyber Security Centre (TRA, 2020) alleges that the country is now the second most targeted in the world, following the United States, and is under constant threat from criminals, intelligence agencies, terrorist groups, and hacking collectives such as Anonymous. The centre suggests that state-owned energy companies are particularly vulnerable. In 2015, the Kaspersky Security Bulletin (Kaspersky, 2018) ranked the UAE as 19th most vulnerable, and showed that two million citizens believed that they had been targeted, with 20% believing their information had been compromised online. The local cybersecurity firm, Dark Matter (Darkmatter, 2020), reported that the UAE is the subject of 5% of all global cyber-attacks and that such attacks have increased by 500% over the past five years. Figures of this magnitude clearly indicate that the UAE perceives itself as vulnerable to attack. It is therefore logical for the government, via the TRA, to instigate protective measures against attacks on critical infrastructure. There is, however, one positive aspect of this perception of threat: it implies a greater level of cyber-risk awareness.</w:t>
      </w:r>
    </w:p>
    <w:p w14:paraId="354A28FF" w14:textId="77777777" w:rsidR="0078028D" w:rsidRPr="00400193" w:rsidRDefault="0078028D" w:rsidP="0078028D">
      <w:pPr>
        <w:keepNext/>
        <w:spacing w:after="0" w:line="240" w:lineRule="auto"/>
      </w:pPr>
      <w:r w:rsidRPr="00400193">
        <w:rPr>
          <w:rFonts w:eastAsia="Arial Unicode MS" w:cs="Times New Roman"/>
          <w:noProof/>
          <w:szCs w:val="24"/>
          <w:lang w:val="en-US"/>
        </w:rPr>
        <w:lastRenderedPageBreak/>
        <w:drawing>
          <wp:inline distT="0" distB="0" distL="0" distR="0" wp14:anchorId="2B76D2AE" wp14:editId="40E68058">
            <wp:extent cx="5760000" cy="3600000"/>
            <wp:effectExtent l="0" t="38100" r="12700" b="19685"/>
            <wp:docPr id="2" name="Diagram 4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9139B2C" w14:textId="246284EE" w:rsidR="0078028D" w:rsidRPr="00400193" w:rsidRDefault="0078028D" w:rsidP="0078028D">
      <w:pPr>
        <w:pStyle w:val="Caption"/>
        <w:spacing w:after="240"/>
        <w:rPr>
          <w:b w:val="0"/>
          <w:i w:val="0"/>
          <w:iCs w:val="0"/>
          <w:szCs w:val="22"/>
        </w:rPr>
      </w:pPr>
      <w:bookmarkStart w:id="22" w:name="_Ref44933683"/>
      <w:bookmarkStart w:id="23" w:name="_Toc5538755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1</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w:t>
      </w:r>
      <w:r w:rsidR="00E35E8C" w:rsidRPr="00400193">
        <w:fldChar w:fldCharType="end"/>
      </w:r>
      <w:bookmarkEnd w:id="22"/>
      <w:r w:rsidRPr="00400193">
        <w:t>: The five pillars of “the UAE National Cybersecurity Strategy” (TRA, 2020).</w:t>
      </w:r>
      <w:bookmarkEnd w:id="23"/>
      <w:r w:rsidRPr="00400193">
        <w:t xml:space="preserve"> </w:t>
      </w:r>
    </w:p>
    <w:p w14:paraId="0034CD57" w14:textId="057674C9" w:rsidR="0078028D" w:rsidRPr="00400193" w:rsidRDefault="0078028D" w:rsidP="0078028D">
      <w:r w:rsidRPr="00400193">
        <w:t>Many scholars have examined cyber-resilience (e.g. Ayyub, 2014; Haimes, 2009; Renn, 2013; Tran et al., 2016), and there are a number of proposed cyber-security frameworks (e.g.</w:t>
      </w:r>
      <w:r w:rsidRPr="00400193">
        <w:rPr>
          <w:i/>
          <w:iCs/>
        </w:rPr>
        <w:t xml:space="preserve"> </w:t>
      </w:r>
      <w:r w:rsidRPr="00400193">
        <w:t xml:space="preserve">BSI/ISO, 2016; COSO, 2015a). However, there has been no attempt to combine the two fields into a single conceptual framework. Thus, part of the contribution of this study is to do exactly that – not a new concept </w:t>
      </w:r>
      <w:r w:rsidRPr="00400193">
        <w:rPr>
          <w:i/>
          <w:iCs/>
        </w:rPr>
        <w:t>per se</w:t>
      </w:r>
      <w:r w:rsidRPr="00400193">
        <w:t xml:space="preserve">, but a previously </w:t>
      </w:r>
      <w:r w:rsidR="00D207E3" w:rsidRPr="00400193">
        <w:t>unattempted</w:t>
      </w:r>
      <w:r w:rsidRPr="00400193">
        <w:t xml:space="preserve"> solution.</w:t>
      </w:r>
      <w:r w:rsidR="00BD0E61" w:rsidRPr="00400193">
        <w:t xml:space="preserve"> By this study of the interaction between different variables it was possible to measure the moderating effect that different variables have on cyber-resilience.</w:t>
      </w:r>
      <w:r w:rsidRPr="00400193">
        <w:t xml:space="preserve"> Cyber-security specialists such as Fowler (2015) and Schneier (2000; 2012) acknowledged the importance of cyber-resilience, but existing cyber-risk management (CRM) frameworks concentrate on detection and mitigation, both of which are improved in a resilient system (Ayyub, 2014). Previous research has therefore provided insights, but not considered the specific requirements of the UAE public sector, which have been developed into the pillars in </w:t>
      </w:r>
      <w:r w:rsidRPr="00400193">
        <w:fldChar w:fldCharType="begin"/>
      </w:r>
      <w:r w:rsidRPr="00400193">
        <w:instrText xml:space="preserve"> REF _Ref44933683 \h </w:instrText>
      </w:r>
      <w:r w:rsidRPr="00400193">
        <w:fldChar w:fldCharType="separate"/>
      </w:r>
      <w:r w:rsidR="00BB7C18" w:rsidRPr="00400193">
        <w:t xml:space="preserve">Figure </w:t>
      </w:r>
      <w:r w:rsidR="00BB7C18">
        <w:rPr>
          <w:noProof/>
          <w:cs/>
        </w:rPr>
        <w:t>‎</w:t>
      </w:r>
      <w:r w:rsidR="00BB7C18">
        <w:rPr>
          <w:noProof/>
        </w:rPr>
        <w:t>1</w:t>
      </w:r>
      <w:r w:rsidR="00BB7C18" w:rsidRPr="00400193">
        <w:noBreakHyphen/>
      </w:r>
      <w:r w:rsidR="00BB7C18">
        <w:rPr>
          <w:noProof/>
        </w:rPr>
        <w:t>1</w:t>
      </w:r>
      <w:r w:rsidRPr="00400193">
        <w:fldChar w:fldCharType="end"/>
      </w:r>
      <w:r w:rsidRPr="00400193">
        <w:t xml:space="preserve">. The lack of emphasis on cyber-resilience and the connected concept of cyber-risk awareness (Schlesinger, 2016), suggests that the existing conceptual frameworks for cyber-security are not sufficiently robust or holistic (Atoum, Otoom </w:t>
      </w:r>
      <w:r w:rsidR="00337F8A" w:rsidRPr="00400193">
        <w:t>and</w:t>
      </w:r>
      <w:r w:rsidRPr="00400193">
        <w:t xml:space="preserve"> Abu Ali, 2014). This interconnection of vital aspects in CRM has been neglected by research, so that </w:t>
      </w:r>
      <w:r w:rsidRPr="00400193">
        <w:lastRenderedPageBreak/>
        <w:t>existing solutions are either response-based (Niblett, 2016) or resilience-based (Tran</w:t>
      </w:r>
      <w:r w:rsidRPr="00400193">
        <w:rPr>
          <w:i/>
          <w:iCs/>
        </w:rPr>
        <w:t xml:space="preserve"> </w:t>
      </w:r>
      <w:r w:rsidRPr="00400193">
        <w:t>et al., 2016), but not both.</w:t>
      </w:r>
    </w:p>
    <w:p w14:paraId="04B63AE1" w14:textId="77777777" w:rsidR="0078028D" w:rsidRPr="00400193" w:rsidRDefault="0078028D" w:rsidP="0078028D">
      <w:r w:rsidRPr="00400193">
        <w:t>Most research has therefore concentrated on one or the other, and the existing standards and recommendations (e.g. BSI, 2005; BSI/ISO, 2016; COSO, 2015a; 2015b) do not strongly emphasise cyber-resilience or cyber-risk awareness. They are therefore of limited use in the UAE. This deficiency in specific areas, combined with the perceived level of threat in the UAE (Darkmatter, 2020; Kaspersky, 2018) has led to the need for further research.</w:t>
      </w:r>
    </w:p>
    <w:p w14:paraId="5DFD8D06" w14:textId="04ECB8ED" w:rsidR="0078028D" w:rsidRPr="00400193" w:rsidRDefault="0078028D" w:rsidP="0078028D">
      <w:r w:rsidRPr="00400193">
        <w:t>There is, in fact, a significant research gap. Previous work by the many scholars examining cyber-security and cyber-risk, including Al Mazari et al</w:t>
      </w:r>
      <w:r w:rsidRPr="00400193">
        <w:rPr>
          <w:i/>
          <w:iCs/>
        </w:rPr>
        <w:t>.</w:t>
      </w:r>
      <w:r w:rsidRPr="00400193">
        <w:t xml:space="preserve"> (2016), Amin (2017), Goodman (2016), and van Schaik</w:t>
      </w:r>
      <w:r w:rsidRPr="00400193">
        <w:rPr>
          <w:i/>
          <w:iCs/>
        </w:rPr>
        <w:t xml:space="preserve"> </w:t>
      </w:r>
      <w:r w:rsidRPr="00400193">
        <w:t xml:space="preserve">et al. (2017), has not sufficiently connected the areas of cyber-resilience and cyber-risk awareness. There is a missing link that permits a measurement of cyber-resilience in the organisation and how this is linked to both cyber-risk awareness and reduced weaknesses and vulnerabilities. It is not, at first, easy to understand how such an essential part of the structure could have been omitted for so long. However, when the literature is examined more closely, it appears that there has always been an understanding that the issues of reaction and resilience should be dealt with separately rather than in an integrated way. Researchers studying improvement in response times (e.g. Sedjelmaci, Senouci </w:t>
      </w:r>
      <w:r w:rsidR="00337F8A" w:rsidRPr="00400193">
        <w:t>and</w:t>
      </w:r>
      <w:r w:rsidRPr="00400193">
        <w:t xml:space="preserve"> Ansari, 2017) therefore did not need to interact with researchers studying cyber-resilience (e.g. Ayyub, 2014) or cyber-risk awareness (e.g. Yayla </w:t>
      </w:r>
      <w:r w:rsidR="00337F8A" w:rsidRPr="00400193">
        <w:t>and</w:t>
      </w:r>
      <w:r w:rsidRPr="00400193">
        <w:t xml:space="preserve"> Hu, 2014). This omission increases the attraction of working across the disciplines and combining theories into a new, stronger, framework that will assist the UAE’s public sector and critical infrastructure.</w:t>
      </w:r>
    </w:p>
    <w:p w14:paraId="63180BBC" w14:textId="1A0F542B" w:rsidR="0078028D" w:rsidRPr="00400193" w:rsidRDefault="0078028D" w:rsidP="0078028D">
      <w:bookmarkStart w:id="24" w:name="_17dp8vu"/>
      <w:bookmarkEnd w:id="24"/>
      <w:r w:rsidRPr="00400193">
        <w:t xml:space="preserve">The professed intention of the UAE government is to make the country into a “safe cyberspace” zone to attract foreign direct investment in high-tech and online industries </w:t>
      </w:r>
      <w:sdt>
        <w:sdtPr>
          <w:id w:val="-1800149346"/>
          <w:citation/>
        </w:sdtPr>
        <w:sdtEndPr/>
        <w:sdtContent>
          <w:r w:rsidRPr="00400193">
            <w:fldChar w:fldCharType="begin"/>
          </w:r>
          <w:r w:rsidR="00AF403A" w:rsidRPr="00400193">
            <w:instrText xml:space="preserve">CITATION UAE20 \l 2057 </w:instrText>
          </w:r>
          <w:r w:rsidRPr="00400193">
            <w:fldChar w:fldCharType="separate"/>
          </w:r>
          <w:r w:rsidR="00AF403A" w:rsidRPr="00400193">
            <w:t>(UAE Government, 2020a)</w:t>
          </w:r>
          <w:r w:rsidRPr="00400193">
            <w:fldChar w:fldCharType="end"/>
          </w:r>
        </w:sdtContent>
      </w:sdt>
      <w:r w:rsidRPr="00400193">
        <w:t xml:space="preserve">. This means that the need for action is urgent. The critical infrastructure and the public sector must both be seen to be safe and resilient against cyber-attacks of any magnitude. This provides the rationale for this research, because, in simple terms, it is necessary to examine and understand a problem before attempting to resolve it. Addressing the lack of cyber-risk awareness and cyber-resilience in the UAE’s public sector is an interesting and important area of research. </w:t>
      </w:r>
      <w:r w:rsidRPr="00400193">
        <w:lastRenderedPageBreak/>
        <w:t>It could be argued that it should be urgently addressed, and this research is intended to both expose and fill the research gap in a timely manner.</w:t>
      </w:r>
    </w:p>
    <w:p w14:paraId="2C871C37" w14:textId="0F3478AE" w:rsidR="0078028D" w:rsidRPr="00400193" w:rsidRDefault="0078028D" w:rsidP="0078028D">
      <w:r w:rsidRPr="00400193">
        <w:t xml:space="preserve">This research therefore addresses a combination of the existing detect/respond frameworks and an awareness and resilience model. CRM and cyber-resilience are connected (Hessami, Jahankhani </w:t>
      </w:r>
      <w:r w:rsidR="00337F8A" w:rsidRPr="00400193">
        <w:t>and</w:t>
      </w:r>
      <w:r w:rsidRPr="00400193">
        <w:t xml:space="preserve"> Nkhoma, 2015), and this study shows the importance of a CRM framework. It also examines the connections and interactions between people, processes, and technology, the presence of weaknesses and vulnerabilities, and the responses in place to protect the organisations, including their consistency with Islamic values (Hammoudeh, 2012). By examining these aspects, and interpreting previous studies, the intent is to close the gap between the “standard” model from the British Standards Institution and International Standards Organisation (BSI/ISO, 2016) and the “resilience” model of Renn (2013).</w:t>
      </w:r>
    </w:p>
    <w:p w14:paraId="5652398E" w14:textId="77777777" w:rsidR="0078028D" w:rsidRPr="00400193" w:rsidRDefault="0078028D" w:rsidP="0078028D">
      <w:r w:rsidRPr="00400193">
        <w:t>This is part of the rationale for the research because none of the existing CRM frameworks fits the needs of the UAE public sector. Primary data were collected from employees and management within the UAE public sector who were actively using or entering digital data. The analysis of these data was used to construct a new conceptual framework that is both robust and dynamic and will permit managers to take a proactive role in the improvement of cyber-risk awareness and cyber-resilience in the UAE’s public sector organisations and critical infrastructure.</w:t>
      </w:r>
    </w:p>
    <w:p w14:paraId="221D20F1" w14:textId="10BD422D" w:rsidR="006E3616" w:rsidRPr="00400193" w:rsidRDefault="006E3616" w:rsidP="006E3616">
      <w:pPr>
        <w:pStyle w:val="Heading2"/>
        <w:rPr>
          <w:rFonts w:eastAsia="Arial Unicode MS"/>
        </w:rPr>
      </w:pPr>
      <w:bookmarkStart w:id="25" w:name="_Toc61894640"/>
      <w:r w:rsidRPr="00400193">
        <w:rPr>
          <w:rFonts w:eastAsia="Arial Unicode MS"/>
        </w:rPr>
        <w:t>Research Problem Statement</w:t>
      </w:r>
      <w:bookmarkEnd w:id="25"/>
    </w:p>
    <w:p w14:paraId="52859345" w14:textId="07CC8B87" w:rsidR="006E3616" w:rsidRPr="00400193" w:rsidRDefault="006E3616" w:rsidP="006E3616">
      <w:r w:rsidRPr="00400193">
        <w:t>The benefits of cyber-resilience have been championed by researchers including Ayyub (2014), Haimes (2009), Renn (2013), Sano et al. (2016), Tran et al. (2016)</w:t>
      </w:r>
      <w:r w:rsidR="00D2671F" w:rsidRPr="00400193">
        <w:t xml:space="preserve">, and Mierzejewska </w:t>
      </w:r>
      <w:r w:rsidR="00F575CF" w:rsidRPr="00400193">
        <w:t>and</w:t>
      </w:r>
      <w:r w:rsidR="00D2671F" w:rsidRPr="00400193">
        <w:t xml:space="preserve"> Wdowicka </w:t>
      </w:r>
      <w:sdt>
        <w:sdtPr>
          <w:id w:val="-718285751"/>
          <w:citation/>
        </w:sdtPr>
        <w:sdtEndPr/>
        <w:sdtContent>
          <w:r w:rsidR="00D2671F" w:rsidRPr="00400193">
            <w:fldChar w:fldCharType="begin"/>
          </w:r>
          <w:r w:rsidR="00D2671F" w:rsidRPr="00400193">
            <w:instrText xml:space="preserve">CITATION Mie19 \n  \t  \l 2057 </w:instrText>
          </w:r>
          <w:r w:rsidR="00D2671F" w:rsidRPr="00400193">
            <w:fldChar w:fldCharType="separate"/>
          </w:r>
          <w:r w:rsidR="00D2671F" w:rsidRPr="00400193">
            <w:t>(2019)</w:t>
          </w:r>
          <w:r w:rsidR="00D2671F" w:rsidRPr="00400193">
            <w:fldChar w:fldCharType="end"/>
          </w:r>
        </w:sdtContent>
      </w:sdt>
      <w:r w:rsidRPr="00400193">
        <w:t>. These benefits are particularly important for critical infrastructure and the public sector. There are several strategies and standards for dealing with cyber-risk in companies and organisations, but most concentrate on detection and mitigation rather than building resilience.</w:t>
      </w:r>
      <w:r w:rsidR="003B5486" w:rsidRPr="00400193">
        <w:t xml:space="preserve"> This includes the approaches suggested by Chatham House (2019) and</w:t>
      </w:r>
      <w:r w:rsidR="00513DA6" w:rsidRPr="00400193">
        <w:t xml:space="preserve"> Li, Pak, and Bi (2020).</w:t>
      </w:r>
      <w:r w:rsidR="003B5486" w:rsidRPr="00400193">
        <w:t xml:space="preserve"> </w:t>
      </w:r>
      <w:r w:rsidRPr="00400193">
        <w:t>To overcome this, this research offers both prescriptive and proscriptive guidance to the UAE public sector about the following research problems:</w:t>
      </w:r>
    </w:p>
    <w:p w14:paraId="696F901C" w14:textId="0191BA37" w:rsidR="006E3616" w:rsidRPr="00400193" w:rsidRDefault="006E3616" w:rsidP="00056969">
      <w:pPr>
        <w:numPr>
          <w:ilvl w:val="0"/>
          <w:numId w:val="7"/>
        </w:numPr>
        <w:spacing w:before="120" w:after="120"/>
        <w:jc w:val="left"/>
      </w:pPr>
      <w:r w:rsidRPr="00400193">
        <w:t xml:space="preserve">Managers in the UAE public sector currently do not have any system to measure current levels of cyber-resilience. Hubbard and Seiersen (2016), and Renn (2013) both suggested ways in which this could be done, but a mechanism is </w:t>
      </w:r>
      <w:r w:rsidRPr="00400193">
        <w:lastRenderedPageBreak/>
        <w:t>needed in the UAE</w:t>
      </w:r>
      <w:r w:rsidR="00513DA6" w:rsidRPr="00400193">
        <w:t xml:space="preserve">, particularly with the growth of the IoT, where security is a </w:t>
      </w:r>
      <w:r w:rsidR="007D4F77" w:rsidRPr="00400193">
        <w:t>major concern</w:t>
      </w:r>
      <w:r w:rsidR="00513DA6" w:rsidRPr="00400193">
        <w:t xml:space="preserve"> (Li et al</w:t>
      </w:r>
      <w:r w:rsidR="00513DA6" w:rsidRPr="00400193">
        <w:rPr>
          <w:i/>
          <w:iCs/>
        </w:rPr>
        <w:t>.,</w:t>
      </w:r>
      <w:r w:rsidR="00513DA6" w:rsidRPr="00400193">
        <w:t xml:space="preserve"> 2019).</w:t>
      </w:r>
    </w:p>
    <w:p w14:paraId="77F87E66" w14:textId="4EA18F4C" w:rsidR="006E3616" w:rsidRPr="00400193" w:rsidRDefault="006E3616" w:rsidP="00056969">
      <w:pPr>
        <w:numPr>
          <w:ilvl w:val="0"/>
          <w:numId w:val="7"/>
        </w:numPr>
        <w:spacing w:before="120" w:after="120"/>
        <w:jc w:val="left"/>
      </w:pPr>
      <w:r w:rsidRPr="00400193">
        <w:t>Human factors are always a weakness in any cyber-system (Schneier, 2000; 2012; 2017), although systems also contain technological and organisational factors. Identifying the human, technological, and organisational factors specific to the UAE public sector is necessary if they are to be addressed. Each needs to be considered relative to the values of the organisation.</w:t>
      </w:r>
      <w:r w:rsidR="00EB37E7" w:rsidRPr="00400193">
        <w:t xml:space="preserve"> Assessing these individual factors in its most detailed form has consider</w:t>
      </w:r>
      <w:r w:rsidR="007D4F77" w:rsidRPr="00400193">
        <w:t>able</w:t>
      </w:r>
      <w:r w:rsidR="00EB37E7" w:rsidRPr="00400193">
        <w:t xml:space="preserve"> individual personality traits (Hadlington and Chivers, 2020), which wo</w:t>
      </w:r>
      <w:r w:rsidR="004B2ECA" w:rsidRPr="00400193">
        <w:t>u</w:t>
      </w:r>
      <w:r w:rsidR="00EB37E7" w:rsidRPr="00400193">
        <w:t xml:space="preserve">ld be too complex to apply at this level.  </w:t>
      </w:r>
    </w:p>
    <w:p w14:paraId="13161567" w14:textId="6572D282" w:rsidR="006E3616" w:rsidRPr="00400193" w:rsidRDefault="006E3616" w:rsidP="00056969">
      <w:pPr>
        <w:numPr>
          <w:ilvl w:val="0"/>
          <w:numId w:val="7"/>
        </w:numPr>
        <w:spacing w:before="120" w:after="120"/>
        <w:jc w:val="left"/>
      </w:pPr>
      <w:r w:rsidRPr="00400193">
        <w:t>It is important to explore the correlations between internal risks, external risks, weaknesses and vulnerabilities, responses, and resilience. An understanding of the links and correlation between these factors will ensure that any strategies suggested to improve the level of cyber-resilience of the UAE public sector and critical infrastructure will be fully effective.</w:t>
      </w:r>
      <w:r w:rsidR="00EB37E7" w:rsidRPr="00400193">
        <w:t xml:space="preserve"> Measuring the resilience of </w:t>
      </w:r>
      <w:r w:rsidR="00C350D3" w:rsidRPr="00400193">
        <w:t xml:space="preserve">critical infrastructure </w:t>
      </w:r>
      <w:r w:rsidR="00EC4F26" w:rsidRPr="00400193">
        <w:t>is important to this research</w:t>
      </w:r>
      <w:r w:rsidR="007D4F77" w:rsidRPr="00400193">
        <w:t xml:space="preserve">, and therefore </w:t>
      </w:r>
      <w:r w:rsidR="00EC4F26" w:rsidRPr="00400193">
        <w:t>Rehak’s (2020) framework will be ad</w:t>
      </w:r>
      <w:r w:rsidR="007D4F77" w:rsidRPr="00400193">
        <w:t>o</w:t>
      </w:r>
      <w:r w:rsidR="00EC4F26" w:rsidRPr="00400193">
        <w:t>pted within the new framework.</w:t>
      </w:r>
      <w:r w:rsidR="00EB37E7" w:rsidRPr="00400193">
        <w:t xml:space="preserve"> </w:t>
      </w:r>
    </w:p>
    <w:p w14:paraId="513FDE1E" w14:textId="77777777" w:rsidR="006E3616" w:rsidRPr="00400193" w:rsidRDefault="006E3616" w:rsidP="00056969">
      <w:pPr>
        <w:numPr>
          <w:ilvl w:val="0"/>
          <w:numId w:val="7"/>
        </w:numPr>
        <w:spacing w:before="120" w:after="120"/>
        <w:jc w:val="left"/>
      </w:pPr>
      <w:r w:rsidRPr="00400193">
        <w:t>There is also a need to explore and examine the moderation effect of organisational resilience and responses on the relationship between cyber-threats and vulnerabilities/weaknesses. This will lead to a better understanding of the interaction between the factors and enable proactive management of emerging cyber-risks and improved resilience.</w:t>
      </w:r>
    </w:p>
    <w:p w14:paraId="1A390C9A" w14:textId="6DB35FE2" w:rsidR="006E3616" w:rsidRPr="00400193" w:rsidRDefault="006E3616" w:rsidP="006E3616">
      <w:r w:rsidRPr="00400193">
        <w:t xml:space="preserve">These research problems therefore focus on the adoption of cyber-risk resilience </w:t>
      </w:r>
      <w:r w:rsidR="003B5486" w:rsidRPr="00400193">
        <w:t>practices and</w:t>
      </w:r>
      <w:r w:rsidRPr="00400193">
        <w:t xml:space="preserve"> draw on the need to assess the public sector’s current cyber-resilience status, as well as awareness of risks and readiness to manage them among public sector employees. It also examines how to improve the adoption of cyber-resilience practices in UAE public sector organisations (e.g. Cyber risk and resilience ISO/IEC 27001 Standards (ISO/IEC, 2012))</w:t>
      </w:r>
      <w:r w:rsidR="00EC4F26" w:rsidRPr="00400193">
        <w:t>, including hospitals where protection is essential (Owens, 2020),</w:t>
      </w:r>
      <w:r w:rsidRPr="00400193">
        <w:t xml:space="preserve"> and perhaps in private sector organisations (Podhorec, 2012; Purser, 2011; Sommestad, Ekstedt </w:t>
      </w:r>
      <w:r w:rsidR="00337F8A" w:rsidRPr="00400193">
        <w:t>and</w:t>
      </w:r>
      <w:r w:rsidRPr="00400193">
        <w:t xml:space="preserve"> Holm, 2013). Previous studies have suggested that the adoption of cybersecurity resilience practices is a potential solution for public sector organisations to drive efficiency and to ensure risk prevention (Podhorec, 2012; </w:t>
      </w:r>
      <w:r w:rsidRPr="00400193">
        <w:lastRenderedPageBreak/>
        <w:t>Purser, 2011). Purser (2011) stressed the importance of sustaining the ability and efficiency of those organisations using cybersecurity standards, which actualise resilience as the first defence against cyberattacks and maintaining business continuity and recovery from such events</w:t>
      </w:r>
      <w:r w:rsidR="00EC4F26" w:rsidRPr="00400193">
        <w:t xml:space="preserve">, a resilience which is also enhanced by sharing information regarding persistent threats (Lv, Chen, and Hu, 2019).  </w:t>
      </w:r>
      <w:r w:rsidRPr="00400193">
        <w:t xml:space="preserve"> </w:t>
      </w:r>
      <w:bookmarkStart w:id="26" w:name="_44sinio"/>
      <w:bookmarkEnd w:id="26"/>
    </w:p>
    <w:p w14:paraId="745F1B78" w14:textId="7AB0C1FD" w:rsidR="00616971" w:rsidRPr="00400193" w:rsidRDefault="00616971" w:rsidP="00616971">
      <w:pPr>
        <w:pStyle w:val="Heading2"/>
        <w:rPr>
          <w:rFonts w:eastAsia="Arial Unicode MS"/>
        </w:rPr>
      </w:pPr>
      <w:bookmarkStart w:id="27" w:name="_Toc61894641"/>
      <w:r w:rsidRPr="00400193">
        <w:rPr>
          <w:rFonts w:eastAsia="Arial Unicode MS"/>
        </w:rPr>
        <w:t>Research Aim and Objectives</w:t>
      </w:r>
      <w:bookmarkEnd w:id="27"/>
      <w:r w:rsidRPr="00400193">
        <w:rPr>
          <w:rFonts w:eastAsia="Arial Unicode MS"/>
        </w:rPr>
        <w:t xml:space="preserve"> </w:t>
      </w:r>
    </w:p>
    <w:p w14:paraId="6CC4A88E" w14:textId="738F7C9F" w:rsidR="00131708" w:rsidRPr="00400193" w:rsidRDefault="00616971" w:rsidP="00B17510">
      <w:r w:rsidRPr="00400193">
        <w:t xml:space="preserve">The overall aim of this research was to create a new conceptual cyber-resilience framework tailored to the needs of the UAE public sector and critical infrastructure. It also aimed to provide tools to </w:t>
      </w:r>
      <w:r w:rsidR="00B17510" w:rsidRPr="00400193">
        <w:t>support managers in the UAE public sector in assessing their internal and external cyber threats and is relations with response in place and resilience measures.</w:t>
      </w:r>
      <w:r w:rsidRPr="00400193">
        <w:t xml:space="preserve">. </w:t>
      </w:r>
      <w:r w:rsidR="00131708" w:rsidRPr="00400193">
        <w:t>Explicitly the aim of the research is:</w:t>
      </w:r>
    </w:p>
    <w:p w14:paraId="1577DD02" w14:textId="30A9FC4A" w:rsidR="00635E8E" w:rsidRPr="00400193" w:rsidRDefault="00451F1E" w:rsidP="00634F4C">
      <w:pPr>
        <w:pStyle w:val="NoSpacing"/>
        <w:spacing w:line="216" w:lineRule="auto"/>
        <w:jc w:val="both"/>
        <w:rPr>
          <w:rFonts w:eastAsia="Arial"/>
          <w:b/>
          <w:bCs/>
          <w:sz w:val="24"/>
        </w:rPr>
      </w:pPr>
      <w:r w:rsidRPr="00400193">
        <w:rPr>
          <w:rFonts w:eastAsia="Arial"/>
          <w:b/>
          <w:bCs/>
          <w:sz w:val="24"/>
        </w:rPr>
        <w:t xml:space="preserve">To create </w:t>
      </w:r>
      <w:r w:rsidR="009A1012" w:rsidRPr="00400193">
        <w:rPr>
          <w:rFonts w:eastAsia="Arial"/>
          <w:b/>
          <w:bCs/>
          <w:sz w:val="24"/>
        </w:rPr>
        <w:t xml:space="preserve">a new conceptual framework </w:t>
      </w:r>
      <w:r w:rsidR="00635E8E" w:rsidRPr="00400193">
        <w:rPr>
          <w:rFonts w:eastAsia="Arial"/>
          <w:b/>
          <w:bCs/>
          <w:sz w:val="24"/>
        </w:rPr>
        <w:t>for Measuring Organisational Cyber Resilience Against External and Internal Cyber Threats</w:t>
      </w:r>
      <w:r w:rsidR="00634F4C" w:rsidRPr="00400193">
        <w:rPr>
          <w:rFonts w:eastAsia="Arial"/>
          <w:b/>
          <w:bCs/>
          <w:sz w:val="24"/>
        </w:rPr>
        <w:t xml:space="preserve"> for the UAE public sector.</w:t>
      </w:r>
    </w:p>
    <w:p w14:paraId="51EF5A40" w14:textId="77777777" w:rsidR="00635E8E" w:rsidRPr="00400193" w:rsidRDefault="00635E8E" w:rsidP="00616971">
      <w:pPr>
        <w:rPr>
          <w:b/>
          <w:bCs/>
        </w:rPr>
      </w:pPr>
    </w:p>
    <w:p w14:paraId="7FADD37C" w14:textId="4B91CA66" w:rsidR="00616971" w:rsidRPr="00400193" w:rsidRDefault="00D45A82" w:rsidP="00616971">
      <w:r w:rsidRPr="00400193">
        <w:t>The following r</w:t>
      </w:r>
      <w:r w:rsidR="00616971" w:rsidRPr="00400193">
        <w:t xml:space="preserve">esearch objectives were developed to </w:t>
      </w:r>
      <w:r w:rsidRPr="00400193">
        <w:t xml:space="preserve">achieve the </w:t>
      </w:r>
      <w:r w:rsidR="00616971" w:rsidRPr="00400193">
        <w:t>aim</w:t>
      </w:r>
      <w:r w:rsidRPr="00400193">
        <w:t xml:space="preserve"> of this study</w:t>
      </w:r>
      <w:r w:rsidR="00616971" w:rsidRPr="00400193">
        <w:t>:</w:t>
      </w:r>
    </w:p>
    <w:p w14:paraId="4A9736DB" w14:textId="18BA369E" w:rsidR="00616971" w:rsidRPr="00400193" w:rsidRDefault="00616971" w:rsidP="00E5515B">
      <w:pPr>
        <w:pStyle w:val="ListParagraph"/>
        <w:numPr>
          <w:ilvl w:val="0"/>
          <w:numId w:val="38"/>
        </w:numPr>
      </w:pPr>
      <w:r w:rsidRPr="00400193">
        <w:t>To identify emerging cyber-risks</w:t>
      </w:r>
      <w:r w:rsidR="00BB31FB" w:rsidRPr="00400193">
        <w:t xml:space="preserve"> and examine the association between cyber-risk awareness and resilience</w:t>
      </w:r>
      <w:r w:rsidRPr="00400193">
        <w:t>.</w:t>
      </w:r>
    </w:p>
    <w:p w14:paraId="26203E4F" w14:textId="77777777" w:rsidR="00616971" w:rsidRPr="00400193" w:rsidRDefault="00616971" w:rsidP="00E5515B">
      <w:pPr>
        <w:pStyle w:val="ListParagraph"/>
        <w:numPr>
          <w:ilvl w:val="0"/>
          <w:numId w:val="38"/>
        </w:numPr>
      </w:pPr>
      <w:r w:rsidRPr="00400193">
        <w:t>To create a conceptual framework for assessing resilience to cyber-risks.</w:t>
      </w:r>
    </w:p>
    <w:p w14:paraId="37997B47" w14:textId="77777777" w:rsidR="00E46E85" w:rsidRPr="00400193" w:rsidRDefault="00E46E85" w:rsidP="00E5515B">
      <w:pPr>
        <w:pStyle w:val="ListParagraph"/>
        <w:numPr>
          <w:ilvl w:val="0"/>
          <w:numId w:val="38"/>
        </w:numPr>
        <w:rPr>
          <w:lang w:val="en-US"/>
        </w:rPr>
      </w:pPr>
      <w:r w:rsidRPr="00400193">
        <w:rPr>
          <w:lang w:val="en-US"/>
        </w:rPr>
        <w:t>To examine the relationship between Organizational Vulnerability and Weaknesses, and the External/ Internal Cyber-Threats, and the moderating effect of resilience and response of the organization.</w:t>
      </w:r>
    </w:p>
    <w:p w14:paraId="629BFC58" w14:textId="77777777" w:rsidR="00616971" w:rsidRPr="00400193" w:rsidRDefault="00616971" w:rsidP="00E5515B">
      <w:pPr>
        <w:pStyle w:val="ListParagraph"/>
        <w:numPr>
          <w:ilvl w:val="0"/>
          <w:numId w:val="38"/>
        </w:numPr>
      </w:pPr>
      <w:r w:rsidRPr="00400193">
        <w:t>To report the findings and conclusions in an understandable format.</w:t>
      </w:r>
    </w:p>
    <w:p w14:paraId="152CB428" w14:textId="77777777" w:rsidR="00616971" w:rsidRPr="00400193" w:rsidRDefault="00616971" w:rsidP="00616971">
      <w:r w:rsidRPr="00400193">
        <w:t>These research objectives have been carefully constructed to give full and valid answers to the research questions. By creating and applying the new conceptual framework, public sector managers in the UAE will be able to adopt best practices for cyber-resilience. The research also helps to demonstrate the best ways to use organisational culture to address the challenges of increasing cyber-risks.</w:t>
      </w:r>
    </w:p>
    <w:p w14:paraId="6F08237E" w14:textId="77777777" w:rsidR="00616971" w:rsidRPr="00400193" w:rsidRDefault="00616971" w:rsidP="00616971">
      <w:r w:rsidRPr="00400193">
        <w:t xml:space="preserve">After a critical review of the literature to develop an understanding of the current gaps in cyber-resilience practices, data were gathered to enable these objectives to be achieved. The reference framework looks at the relationship between cyber-resilience </w:t>
      </w:r>
      <w:r w:rsidRPr="00400193">
        <w:lastRenderedPageBreak/>
        <w:t xml:space="preserve">practices and level of compliance with those practices, and at how organisational culture and employee awareness influence that relationship. </w:t>
      </w:r>
    </w:p>
    <w:p w14:paraId="19A53269" w14:textId="77777777" w:rsidR="006E3616" w:rsidRPr="00400193" w:rsidRDefault="006E3616" w:rsidP="006E3616">
      <w:pPr>
        <w:pStyle w:val="Heading2"/>
        <w:rPr>
          <w:rFonts w:eastAsia="Arial Unicode MS"/>
        </w:rPr>
      </w:pPr>
      <w:bookmarkStart w:id="28" w:name="_Toc61894642"/>
      <w:r w:rsidRPr="00400193">
        <w:rPr>
          <w:rFonts w:eastAsia="Arial Unicode MS"/>
        </w:rPr>
        <w:t>Research Question(s)</w:t>
      </w:r>
      <w:bookmarkEnd w:id="28"/>
      <w:r w:rsidRPr="00400193">
        <w:rPr>
          <w:rFonts w:eastAsia="Arial Unicode MS"/>
        </w:rPr>
        <w:t xml:space="preserve"> </w:t>
      </w:r>
    </w:p>
    <w:p w14:paraId="718B9E0A" w14:textId="77777777" w:rsidR="006E3616" w:rsidRPr="00400193" w:rsidRDefault="006E3616" w:rsidP="006E3616">
      <w:r w:rsidRPr="00400193">
        <w:t>This research addressed several questions:</w:t>
      </w:r>
      <w:bookmarkStart w:id="29" w:name="_2jxsxqh"/>
      <w:bookmarkEnd w:id="29"/>
      <w:r w:rsidRPr="00400193">
        <w:tab/>
      </w:r>
    </w:p>
    <w:p w14:paraId="0076DCC0" w14:textId="77777777" w:rsidR="00216DA8" w:rsidRPr="00400193" w:rsidRDefault="006E3616" w:rsidP="00C33CCD">
      <w:pPr>
        <w:suppressAutoHyphens/>
        <w:ind w:left="1440" w:hanging="720"/>
        <w:rPr>
          <w:rFonts w:eastAsia="Noto Sans SC Regular" w:cs="Droid Sans Devanagari"/>
          <w:bCs/>
          <w:kern w:val="2"/>
          <w:szCs w:val="24"/>
          <w:lang w:eastAsia="zh-CN" w:bidi="hi-IN"/>
        </w:rPr>
      </w:pPr>
      <w:bookmarkStart w:id="30" w:name="_Hlk44517729"/>
      <w:r w:rsidRPr="00400193">
        <w:rPr>
          <w:rFonts w:eastAsia="Noto Sans SC Regular" w:cs="Droid Sans Devanagari"/>
          <w:b/>
          <w:kern w:val="2"/>
          <w:szCs w:val="24"/>
          <w:lang w:eastAsia="zh-CN" w:bidi="hi-IN"/>
        </w:rPr>
        <w:t>RQ1.</w:t>
      </w:r>
      <w:r w:rsidRPr="00400193">
        <w:rPr>
          <w:rFonts w:eastAsia="Noto Sans SC Regular" w:cs="Droid Sans Devanagari"/>
          <w:kern w:val="2"/>
          <w:szCs w:val="24"/>
          <w:lang w:eastAsia="zh-CN" w:bidi="hi-IN"/>
        </w:rPr>
        <w:t xml:space="preserve"> </w:t>
      </w:r>
      <w:r w:rsidRPr="00400193">
        <w:rPr>
          <w:rFonts w:eastAsia="Noto Sans SC Regular" w:cs="Droid Sans Devanagari"/>
          <w:kern w:val="2"/>
          <w:szCs w:val="24"/>
          <w:lang w:eastAsia="zh-CN" w:bidi="hi-IN"/>
        </w:rPr>
        <w:tab/>
      </w:r>
      <w:r w:rsidR="00C33CCD" w:rsidRPr="00400193">
        <w:rPr>
          <w:rFonts w:eastAsia="Noto Sans SC Regular" w:cs="Droid Sans Devanagari"/>
          <w:kern w:val="2"/>
          <w:szCs w:val="24"/>
          <w:lang w:eastAsia="zh-CN" w:bidi="hi-IN"/>
        </w:rPr>
        <w:t>How can resilience to cyber-risk be measured and developed whilst also maintaining existing responses in place and without increasing vulnerabilities and weaknesses?</w:t>
      </w:r>
      <w:r w:rsidR="00216DA8" w:rsidRPr="00400193">
        <w:rPr>
          <w:rFonts w:eastAsia="Noto Sans SC Regular" w:cs="Droid Sans Devanagari"/>
          <w:bCs/>
          <w:kern w:val="2"/>
          <w:szCs w:val="24"/>
          <w:lang w:eastAsia="zh-CN" w:bidi="hi-IN"/>
        </w:rPr>
        <w:t xml:space="preserve"> </w:t>
      </w:r>
    </w:p>
    <w:p w14:paraId="4E1891FA" w14:textId="469C97C3" w:rsidR="00C33CCD" w:rsidRPr="00400193" w:rsidRDefault="00216DA8" w:rsidP="00216DA8">
      <w:pPr>
        <w:suppressAutoHyphens/>
        <w:ind w:left="1440"/>
        <w:rPr>
          <w:rFonts w:eastAsia="Noto Sans SC Regular" w:cs="Droid Sans Devanagari"/>
          <w:kern w:val="2"/>
          <w:szCs w:val="24"/>
          <w:lang w:eastAsia="zh-CN" w:bidi="hi-IN"/>
        </w:rPr>
      </w:pPr>
      <w:r w:rsidRPr="00400193">
        <w:rPr>
          <w:rFonts w:eastAsia="Noto Sans SC Regular" w:cs="Droid Sans Devanagari"/>
          <w:bCs/>
          <w:kern w:val="2"/>
          <w:szCs w:val="24"/>
          <w:lang w:eastAsia="zh-CN" w:bidi="hi-IN"/>
        </w:rPr>
        <w:t>This information emerged from the latest reports and research examined in the literature review. The review also considered whether these new strategies were compatible with existing frameworks.</w:t>
      </w:r>
    </w:p>
    <w:p w14:paraId="34333BB6" w14:textId="77777777" w:rsidR="00216DA8" w:rsidRPr="00400193" w:rsidRDefault="006E3616" w:rsidP="00216DA8">
      <w:pPr>
        <w:suppressAutoHyphens/>
        <w:spacing w:before="120" w:after="120"/>
        <w:ind w:left="1440" w:hanging="720"/>
        <w:rPr>
          <w:rFonts w:eastAsia="Noto Sans SC Regular" w:cs="Droid Sans Devanagari"/>
          <w:bCs/>
          <w:kern w:val="2"/>
          <w:szCs w:val="24"/>
          <w:lang w:eastAsia="zh-CN" w:bidi="hi-IN"/>
        </w:rPr>
      </w:pPr>
      <w:r w:rsidRPr="00400193">
        <w:rPr>
          <w:rFonts w:eastAsia="Noto Sans SC Regular" w:cs="Droid Sans Devanagari"/>
          <w:b/>
          <w:kern w:val="2"/>
          <w:szCs w:val="24"/>
          <w:lang w:eastAsia="zh-CN" w:bidi="hi-IN"/>
        </w:rPr>
        <w:t xml:space="preserve">RQ2. </w:t>
      </w:r>
      <w:r w:rsidRPr="00400193">
        <w:rPr>
          <w:rFonts w:eastAsia="Noto Sans SC Regular" w:cs="Droid Sans Devanagari"/>
          <w:b/>
          <w:kern w:val="2"/>
          <w:szCs w:val="24"/>
          <w:lang w:eastAsia="zh-CN" w:bidi="hi-IN"/>
        </w:rPr>
        <w:tab/>
      </w:r>
      <w:r w:rsidR="00216DA8" w:rsidRPr="00400193">
        <w:rPr>
          <w:rFonts w:eastAsia="Noto Sans SC Regular" w:cs="Droid Sans Devanagari"/>
          <w:bCs/>
          <w:kern w:val="2"/>
          <w:szCs w:val="24"/>
          <w:lang w:eastAsia="zh-CN" w:bidi="hi-IN"/>
        </w:rPr>
        <w:t xml:space="preserve">How can a framework for managing cyber-risks that is relevant to the dependent variables in this study, (response in place, organisational resilience, and vulnerabilities and weaknesses) be synthesised from existing standards? </w:t>
      </w:r>
    </w:p>
    <w:p w14:paraId="3A408833" w14:textId="3D8F480F" w:rsidR="00C33CCD" w:rsidRPr="00400193" w:rsidRDefault="00216DA8" w:rsidP="00216DA8">
      <w:pPr>
        <w:suppressAutoHyphens/>
        <w:spacing w:before="120" w:after="120"/>
        <w:ind w:left="1440"/>
        <w:rPr>
          <w:rFonts w:eastAsia="Noto Sans SC Regular" w:cs="Droid Sans Devanagari"/>
          <w:bCs/>
          <w:kern w:val="2"/>
          <w:szCs w:val="24"/>
          <w:lang w:eastAsia="zh-CN" w:bidi="hi-IN"/>
        </w:rPr>
      </w:pPr>
      <w:r w:rsidRPr="00400193">
        <w:rPr>
          <w:rFonts w:eastAsia="Noto Sans SC Regular" w:cs="Droid Sans Devanagari"/>
          <w:bCs/>
          <w:kern w:val="2"/>
          <w:szCs w:val="24"/>
          <w:lang w:eastAsia="zh-CN" w:bidi="hi-IN"/>
        </w:rPr>
        <w:t xml:space="preserve">BSI (BSI, 2005), ISO (BSI/ISO, 2016), and Committee of Sponsoring Organisations (COSO) (COSO, 2015b) all offer possibilities, and the literature review explored whether there were other ‘customised’ frameworks. </w:t>
      </w:r>
    </w:p>
    <w:p w14:paraId="2A7C1BA8" w14:textId="178CFBFC" w:rsidR="00C33CCD" w:rsidRPr="00400193" w:rsidRDefault="00C33CCD" w:rsidP="00C33CCD">
      <w:pPr>
        <w:suppressAutoHyphens/>
        <w:spacing w:before="120" w:after="120"/>
        <w:rPr>
          <w:rFonts w:eastAsia="Noto Sans SC Regular" w:cs="Droid Sans Devanagari"/>
          <w:bCs/>
          <w:kern w:val="2"/>
          <w:szCs w:val="24"/>
          <w:lang w:eastAsia="zh-CN" w:bidi="hi-IN"/>
        </w:rPr>
      </w:pPr>
      <w:r w:rsidRPr="00400193">
        <w:rPr>
          <w:rFonts w:eastAsia="Noto Sans SC Regular" w:cs="Droid Sans Devanagari"/>
          <w:bCs/>
          <w:kern w:val="2"/>
          <w:szCs w:val="24"/>
          <w:lang w:eastAsia="zh-CN" w:bidi="hi-IN"/>
        </w:rPr>
        <w:t>In order to answer these questions, it is first necessary to answer some questions from the literature and the data. These are not, strictly, research questions, but are sub-questions that need to be answered first. These are:</w:t>
      </w:r>
    </w:p>
    <w:p w14:paraId="458440B9" w14:textId="77777777" w:rsidR="00216DA8" w:rsidRPr="00400193" w:rsidRDefault="00216DA8" w:rsidP="00056969">
      <w:pPr>
        <w:pStyle w:val="ListParagraph"/>
        <w:numPr>
          <w:ilvl w:val="0"/>
          <w:numId w:val="15"/>
        </w:numPr>
        <w:suppressAutoHyphens/>
        <w:ind w:left="1440" w:hanging="720"/>
        <w:rPr>
          <w:kern w:val="2"/>
          <w:szCs w:val="24"/>
          <w:lang w:eastAsia="zh-CN" w:bidi="hi-IN"/>
        </w:rPr>
      </w:pPr>
      <w:r w:rsidRPr="00400193">
        <w:rPr>
          <w:rFonts w:eastAsia="Noto Sans SC Regular" w:cs="Droid Sans Devanagari"/>
          <w:kern w:val="2"/>
          <w:szCs w:val="24"/>
          <w:lang w:eastAsia="zh-CN" w:bidi="hi-IN"/>
        </w:rPr>
        <w:t>What are the emerging cyber-risks that will affect the independent variables in this study (internal and external cyber-risks)</w:t>
      </w:r>
      <w:r w:rsidRPr="00400193">
        <w:rPr>
          <w:kern w:val="2"/>
          <w:szCs w:val="24"/>
          <w:lang w:eastAsia="zh-CN" w:bidi="hi-IN"/>
        </w:rPr>
        <w:t xml:space="preserve">? </w:t>
      </w:r>
      <w:r w:rsidRPr="00400193">
        <w:rPr>
          <w:rFonts w:eastAsia="Noto Sans SC Regular" w:cs="Droid Sans Devanagari"/>
          <w:kern w:val="2"/>
          <w:szCs w:val="24"/>
          <w:lang w:eastAsia="zh-CN" w:bidi="hi-IN"/>
        </w:rPr>
        <w:t>The required data for this question was gathered from a systematic review of the literature about cyber-risk.</w:t>
      </w:r>
    </w:p>
    <w:p w14:paraId="77BED688" w14:textId="77777777" w:rsidR="00216DA8" w:rsidRPr="00400193" w:rsidRDefault="006E3616" w:rsidP="00056969">
      <w:pPr>
        <w:pStyle w:val="ListParagraph"/>
        <w:numPr>
          <w:ilvl w:val="0"/>
          <w:numId w:val="15"/>
        </w:numPr>
        <w:suppressAutoHyphens/>
        <w:ind w:left="1440" w:hanging="720"/>
        <w:rPr>
          <w:kern w:val="2"/>
          <w:szCs w:val="24"/>
          <w:lang w:eastAsia="zh-CN" w:bidi="hi-IN"/>
        </w:rPr>
      </w:pPr>
      <w:r w:rsidRPr="00400193">
        <w:rPr>
          <w:kern w:val="2"/>
          <w:szCs w:val="24"/>
          <w:lang w:eastAsia="zh-CN" w:bidi="hi-IN"/>
        </w:rPr>
        <w:t>How can cyber-risks be classified within the existing divisions into internal and external?</w:t>
      </w:r>
      <w:r w:rsidR="00216DA8" w:rsidRPr="00400193">
        <w:rPr>
          <w:kern w:val="2"/>
          <w:szCs w:val="24"/>
          <w:lang w:eastAsia="zh-CN" w:bidi="hi-IN"/>
        </w:rPr>
        <w:t xml:space="preserve"> </w:t>
      </w:r>
      <w:r w:rsidRPr="00400193">
        <w:rPr>
          <w:rFonts w:eastAsia="Noto Sans SC Regular" w:cs="Droid Sans Devanagari"/>
          <w:kern w:val="2"/>
          <w:szCs w:val="24"/>
          <w:lang w:eastAsia="zh-CN" w:bidi="hi-IN"/>
        </w:rPr>
        <w:t xml:space="preserve">The literature review explored whether any existing classification was adequate, or whether, because of the developing nature of cyber-risks, an entirely new classification scheme was needed. </w:t>
      </w:r>
    </w:p>
    <w:p w14:paraId="08955FDD" w14:textId="5FE4B2C5" w:rsidR="006E3616" w:rsidRPr="00400193" w:rsidRDefault="006E3616" w:rsidP="00056969">
      <w:pPr>
        <w:pStyle w:val="ListParagraph"/>
        <w:numPr>
          <w:ilvl w:val="0"/>
          <w:numId w:val="15"/>
        </w:numPr>
        <w:suppressAutoHyphens/>
        <w:ind w:left="1440" w:hanging="720"/>
        <w:rPr>
          <w:kern w:val="2"/>
          <w:szCs w:val="24"/>
          <w:lang w:eastAsia="zh-CN" w:bidi="hi-IN"/>
        </w:rPr>
      </w:pPr>
      <w:r w:rsidRPr="00400193">
        <w:rPr>
          <w:kern w:val="2"/>
          <w:szCs w:val="24"/>
          <w:lang w:eastAsia="zh-CN" w:bidi="hi-IN"/>
        </w:rPr>
        <w:lastRenderedPageBreak/>
        <w:t>What strategies, related to having responses in place and organisational resilience, are emerging to deal with internal and external cyber-risks?</w:t>
      </w:r>
    </w:p>
    <w:p w14:paraId="32CF4F66" w14:textId="4F6F1EEC" w:rsidR="006E3616" w:rsidRPr="00400193" w:rsidRDefault="006E3616" w:rsidP="00216DA8">
      <w:pPr>
        <w:suppressAutoHyphens/>
        <w:ind w:left="1440"/>
        <w:rPr>
          <w:rFonts w:eastAsia="Noto Sans SC Regular" w:cs="Droid Sans Devanagari"/>
          <w:kern w:val="2"/>
          <w:szCs w:val="24"/>
          <w:lang w:eastAsia="zh-CN" w:bidi="hi-IN"/>
        </w:rPr>
      </w:pPr>
      <w:r w:rsidRPr="00400193">
        <w:rPr>
          <w:rFonts w:eastAsia="Noto Sans SC Regular" w:cs="Droid Sans Devanagari"/>
          <w:kern w:val="2"/>
          <w:szCs w:val="24"/>
          <w:lang w:eastAsia="zh-CN" w:bidi="hi-IN"/>
        </w:rPr>
        <w:t>A review of articles on resilience, for example those by Haimes (2009) and Ayyub (2014), as well on the possibility of cyber-risk insurance (Mukhopadhyay et al., 2013) provided useful information.</w:t>
      </w:r>
      <w:bookmarkStart w:id="31" w:name="_Hlk42540793"/>
      <w:bookmarkEnd w:id="30"/>
    </w:p>
    <w:p w14:paraId="3F28AC45" w14:textId="77777777" w:rsidR="006E3616" w:rsidRPr="00400193" w:rsidRDefault="006E3616" w:rsidP="006E3616">
      <w:pPr>
        <w:pStyle w:val="Heading2"/>
        <w:rPr>
          <w:rFonts w:eastAsia="Arial Unicode MS"/>
        </w:rPr>
      </w:pPr>
      <w:bookmarkStart w:id="32" w:name="_26in1rg"/>
      <w:bookmarkStart w:id="33" w:name="_z337ya"/>
      <w:bookmarkStart w:id="34" w:name="_3j2qqm3"/>
      <w:bookmarkStart w:id="35" w:name="_Toc61894643"/>
      <w:bookmarkEnd w:id="31"/>
      <w:bookmarkEnd w:id="32"/>
      <w:bookmarkEnd w:id="33"/>
      <w:bookmarkEnd w:id="34"/>
      <w:r w:rsidRPr="00400193">
        <w:rPr>
          <w:rFonts w:eastAsia="Arial Unicode MS"/>
        </w:rPr>
        <w:t>Organisation and Structure of the Research Study</w:t>
      </w:r>
      <w:bookmarkEnd w:id="35"/>
    </w:p>
    <w:p w14:paraId="5F5CA4AA" w14:textId="0D6619E2" w:rsidR="00BD0E61" w:rsidRPr="00400193" w:rsidRDefault="006E3616" w:rsidP="00F84034">
      <w:r w:rsidRPr="00400193">
        <w:t xml:space="preserve">The structure of the thesis is as follows. </w:t>
      </w:r>
      <w:r w:rsidR="00BD0E61" w:rsidRPr="00400193">
        <w:t xml:space="preserve"> This chapter sets out the background and rationale, introduces the research aims and objectives, and sets the research question and agenda. </w:t>
      </w:r>
      <w:r w:rsidRPr="00400193">
        <w:t>Chapter Two presents a critical and systematic review of the literature on cyber-resilience, risk, and the major concepts used in this study. It identifies answers to the research questions, as well as ways in which risk and resilience may be linked. It also explores some of the previous work on definitions and taxonomies for cyber-risk and resilience.</w:t>
      </w:r>
      <w:r w:rsidR="00BD0E61" w:rsidRPr="00400193">
        <w:rPr>
          <w:rFonts w:ascii="Times New Roman" w:eastAsia="Times New Roman" w:hAnsi="Times New Roman" w:cs="Times New Roman"/>
          <w:szCs w:val="24"/>
          <w:lang w:eastAsia="en-GB"/>
        </w:rPr>
        <w:t xml:space="preserve"> </w:t>
      </w:r>
      <w:r w:rsidR="00BD0E61" w:rsidRPr="00400193">
        <w:rPr>
          <w:rFonts w:eastAsia="Times New Roman"/>
          <w:szCs w:val="24"/>
          <w:lang w:eastAsia="en-GB"/>
        </w:rPr>
        <w:t>It the</w:t>
      </w:r>
      <w:r w:rsidR="002C53F4" w:rsidRPr="00400193">
        <w:t>refore p</w:t>
      </w:r>
      <w:r w:rsidR="00BD0E61" w:rsidRPr="00400193">
        <w:t>rovides definitions of the concepts</w:t>
      </w:r>
      <w:r w:rsidR="002C53F4" w:rsidRPr="00400193">
        <w:t>, p</w:t>
      </w:r>
      <w:r w:rsidR="00BD0E61" w:rsidRPr="00400193">
        <w:t>rovides a critical analysis of extant literature</w:t>
      </w:r>
      <w:r w:rsidR="002C53F4" w:rsidRPr="00400193">
        <w:t>, and p</w:t>
      </w:r>
      <w:r w:rsidR="00BD0E61" w:rsidRPr="00400193">
        <w:t>rovides a rationale for the need of a new framework</w:t>
      </w:r>
      <w:r w:rsidR="002C53F4" w:rsidRPr="00400193">
        <w:t>.</w:t>
      </w:r>
    </w:p>
    <w:p w14:paraId="0B11F182" w14:textId="652BC904" w:rsidR="004E18FD" w:rsidRPr="00400193" w:rsidRDefault="006E3616" w:rsidP="00F84034">
      <w:r w:rsidRPr="00400193">
        <w:t>Chapter Three</w:t>
      </w:r>
      <w:r w:rsidR="009512C9" w:rsidRPr="00400193">
        <w:t xml:space="preserve"> supplies the conceptual framework</w:t>
      </w:r>
      <w:r w:rsidRPr="00400193">
        <w:t xml:space="preserve"> </w:t>
      </w:r>
      <w:r w:rsidR="009512C9" w:rsidRPr="00400193">
        <w:t>developed from the literature</w:t>
      </w:r>
      <w:r w:rsidRPr="00400193">
        <w:t>.</w:t>
      </w:r>
      <w:r w:rsidR="002C53F4" w:rsidRPr="00400193">
        <w:t xml:space="preserve"> In essence it explains the concept of the framework, details the theoretical perspective, and details the framework. </w:t>
      </w:r>
      <w:r w:rsidRPr="00400193">
        <w:t>Chapter Four</w:t>
      </w:r>
      <w:r w:rsidR="009512C9" w:rsidRPr="00400193">
        <w:t xml:space="preserve"> explains the epistemology and ontology behind the research and details the methodology used to gather and analyse the data</w:t>
      </w:r>
      <w:r w:rsidRPr="00400193">
        <w:t xml:space="preserve"> </w:t>
      </w:r>
      <w:r w:rsidR="004E18FD" w:rsidRPr="00400193">
        <w:t>and gives an overview of the ontology and epistemology of the research, details the data collection and analysis methods, and discusses the ethical considerations.</w:t>
      </w:r>
    </w:p>
    <w:p w14:paraId="43C05FDA" w14:textId="5BCB85DA" w:rsidR="008608D4" w:rsidRPr="00400193" w:rsidRDefault="006E3616" w:rsidP="004E18FD">
      <w:r w:rsidRPr="00400193">
        <w:t>Chapter Five explains data collection and analysis.</w:t>
      </w:r>
      <w:r w:rsidR="004E18FD" w:rsidRPr="00400193">
        <w:t xml:space="preserve"> It then p</w:t>
      </w:r>
      <w:r w:rsidR="004E18FD" w:rsidRPr="00400193">
        <w:rPr>
          <w:rFonts w:eastAsia="Times New Roman"/>
          <w:szCs w:val="24"/>
          <w:lang w:eastAsia="en-GB"/>
        </w:rPr>
        <w:t xml:space="preserve">rovides a detailed analysis of the collected data, presents the data graphically, and investigates the reliability of the data. </w:t>
      </w:r>
      <w:r w:rsidRPr="00400193">
        <w:t xml:space="preserve">The data are then discussed in detail in Chapter Six, </w:t>
      </w:r>
      <w:r w:rsidR="004E18FD" w:rsidRPr="00400193">
        <w:t xml:space="preserve">which gives an overview of the findings, explains validity of findings, summarises the regression analysis, </w:t>
      </w:r>
      <w:r w:rsidRPr="00400193">
        <w:t>with the Conclusions and Recommendations in Chapter Seven</w:t>
      </w:r>
      <w:r w:rsidR="004E18FD" w:rsidRPr="00400193">
        <w:t>, which explains the accomplishment of the objectives, details the contribution of the research, explains the implications of the research, details the limitations, and proposes future and further research.</w:t>
      </w:r>
    </w:p>
    <w:p w14:paraId="2FCBDE26" w14:textId="792E1959" w:rsidR="006E3616" w:rsidRPr="00400193" w:rsidRDefault="006E3616" w:rsidP="00F703E5">
      <w:pPr>
        <w:spacing w:after="0" w:line="240" w:lineRule="auto"/>
      </w:pPr>
      <w:bookmarkStart w:id="36" w:name="_Ref42867929"/>
    </w:p>
    <w:p w14:paraId="593709C2" w14:textId="77777777" w:rsidR="006E3616" w:rsidRPr="00400193" w:rsidRDefault="006E3616" w:rsidP="006E3616">
      <w:pPr>
        <w:pStyle w:val="Heading2"/>
        <w:rPr>
          <w:rFonts w:eastAsia="Arial Unicode MS"/>
        </w:rPr>
      </w:pPr>
      <w:bookmarkStart w:id="37" w:name="_1y810tw"/>
      <w:bookmarkStart w:id="38" w:name="_Toc61894644"/>
      <w:bookmarkEnd w:id="36"/>
      <w:bookmarkEnd w:id="37"/>
      <w:r w:rsidRPr="00400193">
        <w:rPr>
          <w:rFonts w:eastAsia="Arial Unicode MS"/>
        </w:rPr>
        <w:lastRenderedPageBreak/>
        <w:t>Summary</w:t>
      </w:r>
      <w:bookmarkEnd w:id="38"/>
    </w:p>
    <w:p w14:paraId="2F7E29F9" w14:textId="77777777" w:rsidR="006E3616" w:rsidRPr="00400193" w:rsidRDefault="006E3616" w:rsidP="006E3616">
      <w:r w:rsidRPr="00400193">
        <w:t>The chapter has introduced the research, detailing the background factors for the UAE public sector. This has defined the need for additional research into cyber-risk awareness and cyber-resilience to bring the UAE’s public sector into line with the governmental aim to make the country into a “safe cyber-space” zone. Sections on the background and rationale considered deficiencies in the existing research, with an emphasis on the gap between the two current approaches to cyber-security. The discovery of a research gap allowed discussion on how this study will fill that gap, setting out the research problem statement.</w:t>
      </w:r>
    </w:p>
    <w:p w14:paraId="08B7C651" w14:textId="5EF44043" w:rsidR="006E3616" w:rsidRPr="00400193" w:rsidRDefault="006E3616" w:rsidP="006E3616">
      <w:r w:rsidRPr="00400193">
        <w:t xml:space="preserve">The problem statement set out specific areas that need investigating before it is possible to create a new conceptual framework or answer the research questions. These are not unique to the UAE and could be amended to fit the needs of another country, although the connection to the public sector and critical infrastructure </w:t>
      </w:r>
      <w:r w:rsidR="00B31CAC" w:rsidRPr="00400193">
        <w:t>would</w:t>
      </w:r>
      <w:r w:rsidRPr="00400193">
        <w:t xml:space="preserve"> remain. The chapter then set out the research questions linked to the dependent and independent variables of the research – internal and external risks, vulnerabilities and weaknesses, response in place, and organisational resilience. The next chapter provides a detailed review of the literature in this area.</w:t>
      </w:r>
    </w:p>
    <w:p w14:paraId="0D3FB6D2" w14:textId="77777777" w:rsidR="006E3616" w:rsidRPr="00400193" w:rsidRDefault="006E3616" w:rsidP="006E3616">
      <w:r w:rsidRPr="00400193">
        <w:t xml:space="preserve"> </w:t>
      </w:r>
    </w:p>
    <w:bookmarkEnd w:id="16"/>
    <w:p w14:paraId="60553BE7" w14:textId="77777777" w:rsidR="006E3616" w:rsidRPr="00400193" w:rsidRDefault="006E3616" w:rsidP="006E3616">
      <w:pPr>
        <w:spacing w:line="259" w:lineRule="auto"/>
        <w:jc w:val="left"/>
        <w:rPr>
          <w:rFonts w:eastAsia="Arial Unicode MS"/>
          <w:b/>
          <w:sz w:val="32"/>
          <w:szCs w:val="32"/>
        </w:rPr>
      </w:pPr>
      <w:r w:rsidRPr="00400193">
        <w:rPr>
          <w:rFonts w:eastAsia="Arial Unicode MS"/>
        </w:rPr>
        <w:br w:type="page"/>
      </w:r>
    </w:p>
    <w:p w14:paraId="40E7EDCD" w14:textId="77777777" w:rsidR="006E3616" w:rsidRPr="00400193" w:rsidRDefault="006E3616" w:rsidP="00BC5829">
      <w:pPr>
        <w:pStyle w:val="Heading1"/>
        <w:ind w:left="0"/>
        <w:rPr>
          <w:rFonts w:eastAsia="Arial Unicode MS"/>
        </w:rPr>
      </w:pPr>
      <w:bookmarkStart w:id="39" w:name="_Toc61894645"/>
      <w:r w:rsidRPr="00400193">
        <w:rPr>
          <w:rFonts w:eastAsia="Arial Unicode MS"/>
        </w:rPr>
        <w:lastRenderedPageBreak/>
        <w:t>Literature Review</w:t>
      </w:r>
      <w:bookmarkEnd w:id="39"/>
    </w:p>
    <w:p w14:paraId="1C9AA5FF" w14:textId="77777777" w:rsidR="006E3616" w:rsidRPr="00400193" w:rsidRDefault="006E3616" w:rsidP="006E3616">
      <w:pPr>
        <w:numPr>
          <w:ilvl w:val="0"/>
          <w:numId w:val="2"/>
        </w:numPr>
        <w:spacing w:before="120" w:after="120" w:line="240" w:lineRule="auto"/>
        <w:rPr>
          <w:rFonts w:eastAsia="Arial Unicode MS"/>
          <w:b/>
          <w:bCs/>
          <w:vanish/>
          <w:szCs w:val="24"/>
        </w:rPr>
      </w:pPr>
      <w:bookmarkStart w:id="40" w:name="_2xcytpi"/>
      <w:bookmarkEnd w:id="40"/>
    </w:p>
    <w:p w14:paraId="73DED6EA" w14:textId="77777777" w:rsidR="006E3616" w:rsidRPr="00400193" w:rsidRDefault="006E3616" w:rsidP="006E3616">
      <w:pPr>
        <w:numPr>
          <w:ilvl w:val="0"/>
          <w:numId w:val="2"/>
        </w:numPr>
        <w:spacing w:before="120" w:after="120" w:line="240" w:lineRule="auto"/>
        <w:rPr>
          <w:rFonts w:eastAsia="Arial Unicode MS"/>
          <w:b/>
          <w:bCs/>
          <w:vanish/>
          <w:szCs w:val="24"/>
        </w:rPr>
      </w:pPr>
    </w:p>
    <w:p w14:paraId="46E7C073" w14:textId="77777777" w:rsidR="006E3616" w:rsidRPr="00400193" w:rsidRDefault="006E3616" w:rsidP="006E3616">
      <w:pPr>
        <w:pStyle w:val="Heading2"/>
        <w:rPr>
          <w:rFonts w:eastAsia="Arial Unicode MS"/>
        </w:rPr>
      </w:pPr>
      <w:bookmarkStart w:id="41" w:name="_Toc61894646"/>
      <w:r w:rsidRPr="00400193">
        <w:rPr>
          <w:rFonts w:eastAsia="Arial Unicode MS"/>
        </w:rPr>
        <w:t>Introduction</w:t>
      </w:r>
      <w:bookmarkEnd w:id="41"/>
    </w:p>
    <w:p w14:paraId="43CED5EB" w14:textId="77777777" w:rsidR="006E3616" w:rsidRPr="00400193" w:rsidRDefault="006E3616" w:rsidP="006E3616">
      <w:r w:rsidRPr="00400193">
        <w:t>The purpose of this study was to investigate how cyber-resilience affects cyber-risk readiness in UAE public sector organisations, and to determine if employees’ skills and capabilities moderate the relationship between cyber-risk and adoption of resilience practices. This study reviews the literature on these concepts. It provides: (a) definitions and theory of cyber-security, (b) an examination of the existing cyber-security frameworks, (c) a review of the literature on emerging cyber-risks, (d) a review of literature on patterns of cyber-attacks, (e) an analysis of research on the relationship between cyber-attack practices and CRM, and (f) a summary of the current gaps and answers to the research questions.</w:t>
      </w:r>
    </w:p>
    <w:p w14:paraId="70F15F8D" w14:textId="4730A809" w:rsidR="006E3616" w:rsidRPr="00400193" w:rsidRDefault="006E3616" w:rsidP="006E3616">
      <w:r w:rsidRPr="00400193">
        <w:t xml:space="preserve">The chapter presents a </w:t>
      </w:r>
      <w:r w:rsidR="00D16B42" w:rsidRPr="00400193">
        <w:t>s</w:t>
      </w:r>
      <w:r w:rsidRPr="00400193">
        <w:t xml:space="preserve">ystematic review of the literature, selected through a library search of academic journals and databases using Boolean operators and keywords. The search for “Cyber+resilience+UAE+attack” provided 129 items, some of which were not usable because they were newspaper reports or were from a different area of study (photovoltaics). Further references were identified from the reference lists in useful articles. </w:t>
      </w:r>
    </w:p>
    <w:p w14:paraId="76EB937D" w14:textId="2B35AD36" w:rsidR="006E3616" w:rsidRPr="00400193" w:rsidRDefault="006E3616" w:rsidP="006E3616">
      <w:pPr>
        <w:pStyle w:val="Heading2"/>
        <w:rPr>
          <w:rFonts w:eastAsia="Arial Unicode MS"/>
        </w:rPr>
      </w:pPr>
      <w:bookmarkStart w:id="42" w:name="_1ci93xb"/>
      <w:bookmarkStart w:id="43" w:name="_Toc61894647"/>
      <w:bookmarkEnd w:id="42"/>
      <w:r w:rsidRPr="00400193">
        <w:rPr>
          <w:rFonts w:eastAsia="Arial Unicode MS"/>
        </w:rPr>
        <w:t>Definitions of Cyber Resilience</w:t>
      </w:r>
      <w:bookmarkEnd w:id="43"/>
    </w:p>
    <w:p w14:paraId="4542B39A" w14:textId="48B56D01" w:rsidR="003239D2" w:rsidRPr="00400193" w:rsidRDefault="003239D2" w:rsidP="003239D2">
      <w:r w:rsidRPr="00400193">
        <w:t xml:space="preserve">Cyber resilience has a simple definition – it is the ability of a company or government body to recover from a major cyber-attack. When discussing resilience in general, Renn </w:t>
      </w:r>
      <w:r w:rsidR="004155AD" w:rsidRPr="00400193">
        <w:t>(2013)</w:t>
      </w:r>
      <w:r w:rsidRPr="00400193">
        <w:t xml:space="preserve"> suggests that it is something that every company should strive for, but cyber resilience is particularly important for a nation’s CI. It is increasingly likely that governments and public sector bodies will be subject to cyber-attack (Darkmatter, 2020), and cyber-terrorism is a growing threat (Al Mazari</w:t>
      </w:r>
      <w:r w:rsidR="00704A6D" w:rsidRPr="00400193">
        <w:t xml:space="preserve"> et al</w:t>
      </w:r>
      <w:r w:rsidRPr="00400193">
        <w:t>., 2016). If the public sector bodies are not cyber resilient an attack could result</w:t>
      </w:r>
      <w:r w:rsidR="004155AD" w:rsidRPr="00400193">
        <w:t xml:space="preserve"> in catastrophic losses.</w:t>
      </w:r>
    </w:p>
    <w:p w14:paraId="1D2F5610" w14:textId="7323A869" w:rsidR="00D07E8B" w:rsidRPr="00400193" w:rsidRDefault="004155AD" w:rsidP="003239D2">
      <w:r w:rsidRPr="00400193">
        <w:t>Losses of that magnitude would cripple or bankrupt a private company, but the consequences for governmental bodies are far worse, so cyber resilience becomes essential (Rehak, 2020). For this reason, in CI and the public sector, cyber resilience can be defined as the ability to continue to operate in the face of a concerted cyber-</w:t>
      </w:r>
      <w:r w:rsidRPr="00400193">
        <w:lastRenderedPageBreak/>
        <w:t>attack. Vulnerable institutions, such as hospitals</w:t>
      </w:r>
      <w:r w:rsidR="00D07E8B" w:rsidRPr="00400193">
        <w:t xml:space="preserve"> (Argaw</w:t>
      </w:r>
      <w:r w:rsidR="00704A6D" w:rsidRPr="00400193">
        <w:t xml:space="preserve"> et al</w:t>
      </w:r>
      <w:r w:rsidR="00D07E8B" w:rsidRPr="00400193">
        <w:t xml:space="preserve">., 2019; Owens, 2020), and other institutions that make use of softwarised networks </w:t>
      </w:r>
      <w:r w:rsidR="00337F8A" w:rsidRPr="00400193">
        <w:t>(Ciavaglia, Chemouil, and Maggs, 2019)</w:t>
      </w:r>
      <w:r w:rsidR="00D40C55" w:rsidRPr="00400193">
        <w:t xml:space="preserve"> </w:t>
      </w:r>
      <w:r w:rsidR="00D07E8B" w:rsidRPr="00400193">
        <w:t>therefore need to put cyber resilience ahead of other cyber-security issues.</w:t>
      </w:r>
    </w:p>
    <w:p w14:paraId="485505DA" w14:textId="77777777" w:rsidR="00D07E8B" w:rsidRPr="00400193" w:rsidRDefault="00D07E8B" w:rsidP="00D07E8B">
      <w:pPr>
        <w:pStyle w:val="Heading3"/>
      </w:pPr>
      <w:bookmarkStart w:id="44" w:name="_Ref50733613"/>
      <w:bookmarkStart w:id="45" w:name="_Toc61894648"/>
      <w:r w:rsidRPr="00400193">
        <w:t>A Taxonomy of Cyber-Risk, Cyber-Resilience, and Cyber-Security</w:t>
      </w:r>
      <w:bookmarkEnd w:id="44"/>
      <w:bookmarkEnd w:id="45"/>
    </w:p>
    <w:p w14:paraId="62793E9D" w14:textId="5A9CF7DB" w:rsidR="004155AD" w:rsidRPr="00400193" w:rsidRDefault="00D07E8B" w:rsidP="00965E53">
      <w:r w:rsidRPr="00400193">
        <w:t xml:space="preserve">Since the research </w:t>
      </w:r>
      <w:r w:rsidR="00965E53" w:rsidRPr="00400193">
        <w:t>proposes a conceptual framework for measuring and improving cyber resilience in the public sector companies, the meaning of these three terms must be made clear from the outset – although all are accepted terminology in the journals and books reviewed, small nuances of meaning could lead to misunderstandings in the findings and conclusions of the research. Therefore, the exact meaning of each phrase, as used throughout this thesis, is detailed here.</w:t>
      </w:r>
    </w:p>
    <w:p w14:paraId="52DD7861" w14:textId="4FCFEEF8" w:rsidR="00965E53" w:rsidRPr="00400193" w:rsidRDefault="00965E53" w:rsidP="00056969">
      <w:pPr>
        <w:pStyle w:val="ListParagraph"/>
        <w:numPr>
          <w:ilvl w:val="0"/>
          <w:numId w:val="16"/>
        </w:numPr>
        <w:rPr>
          <w:b/>
          <w:bCs/>
        </w:rPr>
      </w:pPr>
      <w:bookmarkStart w:id="46" w:name="cyberriskdefinition"/>
      <w:r w:rsidRPr="00400193">
        <w:rPr>
          <w:b/>
          <w:bCs/>
        </w:rPr>
        <w:t>Cyber-Risk</w:t>
      </w:r>
      <w:bookmarkEnd w:id="46"/>
      <w:r w:rsidRPr="00400193">
        <w:rPr>
          <w:b/>
          <w:bCs/>
        </w:rPr>
        <w:t>:</w:t>
      </w:r>
    </w:p>
    <w:p w14:paraId="3BD4DE8E" w14:textId="76C25F3E" w:rsidR="00965E53" w:rsidRPr="00400193" w:rsidRDefault="00BC33B8" w:rsidP="0071526E">
      <w:pPr>
        <w:pStyle w:val="ListParagraph"/>
      </w:pPr>
      <w:r w:rsidRPr="00400193">
        <w:t xml:space="preserve">Cyber-Risks many of which are listed in the Tables in </w:t>
      </w:r>
      <w:r w:rsidRPr="00400193">
        <w:fldChar w:fldCharType="begin"/>
      </w:r>
      <w:r w:rsidRPr="00400193">
        <w:instrText xml:space="preserve"> REF _Ref50570492 \h </w:instrText>
      </w:r>
      <w:r w:rsidRPr="00400193">
        <w:fldChar w:fldCharType="separate"/>
      </w:r>
      <w:r w:rsidR="00BB7C18" w:rsidRPr="00400193">
        <w:t xml:space="preserve">Appendix </w:t>
      </w:r>
      <w:r w:rsidR="00BB7C18">
        <w:rPr>
          <w:noProof/>
        </w:rPr>
        <w:t>4</w:t>
      </w:r>
      <w:r w:rsidRPr="00400193">
        <w:fldChar w:fldCharType="end"/>
      </w:r>
      <w:r w:rsidRPr="00400193">
        <w:t>, have rarely been examined on an inter-company basis (Ghadge, Weiß, Caldwell, and Wilding, 2019). They are defined, for the purpose of this research, as any risk associated with the integrity of confidential data in any connected system. As systems become increasingly connected through the IoT, existing threats may become a greater risk, so that continuous assessment is essential</w:t>
      </w:r>
      <w:r w:rsidR="0071526E" w:rsidRPr="00400193">
        <w:t xml:space="preserve"> </w:t>
      </w:r>
      <w:r w:rsidR="00E67F45" w:rsidRPr="00400193">
        <w:t xml:space="preserve">(Kandasamy, Srinivas, Achuthan, </w:t>
      </w:r>
      <w:r w:rsidR="00337F8A" w:rsidRPr="00400193">
        <w:t>and</w:t>
      </w:r>
      <w:r w:rsidR="00E67F45" w:rsidRPr="00400193">
        <w:t xml:space="preserve"> Rangan, 2020)</w:t>
      </w:r>
      <w:r w:rsidR="0071526E" w:rsidRPr="00400193">
        <w:t>. As Radanliev</w:t>
      </w:r>
      <w:r w:rsidR="00704A6D" w:rsidRPr="00400193">
        <w:t xml:space="preserve"> et al</w:t>
      </w:r>
      <w:r w:rsidR="0071526E" w:rsidRPr="00400193">
        <w:t>. (2020) point out, Artificial Intelligence (AI) combined with the industrial IoT is a potential cyber-risk.</w:t>
      </w:r>
    </w:p>
    <w:p w14:paraId="3B33B96B" w14:textId="6A9EF2DA" w:rsidR="00965E53" w:rsidRPr="00400193" w:rsidRDefault="00965E53" w:rsidP="00056969">
      <w:pPr>
        <w:pStyle w:val="ListParagraph"/>
        <w:numPr>
          <w:ilvl w:val="0"/>
          <w:numId w:val="16"/>
        </w:numPr>
        <w:rPr>
          <w:b/>
          <w:bCs/>
        </w:rPr>
      </w:pPr>
      <w:bookmarkStart w:id="47" w:name="cyberresiliencedefinition"/>
      <w:r w:rsidRPr="00400193">
        <w:rPr>
          <w:b/>
          <w:bCs/>
        </w:rPr>
        <w:t>Cyber-Resilience</w:t>
      </w:r>
      <w:bookmarkEnd w:id="47"/>
      <w:r w:rsidRPr="00400193">
        <w:rPr>
          <w:b/>
          <w:bCs/>
        </w:rPr>
        <w:t>:</w:t>
      </w:r>
    </w:p>
    <w:p w14:paraId="6ED78F40" w14:textId="66077AF1" w:rsidR="0071526E" w:rsidRPr="00400193" w:rsidRDefault="0071526E" w:rsidP="0071526E">
      <w:pPr>
        <w:pStyle w:val="ListParagraph"/>
      </w:pPr>
      <w:r w:rsidRPr="00400193">
        <w:t>Within this research, the definition of cyber-resilience used is that provided by Zhang, Collins, and O'Connor-Close, (2020, p. iii):</w:t>
      </w:r>
    </w:p>
    <w:p w14:paraId="6D3EF0D6" w14:textId="158C1265" w:rsidR="0071526E" w:rsidRPr="00400193" w:rsidRDefault="0071526E" w:rsidP="00AF1660">
      <w:pPr>
        <w:pStyle w:val="Quote"/>
      </w:pPr>
      <w:r w:rsidRPr="00400193">
        <w:t>“Cyber resilience is the ability to withstand, contain, and rapidly recover from a cyber incident by anticipating and adapting to cyber threats and other relevant changes in the environment.”</w:t>
      </w:r>
    </w:p>
    <w:p w14:paraId="4EB37D48" w14:textId="0B5175F0" w:rsidR="00965E53" w:rsidRPr="00400193" w:rsidRDefault="0071526E" w:rsidP="009E45E9">
      <w:pPr>
        <w:pStyle w:val="ListParagraph"/>
        <w:rPr>
          <w:i/>
          <w:iCs/>
        </w:rPr>
      </w:pPr>
      <w:r w:rsidRPr="00400193">
        <w:t xml:space="preserve">This definition clearly separates resilience from security, and the separation allows a better insight into how the two can be combined. Thus, ideas for </w:t>
      </w:r>
      <w:r w:rsidR="00E2063B" w:rsidRPr="00400193">
        <w:t xml:space="preserve">construction of resilience models (Madni, Erwin, </w:t>
      </w:r>
      <w:r w:rsidR="00337F8A" w:rsidRPr="00400193">
        <w:t>and</w:t>
      </w:r>
      <w:r w:rsidR="00E2063B" w:rsidRPr="00400193">
        <w:t xml:space="preserve"> Sievers, 2020), and for the combination of optimisation and resilience </w:t>
      </w:r>
      <w:r w:rsidR="00E67F45" w:rsidRPr="00400193">
        <w:t xml:space="preserve">(Bécue, Maia, Feeken, Borchers, </w:t>
      </w:r>
      <w:r w:rsidR="00337F8A" w:rsidRPr="00400193">
        <w:t>and</w:t>
      </w:r>
      <w:r w:rsidR="00E67F45" w:rsidRPr="00400193">
        <w:t xml:space="preserve"> Praça, 2020)</w:t>
      </w:r>
      <w:r w:rsidR="00E2063B" w:rsidRPr="00400193">
        <w:t xml:space="preserve"> can also be utilised in the new conceptual framework.</w:t>
      </w:r>
      <w:r w:rsidR="009E45E9" w:rsidRPr="00400193">
        <w:t xml:space="preserve"> </w:t>
      </w:r>
    </w:p>
    <w:p w14:paraId="090F6165" w14:textId="4810320A" w:rsidR="00965E53" w:rsidRPr="00400193" w:rsidRDefault="00965E53" w:rsidP="00056969">
      <w:pPr>
        <w:pStyle w:val="ListParagraph"/>
        <w:numPr>
          <w:ilvl w:val="0"/>
          <w:numId w:val="16"/>
        </w:numPr>
        <w:rPr>
          <w:b/>
          <w:bCs/>
        </w:rPr>
      </w:pPr>
      <w:bookmarkStart w:id="48" w:name="cybersecuritydefinition"/>
      <w:r w:rsidRPr="00400193">
        <w:rPr>
          <w:b/>
          <w:bCs/>
        </w:rPr>
        <w:t>Cyber-Security</w:t>
      </w:r>
      <w:bookmarkEnd w:id="48"/>
      <w:r w:rsidRPr="00400193">
        <w:rPr>
          <w:b/>
          <w:bCs/>
        </w:rPr>
        <w:t>:</w:t>
      </w:r>
    </w:p>
    <w:p w14:paraId="305C95C2" w14:textId="1BD83C28" w:rsidR="00E2063B" w:rsidRPr="00400193" w:rsidRDefault="00E2063B" w:rsidP="00E2063B">
      <w:pPr>
        <w:pStyle w:val="ListParagraph"/>
      </w:pPr>
      <w:r w:rsidRPr="00400193">
        <w:lastRenderedPageBreak/>
        <w:t>To define cyber-security for this research was not straight forward:</w:t>
      </w:r>
    </w:p>
    <w:p w14:paraId="685C4A59" w14:textId="071DE228" w:rsidR="00E2063B" w:rsidRPr="00400193" w:rsidRDefault="00E2063B" w:rsidP="00AF1660">
      <w:pPr>
        <w:pStyle w:val="Quote"/>
      </w:pPr>
      <w:r w:rsidRPr="00400193">
        <w:t xml:space="preserve">“In recent years, 'Cyber Security' has emerged as a widely-used term with increased adoption by practitioners and politicians alike. However, as with many fashionable jargon, there seems to be very little understanding of what the term really entails” (Schatz, Bashroush, </w:t>
      </w:r>
      <w:r w:rsidR="00337F8A" w:rsidRPr="00400193">
        <w:t>and</w:t>
      </w:r>
      <w:r w:rsidRPr="00400193">
        <w:t xml:space="preserve"> Wall, 2017, p. 53)</w:t>
      </w:r>
    </w:p>
    <w:p w14:paraId="0BC6971A" w14:textId="4617A55E" w:rsidR="00965E53" w:rsidRPr="00400193" w:rsidRDefault="00E2063B" w:rsidP="00AF1660">
      <w:pPr>
        <w:rPr>
          <w:i/>
          <w:iCs/>
        </w:rPr>
      </w:pPr>
      <w:r w:rsidRPr="00400193">
        <w:t xml:space="preserve">Essentially, it contains elements of physical data security, which is the domain of the IT department, and elements of personal behaviour and attitude, which is not. As technology changes, there can be uncertainties of problem definition </w:t>
      </w:r>
      <w:r w:rsidR="00E67F45" w:rsidRPr="00400193">
        <w:t>(Lewallen, 2020)</w:t>
      </w:r>
      <w:r w:rsidRPr="00400193">
        <w:t>, but the essential aspect of cyber-security is that it takes place</w:t>
      </w:r>
      <w:r w:rsidR="00203117" w:rsidRPr="00400193">
        <w:t xml:space="preserve"> in an imaginary place – cyber-space. Thus, it is not simply the security of the data, but the security of the data whilst it is being used. If the data can be misused or misappropriated, it is not secure, regardless of access security etc. the vulnerabilities to attack mainly occur when the connected system is being used legitimately, so that continuous monitoring is necessary.</w:t>
      </w:r>
    </w:p>
    <w:p w14:paraId="54CFE815" w14:textId="5CEDD5F3" w:rsidR="003239D2" w:rsidRPr="00400193" w:rsidRDefault="003239D2" w:rsidP="003239D2">
      <w:pPr>
        <w:pStyle w:val="Heading2"/>
      </w:pPr>
      <w:bookmarkStart w:id="49" w:name="_Toc61894649"/>
      <w:r w:rsidRPr="00400193">
        <w:t>Cyber-risk and Security</w:t>
      </w:r>
      <w:bookmarkEnd w:id="49"/>
    </w:p>
    <w:p w14:paraId="46861892" w14:textId="6F6D7289" w:rsidR="006E3616" w:rsidRPr="00400193" w:rsidRDefault="006E3616" w:rsidP="006E3616">
      <w:r w:rsidRPr="00400193">
        <w:t xml:space="preserve">The global Allianz survey (Allianz, 2016) placed cyber-risk among the top three business risks for 2016, and in the list of the emerging risks of the future. Growing dependence on digital business practices means that enterprises of all sizes also have an increasing appetite for protection against cyber-risks </w:t>
      </w:r>
      <w:sdt>
        <w:sdtPr>
          <w:id w:val="-2040737297"/>
          <w:citation/>
        </w:sdtPr>
        <w:sdtEndPr/>
        <w:sdtContent>
          <w:r w:rsidRPr="00400193">
            <w:fldChar w:fldCharType="begin"/>
          </w:r>
          <w:r w:rsidRPr="00400193">
            <w:instrText xml:space="preserve"> CITATION COS15 \l 2057 </w:instrText>
          </w:r>
          <w:r w:rsidRPr="00400193">
            <w:fldChar w:fldCharType="separate"/>
          </w:r>
          <w:r w:rsidRPr="00400193">
            <w:t>(COSO, 2015a)</w:t>
          </w:r>
          <w:r w:rsidRPr="00400193">
            <w:fldChar w:fldCharType="end"/>
          </w:r>
        </w:sdtContent>
      </w:sdt>
      <w:r w:rsidRPr="00400193">
        <w:t xml:space="preserve">. All enterprises need to understand cyber-risks and develop robust guidance to bolster information security and reduce vulnerability to cyber-attacks </w:t>
      </w:r>
      <w:sdt>
        <w:sdtPr>
          <w:id w:val="-487094972"/>
          <w:citation/>
        </w:sdtPr>
        <w:sdtEndPr/>
        <w:sdtContent>
          <w:r w:rsidRPr="00400193">
            <w:fldChar w:fldCharType="begin"/>
          </w:r>
          <w:r w:rsidRPr="00400193">
            <w:instrText xml:space="preserve"> CITATION COS5a \l 2057 </w:instrText>
          </w:r>
          <w:r w:rsidRPr="00400193">
            <w:fldChar w:fldCharType="separate"/>
          </w:r>
          <w:r w:rsidRPr="00400193">
            <w:t>(COSO, 2015b)</w:t>
          </w:r>
          <w:r w:rsidRPr="00400193">
            <w:fldChar w:fldCharType="end"/>
          </w:r>
        </w:sdtContent>
      </w:sdt>
      <w:r w:rsidRPr="00400193">
        <w:t xml:space="preserve">. Enterprises and public sector bodies both face a daily and wide-ranging cyber-war that is endangering their security and operational effectiveness </w:t>
      </w:r>
      <w:sdt>
        <w:sdtPr>
          <w:id w:val="-657303118"/>
          <w:citation/>
        </w:sdtPr>
        <w:sdtEndPr/>
        <w:sdtContent>
          <w:r w:rsidRPr="00400193">
            <w:fldChar w:fldCharType="begin"/>
          </w:r>
          <w:r w:rsidRPr="00400193">
            <w:instrText xml:space="preserve"> CITATION Cha19 \l 2057 </w:instrText>
          </w:r>
          <w:r w:rsidRPr="00400193">
            <w:fldChar w:fldCharType="separate"/>
          </w:r>
          <w:r w:rsidRPr="00400193">
            <w:t>(Chatham House, 2019)</w:t>
          </w:r>
          <w:r w:rsidRPr="00400193">
            <w:fldChar w:fldCharType="end"/>
          </w:r>
        </w:sdtContent>
      </w:sdt>
      <w:r w:rsidRPr="00400193">
        <w:t xml:space="preserve">. </w:t>
      </w:r>
    </w:p>
    <w:p w14:paraId="2169841D" w14:textId="77777777" w:rsidR="006E3616" w:rsidRPr="00400193" w:rsidRDefault="006E3616" w:rsidP="006E3616">
      <w:r w:rsidRPr="00400193">
        <w:t xml:space="preserve">There is an obvious need for security against cyber-risks, but it is also true that </w:t>
      </w:r>
      <w:r w:rsidRPr="00400193">
        <w:rPr>
          <w:i/>
        </w:rPr>
        <w:t>any</w:t>
      </w:r>
      <w:r w:rsidRPr="00400193">
        <w:t xml:space="preserve"> security measures are a compromise. If data are secure, they cannot be accessed, and if data are accessible, they cannot be secure (Schneier, 2000; 2017). This conundrum is directly related to the aim of this thesis, because it is hoped that an awareness of this issue will make employees change their behaviour.</w:t>
      </w:r>
    </w:p>
    <w:p w14:paraId="67FE15AA" w14:textId="6847B894" w:rsidR="006E3616" w:rsidRPr="00400193" w:rsidRDefault="006E3616" w:rsidP="006E3616">
      <w:r w:rsidRPr="00400193">
        <w:t xml:space="preserve">Cyber-risk is a major risk that is still developing and growing. The tendency to dismiss it as </w:t>
      </w:r>
      <w:r w:rsidRPr="00400193">
        <w:rPr>
          <w:i/>
        </w:rPr>
        <w:t>‘an IT problem’</w:t>
      </w:r>
      <w:r w:rsidRPr="00400193">
        <w:t xml:space="preserve"> must be overcome before it is possible to correctly assess the risks, and to build in some resilience (Ayyub, 2014; Haimes, 2009). Insurance against cyber-risk may be possible (Mukhopadhyay</w:t>
      </w:r>
      <w:r w:rsidRPr="00400193">
        <w:rPr>
          <w:i/>
          <w:iCs/>
        </w:rPr>
        <w:t xml:space="preserve"> </w:t>
      </w:r>
      <w:r w:rsidRPr="00400193">
        <w:t xml:space="preserve">et al., 2013), but resilience, the ability to </w:t>
      </w:r>
      <w:r w:rsidRPr="00400193">
        <w:lastRenderedPageBreak/>
        <w:t>continue operating, is necessary (Haimes, 2009). It is also essential to have a response team that knows what to do in the face of a cyber-attack (Yoon</w:t>
      </w:r>
      <w:r w:rsidRPr="00400193">
        <w:rPr>
          <w:i/>
          <w:iCs/>
        </w:rPr>
        <w:t xml:space="preserve"> </w:t>
      </w:r>
      <w:r w:rsidRPr="00400193">
        <w:t xml:space="preserve">et al., 2016). The difficulty is that before the risk can be assessed, it must first be fully understood, and the organisation must take a holistic view of cyber-security (Atoum, Otoom </w:t>
      </w:r>
      <w:r w:rsidR="00337F8A" w:rsidRPr="00400193">
        <w:t>and</w:t>
      </w:r>
      <w:r w:rsidRPr="00400193">
        <w:t xml:space="preserve"> Abu Ali, 2014). Simple systems back-ups are insufficient and could even perpetuate a cyber-attack </w:t>
      </w:r>
      <w:r w:rsidR="00337F8A" w:rsidRPr="00400193">
        <w:t>(Hofmann and Freise, 2011)</w:t>
      </w:r>
      <w:r w:rsidRPr="00400193">
        <w:t>. Resilience requires</w:t>
      </w:r>
      <w:r w:rsidR="00337F8A" w:rsidRPr="00400193">
        <w:t xml:space="preserve"> the</w:t>
      </w:r>
      <w:r w:rsidRPr="00400193">
        <w:t xml:space="preserve"> ability </w:t>
      </w:r>
      <w:r w:rsidR="00337F8A" w:rsidRPr="00400193">
        <w:t>for</w:t>
      </w:r>
      <w:r w:rsidRPr="00400193">
        <w:t xml:space="preserve"> both back-up and </w:t>
      </w:r>
      <w:r w:rsidR="00337F8A" w:rsidRPr="00400193">
        <w:t>recovery</w:t>
      </w:r>
      <w:r w:rsidRPr="00400193">
        <w:t xml:space="preserve"> </w:t>
      </w:r>
      <w:r w:rsidR="00337F8A" w:rsidRPr="00400193">
        <w:t>(Atoum, Otoom, and Abu Ali, 2014)</w:t>
      </w:r>
      <w:r w:rsidRPr="00400193">
        <w:t>.</w:t>
      </w:r>
    </w:p>
    <w:p w14:paraId="1991FF64" w14:textId="723946AA" w:rsidR="006E3616" w:rsidRPr="00400193" w:rsidRDefault="006E3616" w:rsidP="006E3616">
      <w:r w:rsidRPr="00400193">
        <w:t>The true meaning of resilience is therefore how quickly the business or government department can return to ‘business as usual’. The different views on governance to prevent cyber-attacks (</w:t>
      </w:r>
      <w:r w:rsidRPr="00400193">
        <w:rPr>
          <w:iCs/>
        </w:rPr>
        <w:t>e.g.</w:t>
      </w:r>
      <w:r w:rsidRPr="00400193">
        <w:t xml:space="preserve"> Deloitte, 2011; Risk Nexus, 2014) therefore have little to do with resilience. Attacks have become more frequent and more advanced (Bendovschi, 2015; Saini, Rao </w:t>
      </w:r>
      <w:r w:rsidR="00337F8A" w:rsidRPr="00400193">
        <w:t>and</w:t>
      </w:r>
      <w:r w:rsidRPr="00400193">
        <w:t xml:space="preserve"> Panda, 2012), and standards organisations have struggled to keep up. The ISO and BSI (BSI/ISO, 2016) offer a ‘best practice framework’ for ‘information security’ in the form of ISO/IEC 27001 (BSI, 2005). COSO offers guidance for assessing cyber-risks (COSO, 2015b). However, it is not clear whether these frameworks are either sufficient for the needs of organisations, or resilient enough for general application.</w:t>
      </w:r>
    </w:p>
    <w:p w14:paraId="10FF50A2" w14:textId="77777777" w:rsidR="006E3616" w:rsidRPr="00400193" w:rsidRDefault="006E3616" w:rsidP="006E3616">
      <w:pPr>
        <w:pStyle w:val="Heading3"/>
        <w:rPr>
          <w:rFonts w:eastAsia="Arial Unicode MS"/>
        </w:rPr>
      </w:pPr>
      <w:bookmarkStart w:id="50" w:name="_3whwml4"/>
      <w:bookmarkStart w:id="51" w:name="_Toc61894650"/>
      <w:bookmarkEnd w:id="50"/>
      <w:r w:rsidRPr="00400193">
        <w:rPr>
          <w:rFonts w:eastAsia="Arial Unicode MS"/>
        </w:rPr>
        <w:t>Cyber-Security and IT Departments</w:t>
      </w:r>
      <w:bookmarkEnd w:id="51"/>
    </w:p>
    <w:p w14:paraId="2DC51E42" w14:textId="4D86A35C" w:rsidR="006E3616" w:rsidRPr="00400193" w:rsidRDefault="006E3616" w:rsidP="006E3616">
      <w:pPr>
        <w:rPr>
          <w:iCs/>
        </w:rPr>
      </w:pPr>
      <w:r w:rsidRPr="00400193">
        <w:t xml:space="preserve">Even among senior management at board level, there is also often the misconception that information security is purely a technical and operational matter that can only be managed by the IT staff </w:t>
      </w:r>
      <w:r w:rsidR="00337F8A" w:rsidRPr="00400193">
        <w:t>(Trim and Lee, 2017)</w:t>
      </w:r>
      <w:r w:rsidRPr="00400193">
        <w:t xml:space="preserve">. This misunderstanding inhibits critical analysis of security risks. Cyber-risks ought to be an integral part of enterprise risk management (ERM) strategies, which need to be managed from strategic, operational, and economic perspectives. The UK Government Communications Headquarters (GCHQ, 2015) </w:t>
      </w:r>
      <w:r w:rsidRPr="00400193">
        <w:rPr>
          <w:iCs/>
        </w:rPr>
        <w:t>has estimated that approximately 80% of cyber-attacks could be prevented or mitigated by basic information risk management.</w:t>
      </w:r>
    </w:p>
    <w:p w14:paraId="7E26A7C9" w14:textId="77777777" w:rsidR="006E3616" w:rsidRPr="00400193" w:rsidRDefault="006E3616" w:rsidP="006E3616">
      <w:r w:rsidRPr="00400193">
        <w:t xml:space="preserve">The next section examines the literature directly related to existing frameworks of cyber-risk management (CRM) to show how and why these frameworks have been developed. It also considers the inherent weaknesses in these frameworks to lay the foundation for a proposed new framework. It then considers how to develop a more risk-aware culture among users of IT systems and spread the belief that cyber-security is not simply the responsibility of the IT department. Finally, it explores measures that </w:t>
      </w:r>
      <w:r w:rsidRPr="00400193">
        <w:lastRenderedPageBreak/>
        <w:t>are intended to ensure business continuity to test the relevance of existing frameworks.</w:t>
      </w:r>
    </w:p>
    <w:p w14:paraId="2BFFB3BF" w14:textId="77777777" w:rsidR="006E3616" w:rsidRPr="00400193" w:rsidRDefault="006E3616" w:rsidP="006E3616">
      <w:pPr>
        <w:pStyle w:val="Heading2"/>
        <w:rPr>
          <w:rFonts w:eastAsia="Arial Unicode MS"/>
        </w:rPr>
      </w:pPr>
      <w:bookmarkStart w:id="52" w:name="_2bn6wsx"/>
      <w:bookmarkStart w:id="53" w:name="_Toc61894651"/>
      <w:bookmarkEnd w:id="52"/>
      <w:r w:rsidRPr="00400193">
        <w:rPr>
          <w:rFonts w:eastAsia="Arial Unicode MS"/>
        </w:rPr>
        <w:t>Existing Frameworks for Cyber-Risk Management</w:t>
      </w:r>
      <w:bookmarkEnd w:id="53"/>
    </w:p>
    <w:p w14:paraId="0B9F6541" w14:textId="0DB24CBA" w:rsidR="006E3616" w:rsidRPr="00400193" w:rsidRDefault="006E3616" w:rsidP="007D4FAD">
      <w:r w:rsidRPr="00400193">
        <w:t xml:space="preserve">The potential magnitude or severity of the risks means that every company that is connected to the internet (even if only through e-mail) needs to have some kind of cyber-protection or framework for detecting cyber-attack (GCHQ, 2015). There are British, European, and International standards for cyber-security (the European ISO/IEC 27k series of standards all cover security, ISO/IEC 27032:2012 is specifically about cyber-security, and other relevant ISO/IEC 27k standards are listed in </w:t>
      </w:r>
      <w:r w:rsidRPr="00400193">
        <w:fldChar w:fldCharType="begin"/>
      </w:r>
      <w:r w:rsidRPr="00400193">
        <w:instrText xml:space="preserve"> REF _Ref42181699 \h </w:instrText>
      </w:r>
      <w:r w:rsidRPr="00400193">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1</w:t>
      </w:r>
      <w:r w:rsidRPr="00400193">
        <w:fldChar w:fldCharType="end"/>
      </w:r>
      <w:r w:rsidRPr="00400193">
        <w:t xml:space="preserve"> and</w:t>
      </w:r>
      <w:r w:rsidR="007D4FAD" w:rsidRPr="00400193">
        <w:t xml:space="preserve"> </w:t>
      </w:r>
      <w:r w:rsidR="007D4FAD" w:rsidRPr="00400193">
        <w:fldChar w:fldCharType="begin"/>
      </w:r>
      <w:r w:rsidR="007D4FAD" w:rsidRPr="00400193">
        <w:instrText xml:space="preserve"> REF _Ref52721193 \h </w:instrText>
      </w:r>
      <w:r w:rsidR="007D4FAD" w:rsidRPr="00400193">
        <w:fldChar w:fldCharType="separate"/>
      </w:r>
      <w:r w:rsidR="00BB7C18" w:rsidRPr="00400193">
        <w:t xml:space="preserve">Appendix </w:t>
      </w:r>
      <w:r w:rsidR="00BB7C18">
        <w:rPr>
          <w:noProof/>
        </w:rPr>
        <w:t>2</w:t>
      </w:r>
      <w:r w:rsidR="007D4FAD" w:rsidRPr="00400193">
        <w:fldChar w:fldCharType="end"/>
      </w:r>
      <w:r w:rsidR="007D4FAD" w:rsidRPr="00400193">
        <w:t>).</w:t>
      </w:r>
      <w:r w:rsidRPr="00400193">
        <w:t>). The introduction to this standard is shown in</w:t>
      </w:r>
      <w:r w:rsidR="00215A28" w:rsidRPr="00400193">
        <w:t xml:space="preserve"> </w:t>
      </w:r>
      <w:r w:rsidR="00215A28" w:rsidRPr="00400193">
        <w:fldChar w:fldCharType="begin"/>
      </w:r>
      <w:r w:rsidR="00215A28" w:rsidRPr="00400193">
        <w:instrText xml:space="preserve"> REF _Ref50740357 \h </w:instrText>
      </w:r>
      <w:r w:rsidR="00215A28" w:rsidRPr="00400193">
        <w:fldChar w:fldCharType="separate"/>
      </w:r>
      <w:r w:rsidR="00BB7C18" w:rsidRPr="00400193">
        <w:t xml:space="preserve">Appendix </w:t>
      </w:r>
      <w:r w:rsidR="00BB7C18">
        <w:rPr>
          <w:noProof/>
        </w:rPr>
        <w:t>1</w:t>
      </w:r>
      <w:r w:rsidR="00215A28" w:rsidRPr="00400193">
        <w:fldChar w:fldCharType="end"/>
      </w:r>
      <w:r w:rsidRPr="00400193">
        <w:t>. Many companies also have their own ‘company standard’, usually based on one or more of the international guidelines.</w:t>
      </w:r>
    </w:p>
    <w:p w14:paraId="7CFC314C" w14:textId="6234D24F" w:rsidR="006E3616" w:rsidRPr="00400193" w:rsidRDefault="006E3616" w:rsidP="006E3616">
      <w:r w:rsidRPr="00400193">
        <w:t xml:space="preserve">These security guidelines do not address either of the concerns of this research, which are employee and public awareness and resilience. The full adoption or uptake of these standards and their incorporation into company standards will not, on their own, fulfil the requirements of a new CRM framework for the UAE. They will probably help to reduce the chances of attack but will only mitigate some of the effects. </w:t>
      </w:r>
      <w:r w:rsidRPr="00400193">
        <w:rPr>
          <w:iCs/>
        </w:rPr>
        <w:t>IT security techniques</w:t>
      </w:r>
      <w:r w:rsidRPr="00400193">
        <w:t xml:space="preserve"> (</w:t>
      </w:r>
      <w:r w:rsidRPr="00400193">
        <w:fldChar w:fldCharType="begin"/>
      </w:r>
      <w:r w:rsidRPr="00400193">
        <w:instrText xml:space="preserve"> REF _Ref42181699 \h </w:instrText>
      </w:r>
      <w:r w:rsidRPr="00400193">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1</w:t>
      </w:r>
      <w:r w:rsidRPr="00400193">
        <w:fldChar w:fldCharType="end"/>
      </w:r>
      <w:r w:rsidRPr="00400193">
        <w:t xml:space="preserve">) are clearly insufficient, because it should already be clear that resilience and awareness are </w:t>
      </w:r>
      <w:r w:rsidRPr="00400193">
        <w:rPr>
          <w:i/>
        </w:rPr>
        <w:t>not</w:t>
      </w:r>
      <w:r w:rsidRPr="00400193">
        <w:t xml:space="preserve"> IT department problems.</w:t>
      </w:r>
    </w:p>
    <w:tbl>
      <w:tblPr>
        <w:tblW w:w="9026" w:type="dxa"/>
        <w:tblLook w:val="0000" w:firstRow="0" w:lastRow="0" w:firstColumn="0" w:lastColumn="0" w:noHBand="0" w:noVBand="0"/>
      </w:tblPr>
      <w:tblGrid>
        <w:gridCol w:w="2403"/>
        <w:gridCol w:w="2837"/>
        <w:gridCol w:w="3786"/>
      </w:tblGrid>
      <w:tr w:rsidR="00A0618E" w:rsidRPr="00400193" w14:paraId="0E8B767A"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57BFFD4F" w14:textId="77777777" w:rsidR="006E3616" w:rsidRPr="00400193" w:rsidRDefault="006E3616" w:rsidP="003B5486">
            <w:pPr>
              <w:spacing w:after="0" w:line="276" w:lineRule="auto"/>
              <w:rPr>
                <w:rFonts w:eastAsia="Arial Unicode MS"/>
                <w:bCs/>
                <w:sz w:val="20"/>
                <w:szCs w:val="20"/>
              </w:rPr>
            </w:pPr>
            <w:r w:rsidRPr="00400193">
              <w:rPr>
                <w:rFonts w:eastAsia="Arial Unicode MS"/>
                <w:b/>
                <w:bCs/>
                <w:sz w:val="20"/>
                <w:szCs w:val="20"/>
              </w:rPr>
              <w:t>ISO/IEC Standard Number</w:t>
            </w:r>
          </w:p>
        </w:tc>
        <w:tc>
          <w:tcPr>
            <w:tcW w:w="2837" w:type="dxa"/>
            <w:tcBorders>
              <w:top w:val="single" w:sz="4" w:space="0" w:color="000000"/>
              <w:left w:val="single" w:sz="4" w:space="0" w:color="000000"/>
              <w:bottom w:val="single" w:sz="4" w:space="0" w:color="000000"/>
            </w:tcBorders>
            <w:shd w:val="clear" w:color="auto" w:fill="auto"/>
            <w:vAlign w:val="center"/>
          </w:tcPr>
          <w:p w14:paraId="7B659C28" w14:textId="77777777" w:rsidR="006E3616" w:rsidRPr="00400193" w:rsidRDefault="006E3616" w:rsidP="003B5486">
            <w:pPr>
              <w:spacing w:after="0" w:line="276" w:lineRule="auto"/>
              <w:rPr>
                <w:rFonts w:eastAsia="Arial Unicode MS"/>
                <w:bCs/>
                <w:sz w:val="20"/>
                <w:szCs w:val="20"/>
              </w:rPr>
            </w:pPr>
            <w:r w:rsidRPr="00400193">
              <w:rPr>
                <w:rFonts w:eastAsia="Arial Unicode MS"/>
                <w:b/>
                <w:bCs/>
                <w:sz w:val="20"/>
                <w:szCs w:val="20"/>
              </w:rPr>
              <w:t>Area</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24B048" w14:textId="77777777" w:rsidR="006E3616" w:rsidRPr="00400193" w:rsidRDefault="006E3616" w:rsidP="003B5486">
            <w:pPr>
              <w:spacing w:after="0" w:line="276" w:lineRule="auto"/>
              <w:rPr>
                <w:rFonts w:eastAsia="Arial Unicode MS"/>
                <w:bCs/>
                <w:sz w:val="20"/>
                <w:szCs w:val="20"/>
              </w:rPr>
            </w:pPr>
            <w:r w:rsidRPr="00400193">
              <w:rPr>
                <w:rFonts w:eastAsia="Arial Unicode MS"/>
                <w:b/>
                <w:bCs/>
                <w:sz w:val="20"/>
                <w:szCs w:val="20"/>
              </w:rPr>
              <w:t>Title</w:t>
            </w:r>
          </w:p>
        </w:tc>
      </w:tr>
      <w:tr w:rsidR="00A0618E" w:rsidRPr="00400193" w14:paraId="5CA843A5"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174CE24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27031:2011</w:t>
            </w:r>
          </w:p>
        </w:tc>
        <w:tc>
          <w:tcPr>
            <w:tcW w:w="2837" w:type="dxa"/>
            <w:tcBorders>
              <w:top w:val="single" w:sz="4" w:space="0" w:color="000000"/>
              <w:left w:val="single" w:sz="4" w:space="0" w:color="000000"/>
              <w:bottom w:val="single" w:sz="4" w:space="0" w:color="000000"/>
            </w:tcBorders>
            <w:shd w:val="clear" w:color="auto" w:fill="auto"/>
            <w:vAlign w:val="center"/>
          </w:tcPr>
          <w:p w14:paraId="7B910A2A"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3FE7B2"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Guidelines ICT readiness</w:t>
            </w:r>
          </w:p>
        </w:tc>
      </w:tr>
      <w:tr w:rsidR="00A0618E" w:rsidRPr="00400193" w14:paraId="3BA10231"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3E3802AF"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27032:2012</w:t>
            </w:r>
          </w:p>
        </w:tc>
        <w:tc>
          <w:tcPr>
            <w:tcW w:w="2837" w:type="dxa"/>
            <w:tcBorders>
              <w:top w:val="single" w:sz="4" w:space="0" w:color="000000"/>
              <w:left w:val="single" w:sz="4" w:space="0" w:color="000000"/>
              <w:bottom w:val="single" w:sz="4" w:space="0" w:color="000000"/>
            </w:tcBorders>
            <w:shd w:val="clear" w:color="auto" w:fill="auto"/>
            <w:vAlign w:val="center"/>
          </w:tcPr>
          <w:p w14:paraId="05CBC31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077F06"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Guidelines cybersecurity</w:t>
            </w:r>
          </w:p>
        </w:tc>
      </w:tr>
      <w:tr w:rsidR="00A0618E" w:rsidRPr="00400193" w14:paraId="2DCEF27C"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2ADDD2C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27033:2010+</w:t>
            </w:r>
          </w:p>
        </w:tc>
        <w:tc>
          <w:tcPr>
            <w:tcW w:w="2837" w:type="dxa"/>
            <w:tcBorders>
              <w:top w:val="single" w:sz="4" w:space="0" w:color="000000"/>
              <w:left w:val="single" w:sz="4" w:space="0" w:color="000000"/>
              <w:bottom w:val="single" w:sz="4" w:space="0" w:color="000000"/>
            </w:tcBorders>
            <w:shd w:val="clear" w:color="auto" w:fill="auto"/>
            <w:vAlign w:val="center"/>
          </w:tcPr>
          <w:p w14:paraId="1AEB6F30"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1550F0"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Network security</w:t>
            </w:r>
          </w:p>
        </w:tc>
      </w:tr>
      <w:tr w:rsidR="00A0618E" w:rsidRPr="00400193" w14:paraId="178D9B35"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77395D1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27034:2011+</w:t>
            </w:r>
          </w:p>
        </w:tc>
        <w:tc>
          <w:tcPr>
            <w:tcW w:w="2837" w:type="dxa"/>
            <w:tcBorders>
              <w:top w:val="single" w:sz="4" w:space="0" w:color="000000"/>
              <w:left w:val="single" w:sz="4" w:space="0" w:color="000000"/>
              <w:bottom w:val="single" w:sz="4" w:space="0" w:color="000000"/>
            </w:tcBorders>
            <w:shd w:val="clear" w:color="auto" w:fill="auto"/>
            <w:vAlign w:val="center"/>
          </w:tcPr>
          <w:p w14:paraId="6EB4C6E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3F1822"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Application security</w:t>
            </w:r>
          </w:p>
        </w:tc>
      </w:tr>
      <w:tr w:rsidR="00A0618E" w:rsidRPr="00400193" w14:paraId="236DB5E8"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2E880557"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27035:2016</w:t>
            </w:r>
          </w:p>
        </w:tc>
        <w:tc>
          <w:tcPr>
            <w:tcW w:w="2837" w:type="dxa"/>
            <w:tcBorders>
              <w:top w:val="single" w:sz="4" w:space="0" w:color="000000"/>
              <w:left w:val="single" w:sz="4" w:space="0" w:color="000000"/>
              <w:bottom w:val="single" w:sz="4" w:space="0" w:color="000000"/>
            </w:tcBorders>
            <w:shd w:val="clear" w:color="auto" w:fill="auto"/>
            <w:vAlign w:val="center"/>
          </w:tcPr>
          <w:p w14:paraId="3341A037"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AC2E00"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Incident management</w:t>
            </w:r>
          </w:p>
        </w:tc>
      </w:tr>
      <w:tr w:rsidR="00A0618E" w:rsidRPr="00400193" w14:paraId="5A7DEDE0"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42E83B28"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27036:2013</w:t>
            </w:r>
          </w:p>
        </w:tc>
        <w:tc>
          <w:tcPr>
            <w:tcW w:w="2837" w:type="dxa"/>
            <w:tcBorders>
              <w:top w:val="single" w:sz="4" w:space="0" w:color="000000"/>
              <w:left w:val="single" w:sz="4" w:space="0" w:color="000000"/>
              <w:bottom w:val="single" w:sz="4" w:space="0" w:color="000000"/>
            </w:tcBorders>
            <w:shd w:val="clear" w:color="auto" w:fill="auto"/>
            <w:vAlign w:val="center"/>
          </w:tcPr>
          <w:p w14:paraId="62323802"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9B93B2"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Supplier relationships</w:t>
            </w:r>
          </w:p>
        </w:tc>
      </w:tr>
      <w:tr w:rsidR="00A0618E" w:rsidRPr="00400193" w14:paraId="557650DC"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2C1B9EE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27037:2012</w:t>
            </w:r>
          </w:p>
        </w:tc>
        <w:tc>
          <w:tcPr>
            <w:tcW w:w="2837" w:type="dxa"/>
            <w:tcBorders>
              <w:top w:val="single" w:sz="4" w:space="0" w:color="000000"/>
              <w:left w:val="single" w:sz="4" w:space="0" w:color="000000"/>
              <w:bottom w:val="single" w:sz="4" w:space="0" w:color="000000"/>
            </w:tcBorders>
            <w:shd w:val="clear" w:color="auto" w:fill="auto"/>
            <w:vAlign w:val="center"/>
          </w:tcPr>
          <w:p w14:paraId="3AAB559D"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003822"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Digital evidence</w:t>
            </w:r>
          </w:p>
        </w:tc>
      </w:tr>
      <w:tr w:rsidR="00A0618E" w:rsidRPr="00400193" w14:paraId="424B778B"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3708DFF7"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27038:2014</w:t>
            </w:r>
          </w:p>
        </w:tc>
        <w:tc>
          <w:tcPr>
            <w:tcW w:w="2837" w:type="dxa"/>
            <w:tcBorders>
              <w:top w:val="single" w:sz="4" w:space="0" w:color="000000"/>
              <w:left w:val="single" w:sz="4" w:space="0" w:color="000000"/>
              <w:bottom w:val="single" w:sz="4" w:space="0" w:color="000000"/>
            </w:tcBorders>
            <w:shd w:val="clear" w:color="auto" w:fill="auto"/>
            <w:vAlign w:val="center"/>
          </w:tcPr>
          <w:p w14:paraId="6A84CA9D"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5DD89B"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Digital redaction</w:t>
            </w:r>
          </w:p>
        </w:tc>
      </w:tr>
      <w:tr w:rsidR="00A0618E" w:rsidRPr="00400193" w14:paraId="2E5DA940"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6435E30A"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27039:2015</w:t>
            </w:r>
          </w:p>
        </w:tc>
        <w:tc>
          <w:tcPr>
            <w:tcW w:w="2837" w:type="dxa"/>
            <w:tcBorders>
              <w:top w:val="single" w:sz="4" w:space="0" w:color="000000"/>
              <w:left w:val="single" w:sz="4" w:space="0" w:color="000000"/>
              <w:bottom w:val="single" w:sz="4" w:space="0" w:color="000000"/>
            </w:tcBorders>
            <w:shd w:val="clear" w:color="auto" w:fill="auto"/>
            <w:vAlign w:val="center"/>
          </w:tcPr>
          <w:p w14:paraId="0253E4C8"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7C809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Selection of IDPS</w:t>
            </w:r>
          </w:p>
        </w:tc>
      </w:tr>
      <w:tr w:rsidR="00A0618E" w:rsidRPr="00400193" w14:paraId="79BD4C2A"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5A32D3EA"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27040:2015</w:t>
            </w:r>
          </w:p>
        </w:tc>
        <w:tc>
          <w:tcPr>
            <w:tcW w:w="2837" w:type="dxa"/>
            <w:tcBorders>
              <w:top w:val="single" w:sz="4" w:space="0" w:color="000000"/>
              <w:left w:val="single" w:sz="4" w:space="0" w:color="000000"/>
              <w:bottom w:val="single" w:sz="4" w:space="0" w:color="000000"/>
            </w:tcBorders>
            <w:shd w:val="clear" w:color="auto" w:fill="auto"/>
            <w:vAlign w:val="center"/>
          </w:tcPr>
          <w:p w14:paraId="6AF8A5C7"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FCA11A"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Storage security</w:t>
            </w:r>
          </w:p>
        </w:tc>
      </w:tr>
      <w:tr w:rsidR="00A0618E" w:rsidRPr="00400193" w14:paraId="0675F32E"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6E1FF2C6"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27041:2015</w:t>
            </w:r>
          </w:p>
        </w:tc>
        <w:tc>
          <w:tcPr>
            <w:tcW w:w="2837" w:type="dxa"/>
            <w:tcBorders>
              <w:top w:val="single" w:sz="4" w:space="0" w:color="000000"/>
              <w:left w:val="single" w:sz="4" w:space="0" w:color="000000"/>
              <w:bottom w:val="single" w:sz="4" w:space="0" w:color="000000"/>
            </w:tcBorders>
            <w:shd w:val="clear" w:color="auto" w:fill="auto"/>
            <w:vAlign w:val="center"/>
          </w:tcPr>
          <w:p w14:paraId="5AB17829"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5B9BD4"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Guidance: investigative methods</w:t>
            </w:r>
          </w:p>
        </w:tc>
      </w:tr>
      <w:tr w:rsidR="00A0618E" w:rsidRPr="00400193" w14:paraId="60CA56B0"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75FED30C"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27042:2015</w:t>
            </w:r>
          </w:p>
        </w:tc>
        <w:tc>
          <w:tcPr>
            <w:tcW w:w="2837" w:type="dxa"/>
            <w:tcBorders>
              <w:top w:val="single" w:sz="4" w:space="0" w:color="000000"/>
              <w:left w:val="single" w:sz="4" w:space="0" w:color="000000"/>
              <w:bottom w:val="single" w:sz="4" w:space="0" w:color="000000"/>
            </w:tcBorders>
            <w:shd w:val="clear" w:color="auto" w:fill="auto"/>
            <w:vAlign w:val="center"/>
          </w:tcPr>
          <w:p w14:paraId="4BF35B0F"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F93746"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Guidelines: digital evidence</w:t>
            </w:r>
          </w:p>
        </w:tc>
      </w:tr>
      <w:tr w:rsidR="00A0618E" w:rsidRPr="00400193" w14:paraId="76CCDECC"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4D6C8B1C"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27043:2015</w:t>
            </w:r>
          </w:p>
        </w:tc>
        <w:tc>
          <w:tcPr>
            <w:tcW w:w="2837" w:type="dxa"/>
            <w:tcBorders>
              <w:top w:val="single" w:sz="4" w:space="0" w:color="000000"/>
              <w:left w:val="single" w:sz="4" w:space="0" w:color="000000"/>
              <w:bottom w:val="single" w:sz="4" w:space="0" w:color="000000"/>
            </w:tcBorders>
            <w:shd w:val="clear" w:color="auto" w:fill="auto"/>
            <w:vAlign w:val="center"/>
          </w:tcPr>
          <w:p w14:paraId="58217D99"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DC3AEA"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Incident investigation</w:t>
            </w:r>
          </w:p>
        </w:tc>
      </w:tr>
      <w:tr w:rsidR="00A0618E" w:rsidRPr="00400193" w14:paraId="035F19C9" w14:textId="77777777" w:rsidTr="003B5486">
        <w:trPr>
          <w:cantSplit/>
        </w:trPr>
        <w:tc>
          <w:tcPr>
            <w:tcW w:w="2403" w:type="dxa"/>
            <w:tcBorders>
              <w:top w:val="single" w:sz="4" w:space="0" w:color="000000"/>
              <w:left w:val="single" w:sz="4" w:space="0" w:color="000000"/>
              <w:bottom w:val="single" w:sz="4" w:space="0" w:color="000000"/>
            </w:tcBorders>
            <w:shd w:val="clear" w:color="auto" w:fill="auto"/>
            <w:vAlign w:val="center"/>
          </w:tcPr>
          <w:p w14:paraId="2C8C365D"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27050:2016</w:t>
            </w:r>
          </w:p>
        </w:tc>
        <w:tc>
          <w:tcPr>
            <w:tcW w:w="2837" w:type="dxa"/>
            <w:tcBorders>
              <w:top w:val="single" w:sz="4" w:space="0" w:color="000000"/>
              <w:left w:val="single" w:sz="4" w:space="0" w:color="000000"/>
              <w:bottom w:val="single" w:sz="4" w:space="0" w:color="000000"/>
            </w:tcBorders>
            <w:shd w:val="clear" w:color="auto" w:fill="auto"/>
            <w:vAlign w:val="center"/>
          </w:tcPr>
          <w:p w14:paraId="1A0E6A2D" w14:textId="77777777" w:rsidR="006E3616" w:rsidRPr="00400193" w:rsidRDefault="006E3616" w:rsidP="003B5486">
            <w:pPr>
              <w:spacing w:after="0" w:line="276" w:lineRule="auto"/>
              <w:rPr>
                <w:rFonts w:eastAsia="Arial Unicode MS"/>
                <w:bCs/>
                <w:sz w:val="20"/>
                <w:szCs w:val="20"/>
              </w:rPr>
            </w:pPr>
            <w:r w:rsidRPr="00400193">
              <w:rPr>
                <w:rFonts w:eastAsia="Arial Unicode MS"/>
                <w:bCs/>
                <w:sz w:val="20"/>
                <w:szCs w:val="20"/>
              </w:rPr>
              <w:t>IT Security techniques.</w:t>
            </w:r>
          </w:p>
        </w:tc>
        <w:tc>
          <w:tcPr>
            <w:tcW w:w="37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0BF267" w14:textId="77777777" w:rsidR="006E3616" w:rsidRPr="00400193" w:rsidRDefault="006E3616" w:rsidP="003B5486">
            <w:pPr>
              <w:keepNext/>
              <w:spacing w:after="0" w:line="276" w:lineRule="auto"/>
              <w:rPr>
                <w:rFonts w:eastAsia="Arial Unicode MS"/>
                <w:bCs/>
                <w:sz w:val="20"/>
                <w:szCs w:val="20"/>
              </w:rPr>
            </w:pPr>
            <w:r w:rsidRPr="00400193">
              <w:rPr>
                <w:rFonts w:eastAsia="Arial Unicode MS"/>
                <w:bCs/>
                <w:sz w:val="20"/>
                <w:szCs w:val="20"/>
              </w:rPr>
              <w:t>Electronic discovery</w:t>
            </w:r>
          </w:p>
        </w:tc>
      </w:tr>
    </w:tbl>
    <w:p w14:paraId="726CE89E" w14:textId="12767C55" w:rsidR="006E3616" w:rsidRPr="00400193" w:rsidRDefault="006E3616" w:rsidP="006E3616">
      <w:pPr>
        <w:pStyle w:val="Caption"/>
      </w:pPr>
      <w:bookmarkStart w:id="54" w:name="_qsh70q"/>
      <w:bookmarkStart w:id="55" w:name="_3as4poj"/>
      <w:bookmarkStart w:id="56" w:name="_Ref42181699"/>
      <w:bookmarkStart w:id="57" w:name="_Toc52901526"/>
      <w:bookmarkEnd w:id="54"/>
      <w:bookmarkEnd w:id="5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2</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fldChar w:fldCharType="end"/>
      </w:r>
      <w:bookmarkEnd w:id="56"/>
      <w:r w:rsidRPr="00400193">
        <w:t>: The current list of applicable ISO/IEC 27k standards related to business use</w:t>
      </w:r>
      <w:bookmarkEnd w:id="57"/>
    </w:p>
    <w:p w14:paraId="5724E2DE" w14:textId="77777777" w:rsidR="006E3616" w:rsidRPr="00400193" w:rsidRDefault="006E3616" w:rsidP="006E3616">
      <w:pPr>
        <w:pStyle w:val="Caption"/>
        <w:spacing w:after="240"/>
        <w:rPr>
          <w:rFonts w:eastAsia="Arial Unicode MS"/>
          <w:b w:val="0"/>
          <w:bCs/>
          <w:i w:val="0"/>
          <w:iCs w:val="0"/>
          <w:sz w:val="20"/>
          <w:szCs w:val="20"/>
        </w:rPr>
      </w:pPr>
      <w:r w:rsidRPr="00400193">
        <w:rPr>
          <w:b w:val="0"/>
          <w:bCs/>
          <w:i w:val="0"/>
          <w:iCs w:val="0"/>
          <w:sz w:val="20"/>
          <w:szCs w:val="14"/>
        </w:rPr>
        <w:t xml:space="preserve">Note: ISO 277099:2016 </w:t>
      </w:r>
      <w:r w:rsidRPr="00400193">
        <w:rPr>
          <w:b w:val="0"/>
          <w:bCs/>
          <w:sz w:val="20"/>
          <w:szCs w:val="14"/>
        </w:rPr>
        <w:t>Health informatics — Information security management in health using ISO/IEC 27002</w:t>
      </w:r>
      <w:r w:rsidRPr="00400193">
        <w:rPr>
          <w:b w:val="0"/>
          <w:bCs/>
          <w:i w:val="0"/>
          <w:iCs w:val="0"/>
          <w:sz w:val="20"/>
          <w:szCs w:val="14"/>
        </w:rPr>
        <w:t xml:space="preserve"> is specifically for hospitals and healthcare</w:t>
      </w:r>
    </w:p>
    <w:p w14:paraId="3D204706" w14:textId="77777777" w:rsidR="006E3616" w:rsidRPr="00400193" w:rsidRDefault="006E3616" w:rsidP="006E3616">
      <w:pPr>
        <w:pStyle w:val="Heading3"/>
        <w:rPr>
          <w:rFonts w:eastAsia="Arial Unicode MS"/>
        </w:rPr>
      </w:pPr>
      <w:bookmarkStart w:id="58" w:name="_Toc61894652"/>
      <w:r w:rsidRPr="00400193">
        <w:rPr>
          <w:rFonts w:eastAsia="Arial Unicode MS"/>
        </w:rPr>
        <w:lastRenderedPageBreak/>
        <w:t>Basics of Cyber-Risk Management</w:t>
      </w:r>
      <w:bookmarkEnd w:id="58"/>
    </w:p>
    <w:p w14:paraId="1A518BFF" w14:textId="4B5BFE7E" w:rsidR="006E3616" w:rsidRPr="00400193" w:rsidRDefault="006E3616" w:rsidP="006E3616">
      <w:r w:rsidRPr="00400193">
        <w:t xml:space="preserve">Cyber-risks need to be managed in the same way that other risks are managed, because they cannot be eliminated </w:t>
      </w:r>
      <w:sdt>
        <w:sdtPr>
          <w:id w:val="297499910"/>
          <w:citation/>
        </w:sdtPr>
        <w:sdtEndPr/>
        <w:sdtContent>
          <w:r w:rsidRPr="00400193">
            <w:fldChar w:fldCharType="begin"/>
          </w:r>
          <w:r w:rsidRPr="00400193">
            <w:instrText xml:space="preserve">CITATION Sch00 \t  \l 2057 </w:instrText>
          </w:r>
          <w:r w:rsidRPr="00400193">
            <w:fldChar w:fldCharType="separate"/>
          </w:r>
          <w:r w:rsidRPr="00400193">
            <w:t>(Schneier, 2000)</w:t>
          </w:r>
          <w:r w:rsidRPr="00400193">
            <w:fldChar w:fldCharType="end"/>
          </w:r>
        </w:sdtContent>
      </w:sdt>
      <w:r w:rsidRPr="00400193">
        <w:t xml:space="preserve">. Cyber-risks therefore need to be incorporated into enterprise risk management frameworks </w:t>
      </w:r>
      <w:sdt>
        <w:sdtPr>
          <w:id w:val="726493202"/>
          <w:citation/>
        </w:sdtPr>
        <w:sdtEndPr/>
        <w:sdtContent>
          <w:r w:rsidRPr="00400193">
            <w:fldChar w:fldCharType="begin"/>
          </w:r>
          <w:r w:rsidRPr="00400193">
            <w:instrText xml:space="preserve"> CITATION Kei14 \l 2057 </w:instrText>
          </w:r>
          <w:r w:rsidRPr="00400193">
            <w:fldChar w:fldCharType="separate"/>
          </w:r>
          <w:r w:rsidRPr="00400193">
            <w:t>(Keith, 2014)</w:t>
          </w:r>
          <w:r w:rsidRPr="00400193">
            <w:fldChar w:fldCharType="end"/>
          </w:r>
        </w:sdtContent>
      </w:sdt>
      <w:r w:rsidRPr="00400193">
        <w:t xml:space="preserve">. Current practice varies, with some companies acting this way and others keeping cyber-risks in a separate category (Falkner </w:t>
      </w:r>
      <w:r w:rsidR="00337F8A" w:rsidRPr="00400193">
        <w:t>and</w:t>
      </w:r>
      <w:r w:rsidRPr="00400193">
        <w:t xml:space="preserve"> Hiebl, 2015). Cyber-risks may be measured differently from financial or other business risks, but they must be managed in a similar way, with the calculation being based on either of the following formulae:</w:t>
      </w:r>
    </w:p>
    <w:p w14:paraId="45746ECF" w14:textId="614E2908" w:rsidR="006E3616" w:rsidRPr="00400193" w:rsidRDefault="006E3616" w:rsidP="006E3616">
      <w:pPr>
        <w:pStyle w:val="Caption"/>
        <w:keepNext/>
      </w:pPr>
      <w:r w:rsidRPr="00400193">
        <w:fldChar w:fldCharType="begin"/>
      </w:r>
      <w:r w:rsidRPr="00400193">
        <w:instrText xml:space="preserve"> SEQ Equation \* ARABIC </w:instrText>
      </w:r>
      <w:r w:rsidRPr="00400193">
        <w:fldChar w:fldCharType="separate"/>
      </w:r>
      <w:bookmarkStart w:id="59" w:name="_Toc43897343"/>
      <w:r w:rsidR="00BB7C18">
        <w:rPr>
          <w:noProof/>
        </w:rPr>
        <w:t>1</w:t>
      </w:r>
      <w:r w:rsidRPr="00400193">
        <w:fldChar w:fldCharType="end"/>
      </w:r>
      <w:r w:rsidRPr="00400193">
        <w:t>: PRA calculation</w:t>
      </w:r>
      <w:bookmarkEnd w:id="59"/>
    </w:p>
    <w:p w14:paraId="1ECBC561" w14:textId="77777777" w:rsidR="006E3616" w:rsidRPr="00400193" w:rsidRDefault="00724BEE" w:rsidP="006E3616">
      <w:pPr>
        <w:spacing w:before="120" w:after="120" w:line="240" w:lineRule="auto"/>
        <w:rPr>
          <w:rFonts w:eastAsia="Arial Unicode MS"/>
        </w:rPr>
      </w:pPr>
      <m:oMathPara>
        <m:oMathParaPr>
          <m:jc m:val="center"/>
        </m:oMathParaPr>
        <m:oMath>
          <m:sSub>
            <m:sSubPr>
              <m:ctrlPr>
                <w:rPr>
                  <w:rFonts w:ascii="Cambria Math" w:hAnsi="Cambria Math"/>
                  <w:i/>
                </w:rPr>
              </m:ctrlPr>
            </m:sSubPr>
            <m:e>
              <m:r>
                <w:rPr>
                  <w:rFonts w:ascii="Cambria Math" w:hAnsi="Cambria Math"/>
                </w:rPr>
                <m:t>R</m:t>
              </m:r>
            </m:e>
            <m:sub>
              <m:r>
                <w:rPr>
                  <w:rFonts w:ascii="Cambria Math" w:hAnsi="Cambria Math"/>
                </w:rPr>
                <m:t>isk</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hreat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ulnerability</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onsequence</m:t>
              </m:r>
            </m:sub>
          </m:sSub>
          <m:r>
            <w:rPr>
              <w:rFonts w:ascii="Cambria Math" w:hAnsi="Cambria Math"/>
            </w:rPr>
            <m:t xml:space="preserve"> </m:t>
          </m:r>
        </m:oMath>
      </m:oMathPara>
    </w:p>
    <w:p w14:paraId="0A5FED56" w14:textId="77777777" w:rsidR="006E3616" w:rsidRPr="00400193" w:rsidRDefault="006E3616" w:rsidP="006E3616">
      <w:pPr>
        <w:spacing w:before="120" w:after="120" w:line="240" w:lineRule="auto"/>
        <w:rPr>
          <w:rFonts w:eastAsia="Arial Unicode MS"/>
        </w:rPr>
      </w:pPr>
    </w:p>
    <w:p w14:paraId="1D20C094" w14:textId="77777777" w:rsidR="006E3616" w:rsidRPr="00400193" w:rsidRDefault="006E3616" w:rsidP="006E3616">
      <w:pPr>
        <w:spacing w:before="120" w:after="120" w:line="240" w:lineRule="auto"/>
        <w:rPr>
          <w:rFonts w:eastAsia="Arial Unicode MS"/>
        </w:rPr>
      </w:pPr>
      <w:r w:rsidRPr="00400193">
        <w:rPr>
          <w:rFonts w:eastAsia="Arial Unicode MS"/>
        </w:rPr>
        <w:t>--OR—</w:t>
      </w:r>
    </w:p>
    <w:p w14:paraId="0C88BA6C" w14:textId="2C51B959" w:rsidR="006E3616" w:rsidRPr="00400193" w:rsidRDefault="006E3616" w:rsidP="006E3616">
      <w:pPr>
        <w:pStyle w:val="Caption"/>
        <w:keepNext/>
      </w:pPr>
      <w:r w:rsidRPr="00400193">
        <w:fldChar w:fldCharType="begin"/>
      </w:r>
      <w:r w:rsidRPr="00400193">
        <w:instrText xml:space="preserve"> SEQ Equation \* ARABIC </w:instrText>
      </w:r>
      <w:r w:rsidRPr="00400193">
        <w:fldChar w:fldCharType="separate"/>
      </w:r>
      <w:bookmarkStart w:id="60" w:name="_Toc43897344"/>
      <w:r w:rsidR="00BB7C18">
        <w:rPr>
          <w:noProof/>
        </w:rPr>
        <w:t>2</w:t>
      </w:r>
      <w:r w:rsidRPr="00400193">
        <w:fldChar w:fldCharType="end"/>
      </w:r>
      <w:r w:rsidRPr="00400193">
        <w:t>: Alternative risk calculation</w:t>
      </w:r>
      <w:bookmarkEnd w:id="60"/>
    </w:p>
    <w:p w14:paraId="74646DBD" w14:textId="77777777" w:rsidR="006E3616" w:rsidRPr="00400193" w:rsidRDefault="006E3616" w:rsidP="006E3616">
      <w:pPr>
        <w:spacing w:before="120" w:after="120" w:line="240" w:lineRule="auto"/>
        <w:rPr>
          <w:rFonts w:eastAsia="Arial Unicode MS"/>
        </w:rPr>
      </w:pPr>
      <m:oMathPara>
        <m:oMathParaPr>
          <m:jc m:val="center"/>
        </m:oMathParaPr>
        <m:oMath>
          <m:r>
            <w:rPr>
              <w:rFonts w:ascii="Cambria Math" w:hAnsi="Cambria Math"/>
            </w:rPr>
            <m:t>R</m:t>
          </m:r>
          <m:d>
            <m:dPr>
              <m:ctrlPr>
                <w:rPr>
                  <w:rFonts w:ascii="Cambria Math" w:hAnsi="Cambria Math"/>
                  <w:i/>
                </w:rPr>
              </m:ctrlPr>
            </m:dPr>
            <m:e>
              <m:r>
                <w:rPr>
                  <w:rFonts w:ascii="Cambria Math" w:hAnsi="Cambria Math"/>
                </w:rPr>
                <m:t>isk</m:t>
              </m:r>
            </m:e>
          </m:d>
          <m:r>
            <w:rPr>
              <w:rFonts w:ascii="Cambria Math" w:hAnsi="Cambria Math"/>
            </w:rPr>
            <m:t>=</m:t>
          </m:r>
          <m:f>
            <m:fPr>
              <m:ctrlPr>
                <w:rPr>
                  <w:rFonts w:ascii="Cambria Math" w:hAnsi="Cambria Math"/>
                  <w:i/>
                </w:rPr>
              </m:ctrlPr>
            </m:fPr>
            <m:num>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eans</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otive</m:t>
                          </m:r>
                        </m:sub>
                      </m:sSub>
                    </m:e>
                  </m:d>
                  <m:r>
                    <w:rPr>
                      <w:rFonts w:ascii="Cambria Math" w:hAnsi="Cambria Math"/>
                    </w:rPr>
                    <m:t>×</m:t>
                  </m:r>
                  <m:sSub>
                    <m:sSubPr>
                      <m:ctrlPr>
                        <w:rPr>
                          <w:rFonts w:ascii="Cambria Math" w:hAnsi="Cambria Math"/>
                          <w:i/>
                        </w:rPr>
                      </m:ctrlPr>
                    </m:sSubPr>
                    <m:e>
                      <m:r>
                        <w:rPr>
                          <w:rFonts w:ascii="Cambria Math" w:hAnsi="Cambria Math"/>
                        </w:rPr>
                        <m:t>O</m:t>
                      </m:r>
                    </m:e>
                    <m:sub>
                      <m:r>
                        <w:rPr>
                          <w:rFonts w:ascii="Cambria Math" w:hAnsi="Cambria Math"/>
                        </w:rPr>
                        <m:t>pportunity</m:t>
                      </m:r>
                    </m:sub>
                  </m:sSub>
                </m:e>
              </m:d>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usiness impact</m:t>
                  </m:r>
                </m:sub>
              </m:sSub>
            </m:num>
            <m:den>
              <m:sSub>
                <m:sSubPr>
                  <m:ctrlPr>
                    <w:rPr>
                      <w:rFonts w:ascii="Cambria Math" w:hAnsi="Cambria Math"/>
                      <w:i/>
                    </w:rPr>
                  </m:ctrlPr>
                </m:sSubPr>
                <m:e>
                  <m:r>
                    <w:rPr>
                      <w:rFonts w:ascii="Cambria Math" w:hAnsi="Cambria Math"/>
                    </w:rPr>
                    <m:t>C</m:t>
                  </m:r>
                </m:e>
                <m:sub>
                  <m:r>
                    <w:rPr>
                      <w:rFonts w:ascii="Cambria Math" w:hAnsi="Cambria Math"/>
                    </w:rPr>
                    <m:t>ontrols</m:t>
                  </m:r>
                </m:sub>
              </m:sSub>
            </m:den>
          </m:f>
        </m:oMath>
      </m:oMathPara>
    </w:p>
    <w:p w14:paraId="4BD2E7D1" w14:textId="77777777" w:rsidR="006E3616" w:rsidRPr="00400193" w:rsidRDefault="006E3616" w:rsidP="006E3616">
      <w:pPr>
        <w:rPr>
          <w:lang w:eastAsia="zh-CN" w:bidi="hi-IN"/>
        </w:rPr>
      </w:pPr>
      <w:r w:rsidRPr="00400193">
        <w:rPr>
          <w:lang w:eastAsia="zh-CN" w:bidi="hi-IN"/>
        </w:rPr>
        <w:t xml:space="preserve">Risk management theory gives four possible reactions to calculated or perceived risk: Acceptance, Avoidance, Reduction or Transfer </w:t>
      </w:r>
      <w:sdt>
        <w:sdtPr>
          <w:rPr>
            <w:lang w:eastAsia="zh-CN" w:bidi="hi-IN"/>
          </w:rPr>
          <w:id w:val="506252677"/>
          <w:citation/>
        </w:sdtPr>
        <w:sdtEndPr/>
        <w:sdtContent>
          <w:r w:rsidRPr="00400193">
            <w:rPr>
              <w:lang w:eastAsia="zh-CN" w:bidi="hi-IN"/>
            </w:rPr>
            <w:fldChar w:fldCharType="begin"/>
          </w:r>
          <w:r w:rsidRPr="00400193">
            <w:rPr>
              <w:lang w:eastAsia="zh-CN" w:bidi="hi-IN"/>
            </w:rPr>
            <w:instrText xml:space="preserve"> CITATION Hop18 \l 2057 </w:instrText>
          </w:r>
          <w:r w:rsidRPr="00400193">
            <w:rPr>
              <w:lang w:eastAsia="zh-CN" w:bidi="hi-IN"/>
            </w:rPr>
            <w:fldChar w:fldCharType="separate"/>
          </w:r>
          <w:r w:rsidRPr="00400193">
            <w:rPr>
              <w:lang w:eastAsia="zh-CN" w:bidi="hi-IN"/>
            </w:rPr>
            <w:t>(Hopkin, 2018)</w:t>
          </w:r>
          <w:r w:rsidRPr="00400193">
            <w:rPr>
              <w:lang w:eastAsia="zh-CN" w:bidi="hi-IN"/>
            </w:rPr>
            <w:fldChar w:fldCharType="end"/>
          </w:r>
        </w:sdtContent>
      </w:sdt>
      <w:r w:rsidRPr="00400193">
        <w:rPr>
          <w:lang w:eastAsia="zh-CN" w:bidi="hi-IN"/>
        </w:rPr>
        <w:t>. These four reactions also apply to cyber-risk.</w:t>
      </w:r>
    </w:p>
    <w:p w14:paraId="75141603" w14:textId="2B8A037F" w:rsidR="006E3616" w:rsidRPr="00400193" w:rsidRDefault="006E3616" w:rsidP="006E3616">
      <w:pPr>
        <w:pStyle w:val="Heading3"/>
        <w:rPr>
          <w:rFonts w:eastAsia="Arial Unicode MS"/>
        </w:rPr>
      </w:pPr>
      <w:bookmarkStart w:id="61" w:name="_Toc61894653"/>
      <w:r w:rsidRPr="00400193">
        <w:rPr>
          <w:rFonts w:eastAsia="Arial Unicode MS"/>
        </w:rPr>
        <w:t>Resilience</w:t>
      </w:r>
      <w:bookmarkEnd w:id="61"/>
    </w:p>
    <w:p w14:paraId="7995DD20" w14:textId="50B95227" w:rsidR="00005040" w:rsidRPr="00400193" w:rsidRDefault="00005040" w:rsidP="00005040">
      <w:r w:rsidRPr="00400193">
        <w:t xml:space="preserve">Renn (2013) defined resilience as the way that a company or individual behaves after any kind of shock or attack. He suggested that there were four possible outcomes (see </w:t>
      </w:r>
      <w:r w:rsidRPr="00400193">
        <w:fldChar w:fldCharType="begin"/>
      </w:r>
      <w:r w:rsidRPr="00400193">
        <w:instrText xml:space="preserve"> REF _Ref42255623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w:t>
      </w:r>
      <w:r w:rsidRPr="00400193">
        <w:fldChar w:fldCharType="end"/>
      </w:r>
      <w:r w:rsidRPr="00400193">
        <w:t>):</w:t>
      </w:r>
    </w:p>
    <w:p w14:paraId="055117A4" w14:textId="77777777" w:rsidR="00005040" w:rsidRPr="00400193" w:rsidRDefault="00005040" w:rsidP="00005040">
      <w:pPr>
        <w:numPr>
          <w:ilvl w:val="0"/>
          <w:numId w:val="3"/>
        </w:numPr>
      </w:pPr>
      <w:r w:rsidRPr="00400193">
        <w:t>Robust behaviour – the company or individual operates at the same level before and after the attack.</w:t>
      </w:r>
    </w:p>
    <w:p w14:paraId="1304A5F4" w14:textId="77777777" w:rsidR="00005040" w:rsidRPr="00400193" w:rsidRDefault="00005040" w:rsidP="00005040">
      <w:pPr>
        <w:numPr>
          <w:ilvl w:val="0"/>
          <w:numId w:val="3"/>
        </w:numPr>
      </w:pPr>
      <w:r w:rsidRPr="00400193">
        <w:t>Ductile behaviour – the company or individual recovers but not to quite the same level as before the attack.</w:t>
      </w:r>
    </w:p>
    <w:p w14:paraId="345F3E09" w14:textId="77777777" w:rsidR="00005040" w:rsidRPr="00400193" w:rsidRDefault="00005040" w:rsidP="00005040">
      <w:pPr>
        <w:numPr>
          <w:ilvl w:val="0"/>
          <w:numId w:val="3"/>
        </w:numPr>
      </w:pPr>
      <w:r w:rsidRPr="00400193">
        <w:t>Collapsing behaviour – the company or individual does not recover from the attack.</w:t>
      </w:r>
    </w:p>
    <w:p w14:paraId="44DBA22E" w14:textId="77777777" w:rsidR="00005040" w:rsidRPr="00400193" w:rsidRDefault="00005040" w:rsidP="00005040">
      <w:pPr>
        <w:numPr>
          <w:ilvl w:val="0"/>
          <w:numId w:val="3"/>
        </w:numPr>
      </w:pPr>
      <w:r w:rsidRPr="00400193">
        <w:t>Adaptive behaviour – the desired result. The company or individual has recovered from the attack but also learnt from it and is therefore in a stronger position than before.</w:t>
      </w:r>
    </w:p>
    <w:p w14:paraId="1E9D702C" w14:textId="77777777" w:rsidR="006E3616" w:rsidRPr="00400193" w:rsidRDefault="006E3616" w:rsidP="006E3616">
      <w:pPr>
        <w:keepNext/>
        <w:spacing w:after="0" w:line="240" w:lineRule="auto"/>
      </w:pPr>
      <w:r w:rsidRPr="00400193">
        <w:rPr>
          <w:noProof/>
          <w:lang w:val="en-US"/>
        </w:rPr>
        <w:lastRenderedPageBreak/>
        <mc:AlternateContent>
          <mc:Choice Requires="wpc">
            <w:drawing>
              <wp:inline distT="0" distB="0" distL="0" distR="0" wp14:anchorId="21534D83" wp14:editId="4F4BF23D">
                <wp:extent cx="5759450" cy="3240001"/>
                <wp:effectExtent l="0" t="0" r="12700" b="17780"/>
                <wp:docPr id="135" name="Canvas 4"/>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19050">
                          <a:solidFill>
                            <a:schemeClr val="tx1"/>
                          </a:solidFill>
                        </a:ln>
                      </wpc:whole>
                      <wps:wsp>
                        <wps:cNvPr id="118" name="Straight Connector 15"/>
                        <wps:cNvCnPr>
                          <a:cxnSpLocks noChangeShapeType="1"/>
                        </wps:cNvCnPr>
                        <wps:spPr bwMode="auto">
                          <a:xfrm flipV="1">
                            <a:off x="2147440" y="1755362"/>
                            <a:ext cx="104" cy="907796"/>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10" name="Text Box 5"/>
                        <wps:cNvSpPr txBox="1">
                          <a:spLocks noChangeArrowheads="1"/>
                        </wps:cNvSpPr>
                        <wps:spPr bwMode="auto">
                          <a:xfrm>
                            <a:off x="106352" y="87274"/>
                            <a:ext cx="452011" cy="3030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7B09671" w14:textId="39E1A197" w:rsidR="007401F4" w:rsidRDefault="007401F4" w:rsidP="006E3616">
                              <w:pPr>
                                <w:spacing w:after="0"/>
                                <w:jc w:val="center"/>
                              </w:pPr>
                              <w:r>
                                <w:t xml:space="preserve">System Performance MOP x </w:t>
                              </w:r>
                              <w:r>
                                <w:sym w:font="Wingdings" w:char="F0E8"/>
                              </w:r>
                            </w:p>
                          </w:txbxContent>
                        </wps:txbx>
                        <wps:bodyPr rot="0" vert="vert270" wrap="square" lIns="91440" tIns="45720" rIns="91440" bIns="45720" anchor="t" anchorCtr="0" upright="1">
                          <a:noAutofit/>
                        </wps:bodyPr>
                      </wps:wsp>
                      <wps:wsp>
                        <wps:cNvPr id="111" name="Text Box 6"/>
                        <wps:cNvSpPr txBox="1">
                          <a:spLocks noChangeArrowheads="1"/>
                        </wps:cNvSpPr>
                        <wps:spPr bwMode="auto">
                          <a:xfrm>
                            <a:off x="0" y="2846997"/>
                            <a:ext cx="5610834" cy="393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09EE6D3" w14:textId="1BCC739F" w:rsidR="007401F4" w:rsidRDefault="007401F4" w:rsidP="006E3616">
                              <w:pPr>
                                <w:jc w:val="center"/>
                              </w:pPr>
                              <w:r>
                                <w:t xml:space="preserve">Time </w:t>
                              </w:r>
                              <w:r w:rsidRPr="00DC249C">
                                <w:rPr>
                                  <w:sz w:val="20"/>
                                  <w:szCs w:val="18"/>
                                </w:rPr>
                                <w:sym w:font="Wingdings" w:char="F0E8"/>
                              </w:r>
                            </w:p>
                          </w:txbxContent>
                        </wps:txbx>
                        <wps:bodyPr rot="0" vert="horz" wrap="square" lIns="91440" tIns="45720" rIns="91440" bIns="45720" anchor="t" anchorCtr="0" upright="1">
                          <a:noAutofit/>
                        </wps:bodyPr>
                      </wps:wsp>
                      <wps:wsp>
                        <wps:cNvPr id="112" name="Straight Connector 7"/>
                        <wps:cNvCnPr>
                          <a:cxnSpLocks noChangeShapeType="1"/>
                        </wps:cNvCnPr>
                        <wps:spPr bwMode="auto">
                          <a:xfrm>
                            <a:off x="558361" y="87274"/>
                            <a:ext cx="0" cy="2619921"/>
                          </a:xfrm>
                          <a:prstGeom prst="line">
                            <a:avLst/>
                          </a:prstGeom>
                          <a:noFill/>
                          <a:ln w="38100">
                            <a:solidFill>
                              <a:srgbClr val="000000"/>
                            </a:solidFill>
                            <a:miter lim="800000"/>
                            <a:headEnd/>
                            <a:tailEnd/>
                          </a:ln>
                          <a:extLst>
                            <a:ext uri="{909E8E84-426E-40DD-AFC4-6F175D3DCCD1}">
                              <a14:hiddenFill xmlns:a14="http://schemas.microsoft.com/office/drawing/2010/main">
                                <a:noFill/>
                              </a14:hiddenFill>
                            </a:ext>
                          </a:extLst>
                        </wps:spPr>
                        <wps:bodyPr/>
                      </wps:wsp>
                      <wps:wsp>
                        <wps:cNvPr id="123" name="Text Box 14"/>
                        <wps:cNvSpPr txBox="1">
                          <a:spLocks noChangeArrowheads="1"/>
                        </wps:cNvSpPr>
                        <wps:spPr bwMode="auto">
                          <a:xfrm>
                            <a:off x="2149290" y="2485995"/>
                            <a:ext cx="748146" cy="221008"/>
                          </a:xfrm>
                          <a:prstGeom prst="rect">
                            <a:avLst/>
                          </a:prstGeom>
                          <a:solidFill>
                            <a:srgbClr val="DAE3F3"/>
                          </a:solidFill>
                          <a:ln w="6350">
                            <a:solidFill>
                              <a:srgbClr val="DAE3F3"/>
                            </a:solidFill>
                            <a:miter lim="800000"/>
                            <a:headEnd/>
                            <a:tailEnd/>
                          </a:ln>
                        </wps:spPr>
                        <wps:txbx>
                          <w:txbxContent>
                            <w:p w14:paraId="1229205C" w14:textId="77777777" w:rsidR="007401F4" w:rsidRDefault="007401F4" w:rsidP="006E3616">
                              <w:pPr>
                                <w:jc w:val="center"/>
                                <w:rPr>
                                  <w:szCs w:val="24"/>
                                </w:rPr>
                              </w:pPr>
                              <w:r>
                                <w:rPr>
                                  <w:sz w:val="16"/>
                                  <w:szCs w:val="16"/>
                                </w:rPr>
                                <w:t>recover</w:t>
                              </w:r>
                            </w:p>
                          </w:txbxContent>
                        </wps:txbx>
                        <wps:bodyPr rot="0" vert="horz" wrap="square" lIns="91440" tIns="45720" rIns="91440" bIns="45720" anchor="t" anchorCtr="0" upright="1">
                          <a:noAutofit/>
                        </wps:bodyPr>
                      </wps:wsp>
                      <wps:wsp>
                        <wps:cNvPr id="113" name="Straight Connector 8"/>
                        <wps:cNvCnPr>
                          <a:cxnSpLocks noChangeShapeType="1"/>
                        </wps:cNvCnPr>
                        <wps:spPr bwMode="auto">
                          <a:xfrm>
                            <a:off x="558367" y="2707195"/>
                            <a:ext cx="4742157" cy="52441"/>
                          </a:xfrm>
                          <a:prstGeom prst="line">
                            <a:avLst/>
                          </a:prstGeom>
                          <a:noFill/>
                          <a:ln w="38100">
                            <a:solidFill>
                              <a:srgbClr val="000000"/>
                            </a:solidFill>
                            <a:miter lim="800000"/>
                            <a:headEnd/>
                            <a:tailEnd/>
                          </a:ln>
                          <a:extLst>
                            <a:ext uri="{909E8E84-426E-40DD-AFC4-6F175D3DCCD1}">
                              <a14:hiddenFill xmlns:a14="http://schemas.microsoft.com/office/drawing/2010/main">
                                <a:noFill/>
                              </a14:hiddenFill>
                            </a:ext>
                          </a:extLst>
                        </wps:spPr>
                        <wps:bodyPr/>
                      </wps:wsp>
                      <wps:wsp>
                        <wps:cNvPr id="114" name="Straight Connector 10"/>
                        <wps:cNvCnPr>
                          <a:cxnSpLocks noChangeShapeType="1"/>
                        </wps:cNvCnPr>
                        <wps:spPr bwMode="auto">
                          <a:xfrm>
                            <a:off x="558362" y="1711627"/>
                            <a:ext cx="4653586" cy="43735"/>
                          </a:xfrm>
                          <a:prstGeom prst="line">
                            <a:avLst/>
                          </a:prstGeom>
                          <a:noFill/>
                          <a:ln w="28575">
                            <a:solidFill>
                              <a:srgbClr val="4472C4"/>
                            </a:solidFill>
                            <a:prstDash val="dash"/>
                            <a:miter lim="800000"/>
                            <a:headEnd/>
                            <a:tailEnd/>
                          </a:ln>
                          <a:extLst>
                            <a:ext uri="{909E8E84-426E-40DD-AFC4-6F175D3DCCD1}">
                              <a14:hiddenFill xmlns:a14="http://schemas.microsoft.com/office/drawing/2010/main">
                                <a:noFill/>
                              </a14:hiddenFill>
                            </a:ext>
                          </a:extLst>
                        </wps:spPr>
                        <wps:bodyPr/>
                      </wps:wsp>
                      <wps:wsp>
                        <wps:cNvPr id="115" name="Text Box 11"/>
                        <wps:cNvSpPr txBox="1">
                          <a:spLocks noChangeArrowheads="1"/>
                        </wps:cNvSpPr>
                        <wps:spPr bwMode="auto">
                          <a:xfrm>
                            <a:off x="683309" y="1502769"/>
                            <a:ext cx="1232422" cy="4567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7DF0185" w14:textId="77777777" w:rsidR="007401F4" w:rsidRDefault="007401F4" w:rsidP="006E3616">
                              <w:pPr>
                                <w:spacing w:after="0" w:line="240" w:lineRule="auto"/>
                                <w:jc w:val="left"/>
                                <w:rPr>
                                  <w:sz w:val="20"/>
                                  <w:szCs w:val="18"/>
                                </w:rPr>
                              </w:pPr>
                              <w:r>
                                <w:rPr>
                                  <w:sz w:val="20"/>
                                  <w:szCs w:val="18"/>
                                </w:rPr>
                                <w:t>Elasticity</w:t>
                              </w:r>
                            </w:p>
                            <w:p w14:paraId="014A16EC" w14:textId="77777777" w:rsidR="007401F4" w:rsidRPr="005E0D52" w:rsidRDefault="007401F4" w:rsidP="006E3616">
                              <w:pPr>
                                <w:spacing w:after="0" w:line="240" w:lineRule="auto"/>
                                <w:jc w:val="left"/>
                                <w:rPr>
                                  <w:sz w:val="20"/>
                                  <w:szCs w:val="18"/>
                                  <w:vertAlign w:val="subscript"/>
                                </w:rPr>
                              </w:pPr>
                              <w:r>
                                <w:rPr>
                                  <w:sz w:val="20"/>
                                  <w:szCs w:val="18"/>
                                </w:rPr>
                                <w:t>Threshold X</w:t>
                              </w:r>
                            </w:p>
                          </w:txbxContent>
                        </wps:txbx>
                        <wps:bodyPr rot="0" vert="horz" wrap="square" lIns="91440" tIns="45720" rIns="91440" bIns="45720" anchor="t" anchorCtr="0" upright="1">
                          <a:noAutofit/>
                        </wps:bodyPr>
                      </wps:wsp>
                      <wps:wsp>
                        <wps:cNvPr id="116" name="Straight Connector 12"/>
                        <wps:cNvCnPr>
                          <a:cxnSpLocks noChangeShapeType="1"/>
                        </wps:cNvCnPr>
                        <wps:spPr bwMode="auto">
                          <a:xfrm>
                            <a:off x="1622882" y="829437"/>
                            <a:ext cx="0" cy="1671125"/>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17" name="Text Box 14"/>
                        <wps:cNvSpPr txBox="1">
                          <a:spLocks noChangeArrowheads="1"/>
                        </wps:cNvSpPr>
                        <wps:spPr bwMode="auto">
                          <a:xfrm>
                            <a:off x="1622885" y="2490623"/>
                            <a:ext cx="524657" cy="206626"/>
                          </a:xfrm>
                          <a:prstGeom prst="rect">
                            <a:avLst/>
                          </a:prstGeom>
                          <a:solidFill>
                            <a:srgbClr val="FFFFFF"/>
                          </a:solidFill>
                          <a:ln w="6350">
                            <a:solidFill>
                              <a:srgbClr val="FF0000"/>
                            </a:solidFill>
                            <a:miter lim="800000"/>
                            <a:headEnd/>
                            <a:tailEnd/>
                          </a:ln>
                        </wps:spPr>
                        <wps:txbx>
                          <w:txbxContent>
                            <w:p w14:paraId="3F0FAA0E" w14:textId="77777777" w:rsidR="007401F4" w:rsidRPr="00671AAE" w:rsidRDefault="007401F4" w:rsidP="006E3616">
                              <w:pPr>
                                <w:spacing w:after="0" w:line="240" w:lineRule="auto"/>
                                <w:jc w:val="center"/>
                                <w:rPr>
                                  <w:sz w:val="16"/>
                                  <w:szCs w:val="14"/>
                                </w:rPr>
                              </w:pPr>
                              <w:r w:rsidRPr="00671AAE">
                                <w:rPr>
                                  <w:sz w:val="16"/>
                                  <w:szCs w:val="14"/>
                                </w:rPr>
                                <w:t>absorb</w:t>
                              </w:r>
                            </w:p>
                          </w:txbxContent>
                        </wps:txbx>
                        <wps:bodyPr rot="0" vert="horz" wrap="square" lIns="91440" tIns="45720" rIns="91440" bIns="45720" anchor="t" anchorCtr="0" upright="1">
                          <a:noAutofit/>
                        </wps:bodyPr>
                      </wps:wsp>
                      <wps:wsp>
                        <wps:cNvPr id="119" name="Straight Connector 16"/>
                        <wps:cNvCnPr>
                          <a:cxnSpLocks noChangeShapeType="1"/>
                        </wps:cNvCnPr>
                        <wps:spPr bwMode="auto">
                          <a:xfrm>
                            <a:off x="558362" y="829438"/>
                            <a:ext cx="1064521" cy="0"/>
                          </a:xfrm>
                          <a:prstGeom prst="line">
                            <a:avLst/>
                          </a:prstGeom>
                          <a:noFill/>
                          <a:ln w="19050">
                            <a:solidFill>
                              <a:srgbClr val="ED7D31"/>
                            </a:solidFill>
                            <a:miter lim="800000"/>
                            <a:headEnd/>
                            <a:tailEnd/>
                          </a:ln>
                          <a:extLst>
                            <a:ext uri="{909E8E84-426E-40DD-AFC4-6F175D3DCCD1}">
                              <a14:hiddenFill xmlns:a14="http://schemas.microsoft.com/office/drawing/2010/main">
                                <a:noFill/>
                              </a14:hiddenFill>
                            </a:ext>
                          </a:extLst>
                        </wps:spPr>
                        <wps:bodyPr/>
                      </wps:wsp>
                      <wps:wsp>
                        <wps:cNvPr id="120" name="Freeform: Shape 17"/>
                        <wps:cNvSpPr>
                          <a:spLocks/>
                        </wps:cNvSpPr>
                        <wps:spPr bwMode="auto">
                          <a:xfrm>
                            <a:off x="1622883" y="828932"/>
                            <a:ext cx="1274963" cy="772238"/>
                          </a:xfrm>
                          <a:custGeom>
                            <a:avLst/>
                            <a:gdLst>
                              <a:gd name="T0" fmla="*/ 0 w 1013369"/>
                              <a:gd name="T1" fmla="*/ 986 h 633817"/>
                              <a:gd name="T2" fmla="*/ 510641 w 1013369"/>
                              <a:gd name="T3" fmla="*/ 754901 h 633817"/>
                              <a:gd name="T4" fmla="*/ 769696 w 1013369"/>
                              <a:gd name="T5" fmla="*/ 379308 h 633817"/>
                              <a:gd name="T6" fmla="*/ 975661 w 1013369"/>
                              <a:gd name="T7" fmla="*/ 116209 h 633817"/>
                              <a:gd name="T8" fmla="*/ 1238705 w 1013369"/>
                              <a:gd name="T9" fmla="*/ 987 h 6338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13369" h="633817">
                                <a:moveTo>
                                  <a:pt x="0" y="819"/>
                                </a:moveTo>
                                <a:cubicBezTo>
                                  <a:pt x="61708" y="346757"/>
                                  <a:pt x="312256" y="574867"/>
                                  <a:pt x="417019" y="627259"/>
                                </a:cubicBezTo>
                                <a:cubicBezTo>
                                  <a:pt x="521782" y="679651"/>
                                  <a:pt x="565284" y="403623"/>
                                  <a:pt x="628578" y="315173"/>
                                </a:cubicBezTo>
                                <a:cubicBezTo>
                                  <a:pt x="691872" y="226723"/>
                                  <a:pt x="732944" y="148952"/>
                                  <a:pt x="796781" y="96560"/>
                                </a:cubicBezTo>
                                <a:cubicBezTo>
                                  <a:pt x="860618" y="44168"/>
                                  <a:pt x="1032634" y="-7127"/>
                                  <a:pt x="1011598" y="820"/>
                                </a:cubicBezTo>
                              </a:path>
                            </a:pathLst>
                          </a:custGeom>
                          <a:noFill/>
                          <a:ln w="19050">
                            <a:solidFill>
                              <a:srgbClr val="ED7D31"/>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1" name="Straight Connector 18"/>
                        <wps:cNvCnPr>
                          <a:cxnSpLocks noChangeShapeType="1"/>
                        </wps:cNvCnPr>
                        <wps:spPr bwMode="auto">
                          <a:xfrm flipV="1">
                            <a:off x="2897847" y="829336"/>
                            <a:ext cx="2274543" cy="608"/>
                          </a:xfrm>
                          <a:prstGeom prst="line">
                            <a:avLst/>
                          </a:prstGeom>
                          <a:noFill/>
                          <a:ln w="19050">
                            <a:solidFill>
                              <a:srgbClr val="ED7D31"/>
                            </a:solidFill>
                            <a:miter lim="800000"/>
                            <a:headEnd/>
                            <a:tailEnd/>
                          </a:ln>
                          <a:extLst>
                            <a:ext uri="{909E8E84-426E-40DD-AFC4-6F175D3DCCD1}">
                              <a14:hiddenFill xmlns:a14="http://schemas.microsoft.com/office/drawing/2010/main">
                                <a:noFill/>
                              </a14:hiddenFill>
                            </a:ext>
                          </a:extLst>
                        </wps:spPr>
                        <wps:bodyPr/>
                      </wps:wsp>
                      <wps:wsp>
                        <wps:cNvPr id="122" name="Straight Connector 19"/>
                        <wps:cNvCnPr>
                          <a:cxnSpLocks noChangeShapeType="1"/>
                        </wps:cNvCnPr>
                        <wps:spPr bwMode="auto">
                          <a:xfrm flipH="1">
                            <a:off x="2895688" y="828932"/>
                            <a:ext cx="2156" cy="1878257"/>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24" name="Freeform: Shape 25"/>
                        <wps:cNvSpPr>
                          <a:spLocks/>
                        </wps:cNvSpPr>
                        <wps:spPr bwMode="auto">
                          <a:xfrm>
                            <a:off x="1631516" y="815676"/>
                            <a:ext cx="1308767" cy="751991"/>
                          </a:xfrm>
                          <a:custGeom>
                            <a:avLst/>
                            <a:gdLst/>
                            <a:ahLst/>
                            <a:cxnLst/>
                            <a:rect l="0" t="0" r="r" b="b"/>
                            <a:pathLst>
                              <a:path w="1273772" h="742825">
                                <a:moveTo>
                                  <a:pt x="16603" y="1725"/>
                                </a:moveTo>
                                <a:cubicBezTo>
                                  <a:pt x="33432" y="-3885"/>
                                  <a:pt x="-78011" y="5863"/>
                                  <a:pt x="117580" y="7334"/>
                                </a:cubicBezTo>
                                <a:cubicBezTo>
                                  <a:pt x="313171" y="8805"/>
                                  <a:pt x="1048117" y="57901"/>
                                  <a:pt x="1190150" y="10554"/>
                                </a:cubicBezTo>
                                <a:cubicBezTo>
                                  <a:pt x="1203240" y="12424"/>
                                  <a:pt x="668380" y="10156"/>
                                  <a:pt x="569091" y="10554"/>
                                </a:cubicBezTo>
                                <a:cubicBezTo>
                                  <a:pt x="469802" y="10952"/>
                                  <a:pt x="584584" y="13906"/>
                                  <a:pt x="594414" y="12944"/>
                                </a:cubicBezTo>
                                <a:cubicBezTo>
                                  <a:pt x="604244" y="11982"/>
                                  <a:pt x="616893" y="2688"/>
                                  <a:pt x="628073" y="4784"/>
                                </a:cubicBezTo>
                                <a:cubicBezTo>
                                  <a:pt x="646816" y="8298"/>
                                  <a:pt x="664537" y="26544"/>
                                  <a:pt x="684171" y="29774"/>
                                </a:cubicBezTo>
                                <a:cubicBezTo>
                                  <a:pt x="703805" y="33004"/>
                                  <a:pt x="730492" y="27367"/>
                                  <a:pt x="745879" y="24164"/>
                                </a:cubicBezTo>
                                <a:cubicBezTo>
                                  <a:pt x="761266" y="20961"/>
                                  <a:pt x="763405" y="13358"/>
                                  <a:pt x="776495" y="10553"/>
                                </a:cubicBezTo>
                                <a:cubicBezTo>
                                  <a:pt x="789585" y="7748"/>
                                  <a:pt x="817227" y="9131"/>
                                  <a:pt x="824417" y="7334"/>
                                </a:cubicBezTo>
                                <a:cubicBezTo>
                                  <a:pt x="852466" y="9204"/>
                                  <a:pt x="885190" y="10553"/>
                                  <a:pt x="908564" y="10553"/>
                                </a:cubicBezTo>
                                <a:cubicBezTo>
                                  <a:pt x="931938" y="10553"/>
                                  <a:pt x="1098257" y="8296"/>
                                  <a:pt x="964662" y="7334"/>
                                </a:cubicBezTo>
                                <a:lnTo>
                                  <a:pt x="106997" y="4784"/>
                                </a:lnTo>
                                <a:cubicBezTo>
                                  <a:pt x="275916" y="-1249"/>
                                  <a:pt x="1021814" y="3823"/>
                                  <a:pt x="1199352" y="4785"/>
                                </a:cubicBezTo>
                                <a:cubicBezTo>
                                  <a:pt x="1376890" y="5747"/>
                                  <a:pt x="1182356" y="7324"/>
                                  <a:pt x="1172225" y="10554"/>
                                </a:cubicBezTo>
                                <a:cubicBezTo>
                                  <a:pt x="1162094" y="13784"/>
                                  <a:pt x="1149786" y="20026"/>
                                  <a:pt x="1138567" y="24164"/>
                                </a:cubicBezTo>
                                <a:cubicBezTo>
                                  <a:pt x="1127348" y="28302"/>
                                  <a:pt x="1116128" y="31643"/>
                                  <a:pt x="1104908" y="35383"/>
                                </a:cubicBezTo>
                                <a:lnTo>
                                  <a:pt x="1071249" y="57823"/>
                                </a:lnTo>
                                <a:cubicBezTo>
                                  <a:pt x="1065639" y="61563"/>
                                  <a:pt x="1060815" y="66910"/>
                                  <a:pt x="1054419" y="69042"/>
                                </a:cubicBezTo>
                                <a:lnTo>
                                  <a:pt x="1037590" y="74652"/>
                                </a:lnTo>
                                <a:cubicBezTo>
                                  <a:pt x="1023070" y="89172"/>
                                  <a:pt x="1007231" y="107211"/>
                                  <a:pt x="987102" y="113921"/>
                                </a:cubicBezTo>
                                <a:lnTo>
                                  <a:pt x="970272" y="119531"/>
                                </a:lnTo>
                                <a:cubicBezTo>
                                  <a:pt x="932925" y="156878"/>
                                  <a:pt x="973147" y="121674"/>
                                  <a:pt x="936613" y="141970"/>
                                </a:cubicBezTo>
                                <a:cubicBezTo>
                                  <a:pt x="924826" y="148518"/>
                                  <a:pt x="902954" y="164409"/>
                                  <a:pt x="902954" y="164409"/>
                                </a:cubicBezTo>
                                <a:cubicBezTo>
                                  <a:pt x="899214" y="170019"/>
                                  <a:pt x="896502" y="176472"/>
                                  <a:pt x="891735" y="181239"/>
                                </a:cubicBezTo>
                                <a:cubicBezTo>
                                  <a:pt x="886968" y="186006"/>
                                  <a:pt x="879117" y="187193"/>
                                  <a:pt x="874905" y="192458"/>
                                </a:cubicBezTo>
                                <a:cubicBezTo>
                                  <a:pt x="871211" y="197076"/>
                                  <a:pt x="872575" y="204368"/>
                                  <a:pt x="869295" y="209288"/>
                                </a:cubicBezTo>
                                <a:cubicBezTo>
                                  <a:pt x="860657" y="222246"/>
                                  <a:pt x="848054" y="229058"/>
                                  <a:pt x="835636" y="237337"/>
                                </a:cubicBezTo>
                                <a:cubicBezTo>
                                  <a:pt x="828156" y="248557"/>
                                  <a:pt x="824417" y="263516"/>
                                  <a:pt x="813197" y="270996"/>
                                </a:cubicBezTo>
                                <a:cubicBezTo>
                                  <a:pt x="789767" y="286616"/>
                                  <a:pt x="801135" y="277448"/>
                                  <a:pt x="779538" y="299045"/>
                                </a:cubicBezTo>
                                <a:cubicBezTo>
                                  <a:pt x="775798" y="310265"/>
                                  <a:pt x="774879" y="322864"/>
                                  <a:pt x="768319" y="332704"/>
                                </a:cubicBezTo>
                                <a:cubicBezTo>
                                  <a:pt x="760839" y="343924"/>
                                  <a:pt x="755414" y="356828"/>
                                  <a:pt x="745879" y="366363"/>
                                </a:cubicBezTo>
                                <a:cubicBezTo>
                                  <a:pt x="740269" y="371973"/>
                                  <a:pt x="733921" y="376930"/>
                                  <a:pt x="729050" y="383192"/>
                                </a:cubicBezTo>
                                <a:cubicBezTo>
                                  <a:pt x="720771" y="393836"/>
                                  <a:pt x="681452" y="448820"/>
                                  <a:pt x="706611" y="416851"/>
                                </a:cubicBezTo>
                                <a:cubicBezTo>
                                  <a:pt x="731770" y="384882"/>
                                  <a:pt x="822205" y="266536"/>
                                  <a:pt x="880002" y="191379"/>
                                </a:cubicBezTo>
                                <a:cubicBezTo>
                                  <a:pt x="876262" y="202599"/>
                                  <a:pt x="717744" y="417606"/>
                                  <a:pt x="684171" y="467339"/>
                                </a:cubicBezTo>
                                <a:cubicBezTo>
                                  <a:pt x="650598" y="517072"/>
                                  <a:pt x="681599" y="482692"/>
                                  <a:pt x="678562" y="489779"/>
                                </a:cubicBezTo>
                                <a:cubicBezTo>
                                  <a:pt x="672706" y="503444"/>
                                  <a:pt x="660620" y="513330"/>
                                  <a:pt x="650513" y="523437"/>
                                </a:cubicBezTo>
                                <a:cubicBezTo>
                                  <a:pt x="646773" y="534657"/>
                                  <a:pt x="727779" y="378493"/>
                                  <a:pt x="728714" y="386908"/>
                                </a:cubicBezTo>
                                <a:cubicBezTo>
                                  <a:pt x="729649" y="395323"/>
                                  <a:pt x="651263" y="589496"/>
                                  <a:pt x="656123" y="573926"/>
                                </a:cubicBezTo>
                                <a:cubicBezTo>
                                  <a:pt x="660983" y="558356"/>
                                  <a:pt x="761617" y="284138"/>
                                  <a:pt x="757877" y="293488"/>
                                </a:cubicBezTo>
                                <a:cubicBezTo>
                                  <a:pt x="754137" y="302838"/>
                                  <a:pt x="637423" y="624413"/>
                                  <a:pt x="633683" y="630023"/>
                                </a:cubicBezTo>
                                <a:cubicBezTo>
                                  <a:pt x="631813" y="659942"/>
                                  <a:pt x="625882" y="684225"/>
                                  <a:pt x="611244" y="702952"/>
                                </a:cubicBezTo>
                                <a:cubicBezTo>
                                  <a:pt x="596606" y="721679"/>
                                  <a:pt x="551768" y="739430"/>
                                  <a:pt x="545856" y="742386"/>
                                </a:cubicBezTo>
                                <a:cubicBezTo>
                                  <a:pt x="539826" y="745401"/>
                                  <a:pt x="562948" y="731964"/>
                                  <a:pt x="560756" y="731001"/>
                                </a:cubicBezTo>
                                <a:cubicBezTo>
                                  <a:pt x="558564" y="730038"/>
                                  <a:pt x="538717" y="734713"/>
                                  <a:pt x="532706" y="736610"/>
                                </a:cubicBezTo>
                                <a:cubicBezTo>
                                  <a:pt x="526695" y="738507"/>
                                  <a:pt x="532169" y="740516"/>
                                  <a:pt x="524689" y="742386"/>
                                </a:cubicBezTo>
                                <a:cubicBezTo>
                                  <a:pt x="494770" y="740516"/>
                                  <a:pt x="457507" y="672744"/>
                                  <a:pt x="448559" y="667107"/>
                                </a:cubicBezTo>
                                <a:cubicBezTo>
                                  <a:pt x="439611" y="661470"/>
                                  <a:pt x="471933" y="702587"/>
                                  <a:pt x="470998" y="708561"/>
                                </a:cubicBezTo>
                                <a:cubicBezTo>
                                  <a:pt x="470063" y="714535"/>
                                  <a:pt x="448560" y="706691"/>
                                  <a:pt x="442950" y="702951"/>
                                </a:cubicBezTo>
                                <a:cubicBezTo>
                                  <a:pt x="457272" y="659988"/>
                                  <a:pt x="504123" y="672717"/>
                                  <a:pt x="502253" y="667107"/>
                                </a:cubicBezTo>
                                <a:cubicBezTo>
                                  <a:pt x="500383" y="661497"/>
                                  <a:pt x="448159" y="671734"/>
                                  <a:pt x="431730" y="669293"/>
                                </a:cubicBezTo>
                                <a:cubicBezTo>
                                  <a:pt x="415301" y="666852"/>
                                  <a:pt x="412404" y="659005"/>
                                  <a:pt x="403681" y="652463"/>
                                </a:cubicBezTo>
                                <a:cubicBezTo>
                                  <a:pt x="397334" y="647703"/>
                                  <a:pt x="393452" y="640035"/>
                                  <a:pt x="386851" y="635634"/>
                                </a:cubicBezTo>
                                <a:cubicBezTo>
                                  <a:pt x="381931" y="632354"/>
                                  <a:pt x="350789" y="612246"/>
                                  <a:pt x="370022" y="630024"/>
                                </a:cubicBezTo>
                                <a:cubicBezTo>
                                  <a:pt x="389255" y="647802"/>
                                  <a:pt x="508106" y="745648"/>
                                  <a:pt x="502252" y="742303"/>
                                </a:cubicBezTo>
                                <a:cubicBezTo>
                                  <a:pt x="494991" y="738154"/>
                                  <a:pt x="338233" y="611325"/>
                                  <a:pt x="330753" y="607585"/>
                                </a:cubicBezTo>
                                <a:cubicBezTo>
                                  <a:pt x="293404" y="570234"/>
                                  <a:pt x="328611" y="610460"/>
                                  <a:pt x="308314" y="573926"/>
                                </a:cubicBezTo>
                                <a:cubicBezTo>
                                  <a:pt x="301765" y="562139"/>
                                  <a:pt x="291906" y="552328"/>
                                  <a:pt x="285875" y="540267"/>
                                </a:cubicBezTo>
                                <a:cubicBezTo>
                                  <a:pt x="282135" y="532787"/>
                                  <a:pt x="271611" y="511313"/>
                                  <a:pt x="274655" y="517828"/>
                                </a:cubicBezTo>
                                <a:cubicBezTo>
                                  <a:pt x="277699" y="524343"/>
                                  <a:pt x="314422" y="592449"/>
                                  <a:pt x="304137" y="579359"/>
                                </a:cubicBezTo>
                                <a:cubicBezTo>
                                  <a:pt x="293852" y="566269"/>
                                  <a:pt x="230015" y="473854"/>
                                  <a:pt x="212947" y="439290"/>
                                </a:cubicBezTo>
                                <a:cubicBezTo>
                                  <a:pt x="195879" y="404726"/>
                                  <a:pt x="206403" y="381322"/>
                                  <a:pt x="201728" y="371972"/>
                                </a:cubicBezTo>
                                <a:cubicBezTo>
                                  <a:pt x="197053" y="362622"/>
                                  <a:pt x="188638" y="388801"/>
                                  <a:pt x="184898" y="383191"/>
                                </a:cubicBezTo>
                                <a:cubicBezTo>
                                  <a:pt x="181158" y="377581"/>
                                  <a:pt x="173598" y="326320"/>
                                  <a:pt x="179288" y="338313"/>
                                </a:cubicBezTo>
                                <a:cubicBezTo>
                                  <a:pt x="184978" y="350306"/>
                                  <a:pt x="224646" y="457017"/>
                                  <a:pt x="219036" y="455147"/>
                                </a:cubicBezTo>
                                <a:cubicBezTo>
                                  <a:pt x="167009" y="403121"/>
                                  <a:pt x="138070" y="329121"/>
                                  <a:pt x="117421" y="293754"/>
                                </a:cubicBezTo>
                                <a:cubicBezTo>
                                  <a:pt x="96772" y="258387"/>
                                  <a:pt x="100724" y="257960"/>
                                  <a:pt x="95141" y="242947"/>
                                </a:cubicBezTo>
                                <a:cubicBezTo>
                                  <a:pt x="89558" y="227934"/>
                                  <a:pt x="86318" y="212066"/>
                                  <a:pt x="83921" y="203678"/>
                                </a:cubicBezTo>
                                <a:cubicBezTo>
                                  <a:pt x="82296" y="197992"/>
                                  <a:pt x="80181" y="192458"/>
                                  <a:pt x="78311" y="186848"/>
                                </a:cubicBezTo>
                                <a:cubicBezTo>
                                  <a:pt x="71235" y="130236"/>
                                  <a:pt x="110439" y="270701"/>
                                  <a:pt x="107634" y="266961"/>
                                </a:cubicBezTo>
                                <a:cubicBezTo>
                                  <a:pt x="104829" y="263221"/>
                                  <a:pt x="73848" y="199266"/>
                                  <a:pt x="61481" y="164410"/>
                                </a:cubicBezTo>
                                <a:cubicBezTo>
                                  <a:pt x="49114" y="129554"/>
                                  <a:pt x="42968" y="67358"/>
                                  <a:pt x="33433" y="57823"/>
                                </a:cubicBezTo>
                                <a:cubicBezTo>
                                  <a:pt x="27823" y="52213"/>
                                  <a:pt x="19728" y="48285"/>
                                  <a:pt x="16603" y="40993"/>
                                </a:cubicBezTo>
                                <a:cubicBezTo>
                                  <a:pt x="13657" y="34118"/>
                                  <a:pt x="-226" y="7335"/>
                                  <a:pt x="16603" y="1725"/>
                                </a:cubicBezTo>
                                <a:close/>
                              </a:path>
                            </a:pathLst>
                          </a:custGeom>
                          <a:solidFill>
                            <a:srgbClr val="FFF2CC"/>
                          </a:solidFill>
                          <a:ln w="12700">
                            <a:solidFill>
                              <a:srgbClr val="FFF2CC"/>
                            </a:solidFill>
                            <a:miter lim="800000"/>
                            <a:headEnd/>
                            <a:tailEnd/>
                          </a:ln>
                        </wps:spPr>
                        <wps:bodyPr rot="0" vert="horz" wrap="square" lIns="91440" tIns="45720" rIns="91440" bIns="45720" anchor="ctr" anchorCtr="0" upright="1">
                          <a:noAutofit/>
                        </wps:bodyPr>
                      </wps:wsp>
                      <wps:wsp>
                        <wps:cNvPr id="125" name="Oval 26"/>
                        <wps:cNvSpPr>
                          <a:spLocks noChangeArrowheads="1"/>
                        </wps:cNvSpPr>
                        <wps:spPr bwMode="auto">
                          <a:xfrm>
                            <a:off x="1677551" y="827413"/>
                            <a:ext cx="1102645" cy="51530"/>
                          </a:xfrm>
                          <a:prstGeom prst="ellipse">
                            <a:avLst/>
                          </a:prstGeom>
                          <a:solidFill>
                            <a:srgbClr val="FFF2CC"/>
                          </a:solidFill>
                          <a:ln w="12700">
                            <a:solidFill>
                              <a:srgbClr val="FFF2CC"/>
                            </a:solidFill>
                            <a:miter lim="800000"/>
                            <a:headEnd/>
                            <a:tailEnd/>
                          </a:ln>
                        </wps:spPr>
                        <wps:bodyPr rot="0" vert="horz" wrap="square" lIns="91440" tIns="45720" rIns="91440" bIns="45720" anchor="ctr" anchorCtr="0" upright="1">
                          <a:noAutofit/>
                        </wps:bodyPr>
                      </wps:wsp>
                      <wps:wsp>
                        <wps:cNvPr id="126" name="Text Box 27"/>
                        <wps:cNvSpPr txBox="1">
                          <a:spLocks noChangeArrowheads="1"/>
                        </wps:cNvSpPr>
                        <wps:spPr bwMode="auto">
                          <a:xfrm>
                            <a:off x="1748655" y="902335"/>
                            <a:ext cx="693584" cy="3299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1C16DFC" w14:textId="77777777" w:rsidR="007401F4" w:rsidRPr="006C74ED" w:rsidRDefault="007401F4" w:rsidP="006E3616">
                              <w:pPr>
                                <w:spacing w:after="0" w:line="240" w:lineRule="auto"/>
                                <w:jc w:val="center"/>
                                <w:rPr>
                                  <w:sz w:val="16"/>
                                  <w:szCs w:val="14"/>
                                </w:rPr>
                              </w:pPr>
                              <w:r>
                                <w:rPr>
                                  <w:sz w:val="16"/>
                                  <w:szCs w:val="14"/>
                                </w:rPr>
                                <w:t>Resilience Loss</w:t>
                              </w:r>
                            </w:p>
                          </w:txbxContent>
                        </wps:txbx>
                        <wps:bodyPr rot="0" vert="horz" wrap="square" lIns="91440" tIns="45720" rIns="91440" bIns="45720" anchor="t" anchorCtr="0" upright="1">
                          <a:noAutofit/>
                        </wps:bodyPr>
                      </wps:wsp>
                      <wps:wsp>
                        <wps:cNvPr id="127" name="Arrow: Down 28"/>
                        <wps:cNvSpPr>
                          <a:spLocks noChangeArrowheads="1"/>
                        </wps:cNvSpPr>
                        <wps:spPr bwMode="auto">
                          <a:xfrm>
                            <a:off x="1497423" y="221710"/>
                            <a:ext cx="251231" cy="501428"/>
                          </a:xfrm>
                          <a:prstGeom prst="downArrow">
                            <a:avLst>
                              <a:gd name="adj1" fmla="val 50000"/>
                              <a:gd name="adj2" fmla="val 50016"/>
                            </a:avLst>
                          </a:prstGeom>
                          <a:gradFill rotWithShape="1">
                            <a:gsLst>
                              <a:gs pos="0">
                                <a:srgbClr val="F7BDA4"/>
                              </a:gs>
                              <a:gs pos="50000">
                                <a:srgbClr val="F5B195"/>
                              </a:gs>
                              <a:gs pos="100000">
                                <a:srgbClr val="F8A581"/>
                              </a:gs>
                            </a:gsLst>
                            <a:lin ang="5400000"/>
                          </a:gradFill>
                          <a:ln w="6350">
                            <a:solidFill>
                              <a:srgbClr val="ED7D31"/>
                            </a:solidFill>
                            <a:miter lim="800000"/>
                            <a:headEnd/>
                            <a:tailEnd/>
                          </a:ln>
                        </wps:spPr>
                        <wps:bodyPr rot="0" vert="horz" wrap="square" lIns="91440" tIns="45720" rIns="91440" bIns="45720" anchor="ctr" anchorCtr="0" upright="1">
                          <a:noAutofit/>
                        </wps:bodyPr>
                      </wps:wsp>
                      <wps:wsp>
                        <wps:cNvPr id="128" name="Text Box 29"/>
                        <wps:cNvSpPr txBox="1">
                          <a:spLocks noChangeArrowheads="1"/>
                        </wps:cNvSpPr>
                        <wps:spPr bwMode="auto">
                          <a:xfrm>
                            <a:off x="1223378" y="6"/>
                            <a:ext cx="782980" cy="240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0FC0772" w14:textId="77777777" w:rsidR="007401F4" w:rsidRPr="006C74ED" w:rsidRDefault="007401F4" w:rsidP="006E3616">
                              <w:pPr>
                                <w:jc w:val="center"/>
                                <w:rPr>
                                  <w:b/>
                                  <w:bCs/>
                                  <w:sz w:val="20"/>
                                  <w:szCs w:val="18"/>
                                </w:rPr>
                              </w:pPr>
                              <w:r>
                                <w:rPr>
                                  <w:b/>
                                  <w:bCs/>
                                  <w:sz w:val="20"/>
                                  <w:szCs w:val="18"/>
                                </w:rPr>
                                <w:t>Shock</w:t>
                              </w:r>
                            </w:p>
                          </w:txbxContent>
                        </wps:txbx>
                        <wps:bodyPr rot="0" vert="horz" wrap="square" lIns="91440" tIns="45720" rIns="91440" bIns="45720" anchor="t" anchorCtr="0" upright="1">
                          <a:noAutofit/>
                        </wps:bodyPr>
                      </wps:wsp>
                      <wps:wsp>
                        <wps:cNvPr id="129" name="Text Box 30"/>
                        <wps:cNvSpPr txBox="1">
                          <a:spLocks noChangeArrowheads="1"/>
                        </wps:cNvSpPr>
                        <wps:spPr bwMode="auto">
                          <a:xfrm>
                            <a:off x="2166730" y="506"/>
                            <a:ext cx="1542201" cy="239933"/>
                          </a:xfrm>
                          <a:prstGeom prst="rect">
                            <a:avLst/>
                          </a:prstGeom>
                          <a:solidFill>
                            <a:srgbClr val="EDEDED"/>
                          </a:solidFill>
                          <a:ln w="6350">
                            <a:solidFill>
                              <a:srgbClr val="000000"/>
                            </a:solidFill>
                            <a:miter lim="800000"/>
                            <a:headEnd/>
                            <a:tailEnd/>
                          </a:ln>
                        </wps:spPr>
                        <wps:txbx>
                          <w:txbxContent>
                            <w:p w14:paraId="595140B2" w14:textId="77777777" w:rsidR="007401F4" w:rsidRPr="00210AB2" w:rsidRDefault="007401F4" w:rsidP="006E3616">
                              <w:pPr>
                                <w:jc w:val="center"/>
                                <w:rPr>
                                  <w:sz w:val="16"/>
                                  <w:szCs w:val="14"/>
                                </w:rPr>
                              </w:pPr>
                              <w:r>
                                <w:rPr>
                                  <w:sz w:val="16"/>
                                  <w:szCs w:val="14"/>
                                </w:rPr>
                                <w:t>adapt (learn)</w:t>
                              </w:r>
                            </w:p>
                          </w:txbxContent>
                        </wps:txbx>
                        <wps:bodyPr rot="0" vert="horz" wrap="square" lIns="91440" tIns="45720" rIns="91440" bIns="45720" anchor="t" anchorCtr="0" upright="1">
                          <a:noAutofit/>
                        </wps:bodyPr>
                      </wps:wsp>
                      <wps:wsp>
                        <wps:cNvPr id="130" name="Text Box 30"/>
                        <wps:cNvSpPr txBox="1">
                          <a:spLocks noChangeArrowheads="1"/>
                        </wps:cNvSpPr>
                        <wps:spPr bwMode="auto">
                          <a:xfrm>
                            <a:off x="3721102" y="810"/>
                            <a:ext cx="1448510" cy="239730"/>
                          </a:xfrm>
                          <a:prstGeom prst="rect">
                            <a:avLst/>
                          </a:prstGeom>
                          <a:solidFill>
                            <a:srgbClr val="F8CBAD"/>
                          </a:solidFill>
                          <a:ln w="6350">
                            <a:solidFill>
                              <a:srgbClr val="000000"/>
                            </a:solidFill>
                            <a:miter lim="800000"/>
                            <a:headEnd/>
                            <a:tailEnd/>
                          </a:ln>
                        </wps:spPr>
                        <wps:txbx>
                          <w:txbxContent>
                            <w:p w14:paraId="32F259F8" w14:textId="77777777" w:rsidR="007401F4" w:rsidRDefault="007401F4" w:rsidP="006E3616">
                              <w:pPr>
                                <w:jc w:val="center"/>
                                <w:rPr>
                                  <w:szCs w:val="24"/>
                                </w:rPr>
                              </w:pPr>
                              <w:r>
                                <w:rPr>
                                  <w:sz w:val="16"/>
                                  <w:szCs w:val="16"/>
                                </w:rPr>
                                <w:t>transform</w:t>
                              </w:r>
                            </w:p>
                          </w:txbxContent>
                        </wps:txbx>
                        <wps:bodyPr rot="0" vert="horz" wrap="square" lIns="91440" tIns="45720" rIns="91440" bIns="45720" anchor="t" anchorCtr="0" upright="1">
                          <a:noAutofit/>
                        </wps:bodyPr>
                      </wps:wsp>
                      <wps:wsp>
                        <wps:cNvPr id="131" name="Text Box 11"/>
                        <wps:cNvSpPr txBox="1">
                          <a:spLocks noChangeArrowheads="1"/>
                        </wps:cNvSpPr>
                        <wps:spPr bwMode="auto">
                          <a:xfrm>
                            <a:off x="3721104" y="359292"/>
                            <a:ext cx="1579417" cy="456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8EABB9B" w14:textId="77777777" w:rsidR="007401F4" w:rsidRPr="00210AB2" w:rsidRDefault="007401F4" w:rsidP="006E3616">
                              <w:pPr>
                                <w:spacing w:after="0" w:line="240" w:lineRule="auto"/>
                                <w:rPr>
                                  <w:b/>
                                  <w:bCs/>
                                </w:rPr>
                              </w:pPr>
                              <w:r>
                                <w:rPr>
                                  <w:b/>
                                  <w:bCs/>
                                  <w:sz w:val="20"/>
                                  <w:szCs w:val="20"/>
                                </w:rPr>
                                <w:t>[4] adaptive behaviour</w:t>
                              </w:r>
                            </w:p>
                          </w:txbxContent>
                        </wps:txbx>
                        <wps:bodyPr rot="0" vert="horz" wrap="square" lIns="91440" tIns="45720" rIns="91440" bIns="45720" anchor="t" anchorCtr="0" upright="1">
                          <a:noAutofit/>
                        </wps:bodyPr>
                      </wps:wsp>
                      <wps:wsp>
                        <wps:cNvPr id="132" name="Text Box 11"/>
                        <wps:cNvSpPr txBox="1">
                          <a:spLocks noChangeArrowheads="1"/>
                        </wps:cNvSpPr>
                        <wps:spPr bwMode="auto">
                          <a:xfrm>
                            <a:off x="3721513" y="596795"/>
                            <a:ext cx="1579008" cy="456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0907C5C" w14:textId="77777777" w:rsidR="007401F4" w:rsidRDefault="007401F4" w:rsidP="006E3616">
                              <w:pPr>
                                <w:rPr>
                                  <w:szCs w:val="24"/>
                                </w:rPr>
                              </w:pPr>
                              <w:r>
                                <w:rPr>
                                  <w:b/>
                                  <w:bCs/>
                                  <w:sz w:val="20"/>
                                  <w:szCs w:val="20"/>
                                </w:rPr>
                                <w:t>[1] robust behaviour</w:t>
                              </w:r>
                            </w:p>
                          </w:txbxContent>
                        </wps:txbx>
                        <wps:bodyPr rot="0" vert="horz" wrap="square" lIns="91440" tIns="45720" rIns="91440" bIns="45720" anchor="t" anchorCtr="0" upright="1">
                          <a:noAutofit/>
                        </wps:bodyPr>
                      </wps:wsp>
                      <wps:wsp>
                        <wps:cNvPr id="133" name="Text Box 11"/>
                        <wps:cNvSpPr txBox="1">
                          <a:spLocks noChangeArrowheads="1"/>
                        </wps:cNvSpPr>
                        <wps:spPr bwMode="auto">
                          <a:xfrm>
                            <a:off x="3721513" y="982516"/>
                            <a:ext cx="1579008" cy="456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9B6E637" w14:textId="77777777" w:rsidR="007401F4" w:rsidRDefault="007401F4" w:rsidP="006E3616">
                              <w:pPr>
                                <w:rPr>
                                  <w:szCs w:val="24"/>
                                </w:rPr>
                              </w:pPr>
                              <w:r>
                                <w:rPr>
                                  <w:b/>
                                  <w:bCs/>
                                  <w:sz w:val="20"/>
                                  <w:szCs w:val="20"/>
                                </w:rPr>
                                <w:t>[2] ductile behaviour</w:t>
                              </w:r>
                            </w:p>
                          </w:txbxContent>
                        </wps:txbx>
                        <wps:bodyPr rot="0" vert="horz" wrap="square" lIns="91440" tIns="45720" rIns="91440" bIns="45720" anchor="t" anchorCtr="0" upright="1">
                          <a:noAutofit/>
                        </wps:bodyPr>
                      </wps:wsp>
                      <wps:wsp>
                        <wps:cNvPr id="134" name="Text Box 11"/>
                        <wps:cNvSpPr txBox="1">
                          <a:spLocks noChangeArrowheads="1"/>
                        </wps:cNvSpPr>
                        <wps:spPr bwMode="auto">
                          <a:xfrm>
                            <a:off x="3721515" y="2317836"/>
                            <a:ext cx="1818421" cy="456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9964DB3" w14:textId="77777777" w:rsidR="007401F4" w:rsidRDefault="007401F4" w:rsidP="006E3616">
                              <w:pPr>
                                <w:rPr>
                                  <w:szCs w:val="24"/>
                                </w:rPr>
                              </w:pPr>
                              <w:r>
                                <w:rPr>
                                  <w:b/>
                                  <w:bCs/>
                                  <w:sz w:val="20"/>
                                  <w:szCs w:val="20"/>
                                </w:rPr>
                                <w:t>[3] collapsing behaviour</w:t>
                              </w:r>
                            </w:p>
                          </w:txbxContent>
                        </wps:txbx>
                        <wps:bodyPr rot="0" vert="horz" wrap="square" lIns="91440" tIns="45720" rIns="91440" bIns="45720" anchor="t" anchorCtr="0" upright="1">
                          <a:noAutofit/>
                        </wps:bodyPr>
                      </wps:wsp>
                      <wps:wsp>
                        <wps:cNvPr id="226" name="Freeform: Shape 226"/>
                        <wps:cNvSpPr/>
                        <wps:spPr>
                          <a:xfrm>
                            <a:off x="2166730" y="1580322"/>
                            <a:ext cx="1610140" cy="864704"/>
                          </a:xfrm>
                          <a:custGeom>
                            <a:avLst/>
                            <a:gdLst>
                              <a:gd name="connsiteX0" fmla="*/ 0 w 1610140"/>
                              <a:gd name="connsiteY0" fmla="*/ 0 h 864704"/>
                              <a:gd name="connsiteX1" fmla="*/ 39757 w 1610140"/>
                              <a:gd name="connsiteY1" fmla="*/ 49696 h 864704"/>
                              <a:gd name="connsiteX2" fmla="*/ 69574 w 1610140"/>
                              <a:gd name="connsiteY2" fmla="*/ 59635 h 864704"/>
                              <a:gd name="connsiteX3" fmla="*/ 89453 w 1610140"/>
                              <a:gd name="connsiteY3" fmla="*/ 79513 h 864704"/>
                              <a:gd name="connsiteX4" fmla="*/ 129209 w 1610140"/>
                              <a:gd name="connsiteY4" fmla="*/ 109331 h 864704"/>
                              <a:gd name="connsiteX5" fmla="*/ 188844 w 1610140"/>
                              <a:gd name="connsiteY5" fmla="*/ 168965 h 864704"/>
                              <a:gd name="connsiteX6" fmla="*/ 208722 w 1610140"/>
                              <a:gd name="connsiteY6" fmla="*/ 188844 h 864704"/>
                              <a:gd name="connsiteX7" fmla="*/ 248479 w 1610140"/>
                              <a:gd name="connsiteY7" fmla="*/ 208722 h 864704"/>
                              <a:gd name="connsiteX8" fmla="*/ 278296 w 1610140"/>
                              <a:gd name="connsiteY8" fmla="*/ 238539 h 864704"/>
                              <a:gd name="connsiteX9" fmla="*/ 318053 w 1610140"/>
                              <a:gd name="connsiteY9" fmla="*/ 258418 h 864704"/>
                              <a:gd name="connsiteX10" fmla="*/ 337931 w 1610140"/>
                              <a:gd name="connsiteY10" fmla="*/ 288235 h 864704"/>
                              <a:gd name="connsiteX11" fmla="*/ 407505 w 1610140"/>
                              <a:gd name="connsiteY11" fmla="*/ 308113 h 864704"/>
                              <a:gd name="connsiteX12" fmla="*/ 437322 w 1610140"/>
                              <a:gd name="connsiteY12" fmla="*/ 318052 h 864704"/>
                              <a:gd name="connsiteX13" fmla="*/ 477079 w 1610140"/>
                              <a:gd name="connsiteY13" fmla="*/ 327991 h 864704"/>
                              <a:gd name="connsiteX14" fmla="*/ 506896 w 1610140"/>
                              <a:gd name="connsiteY14" fmla="*/ 337931 h 864704"/>
                              <a:gd name="connsiteX15" fmla="*/ 626166 w 1610140"/>
                              <a:gd name="connsiteY15" fmla="*/ 357809 h 864704"/>
                              <a:gd name="connsiteX16" fmla="*/ 665922 w 1610140"/>
                              <a:gd name="connsiteY16" fmla="*/ 387626 h 864704"/>
                              <a:gd name="connsiteX17" fmla="*/ 695740 w 1610140"/>
                              <a:gd name="connsiteY17" fmla="*/ 417444 h 864704"/>
                              <a:gd name="connsiteX18" fmla="*/ 795131 w 1610140"/>
                              <a:gd name="connsiteY18" fmla="*/ 437322 h 864704"/>
                              <a:gd name="connsiteX19" fmla="*/ 824948 w 1610140"/>
                              <a:gd name="connsiteY19" fmla="*/ 457200 h 864704"/>
                              <a:gd name="connsiteX20" fmla="*/ 864705 w 1610140"/>
                              <a:gd name="connsiteY20" fmla="*/ 467139 h 864704"/>
                              <a:gd name="connsiteX21" fmla="*/ 924340 w 1610140"/>
                              <a:gd name="connsiteY21" fmla="*/ 487018 h 864704"/>
                              <a:gd name="connsiteX22" fmla="*/ 954157 w 1610140"/>
                              <a:gd name="connsiteY22" fmla="*/ 496957 h 864704"/>
                              <a:gd name="connsiteX23" fmla="*/ 1003853 w 1610140"/>
                              <a:gd name="connsiteY23" fmla="*/ 546652 h 864704"/>
                              <a:gd name="connsiteX24" fmla="*/ 1033670 w 1610140"/>
                              <a:gd name="connsiteY24" fmla="*/ 556591 h 864704"/>
                              <a:gd name="connsiteX25" fmla="*/ 1073427 w 1610140"/>
                              <a:gd name="connsiteY25" fmla="*/ 576470 h 864704"/>
                              <a:gd name="connsiteX26" fmla="*/ 1152940 w 1610140"/>
                              <a:gd name="connsiteY26" fmla="*/ 596348 h 864704"/>
                              <a:gd name="connsiteX27" fmla="*/ 1222513 w 1610140"/>
                              <a:gd name="connsiteY27" fmla="*/ 616226 h 864704"/>
                              <a:gd name="connsiteX28" fmla="*/ 1272209 w 1610140"/>
                              <a:gd name="connsiteY28" fmla="*/ 655983 h 864704"/>
                              <a:gd name="connsiteX29" fmla="*/ 1311966 w 1610140"/>
                              <a:gd name="connsiteY29" fmla="*/ 665922 h 864704"/>
                              <a:gd name="connsiteX30" fmla="*/ 1371600 w 1610140"/>
                              <a:gd name="connsiteY30" fmla="*/ 705678 h 864704"/>
                              <a:gd name="connsiteX31" fmla="*/ 1391479 w 1610140"/>
                              <a:gd name="connsiteY31" fmla="*/ 725557 h 864704"/>
                              <a:gd name="connsiteX32" fmla="*/ 1421296 w 1610140"/>
                              <a:gd name="connsiteY32" fmla="*/ 735496 h 864704"/>
                              <a:gd name="connsiteX33" fmla="*/ 1461053 w 1610140"/>
                              <a:gd name="connsiteY33" fmla="*/ 755374 h 864704"/>
                              <a:gd name="connsiteX34" fmla="*/ 1480931 w 1610140"/>
                              <a:gd name="connsiteY34" fmla="*/ 785191 h 864704"/>
                              <a:gd name="connsiteX35" fmla="*/ 1540566 w 1610140"/>
                              <a:gd name="connsiteY35" fmla="*/ 815009 h 864704"/>
                              <a:gd name="connsiteX36" fmla="*/ 1580322 w 1610140"/>
                              <a:gd name="connsiteY36" fmla="*/ 824948 h 864704"/>
                              <a:gd name="connsiteX37" fmla="*/ 1610140 w 1610140"/>
                              <a:gd name="connsiteY37" fmla="*/ 864704 h 86470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1610140" h="864704">
                                <a:moveTo>
                                  <a:pt x="0" y="0"/>
                                </a:moveTo>
                                <a:cubicBezTo>
                                  <a:pt x="13252" y="16565"/>
                                  <a:pt x="23650" y="35890"/>
                                  <a:pt x="39757" y="49696"/>
                                </a:cubicBezTo>
                                <a:cubicBezTo>
                                  <a:pt x="47711" y="56514"/>
                                  <a:pt x="60590" y="54245"/>
                                  <a:pt x="69574" y="59635"/>
                                </a:cubicBezTo>
                                <a:cubicBezTo>
                                  <a:pt x="77609" y="64456"/>
                                  <a:pt x="82254" y="73514"/>
                                  <a:pt x="89453" y="79513"/>
                                </a:cubicBezTo>
                                <a:cubicBezTo>
                                  <a:pt x="102179" y="90118"/>
                                  <a:pt x="116896" y="98249"/>
                                  <a:pt x="129209" y="109331"/>
                                </a:cubicBezTo>
                                <a:cubicBezTo>
                                  <a:pt x="150104" y="128137"/>
                                  <a:pt x="168966" y="149087"/>
                                  <a:pt x="188844" y="168965"/>
                                </a:cubicBezTo>
                                <a:cubicBezTo>
                                  <a:pt x="195470" y="175591"/>
                                  <a:pt x="200340" y="184653"/>
                                  <a:pt x="208722" y="188844"/>
                                </a:cubicBezTo>
                                <a:lnTo>
                                  <a:pt x="248479" y="208722"/>
                                </a:lnTo>
                                <a:cubicBezTo>
                                  <a:pt x="258418" y="218661"/>
                                  <a:pt x="266858" y="230369"/>
                                  <a:pt x="278296" y="238539"/>
                                </a:cubicBezTo>
                                <a:cubicBezTo>
                                  <a:pt x="290353" y="247151"/>
                                  <a:pt x="306671" y="248933"/>
                                  <a:pt x="318053" y="258418"/>
                                </a:cubicBezTo>
                                <a:cubicBezTo>
                                  <a:pt x="327230" y="266065"/>
                                  <a:pt x="328603" y="280773"/>
                                  <a:pt x="337931" y="288235"/>
                                </a:cubicBezTo>
                                <a:cubicBezTo>
                                  <a:pt x="344551" y="293531"/>
                                  <a:pt x="404727" y="307319"/>
                                  <a:pt x="407505" y="308113"/>
                                </a:cubicBezTo>
                                <a:cubicBezTo>
                                  <a:pt x="417579" y="310991"/>
                                  <a:pt x="427248" y="315174"/>
                                  <a:pt x="437322" y="318052"/>
                                </a:cubicBezTo>
                                <a:cubicBezTo>
                                  <a:pt x="450457" y="321805"/>
                                  <a:pt x="463944" y="324238"/>
                                  <a:pt x="477079" y="327991"/>
                                </a:cubicBezTo>
                                <a:cubicBezTo>
                                  <a:pt x="487153" y="330869"/>
                                  <a:pt x="496588" y="336057"/>
                                  <a:pt x="506896" y="337931"/>
                                </a:cubicBezTo>
                                <a:cubicBezTo>
                                  <a:pt x="677548" y="368960"/>
                                  <a:pt x="520818" y="331473"/>
                                  <a:pt x="626166" y="357809"/>
                                </a:cubicBezTo>
                                <a:cubicBezTo>
                                  <a:pt x="639418" y="367748"/>
                                  <a:pt x="653345" y="376846"/>
                                  <a:pt x="665922" y="387626"/>
                                </a:cubicBezTo>
                                <a:cubicBezTo>
                                  <a:pt x="676594" y="396774"/>
                                  <a:pt x="683536" y="410470"/>
                                  <a:pt x="695740" y="417444"/>
                                </a:cubicBezTo>
                                <a:cubicBezTo>
                                  <a:pt x="707950" y="424421"/>
                                  <a:pt x="791504" y="436717"/>
                                  <a:pt x="795131" y="437322"/>
                                </a:cubicBezTo>
                                <a:cubicBezTo>
                                  <a:pt x="805070" y="443948"/>
                                  <a:pt x="813969" y="452495"/>
                                  <a:pt x="824948" y="457200"/>
                                </a:cubicBezTo>
                                <a:cubicBezTo>
                                  <a:pt x="837504" y="462581"/>
                                  <a:pt x="851621" y="463214"/>
                                  <a:pt x="864705" y="467139"/>
                                </a:cubicBezTo>
                                <a:cubicBezTo>
                                  <a:pt x="884775" y="473160"/>
                                  <a:pt x="904462" y="480392"/>
                                  <a:pt x="924340" y="487018"/>
                                </a:cubicBezTo>
                                <a:lnTo>
                                  <a:pt x="954157" y="496957"/>
                                </a:lnTo>
                                <a:cubicBezTo>
                                  <a:pt x="970722" y="513522"/>
                                  <a:pt x="981628" y="539244"/>
                                  <a:pt x="1003853" y="546652"/>
                                </a:cubicBezTo>
                                <a:cubicBezTo>
                                  <a:pt x="1013792" y="549965"/>
                                  <a:pt x="1024040" y="552464"/>
                                  <a:pt x="1033670" y="556591"/>
                                </a:cubicBezTo>
                                <a:cubicBezTo>
                                  <a:pt x="1047289" y="562428"/>
                                  <a:pt x="1059371" y="571785"/>
                                  <a:pt x="1073427" y="576470"/>
                                </a:cubicBezTo>
                                <a:cubicBezTo>
                                  <a:pt x="1099345" y="585109"/>
                                  <a:pt x="1126436" y="589722"/>
                                  <a:pt x="1152940" y="596348"/>
                                </a:cubicBezTo>
                                <a:cubicBezTo>
                                  <a:pt x="1202859" y="608828"/>
                                  <a:pt x="1179738" y="601968"/>
                                  <a:pt x="1222513" y="616226"/>
                                </a:cubicBezTo>
                                <a:cubicBezTo>
                                  <a:pt x="1238542" y="632254"/>
                                  <a:pt x="1250271" y="646581"/>
                                  <a:pt x="1272209" y="655983"/>
                                </a:cubicBezTo>
                                <a:cubicBezTo>
                                  <a:pt x="1284765" y="661364"/>
                                  <a:pt x="1298714" y="662609"/>
                                  <a:pt x="1311966" y="665922"/>
                                </a:cubicBezTo>
                                <a:cubicBezTo>
                                  <a:pt x="1331844" y="679174"/>
                                  <a:pt x="1354707" y="688785"/>
                                  <a:pt x="1371600" y="705678"/>
                                </a:cubicBezTo>
                                <a:cubicBezTo>
                                  <a:pt x="1378226" y="712304"/>
                                  <a:pt x="1383443" y="720736"/>
                                  <a:pt x="1391479" y="725557"/>
                                </a:cubicBezTo>
                                <a:cubicBezTo>
                                  <a:pt x="1400463" y="730947"/>
                                  <a:pt x="1411666" y="731369"/>
                                  <a:pt x="1421296" y="735496"/>
                                </a:cubicBezTo>
                                <a:cubicBezTo>
                                  <a:pt x="1434915" y="741332"/>
                                  <a:pt x="1447801" y="748748"/>
                                  <a:pt x="1461053" y="755374"/>
                                </a:cubicBezTo>
                                <a:cubicBezTo>
                                  <a:pt x="1467679" y="765313"/>
                                  <a:pt x="1472485" y="776744"/>
                                  <a:pt x="1480931" y="785191"/>
                                </a:cubicBezTo>
                                <a:cubicBezTo>
                                  <a:pt x="1498357" y="802617"/>
                                  <a:pt x="1517929" y="808541"/>
                                  <a:pt x="1540566" y="815009"/>
                                </a:cubicBezTo>
                                <a:cubicBezTo>
                                  <a:pt x="1553700" y="818762"/>
                                  <a:pt x="1567070" y="821635"/>
                                  <a:pt x="1580322" y="824948"/>
                                </a:cubicBezTo>
                                <a:cubicBezTo>
                                  <a:pt x="1602799" y="858664"/>
                                  <a:pt x="1591753" y="846319"/>
                                  <a:pt x="1610140" y="864704"/>
                                </a:cubicBezTo>
                              </a:path>
                            </a:pathLst>
                          </a:cu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1534D83" id="Canvas 4" o:spid="_x0000_s1026" editas="canvas" style="width:453.5pt;height:255.1pt;mso-position-horizontal-relative:char;mso-position-vertical-relative:line" coordsize="57594,32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594;height:32397;visibility:visible;mso-wrap-style:square" filled="t" stroked="t" strokecolor="black [3213]" strokeweight="1.5pt">
                  <v:fill o:detectmouseclick="t"/>
                  <v:path o:connecttype="none"/>
                </v:shape>
                <v:line id="Straight Connector 15" o:spid="_x0000_s1028" style="position:absolute;flip:y;visibility:visible;mso-wrap-style:square" from="21474,17553" to="21475,26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" strokecolor="#4472c4" strokeweight=".5pt">
                  <v:stroke joinstyle="miter"/>
                </v:line>
                <v:shapetype id="_x0000_t202" coordsize="21600,21600" o:spt="202" path="m,l,21600r21600,l21600,xe">
                  <v:stroke joinstyle="miter"/>
                  <v:path gradientshapeok="t" o:connecttype="rect"/>
                </v:shapetype>
                <v:shape id="Text Box 5" o:spid="_x0000_s1029" type="#_x0000_t202" style="position:absolute;left:1063;top:872;width:4520;height:30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" filled="f" stroked="f" strokeweight=".5pt">
                  <v:textbox style="layout-flow:vertical;mso-layout-flow-alt:bottom-to-top">
                    <w:txbxContent>
                      <w:p w14:paraId="17B09671" w14:textId="39E1A197" w:rsidR="007401F4" w:rsidRDefault="007401F4" w:rsidP="006E3616">
                        <w:pPr>
                          <w:spacing w:after="0"/>
                          <w:jc w:val="center"/>
                        </w:pPr>
                        <w:r>
                          <w:t xml:space="preserve">System Performance MOP x </w:t>
                        </w:r>
                        <w:r>
                          <w:sym w:font="Wingdings" w:char="F0E8"/>
                        </w:r>
                      </w:p>
                    </w:txbxContent>
                  </v:textbox>
                </v:shape>
                <v:shape id="Text Box 6" o:spid="_x0000_s1030" type="#_x0000_t202" style="position:absolute;top:28469;width:56108;height:3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" filled="f" stroked="f" strokeweight=".5pt">
                  <v:textbox>
                    <w:txbxContent>
                      <w:p w14:paraId="409EE6D3" w14:textId="1BCC739F" w:rsidR="007401F4" w:rsidRDefault="007401F4" w:rsidP="006E3616">
                        <w:pPr>
                          <w:jc w:val="center"/>
                        </w:pPr>
                        <w:r>
                          <w:t xml:space="preserve">Time </w:t>
                        </w:r>
                        <w:r w:rsidRPr="00DC249C">
                          <w:rPr>
                            <w:sz w:val="20"/>
                            <w:szCs w:val="18"/>
                          </w:rPr>
                          <w:sym w:font="Wingdings" w:char="F0E8"/>
                        </w:r>
                      </w:p>
                    </w:txbxContent>
                  </v:textbox>
                </v:shape>
                <v:line id="Straight Connector 7" o:spid="_x0000_s1031" style="position:absolute;visibility:visible;mso-wrap-style:square" from="5583,872" to="5583,27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" strokeweight="3pt">
                  <v:stroke joinstyle="miter"/>
                </v:line>
                <v:shape id="Text Box 14" o:spid="_x0000_s1032" type="#_x0000_t202" style="position:absolute;left:21492;top:24859;width:7482;height:2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" fillcolor="#dae3f3" strokecolor="#dae3f3" strokeweight=".5pt">
                  <v:textbox>
                    <w:txbxContent>
                      <w:p w14:paraId="1229205C" w14:textId="77777777" w:rsidR="007401F4" w:rsidRDefault="007401F4" w:rsidP="006E3616">
                        <w:pPr>
                          <w:jc w:val="center"/>
                          <w:rPr>
                            <w:szCs w:val="24"/>
                          </w:rPr>
                        </w:pPr>
                        <w:r>
                          <w:rPr>
                            <w:sz w:val="16"/>
                            <w:szCs w:val="16"/>
                          </w:rPr>
                          <w:t>recover</w:t>
                        </w:r>
                      </w:p>
                    </w:txbxContent>
                  </v:textbox>
                </v:shape>
                <v:line id="Straight Connector 8" o:spid="_x0000_s1033" style="position:absolute;visibility:visible;mso-wrap-style:square" from="5583,27071" to="53005,2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" strokeweight="3pt">
                  <v:stroke joinstyle="miter"/>
                </v:line>
                <v:line id="Straight Connector 10" o:spid="_x0000_s1034" style="position:absolute;visibility:visible;mso-wrap-style:square" from="5583,17116" to="52119,17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" strokecolor="#4472c4" strokeweight="2.25pt">
                  <v:stroke dashstyle="dash" joinstyle="miter"/>
                </v:line>
                <v:shape id="Text Box 11" o:spid="_x0000_s1035" type="#_x0000_t202" style="position:absolute;left:6833;top:15027;width:12324;height:4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" filled="f" stroked="f" strokeweight=".5pt">
                  <v:textbox>
                    <w:txbxContent>
                      <w:p w14:paraId="37DF0185" w14:textId="77777777" w:rsidR="007401F4" w:rsidRDefault="007401F4" w:rsidP="006E3616">
                        <w:pPr>
                          <w:spacing w:after="0" w:line="240" w:lineRule="auto"/>
                          <w:jc w:val="left"/>
                          <w:rPr>
                            <w:sz w:val="20"/>
                            <w:szCs w:val="18"/>
                          </w:rPr>
                        </w:pPr>
                        <w:r>
                          <w:rPr>
                            <w:sz w:val="20"/>
                            <w:szCs w:val="18"/>
                          </w:rPr>
                          <w:t>Elasticity</w:t>
                        </w:r>
                      </w:p>
                      <w:p w14:paraId="014A16EC" w14:textId="77777777" w:rsidR="007401F4" w:rsidRPr="005E0D52" w:rsidRDefault="007401F4" w:rsidP="006E3616">
                        <w:pPr>
                          <w:spacing w:after="0" w:line="240" w:lineRule="auto"/>
                          <w:jc w:val="left"/>
                          <w:rPr>
                            <w:sz w:val="20"/>
                            <w:szCs w:val="18"/>
                            <w:vertAlign w:val="subscript"/>
                          </w:rPr>
                        </w:pPr>
                        <w:r>
                          <w:rPr>
                            <w:sz w:val="20"/>
                            <w:szCs w:val="18"/>
                          </w:rPr>
                          <w:t>Threshold X</w:t>
                        </w:r>
                      </w:p>
                    </w:txbxContent>
                  </v:textbox>
                </v:shape>
                <v:line id="Straight Connector 12" o:spid="_x0000_s1036" style="position:absolute;visibility:visible;mso-wrap-style:square" from="16228,8294" to="16228,25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" strokecolor="#4472c4" strokeweight=".5pt">
                  <v:stroke joinstyle="miter"/>
                </v:line>
                <v:shape id="Text Box 14" o:spid="_x0000_s1037" type="#_x0000_t202" style="position:absolute;left:16228;top:24906;width:5247;height:2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" strokecolor="red" strokeweight=".5pt">
                  <v:textbox>
                    <w:txbxContent>
                      <w:p w14:paraId="3F0FAA0E" w14:textId="77777777" w:rsidR="007401F4" w:rsidRPr="00671AAE" w:rsidRDefault="007401F4" w:rsidP="006E3616">
                        <w:pPr>
                          <w:spacing w:after="0" w:line="240" w:lineRule="auto"/>
                          <w:jc w:val="center"/>
                          <w:rPr>
                            <w:sz w:val="16"/>
                            <w:szCs w:val="14"/>
                          </w:rPr>
                        </w:pPr>
                        <w:r w:rsidRPr="00671AAE">
                          <w:rPr>
                            <w:sz w:val="16"/>
                            <w:szCs w:val="14"/>
                          </w:rPr>
                          <w:t>absorb</w:t>
                        </w:r>
                      </w:p>
                    </w:txbxContent>
                  </v:textbox>
                </v:shape>
                <v:line id="Straight Connector 16" o:spid="_x0000_s1038" style="position:absolute;visibility:visible;mso-wrap-style:square" from="5583,8294" to="16228,8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" strokecolor="#ed7d31" strokeweight="1.5pt">
                  <v:stroke joinstyle="miter"/>
                </v:line>
                <v:shape id="Freeform: Shape 17" o:spid="_x0000_s1039" style="position:absolute;left:16228;top:8289;width:12750;height:7722;visibility:visible;mso-wrap-style:square;v-text-anchor:middle" coordsize="1013369,6338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" path="m,819c61708,346757,312256,574867,417019,627259,521782,679651,565284,403623,628578,315173,691872,226723,732944,148952,796781,96560,860618,44168,1032634,-7127,1011598,820e" filled="f" strokecolor="#ed7d31" strokeweight="1.5pt">
                  <v:stroke joinstyle="miter"/>
                  <v:path arrowok="t" o:connecttype="custom" o:connectlocs="0,1201;642459,919766;968388,462146;1227521,141588;1558468,1203" o:connectangles="0,0,0,0,0"/>
                </v:shape>
                <v:line id="Straight Connector 18" o:spid="_x0000_s1040" style="position:absolute;flip:y;visibility:visible;mso-wrap-style:square" from="28978,8293" to="51723,8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" strokecolor="#ed7d31" strokeweight="1.5pt">
                  <v:stroke joinstyle="miter"/>
                </v:line>
                <v:line id="Straight Connector 19" o:spid="_x0000_s1041" style="position:absolute;flip:x;visibility:visible;mso-wrap-style:square" from="28956,8289" to="28978,27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" strokecolor="#4472c4" strokeweight=".5pt">
                  <v:stroke joinstyle="miter"/>
                </v:line>
                <v:shape id="Freeform: Shape 25" o:spid="_x0000_s1042" style="position:absolute;left:16315;top:8156;width:13087;height:7520;visibility:visible;mso-wrap-style:square;v-text-anchor:middle" coordsize="1273772,742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" path="m16603,1725c33432,-3885,-78011,5863,117580,7334v195591,1471,930537,50567,1072570,3220c1203240,12424,668380,10156,569091,10554v-99289,398,15493,3352,25323,2390c604244,11982,616893,2688,628073,4784v18743,3514,36464,21760,56098,24990c703805,33004,730492,27367,745879,24164v15387,-3203,17526,-10806,30616,-13611c789585,7748,817227,9131,824417,7334v28049,1870,60773,3219,84147,3219c931938,10553,1098257,8296,964662,7334l106997,4784v168919,-6033,914817,-961,1092355,1c1376890,5747,1182356,7324,1172225,10554v-10131,3230,-22439,9472,-33658,13610c1127348,28302,1116128,31643,1104908,35383r-33659,22440c1065639,61563,1060815,66910,1054419,69042r-16829,5610c1023070,89172,1007231,107211,987102,113921r-16830,5610c932925,156878,973147,121674,936613,141970v-11787,6548,-33659,22439,-33659,22439c899214,170019,896502,176472,891735,181239v-4767,4767,-12618,5954,-16830,11219c871211,197076,872575,204368,869295,209288v-8638,12958,-21241,19770,-33659,28049c828156,248557,824417,263516,813197,270996v-23430,15620,-12062,6452,-33659,28049c775798,310265,774879,322864,768319,332704v-7480,11220,-12905,24124,-22440,33659c740269,371973,733921,376930,729050,383192v-8279,10644,-47598,65628,-22439,33659c731770,384882,822205,266536,880002,191379,876262,202599,717744,417606,684171,467339v-33573,49733,-2572,15353,-5609,22440c672706,503444,660620,513330,650513,523437v-3740,11220,77266,-144944,78201,-136529c729649,395323,651263,589496,656123,573926,660983,558356,761617,284138,757877,293488v-3740,9350,-120454,330925,-124194,336535c631813,659942,625882,684225,611244,702952v-14638,18727,-59476,36478,-65388,39434c539826,745401,562948,731964,560756,731001v-2192,-963,-22039,3712,-28050,5609c526695,738507,532169,740516,524689,742386v-29919,-1870,-67182,-69642,-76130,-75279c439611,661470,471933,702587,470998,708561v-935,5974,-22438,-1870,-28048,-5610c457272,659988,504123,672717,502253,667107v-1870,-5610,-54094,4627,-70523,2186c415301,666852,412404,659005,403681,652463v-6347,-4760,-10229,-12428,-16830,-16829c381931,632354,350789,612246,370022,630024v19233,17778,138084,115624,132230,112279c494991,738154,338233,611325,330753,607585v-37349,-37351,-2142,2875,-22439,-33659c301765,562139,291906,552328,285875,540267v-3740,-7480,-14264,-28954,-11220,-22439c277699,524343,314422,592449,304137,579359,293852,566269,230015,473854,212947,439290v-17068,-34564,-6544,-57968,-11219,-67318c197053,362622,188638,388801,184898,383191v-3740,-5610,-11300,-56871,-5610,-44878c184978,350306,224646,457017,219036,455147,167009,403121,138070,329121,117421,293754,96772,258387,100724,257960,95141,242947,89558,227934,86318,212066,83921,203678v-1625,-5686,-3740,-11220,-5610,-16830c71235,130236,110439,270701,107634,266961,104829,263221,73848,199266,61481,164410,49114,129554,42968,67358,33433,57823,27823,52213,19728,48285,16603,40993,13657,34118,-226,7335,16603,1725xe" fillcolor="#fff2cc" strokecolor="#fff2cc" strokeweight="1pt">
                  <v:stroke joinstyle="miter"/>
                  <v:path arrowok="t"/>
                </v:shape>
                <v:oval id="Oval 26" o:spid="_x0000_s1043" style="position:absolute;left:16775;top:8274;width:11026;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" fillcolor="#fff2cc" strokecolor="#fff2cc" strokeweight="1pt">
                  <v:stroke joinstyle="miter"/>
                </v:oval>
                <v:shape id="Text Box 27" o:spid="_x0000_s1044" type="#_x0000_t202" style="position:absolute;left:17486;top:9023;width:6936;height:3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" filled="f" stroked="f" strokeweight=".5pt">
                  <v:textbox>
                    <w:txbxContent>
                      <w:p w14:paraId="61C16DFC" w14:textId="77777777" w:rsidR="007401F4" w:rsidRPr="006C74ED" w:rsidRDefault="007401F4" w:rsidP="006E3616">
                        <w:pPr>
                          <w:spacing w:after="0" w:line="240" w:lineRule="auto"/>
                          <w:jc w:val="center"/>
                          <w:rPr>
                            <w:sz w:val="16"/>
                            <w:szCs w:val="14"/>
                          </w:rPr>
                        </w:pPr>
                        <w:r>
                          <w:rPr>
                            <w:sz w:val="16"/>
                            <w:szCs w:val="14"/>
                          </w:rPr>
                          <w:t>Resilience Loss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8" o:spid="_x0000_s1045" type="#_x0000_t67" style="position:absolute;left:14974;top:2217;width:2512;height:50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" adj="16187" fillcolor="#f7bda4" strokecolor="#ed7d31" strokeweight=".5pt">
                  <v:fill color2="#f8a581" rotate="t" colors="0 #f7bda4;.5 #f5b195;1 #f8a581" focus="100%" type="gradient">
                    <o:fill v:ext="view" type="gradientUnscaled"/>
                  </v:fill>
                </v:shape>
                <v:shape id="Text Box 29" o:spid="_x0000_s1046" type="#_x0000_t202" style="position:absolute;left:12233;width:783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" filled="f" stroked="f" strokeweight=".5pt">
                  <v:textbox>
                    <w:txbxContent>
                      <w:p w14:paraId="60FC0772" w14:textId="77777777" w:rsidR="007401F4" w:rsidRPr="006C74ED" w:rsidRDefault="007401F4" w:rsidP="006E3616">
                        <w:pPr>
                          <w:jc w:val="center"/>
                          <w:rPr>
                            <w:b/>
                            <w:bCs/>
                            <w:sz w:val="20"/>
                            <w:szCs w:val="18"/>
                          </w:rPr>
                        </w:pPr>
                        <w:r>
                          <w:rPr>
                            <w:b/>
                            <w:bCs/>
                            <w:sz w:val="20"/>
                            <w:szCs w:val="18"/>
                          </w:rPr>
                          <w:t>Shock</w:t>
                        </w:r>
                      </w:p>
                    </w:txbxContent>
                  </v:textbox>
                </v:shape>
                <v:shape id="Text Box 30" o:spid="_x0000_s1047" type="#_x0000_t202" style="position:absolute;left:21667;top:5;width:15422;height:2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" fillcolor="#ededed" strokeweight=".5pt">
                  <v:textbox>
                    <w:txbxContent>
                      <w:p w14:paraId="595140B2" w14:textId="77777777" w:rsidR="007401F4" w:rsidRPr="00210AB2" w:rsidRDefault="007401F4" w:rsidP="006E3616">
                        <w:pPr>
                          <w:jc w:val="center"/>
                          <w:rPr>
                            <w:sz w:val="16"/>
                            <w:szCs w:val="14"/>
                          </w:rPr>
                        </w:pPr>
                        <w:r>
                          <w:rPr>
                            <w:sz w:val="16"/>
                            <w:szCs w:val="14"/>
                          </w:rPr>
                          <w:t>adapt (learn)</w:t>
                        </w:r>
                      </w:p>
                    </w:txbxContent>
                  </v:textbox>
                </v:shape>
                <v:shape id="Text Box 30" o:spid="_x0000_s1048" type="#_x0000_t202" style="position:absolute;left:37211;top:8;width:14485;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" fillcolor="#f8cbad" strokeweight=".5pt">
                  <v:textbox>
                    <w:txbxContent>
                      <w:p w14:paraId="32F259F8" w14:textId="77777777" w:rsidR="007401F4" w:rsidRDefault="007401F4" w:rsidP="006E3616">
                        <w:pPr>
                          <w:jc w:val="center"/>
                          <w:rPr>
                            <w:szCs w:val="24"/>
                          </w:rPr>
                        </w:pPr>
                        <w:r>
                          <w:rPr>
                            <w:sz w:val="16"/>
                            <w:szCs w:val="16"/>
                          </w:rPr>
                          <w:t>transform</w:t>
                        </w:r>
                      </w:p>
                    </w:txbxContent>
                  </v:textbox>
                </v:shape>
                <v:shape id="Text Box 11" o:spid="_x0000_s1049" type="#_x0000_t202" style="position:absolute;left:37211;top:3592;width:15794;height:4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" filled="f" stroked="f" strokeweight=".5pt">
                  <v:textbox>
                    <w:txbxContent>
                      <w:p w14:paraId="38EABB9B" w14:textId="77777777" w:rsidR="007401F4" w:rsidRPr="00210AB2" w:rsidRDefault="007401F4" w:rsidP="006E3616">
                        <w:pPr>
                          <w:spacing w:after="0" w:line="240" w:lineRule="auto"/>
                          <w:rPr>
                            <w:b/>
                            <w:bCs/>
                          </w:rPr>
                        </w:pPr>
                        <w:r>
                          <w:rPr>
                            <w:b/>
                            <w:bCs/>
                            <w:sz w:val="20"/>
                            <w:szCs w:val="20"/>
                          </w:rPr>
                          <w:t>[4] adaptive behaviour</w:t>
                        </w:r>
                      </w:p>
                    </w:txbxContent>
                  </v:textbox>
                </v:shape>
                <v:shape id="Text Box 11" o:spid="_x0000_s1050" type="#_x0000_t202" style="position:absolute;left:37215;top:5967;width:15790;height:4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" filled="f" stroked="f" strokeweight=".5pt">
                  <v:textbox>
                    <w:txbxContent>
                      <w:p w14:paraId="50907C5C" w14:textId="77777777" w:rsidR="007401F4" w:rsidRDefault="007401F4" w:rsidP="006E3616">
                        <w:pPr>
                          <w:rPr>
                            <w:szCs w:val="24"/>
                          </w:rPr>
                        </w:pPr>
                        <w:r>
                          <w:rPr>
                            <w:b/>
                            <w:bCs/>
                            <w:sz w:val="20"/>
                            <w:szCs w:val="20"/>
                          </w:rPr>
                          <w:t>[1] robust behaviour</w:t>
                        </w:r>
                      </w:p>
                    </w:txbxContent>
                  </v:textbox>
                </v:shape>
                <v:shape id="Text Box 11" o:spid="_x0000_s1051" type="#_x0000_t202" style="position:absolute;left:37215;top:9825;width:15790;height:4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" filled="f" stroked="f" strokeweight=".5pt">
                  <v:textbox>
                    <w:txbxContent>
                      <w:p w14:paraId="59B6E637" w14:textId="77777777" w:rsidR="007401F4" w:rsidRDefault="007401F4" w:rsidP="006E3616">
                        <w:pPr>
                          <w:rPr>
                            <w:szCs w:val="24"/>
                          </w:rPr>
                        </w:pPr>
                        <w:r>
                          <w:rPr>
                            <w:b/>
                            <w:bCs/>
                            <w:sz w:val="20"/>
                            <w:szCs w:val="20"/>
                          </w:rPr>
                          <w:t>[2] ductile behaviour</w:t>
                        </w:r>
                      </w:p>
                    </w:txbxContent>
                  </v:textbox>
                </v:shape>
                <v:shape id="Text Box 11" o:spid="_x0000_s1052" type="#_x0000_t202" style="position:absolute;left:37215;top:23178;width:18184;height:4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" filled="f" stroked="f" strokeweight=".5pt">
                  <v:textbox>
                    <w:txbxContent>
                      <w:p w14:paraId="29964DB3" w14:textId="77777777" w:rsidR="007401F4" w:rsidRDefault="007401F4" w:rsidP="006E3616">
                        <w:pPr>
                          <w:rPr>
                            <w:szCs w:val="24"/>
                          </w:rPr>
                        </w:pPr>
                        <w:r>
                          <w:rPr>
                            <w:b/>
                            <w:bCs/>
                            <w:sz w:val="20"/>
                            <w:szCs w:val="20"/>
                          </w:rPr>
                          <w:t>[3] collapsing behaviour</w:t>
                        </w:r>
                      </w:p>
                    </w:txbxContent>
                  </v:textbox>
                </v:shape>
                <v:shape id="Freeform: Shape 226" o:spid="_x0000_s1053" style="position:absolute;left:21667;top:15803;width:16101;height:8647;visibility:visible;mso-wrap-style:square;v-text-anchor:middle" coordsize="1610140,864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" path="m,c13252,16565,23650,35890,39757,49696v7954,6818,20833,4549,29817,9939c77609,64456,82254,73514,89453,79513v12726,10605,27443,18736,39756,29818c150104,128137,168966,149087,188844,168965v6626,6626,11496,15688,19878,19879l248479,208722v9939,9939,18379,21647,29817,29817c290353,247151,306671,248933,318053,258418v9177,7647,10550,22355,19878,29817c344551,293531,404727,307319,407505,308113v10074,2878,19743,7061,29817,9939c450457,321805,463944,324238,477079,327991v10074,2878,19509,8066,29817,9940c677548,368960,520818,331473,626166,357809v13252,9939,27179,19037,39756,29817c676594,396774,683536,410470,695740,417444v12210,6977,95764,19273,99391,19878c805070,443948,813969,452495,824948,457200v12556,5381,26673,6014,39757,9939c884775,473160,904462,480392,924340,487018r29817,9939c970722,513522,981628,539244,1003853,546652v9939,3313,20187,5812,29817,9939c1047289,562428,1059371,571785,1073427,576470v25918,8639,53009,13252,79513,19878c1202859,608828,1179738,601968,1222513,616226v16029,16028,27758,30355,49696,39757c1284765,661364,1298714,662609,1311966,665922v19878,13252,42741,22863,59634,39756c1378226,712304,1383443,720736,1391479,725557v8984,5390,20187,5812,29817,9939c1434915,741332,1447801,748748,1461053,755374v6626,9939,11432,21370,19878,29817c1498357,802617,1517929,808541,1540566,815009v13134,3753,26504,6626,39756,9939c1602799,858664,1591753,846319,1610140,864704e" filled="f" strokecolor="red" strokeweight="1pt">
                  <v:stroke dashstyle="dash" joinstyle="miter"/>
                  <v:path arrowok="t" o:connecttype="custom" o:connectlocs="0,0;39757,49696;69574,59635;89453,79513;129209,109331;188844,168965;208722,188844;248479,208722;278296,238539;318053,258418;337931,288235;407505,308113;437322,318052;477079,327991;506896,337931;626166,357809;665922,387626;695740,417444;795131,437322;824948,457200;864705,467139;924340,487018;954157,496957;1003853,546652;1033670,556591;1073427,576470;1152940,596348;1222513,616226;1272209,655983;1311966,665922;1371600,705678;1391479,725557;1421296,735496;1461053,755374;1480931,785191;1540566,815009;1580322,824948;1610140,864704" o:connectangles="0,0,0,0,0,0,0,0,0,0,0,0,0,0,0,0,0,0,0,0,0,0,0,0,0,0,0,0,0,0,0,0,0,0,0,0,0,0"/>
                </v:shape>
                <w10:anchorlock/>
              </v:group>
            </w:pict>
          </mc:Fallback>
        </mc:AlternateContent>
      </w:r>
    </w:p>
    <w:p w14:paraId="18E4FDDC" w14:textId="56DC825E" w:rsidR="006E3616" w:rsidRPr="00400193" w:rsidRDefault="006E3616" w:rsidP="006E3616">
      <w:pPr>
        <w:pStyle w:val="Caption"/>
        <w:spacing w:after="240"/>
      </w:pPr>
      <w:bookmarkStart w:id="62" w:name="_Ref42255623"/>
      <w:bookmarkStart w:id="63" w:name="_Toc5538755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w:t>
      </w:r>
      <w:r w:rsidR="00E35E8C" w:rsidRPr="00400193">
        <w:fldChar w:fldCharType="end"/>
      </w:r>
      <w:bookmarkEnd w:id="62"/>
      <w:r w:rsidRPr="00400193">
        <w:t>: Different reactions to attack define the level of resilience. Source: adapted from Renn (2013)</w:t>
      </w:r>
      <w:bookmarkEnd w:id="63"/>
    </w:p>
    <w:p w14:paraId="35685B95" w14:textId="36A69C5D" w:rsidR="006E3616" w:rsidRPr="00400193" w:rsidRDefault="006E3616" w:rsidP="006E3616">
      <w:r w:rsidRPr="00400193">
        <w:t xml:space="preserve">For cyber-risks, companies must aim for adaptive behaviour. There are at least three possible ways of measuring resilience from </w:t>
      </w:r>
      <w:r w:rsidRPr="00400193">
        <w:fldChar w:fldCharType="begin"/>
      </w:r>
      <w:r w:rsidRPr="00400193">
        <w:instrText xml:space="preserve"> REF _Ref42255623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w:t>
      </w:r>
      <w:r w:rsidRPr="00400193">
        <w:fldChar w:fldCharType="end"/>
      </w:r>
      <w:r w:rsidRPr="00400193">
        <w:t>. The first would be to regard the elasticity threshold as ‘zero resilience’, so that [1], [2], and [4] are all positive, and [3] is 100% negative. The second view would be to accept that a return to previous conditions [1] represents zero, so that only adaptive behaviour would have a positive value, the others representing (approximately) −30% and −100%. The third logical way of measuring resilience would be to accept ductile behaviour as being the acceptable level of zero, with anything less being negative, and anything more being positive.</w:t>
      </w:r>
    </w:p>
    <w:p w14:paraId="7F8E3FA9" w14:textId="77777777" w:rsidR="006E3616" w:rsidRPr="00400193" w:rsidRDefault="006E3616" w:rsidP="006E3616">
      <w:r w:rsidRPr="00400193">
        <w:t xml:space="preserve">The first of these ways of measuring would perhaps work well in a theoretical model but could lead to complacency: as long as the calculated figure is positive, there is no need for action or improvement. Using this as the criterion, the ideal measurement option would be the second option, so that unless the company manages to do at least as well as before the attack, resilience is negative. The third option could also lead to complacency, although to a smaller degree. For the purposes of the new framework, zero resilience will mean the return to a stable state as if the attack had never occurred and will be regarded as the lowest acceptable figure. Any negative figure represents failure, even if it leads to ductile behaviour. </w:t>
      </w:r>
    </w:p>
    <w:p w14:paraId="0F2D431D" w14:textId="14F995CF" w:rsidR="006E3616" w:rsidRPr="00400193" w:rsidRDefault="006E3616" w:rsidP="006E3616">
      <w:r w:rsidRPr="00400193">
        <w:lastRenderedPageBreak/>
        <w:t xml:space="preserve">When developing a framework for the UAE, it is also necessary to consider resilience and IT acceptance in the context of culture (Al-Gahtani, Hubona </w:t>
      </w:r>
      <w:r w:rsidR="00337F8A" w:rsidRPr="00400193">
        <w:t>and</w:t>
      </w:r>
      <w:r w:rsidRPr="00400193">
        <w:t xml:space="preserve"> Wang, 2007; French, 2007), use (Efthymiopoulos, 2016), and globalisation (Held </w:t>
      </w:r>
      <w:r w:rsidR="00337F8A" w:rsidRPr="00400193">
        <w:t>and</w:t>
      </w:r>
      <w:r w:rsidRPr="00400193">
        <w:t xml:space="preserve"> McGrew, 2003). Despite these possible variations, the new framework must aim for adaptive behaviour. </w:t>
      </w:r>
      <w:r w:rsidRPr="00400193">
        <w:rPr>
          <w:lang w:eastAsia="zh-CN" w:bidi="hi-IN"/>
        </w:rPr>
        <w:t xml:space="preserve">To do this, the Chief Information Security Officer must ensure that reporting procedures, including a ‘secure printer’ process, are all operational and easily understood by staff </w:t>
      </w:r>
      <w:sdt>
        <w:sdtPr>
          <w:rPr>
            <w:lang w:eastAsia="zh-CN" w:bidi="hi-IN"/>
          </w:rPr>
          <w:id w:val="1481963346"/>
          <w:citation/>
        </w:sdtPr>
        <w:sdtEndPr/>
        <w:sdtContent>
          <w:r w:rsidRPr="00400193">
            <w:rPr>
              <w:lang w:eastAsia="zh-CN" w:bidi="hi-IN"/>
            </w:rPr>
            <w:fldChar w:fldCharType="begin"/>
          </w:r>
          <w:r w:rsidRPr="00400193">
            <w:rPr>
              <w:lang w:eastAsia="zh-CN" w:bidi="hi-IN"/>
            </w:rPr>
            <w:instrText xml:space="preserve"> CITATION Fow15 \l 2057 </w:instrText>
          </w:r>
          <w:r w:rsidRPr="00400193">
            <w:rPr>
              <w:lang w:eastAsia="zh-CN" w:bidi="hi-IN"/>
            </w:rPr>
            <w:fldChar w:fldCharType="separate"/>
          </w:r>
          <w:r w:rsidRPr="00400193">
            <w:rPr>
              <w:lang w:eastAsia="zh-CN" w:bidi="hi-IN"/>
            </w:rPr>
            <w:t>(Fowler, 2015)</w:t>
          </w:r>
          <w:r w:rsidRPr="00400193">
            <w:rPr>
              <w:lang w:eastAsia="zh-CN" w:bidi="hi-IN"/>
            </w:rPr>
            <w:fldChar w:fldCharType="end"/>
          </w:r>
        </w:sdtContent>
      </w:sdt>
      <w:r w:rsidRPr="00400193">
        <w:rPr>
          <w:lang w:eastAsia="zh-CN" w:bidi="hi-IN"/>
        </w:rPr>
        <w:t xml:space="preserve">. The ‘secure printer’ is normally within the computer room or the Chief Information Security Officer’s office and is set up to print out details of every unauthorised access attempt, every attempt to bypass security, and every forced shut-down of a computer or printer </w:t>
      </w:r>
      <w:sdt>
        <w:sdtPr>
          <w:rPr>
            <w:lang w:eastAsia="zh-CN" w:bidi="hi-IN"/>
          </w:rPr>
          <w:id w:val="2031446781"/>
          <w:citation/>
        </w:sdtPr>
        <w:sdtEndPr/>
        <w:sdtContent>
          <w:r w:rsidRPr="00400193">
            <w:rPr>
              <w:lang w:eastAsia="zh-CN" w:bidi="hi-IN"/>
            </w:rPr>
            <w:fldChar w:fldCharType="begin"/>
          </w:r>
          <w:r w:rsidRPr="00400193">
            <w:rPr>
              <w:lang w:eastAsia="zh-CN" w:bidi="hi-IN"/>
            </w:rPr>
            <w:instrText xml:space="preserve"> CITATION BSI \l 2057 </w:instrText>
          </w:r>
          <w:r w:rsidRPr="00400193">
            <w:rPr>
              <w:lang w:eastAsia="zh-CN" w:bidi="hi-IN"/>
            </w:rPr>
            <w:fldChar w:fldCharType="separate"/>
          </w:r>
          <w:r w:rsidRPr="00400193">
            <w:rPr>
              <w:lang w:eastAsia="zh-CN" w:bidi="hi-IN"/>
            </w:rPr>
            <w:t>(BSI, 2005)</w:t>
          </w:r>
          <w:r w:rsidRPr="00400193">
            <w:rPr>
              <w:lang w:eastAsia="zh-CN" w:bidi="hi-IN"/>
            </w:rPr>
            <w:fldChar w:fldCharType="end"/>
          </w:r>
        </w:sdtContent>
      </w:sdt>
      <w:r w:rsidRPr="00400193">
        <w:rPr>
          <w:lang w:eastAsia="zh-CN" w:bidi="hi-IN"/>
        </w:rPr>
        <w:t xml:space="preserve">. The existence of a secure print system of this type tends to reduce the risks of internal attacks, simply because it will record when the incident occurred, and whose ID was being used for the attempt </w:t>
      </w:r>
      <w:sdt>
        <w:sdtPr>
          <w:rPr>
            <w:lang w:eastAsia="zh-CN" w:bidi="hi-IN"/>
          </w:rPr>
          <w:id w:val="-681275067"/>
          <w:citation/>
        </w:sdtPr>
        <w:sdtEndPr/>
        <w:sdtContent>
          <w:r w:rsidRPr="00400193">
            <w:rPr>
              <w:lang w:eastAsia="zh-CN" w:bidi="hi-IN"/>
            </w:rPr>
            <w:fldChar w:fldCharType="begin"/>
          </w:r>
          <w:r w:rsidRPr="00400193">
            <w:rPr>
              <w:lang w:eastAsia="zh-CN" w:bidi="hi-IN"/>
            </w:rPr>
            <w:instrText xml:space="preserve"> CITATION Alm16 \l 2057 </w:instrText>
          </w:r>
          <w:r w:rsidRPr="00400193">
            <w:rPr>
              <w:lang w:eastAsia="zh-CN" w:bidi="hi-IN"/>
            </w:rPr>
            <w:fldChar w:fldCharType="separate"/>
          </w:r>
          <w:r w:rsidRPr="00400193">
            <w:rPr>
              <w:lang w:eastAsia="zh-CN" w:bidi="hi-IN"/>
            </w:rPr>
            <w:t>(Almarhabi, 2016)</w:t>
          </w:r>
          <w:r w:rsidRPr="00400193">
            <w:rPr>
              <w:lang w:eastAsia="zh-CN" w:bidi="hi-IN"/>
            </w:rPr>
            <w:fldChar w:fldCharType="end"/>
          </w:r>
        </w:sdtContent>
      </w:sdt>
      <w:r w:rsidRPr="00400193">
        <w:rPr>
          <w:lang w:eastAsia="zh-CN" w:bidi="hi-IN"/>
        </w:rPr>
        <w:t>.</w:t>
      </w:r>
    </w:p>
    <w:p w14:paraId="567467CE" w14:textId="77777777" w:rsidR="006E3616" w:rsidRPr="00400193" w:rsidRDefault="006E3616" w:rsidP="006E3616">
      <w:pPr>
        <w:pStyle w:val="Heading2"/>
      </w:pPr>
      <w:bookmarkStart w:id="64" w:name="_3o7alnk"/>
      <w:bookmarkStart w:id="65" w:name="_Toc61894654"/>
      <w:bookmarkEnd w:id="64"/>
      <w:r w:rsidRPr="00400193">
        <w:t>Emerging Cyber-Risks</w:t>
      </w:r>
      <w:bookmarkEnd w:id="65"/>
    </w:p>
    <w:p w14:paraId="4ABF337C" w14:textId="4C2A8871" w:rsidR="006E3616" w:rsidRPr="00400193" w:rsidRDefault="006E3616" w:rsidP="006E3616">
      <w:r w:rsidRPr="00400193">
        <w:t>Cyber-risk is a continually evolving field. Patterns and trends are regularly reviewed (</w:t>
      </w:r>
      <w:r w:rsidRPr="00400193">
        <w:rPr>
          <w:iCs/>
        </w:rPr>
        <w:t>e.g.</w:t>
      </w:r>
      <w:r w:rsidRPr="00400193">
        <w:t xml:space="preserve"> Amoroso, 2011; Bendovschi, 2015; Fransen, Smulders </w:t>
      </w:r>
      <w:r w:rsidR="00337F8A" w:rsidRPr="00400193">
        <w:t>and</w:t>
      </w:r>
      <w:r w:rsidRPr="00400193">
        <w:t xml:space="preserve"> Kerkdijk, 2015), which helps to identify emerging risks. However, these cannot be reported before they occur. It is possible that the significance of a new type of attack may be overlooked, particularly if it does not appear to fit into an existing category. The fact that cyber-attacks follow a ‘pattern’ is widely accepted (GCHQ, 2015), and much of the advice offered by specialists relates to identifying and breaking that ‘pattern’ (Adams </w:t>
      </w:r>
      <w:r w:rsidR="00337F8A" w:rsidRPr="00400193">
        <w:t>and</w:t>
      </w:r>
      <w:r w:rsidRPr="00400193">
        <w:t xml:space="preserve"> Makramalla, 2015).</w:t>
      </w:r>
    </w:p>
    <w:p w14:paraId="2426FA3C" w14:textId="77777777" w:rsidR="006E3616" w:rsidRPr="00400193" w:rsidRDefault="006E3616" w:rsidP="006E3616">
      <w:pPr>
        <w:pStyle w:val="Heading2"/>
      </w:pPr>
      <w:bookmarkStart w:id="66" w:name="_23ckvvd"/>
      <w:bookmarkStart w:id="67" w:name="_Toc61894655"/>
      <w:bookmarkEnd w:id="66"/>
      <w:r w:rsidRPr="00400193">
        <w:t>Patterns of cyber-attacks</w:t>
      </w:r>
      <w:bookmarkEnd w:id="67"/>
    </w:p>
    <w:p w14:paraId="065A8FA4" w14:textId="63BF8074" w:rsidR="006E3616" w:rsidRPr="00400193" w:rsidRDefault="006E3616" w:rsidP="006E3616">
      <w:r w:rsidRPr="00400193">
        <w:t>To help identify patterns of attacks, Lockheed Martin created the Cyber Kill Chain</w:t>
      </w:r>
      <w:r w:rsidRPr="00400193">
        <w:rPr>
          <w:vertAlign w:val="superscript"/>
        </w:rPr>
        <w:t>®</w:t>
      </w:r>
      <w:r w:rsidRPr="00400193">
        <w:t xml:space="preserve"> (Hutchins, Cloppert </w:t>
      </w:r>
      <w:r w:rsidR="00337F8A" w:rsidRPr="00400193">
        <w:t>and</w:t>
      </w:r>
      <w:r w:rsidRPr="00400193">
        <w:t xml:space="preserve"> Amin, 2011), shown in </w:t>
      </w:r>
      <w:r w:rsidRPr="00400193">
        <w:fldChar w:fldCharType="begin"/>
      </w:r>
      <w:r w:rsidRPr="00400193">
        <w:instrText xml:space="preserve"> REF _Ref42255890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2</w:t>
      </w:r>
      <w:r w:rsidRPr="00400193">
        <w:fldChar w:fldCharType="end"/>
      </w:r>
      <w:r w:rsidRPr="00400193">
        <w:t xml:space="preserve">. This is considered by many to be one of the clearest examples describing the process (GCHQ, 2015). GCHQ uses a simplified version of this model to describe the process (see </w:t>
      </w:r>
      <w:r w:rsidRPr="00400193">
        <w:fldChar w:fldCharType="begin"/>
      </w:r>
      <w:r w:rsidRPr="00400193">
        <w:instrText xml:space="preserve"> REF _Ref42256282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3</w:t>
      </w:r>
      <w:r w:rsidRPr="00400193">
        <w:fldChar w:fldCharType="end"/>
      </w:r>
      <w:r w:rsidRPr="00400193">
        <w:t xml:space="preserve">). The strong point made by all who suggest that attacks follow a pattern is the reconnaissance or survey phase. Cyber-attacks are rarely random or ‘spur-of-the-moment’. Instead, they are usually well-researched and planned in advance. The earlier the pattern can be identified, the better the chance of preventing the attack or mitigating its effects. The </w:t>
      </w:r>
      <w:r w:rsidRPr="00400193">
        <w:lastRenderedPageBreak/>
        <w:t>next few sub-sections consider the GCHQ (2015) model phase by phase including the way that it interacts with other frameworks.</w:t>
      </w:r>
    </w:p>
    <w:p w14:paraId="5B4530C3" w14:textId="77777777" w:rsidR="006E3616" w:rsidRPr="00400193" w:rsidRDefault="006E3616" w:rsidP="006E3616">
      <w:pPr>
        <w:keepNext/>
        <w:spacing w:after="0" w:line="240" w:lineRule="auto"/>
        <w:jc w:val="center"/>
      </w:pPr>
      <w:r w:rsidRPr="00400193">
        <w:rPr>
          <w:noProof/>
          <w:lang w:val="en-US"/>
        </w:rPr>
        <w:drawing>
          <wp:inline distT="0" distB="0" distL="0" distR="0" wp14:anchorId="605EEBD4" wp14:editId="7DF35139">
            <wp:extent cx="5760000" cy="3240000"/>
            <wp:effectExtent l="19050" t="19050" r="12700" b="17780"/>
            <wp:docPr id="7"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l="-41" t="-46" r="-41" b="-46"/>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086C8CCC" w14:textId="755A858C" w:rsidR="006E3616" w:rsidRPr="00400193" w:rsidRDefault="006E3616" w:rsidP="006E3616">
      <w:pPr>
        <w:pStyle w:val="Caption"/>
        <w:spacing w:after="240"/>
        <w:jc w:val="left"/>
      </w:pPr>
      <w:bookmarkStart w:id="68" w:name="_Ref42255890"/>
      <w:bookmarkStart w:id="69" w:name="_Toc5538755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w:t>
      </w:r>
      <w:r w:rsidR="00E35E8C" w:rsidRPr="00400193">
        <w:fldChar w:fldCharType="end"/>
      </w:r>
      <w:bookmarkEnd w:id="68"/>
      <w:r w:rsidRPr="00400193">
        <w:t>: Lockheed Martin's Cyber Kill Chain</w:t>
      </w:r>
      <w:r w:rsidRPr="00400193">
        <w:rPr>
          <w:vertAlign w:val="superscript"/>
        </w:rPr>
        <w:t>®</w:t>
      </w:r>
      <w:r w:rsidRPr="00400193">
        <w:t>. Source: adapted from Hutchins, Cloppert and Amin (2011, p. 9</w:t>
      </w:r>
      <w:bookmarkStart w:id="70" w:name="_ihv636"/>
      <w:bookmarkEnd w:id="70"/>
      <w:r w:rsidRPr="00400193">
        <w:t>)</w:t>
      </w:r>
      <w:bookmarkEnd w:id="69"/>
    </w:p>
    <w:p w14:paraId="47622D6C" w14:textId="77777777" w:rsidR="006E3616" w:rsidRPr="00400193" w:rsidRDefault="006E3616" w:rsidP="006E3616">
      <w:pPr>
        <w:keepNext/>
        <w:spacing w:after="0" w:line="240" w:lineRule="auto"/>
      </w:pPr>
      <w:r w:rsidRPr="00400193">
        <w:rPr>
          <w:noProof/>
          <w:lang w:val="en-US"/>
        </w:rPr>
        <w:drawing>
          <wp:inline distT="0" distB="0" distL="0" distR="0" wp14:anchorId="2EBF7681" wp14:editId="04DDAE22">
            <wp:extent cx="5760000" cy="1224915"/>
            <wp:effectExtent l="57150" t="0" r="31750" b="13335"/>
            <wp:docPr id="8" name="Diagram 2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C7574BC" w14:textId="24BDAFE5" w:rsidR="006E3616" w:rsidRPr="00400193" w:rsidRDefault="006E3616" w:rsidP="006E3616">
      <w:pPr>
        <w:pStyle w:val="Caption"/>
        <w:spacing w:after="240"/>
      </w:pPr>
      <w:bookmarkStart w:id="71" w:name="_Ref42256282"/>
      <w:bookmarkStart w:id="72" w:name="_Toc5538755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w:t>
      </w:r>
      <w:r w:rsidR="00E35E8C" w:rsidRPr="00400193">
        <w:fldChar w:fldCharType="end"/>
      </w:r>
      <w:bookmarkEnd w:id="71"/>
      <w:r w:rsidRPr="00400193">
        <w:t>: GCHQ's Simplified Process. Source: adapted from GCHQ (2015)</w:t>
      </w:r>
      <w:bookmarkEnd w:id="72"/>
    </w:p>
    <w:p w14:paraId="610C045F" w14:textId="2C54C851" w:rsidR="006E3616" w:rsidRPr="00400193" w:rsidRDefault="006E3616" w:rsidP="006E3616">
      <w:pPr>
        <w:pStyle w:val="Heading3"/>
      </w:pPr>
      <w:bookmarkStart w:id="73" w:name="_Toc61894656"/>
      <w:r w:rsidRPr="00400193">
        <w:t>The GCHQ Simplified Process</w:t>
      </w:r>
      <w:bookmarkEnd w:id="73"/>
    </w:p>
    <w:p w14:paraId="25109392" w14:textId="4530671F" w:rsidR="006E3616" w:rsidRPr="00400193" w:rsidRDefault="006E3616" w:rsidP="00C65B4C">
      <w:pPr>
        <w:pStyle w:val="Heading4"/>
      </w:pPr>
      <w:bookmarkStart w:id="74" w:name="_Toc61894657"/>
      <w:r w:rsidRPr="00400193">
        <w:t>Survey</w:t>
      </w:r>
      <w:bookmarkEnd w:id="74"/>
    </w:p>
    <w:p w14:paraId="07FA0077" w14:textId="77777777" w:rsidR="006E3616" w:rsidRPr="00400193" w:rsidRDefault="006E3616" w:rsidP="006E3616">
      <w:r w:rsidRPr="00400193">
        <w:t>According to GCHQ (2015), this phase always precedes a cyber-attack. It is the ideal time to find out about a future attack, but it is also the hardest time to detect unusual behaviour. The initial enquiries made during the survey phase will seem perfectly innocuous, and may include information like company office hours, staff numbers, and means of contacting the company electronically. These items would not usually be concealed or considered secret. Unfortunately, sometimes the electronic response to the request may unintentionally reveal system weaknesses:</w:t>
      </w:r>
    </w:p>
    <w:p w14:paraId="1CF08018" w14:textId="77777777" w:rsidR="006E3616" w:rsidRPr="00400193" w:rsidRDefault="006E3616" w:rsidP="006E3616">
      <w:pPr>
        <w:pStyle w:val="Quote"/>
      </w:pPr>
      <w:r w:rsidRPr="00400193">
        <w:t xml:space="preserve">Any information which is published for open consumption should be systematically filtered before it is released to ensure that anything of </w:t>
      </w:r>
      <w:r w:rsidRPr="00400193">
        <w:lastRenderedPageBreak/>
        <w:t>value to an attacker (such as software and configuration details, the names/roles/titles of individuals and any hidden data) is removed (GCHQ, 2015, p. 11)</w:t>
      </w:r>
    </w:p>
    <w:p w14:paraId="516EC84C" w14:textId="77777777" w:rsidR="006E3616" w:rsidRPr="00400193" w:rsidRDefault="006E3616" w:rsidP="00C65B4C">
      <w:pPr>
        <w:pStyle w:val="Heading4"/>
      </w:pPr>
      <w:bookmarkStart w:id="75" w:name="_Toc61894658"/>
      <w:r w:rsidRPr="00400193">
        <w:t>Delivery</w:t>
      </w:r>
      <w:bookmarkEnd w:id="75"/>
    </w:p>
    <w:p w14:paraId="2206F290" w14:textId="708CD33A" w:rsidR="006E3616" w:rsidRPr="00400193" w:rsidRDefault="006E3616" w:rsidP="006E3616">
      <w:r w:rsidRPr="00400193">
        <w:t xml:space="preserve">Prevention of delivery is one area where the IT department can and does have a role in cyber-security </w:t>
      </w:r>
      <w:r w:rsidR="00337F8A" w:rsidRPr="00400193">
        <w:t>(Subashini and Kavitha, 2011)</w:t>
      </w:r>
      <w:r w:rsidRPr="00400193">
        <w:t xml:space="preserve">. The enforcement of password protocols, and control of configuration and access all reduce the opportunity for an attacker to find a way to exploit their knowledge of the system </w:t>
      </w:r>
      <w:r w:rsidR="0019578D" w:rsidRPr="00400193">
        <w:t>(Hancock</w:t>
      </w:r>
      <w:r w:rsidR="00704A6D" w:rsidRPr="00400193">
        <w:t xml:space="preserve"> et al</w:t>
      </w:r>
      <w:r w:rsidR="0019578D" w:rsidRPr="00400193">
        <w:t>., 2016)</w:t>
      </w:r>
      <w:r w:rsidRPr="00400193">
        <w:t xml:space="preserve">. GCHQ (2015) suggested several ways to mitigate delivery, but this is also an area where an active watch must be kept on the behaviour of external websites, even when these are trusted </w:t>
      </w:r>
      <w:sdt>
        <w:sdtPr>
          <w:id w:val="1698659151"/>
          <w:citation/>
        </w:sdtPr>
        <w:sdtEndPr/>
        <w:sdtContent>
          <w:r w:rsidRPr="00400193">
            <w:fldChar w:fldCharType="begin"/>
          </w:r>
          <w:r w:rsidRPr="00400193">
            <w:instrText xml:space="preserve"> CITATION GCH15 \l 2057 </w:instrText>
          </w:r>
          <w:r w:rsidRPr="00400193">
            <w:fldChar w:fldCharType="separate"/>
          </w:r>
          <w:r w:rsidRPr="00400193">
            <w:t>(GCHQ, 2015)</w:t>
          </w:r>
          <w:r w:rsidRPr="00400193">
            <w:fldChar w:fldCharType="end"/>
          </w:r>
        </w:sdtContent>
      </w:sdt>
      <w:r w:rsidRPr="00400193">
        <w:t>. If unusual behaviour is detected in this phase, an attack can probably be prevented.</w:t>
      </w:r>
    </w:p>
    <w:p w14:paraId="7F9447D0" w14:textId="77777777" w:rsidR="006E3616" w:rsidRPr="00400193" w:rsidRDefault="006E3616" w:rsidP="007F2393">
      <w:pPr>
        <w:pStyle w:val="Heading4"/>
      </w:pPr>
      <w:bookmarkStart w:id="76" w:name="_Toc61894659"/>
      <w:r w:rsidRPr="00400193">
        <w:t>Breach</w:t>
      </w:r>
      <w:bookmarkEnd w:id="76"/>
    </w:p>
    <w:p w14:paraId="7693FE08" w14:textId="77777777" w:rsidR="006E3616" w:rsidRPr="00400193" w:rsidRDefault="006E3616" w:rsidP="006E3616">
      <w:r w:rsidRPr="00400193">
        <w:t>This is the ‘normal’ detection point of a cyber-attack. Existing frameworks tend to accept that this is where action must be taken, and their aim is to prevent it getting any worse. Again, this concentration on mitigation (GCHQ, 2015) is good, and has been extensively tried and tested. However, the aim of a new framework must be to shift this detection point to an earlier phase, either delivery or survey.</w:t>
      </w:r>
    </w:p>
    <w:p w14:paraId="26856255" w14:textId="77777777" w:rsidR="006E3616" w:rsidRPr="00400193" w:rsidRDefault="006E3616" w:rsidP="007F2393">
      <w:pPr>
        <w:pStyle w:val="Heading4"/>
      </w:pPr>
      <w:bookmarkStart w:id="77" w:name="_Toc61894660"/>
      <w:r w:rsidRPr="00400193">
        <w:t>Affect</w:t>
      </w:r>
      <w:bookmarkEnd w:id="77"/>
    </w:p>
    <w:p w14:paraId="661A203B" w14:textId="77777777" w:rsidR="006E3616" w:rsidRPr="00400193" w:rsidRDefault="006E3616" w:rsidP="006E3616">
      <w:r w:rsidRPr="00400193">
        <w:t>If the attack is not detected before this phase, then it is only the resilience of the organisation that will make recovery possible. However,</w:t>
      </w:r>
      <w:r w:rsidRPr="00400193">
        <w:rPr>
          <w:i/>
          <w:iCs/>
        </w:rPr>
        <w:t xml:space="preserve"> “[i]f all the measures for the survey, delivery and breach stages are consistently in place, the majority of attacks using commodity capability are likely to be unsuccessful”</w:t>
      </w:r>
      <w:r w:rsidRPr="00400193">
        <w:t xml:space="preserve"> (GCHQ, 2015, p. 12).</w:t>
      </w:r>
    </w:p>
    <w:p w14:paraId="135370F8" w14:textId="77777777" w:rsidR="006E3616" w:rsidRPr="00400193" w:rsidRDefault="006E3616" w:rsidP="006E3616">
      <w:r w:rsidRPr="00400193">
        <w:t xml:space="preserve">The possibility remains that this will be the detection or intervention point. Existing frameworks recommend that if this point is reached, </w:t>
      </w:r>
      <w:r w:rsidRPr="00400193">
        <w:rPr>
          <w:i/>
        </w:rPr>
        <w:t>“a full defence-in-depth strategy”</w:t>
      </w:r>
      <w:r w:rsidRPr="00400193">
        <w:t xml:space="preserve"> (GCHQ, 2015, p. 12) should be used. The point of the resilience framework is that this point must never be reached.</w:t>
      </w:r>
    </w:p>
    <w:p w14:paraId="0321A567" w14:textId="77777777" w:rsidR="006E3616" w:rsidRPr="00400193" w:rsidRDefault="006E3616" w:rsidP="006E3616">
      <w:pPr>
        <w:pStyle w:val="Heading2"/>
      </w:pPr>
      <w:bookmarkStart w:id="78" w:name="_Toc61894661"/>
      <w:r w:rsidRPr="00400193">
        <w:t>Trends</w:t>
      </w:r>
      <w:bookmarkEnd w:id="78"/>
    </w:p>
    <w:p w14:paraId="3CD30296" w14:textId="4EC1B9BB" w:rsidR="006E3616" w:rsidRPr="00400193" w:rsidRDefault="006E3616" w:rsidP="006E3616">
      <w:r w:rsidRPr="00400193">
        <w:t xml:space="preserve">There has been an increase in cyber-attacks in recent years, as </w:t>
      </w:r>
      <w:r w:rsidRPr="00400193">
        <w:fldChar w:fldCharType="begin"/>
      </w:r>
      <w:r w:rsidRPr="00400193">
        <w:instrText xml:space="preserve"> REF _Ref42256777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4</w:t>
      </w:r>
      <w:r w:rsidRPr="00400193">
        <w:fldChar w:fldCharType="end"/>
      </w:r>
      <w:r w:rsidRPr="00400193">
        <w:t xml:space="preserve"> shows. Attacks by sector (</w:t>
      </w:r>
      <w:r w:rsidRPr="00400193">
        <w:fldChar w:fldCharType="begin"/>
      </w:r>
      <w:r w:rsidRPr="00400193">
        <w:instrText xml:space="preserve"> REF _Ref42256983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5</w:t>
      </w:r>
      <w:r w:rsidRPr="00400193">
        <w:fldChar w:fldCharType="end"/>
      </w:r>
      <w:r w:rsidRPr="00400193">
        <w:t>) show the importance of the issue to both companies and government departments within the UAE.</w:t>
      </w:r>
    </w:p>
    <w:p w14:paraId="061707BE" w14:textId="77777777" w:rsidR="006E3616" w:rsidRPr="00400193" w:rsidRDefault="006E3616" w:rsidP="006E3616">
      <w:pPr>
        <w:keepNext/>
        <w:spacing w:after="0" w:line="240" w:lineRule="auto"/>
      </w:pPr>
      <w:r w:rsidRPr="00400193">
        <w:rPr>
          <w:noProof/>
          <w:lang w:val="en-US"/>
        </w:rPr>
        <w:lastRenderedPageBreak/>
        <w:drawing>
          <wp:inline distT="0" distB="0" distL="0" distR="0" wp14:anchorId="54C7EAF1" wp14:editId="1CAB238D">
            <wp:extent cx="5760000" cy="3240000"/>
            <wp:effectExtent l="0" t="0" r="12700" b="17780"/>
            <wp:docPr id="9" name="Chart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C90C6EF" w14:textId="7D3B074E" w:rsidR="006E3616" w:rsidRPr="00400193" w:rsidRDefault="006E3616" w:rsidP="006E3616">
      <w:pPr>
        <w:pStyle w:val="Caption"/>
        <w:spacing w:after="240"/>
      </w:pPr>
      <w:bookmarkStart w:id="79" w:name="_Ref42256777"/>
      <w:bookmarkStart w:id="80" w:name="_Toc5538755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w:t>
      </w:r>
      <w:r w:rsidR="00E35E8C" w:rsidRPr="00400193">
        <w:fldChar w:fldCharType="end"/>
      </w:r>
      <w:bookmarkEnd w:id="79"/>
      <w:r w:rsidRPr="00400193">
        <w:t>: Frequency of successful cyber-attacks worldwide. Source: adapted from Imperva (2019)</w:t>
      </w:r>
      <w:bookmarkEnd w:id="80"/>
    </w:p>
    <w:p w14:paraId="192CA089" w14:textId="77777777" w:rsidR="006E3616" w:rsidRPr="00400193" w:rsidRDefault="006E3616" w:rsidP="006E3616">
      <w:pPr>
        <w:keepNext/>
        <w:spacing w:after="0" w:line="240" w:lineRule="auto"/>
      </w:pPr>
      <w:r w:rsidRPr="00400193">
        <w:rPr>
          <w:noProof/>
          <w:lang w:val="en-US"/>
        </w:rPr>
        <w:drawing>
          <wp:inline distT="0" distB="0" distL="0" distR="0" wp14:anchorId="007ECC0A" wp14:editId="6E17C44D">
            <wp:extent cx="5760000" cy="3240000"/>
            <wp:effectExtent l="0" t="0" r="12700" b="17780"/>
            <wp:docPr id="10" name="Chart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01755D9" w14:textId="0D203656" w:rsidR="006E3616" w:rsidRPr="00400193" w:rsidRDefault="006E3616" w:rsidP="006E3616">
      <w:pPr>
        <w:pStyle w:val="Caption"/>
        <w:spacing w:after="240"/>
      </w:pPr>
      <w:bookmarkStart w:id="81" w:name="_Ref42256983"/>
      <w:bookmarkStart w:id="82" w:name="_Toc5538755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w:t>
      </w:r>
      <w:r w:rsidR="00E35E8C" w:rsidRPr="00400193">
        <w:fldChar w:fldCharType="end"/>
      </w:r>
      <w:bookmarkEnd w:id="81"/>
      <w:r w:rsidRPr="00400193">
        <w:t>: Cyber-attacks by sector (USA), 2016. Source: data from Control Risks (2016)</w:t>
      </w:r>
      <w:bookmarkEnd w:id="82"/>
    </w:p>
    <w:p w14:paraId="7A455ADE" w14:textId="77777777" w:rsidR="006E3616" w:rsidRPr="00400193" w:rsidRDefault="006E3616" w:rsidP="006E3616">
      <w:r w:rsidRPr="00400193">
        <w:t xml:space="preserve">This growth of attacks against government infrastructure is supported by the increase in cyber-terrorism, which is discussed further in the next section. This may be affected by ‘gullibility’: hackers or cyber-attackers may have been convinced by their backers that they are ‘doing the right thing’ by sabotaging government infrastructure. This may be combined with the popular growth of ‘conspiracy theories’ (Wood, 2015). However, </w:t>
      </w:r>
      <w:r w:rsidRPr="00400193">
        <w:lastRenderedPageBreak/>
        <w:t>the reason is less important than the trend itself. The moral aspects of activism and terrorism are beyond the scope of this thesis, but acceptance of the idea that they are growing can influence the way in which individual companies or governments approach cyber-security.</w:t>
      </w:r>
    </w:p>
    <w:p w14:paraId="51BBEC36" w14:textId="77777777" w:rsidR="006E3616" w:rsidRPr="00400193" w:rsidRDefault="006E3616" w:rsidP="006E3616">
      <w:pPr>
        <w:pStyle w:val="Heading2"/>
      </w:pPr>
      <w:bookmarkStart w:id="83" w:name="_Toc61894662"/>
      <w:r w:rsidRPr="00400193">
        <w:t>Terrorism and cyber-attacks</w:t>
      </w:r>
      <w:bookmarkEnd w:id="83"/>
    </w:p>
    <w:p w14:paraId="3161AD4F" w14:textId="77777777" w:rsidR="006E3616" w:rsidRPr="00400193" w:rsidRDefault="006E3616" w:rsidP="006E3616">
      <w:r w:rsidRPr="00400193">
        <w:t xml:space="preserve">Cyber-terrorism is seen as another growth area for the future. Governments around the world are increasingly online and causing disruption to a government to which you are opposed is one of the aims of terrorism (Weimann, 2004). Cyber-terrorism is the same as any other form of terrorism except for its delivery (Zubrzycki, 2016). Like most other forms of terrorism, it needs funding, which often comes from other criminal sources (C.P. Clarke, 2016; R. A. Clarke, 2016). However, from the point of view of cyber-attacks, </w:t>
      </w:r>
      <w:r w:rsidRPr="00400193">
        <w:rPr>
          <w:i/>
          <w:iCs/>
        </w:rPr>
        <w:t>“[w]hether or not a cyber-attack against vital information infrastructure is viewed as an act of terrorism depends on the intent”</w:t>
      </w:r>
      <w:r w:rsidRPr="00400193">
        <w:t xml:space="preserve"> (Heickerö, 2014, p. 555).</w:t>
      </w:r>
    </w:p>
    <w:p w14:paraId="0B427370" w14:textId="4763D6AA" w:rsidR="006E3616" w:rsidRPr="00400193" w:rsidRDefault="006E3616" w:rsidP="006E3616">
      <w:r w:rsidRPr="00400193">
        <w:t xml:space="preserve">Although this is an emerging threat, it is more likely to be aimed at ‘establishment’ websites and information hubs than ordinary commercial companies. However, this does not mean that ordinary companies can be complacent about the risk. An awareness that it may occur should be built </w:t>
      </w:r>
      <w:r w:rsidR="000A223A" w:rsidRPr="00400193">
        <w:t>into</w:t>
      </w:r>
      <w:r w:rsidRPr="00400193">
        <w:t xml:space="preserve"> any new framework.</w:t>
      </w:r>
    </w:p>
    <w:p w14:paraId="0F534AF6" w14:textId="77777777" w:rsidR="006E3616" w:rsidRPr="00400193" w:rsidRDefault="006E3616" w:rsidP="006E3616">
      <w:pPr>
        <w:pStyle w:val="Heading2"/>
      </w:pPr>
      <w:bookmarkStart w:id="84" w:name="_Toc61894663"/>
      <w:r w:rsidRPr="00400193">
        <w:t>The Development of Cyber-Risk Management Frameworks</w:t>
      </w:r>
      <w:bookmarkEnd w:id="84"/>
    </w:p>
    <w:p w14:paraId="096F667C" w14:textId="77777777" w:rsidR="006E3616" w:rsidRPr="00400193" w:rsidRDefault="006E3616" w:rsidP="006E3616">
      <w:r w:rsidRPr="00400193">
        <w:t>When it was first realised that cyber-risks applied to ‘ordinary’ companies as well as ‘high tech’ companies, the idea of critical infrastructure became common, defined as:</w:t>
      </w:r>
    </w:p>
    <w:p w14:paraId="11BB4F7C" w14:textId="2CE35CB4" w:rsidR="006E3616" w:rsidRPr="00400193" w:rsidRDefault="006E3616" w:rsidP="00AF1660">
      <w:pPr>
        <w:pStyle w:val="Quote"/>
      </w:pPr>
      <w:r w:rsidRPr="00400193">
        <w:t xml:space="preserve">[P]hysical and cyber-based systems that are essential for day-to-day operation of the economy and government. [Examples include banking,] [e]lectric power production and distribution, water treatment and supply, gas and oil production and distribution, and telecommunication” (Ralston, Graham </w:t>
      </w:r>
      <w:r w:rsidR="00337F8A" w:rsidRPr="00400193">
        <w:t>and</w:t>
      </w:r>
      <w:r w:rsidRPr="00400193">
        <w:t xml:space="preserve"> Hieb, 2007, p. 583)</w:t>
      </w:r>
    </w:p>
    <w:p w14:paraId="59E4F082" w14:textId="1A832355" w:rsidR="006E3616" w:rsidRPr="00400193" w:rsidRDefault="006E3616" w:rsidP="006E3616">
      <w:r w:rsidRPr="00400193">
        <w:t xml:space="preserve">Companies with critical infrastructure are also suppliers and clients of other companies. Where there is greater connectedness, there is also greater risk. In a globalised business world (Held </w:t>
      </w:r>
      <w:r w:rsidR="00337F8A" w:rsidRPr="00400193">
        <w:t>and</w:t>
      </w:r>
      <w:r w:rsidRPr="00400193">
        <w:t xml:space="preserve"> McGrew, 2003), cyber-security is no longer a matter of national importance, but affects everyone. Cyber-crime is truly international, as proved by the banking attacks in 2016 (Sky News, 2016).</w:t>
      </w:r>
    </w:p>
    <w:p w14:paraId="3EEB885D" w14:textId="68C3A92A" w:rsidR="006E3616" w:rsidRPr="00400193" w:rsidRDefault="006E3616" w:rsidP="006E3616">
      <w:r w:rsidRPr="00400193">
        <w:t xml:space="preserve">Another emerging risk with a major effect on connectivity and therefore on security is the concept of Platform as a Service (PaaS) </w:t>
      </w:r>
      <w:r w:rsidR="0019578D" w:rsidRPr="00400193">
        <w:t>(Li</w:t>
      </w:r>
      <w:r w:rsidR="00704A6D" w:rsidRPr="00400193">
        <w:t xml:space="preserve"> et al</w:t>
      </w:r>
      <w:r w:rsidR="0019578D" w:rsidRPr="00400193">
        <w:t>., 2013)</w:t>
      </w:r>
      <w:r w:rsidRPr="00400193">
        <w:t xml:space="preserve">. This approach, suggested </w:t>
      </w:r>
      <w:r w:rsidRPr="00400193">
        <w:lastRenderedPageBreak/>
        <w:t xml:space="preserve">for ‘smart cities’, increases the level of access to company data (see </w:t>
      </w:r>
      <w:r w:rsidRPr="00400193">
        <w:fldChar w:fldCharType="begin"/>
      </w:r>
      <w:r w:rsidRPr="00400193">
        <w:instrText xml:space="preserve"> REF _Ref42257411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6</w:t>
      </w:r>
      <w:r w:rsidRPr="00400193">
        <w:fldChar w:fldCharType="end"/>
      </w:r>
      <w:r w:rsidRPr="00400193">
        <w:t xml:space="preserve">). This also adds the Internet of Things (IoT), with all its connected devices, and Infrastructure as a Service (IaaS). This is currently far less secure than the internet itself. This could severely affect systems that have not considered attack from that direction. </w:t>
      </w:r>
    </w:p>
    <w:p w14:paraId="6CDB2928" w14:textId="77777777" w:rsidR="006E3616" w:rsidRPr="00400193" w:rsidRDefault="006E3616" w:rsidP="006E3616">
      <w:pPr>
        <w:keepNext/>
        <w:spacing w:after="0" w:line="240" w:lineRule="auto"/>
      </w:pPr>
      <w:r w:rsidRPr="00400193">
        <w:rPr>
          <w:noProof/>
          <w:lang w:val="en-US"/>
        </w:rPr>
        <mc:AlternateContent>
          <mc:Choice Requires="wpc">
            <w:drawing>
              <wp:inline distT="0" distB="0" distL="0" distR="0" wp14:anchorId="3FD30CE3" wp14:editId="3B6B84C7">
                <wp:extent cx="5760000" cy="3240000"/>
                <wp:effectExtent l="0" t="0" r="88900" b="74930"/>
                <wp:docPr id="109" name="Canvas 13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a:solidFill>
                            <a:schemeClr val="tx1"/>
                          </a:solidFill>
                        </a:ln>
                      </wpc:whole>
                      <wps:wsp>
                        <wps:cNvPr id="49" name="Rectangle: Rounded Corners 43"/>
                        <wps:cNvSpPr>
                          <a:spLocks noChangeArrowheads="1"/>
                        </wps:cNvSpPr>
                        <wps:spPr bwMode="auto">
                          <a:xfrm>
                            <a:off x="49143" y="32852"/>
                            <a:ext cx="977939" cy="2709958"/>
                          </a:xfrm>
                          <a:prstGeom prst="roundRect">
                            <a:avLst>
                              <a:gd name="adj" fmla="val 16667"/>
                            </a:avLst>
                          </a:prstGeom>
                          <a:solidFill>
                            <a:srgbClr val="DAE3F3"/>
                          </a:solidFill>
                          <a:ln w="6350">
                            <a:solidFill>
                              <a:srgbClr val="4472C4"/>
                            </a:solidFill>
                            <a:miter lim="800000"/>
                            <a:headEnd/>
                            <a:tailEnd/>
                          </a:ln>
                        </wps:spPr>
                        <wps:bodyPr rot="0" vert="horz" wrap="square" lIns="91440" tIns="45720" rIns="91440" bIns="45720" anchor="ctr" anchorCtr="0" upright="1">
                          <a:noAutofit/>
                        </wps:bodyPr>
                      </wps:wsp>
                      <wps:wsp>
                        <wps:cNvPr id="50" name="Rectangle: Rounded Corners 70"/>
                        <wps:cNvSpPr>
                          <a:spLocks noChangeArrowheads="1"/>
                        </wps:cNvSpPr>
                        <wps:spPr bwMode="auto">
                          <a:xfrm>
                            <a:off x="1101048" y="35314"/>
                            <a:ext cx="976532" cy="2709958"/>
                          </a:xfrm>
                          <a:prstGeom prst="roundRect">
                            <a:avLst>
                              <a:gd name="adj" fmla="val 16667"/>
                            </a:avLst>
                          </a:prstGeom>
                          <a:solidFill>
                            <a:srgbClr val="DAE3F3"/>
                          </a:solidFill>
                          <a:ln w="6350">
                            <a:solidFill>
                              <a:srgbClr val="4472C4"/>
                            </a:solidFill>
                            <a:miter lim="800000"/>
                            <a:headEnd/>
                            <a:tailEnd/>
                          </a:ln>
                        </wps:spPr>
                        <wps:bodyPr rot="0" vert="horz" wrap="square" lIns="91440" tIns="45720" rIns="91440" bIns="45720" anchor="ctr" anchorCtr="0" upright="1">
                          <a:noAutofit/>
                        </wps:bodyPr>
                      </wps:wsp>
                      <wpg:wgp>
                        <wpg:cNvPr id="51" name="Group 71"/>
                        <wpg:cNvGrpSpPr>
                          <a:grpSpLocks/>
                        </wpg:cNvGrpSpPr>
                        <wpg:grpSpPr bwMode="auto">
                          <a:xfrm>
                            <a:off x="36179" y="85952"/>
                            <a:ext cx="937941" cy="2463512"/>
                            <a:chOff x="2743" y="2495"/>
                            <a:chExt cx="10318" cy="22707"/>
                          </a:xfrm>
                        </wpg:grpSpPr>
                        <wps:wsp>
                          <wps:cNvPr id="52" name="Text Box 72"/>
                          <wps:cNvSpPr txBox="1">
                            <a:spLocks noChangeArrowheads="1"/>
                          </wps:cNvSpPr>
                          <wps:spPr bwMode="auto">
                            <a:xfrm>
                              <a:off x="2743" y="2495"/>
                              <a:ext cx="10319"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97A2FAB" w14:textId="77777777" w:rsidR="007401F4" w:rsidRPr="00D13D94" w:rsidRDefault="007401F4" w:rsidP="006E3616">
                                <w:pPr>
                                  <w:spacing w:after="0" w:line="240" w:lineRule="auto"/>
                                  <w:jc w:val="center"/>
                                  <w:rPr>
                                    <w:b/>
                                    <w:bCs/>
                                    <w:sz w:val="14"/>
                                    <w:szCs w:val="12"/>
                                  </w:rPr>
                                </w:pPr>
                                <w:r w:rsidRPr="00D13D94">
                                  <w:rPr>
                                    <w:b/>
                                    <w:bCs/>
                                    <w:sz w:val="16"/>
                                    <w:szCs w:val="14"/>
                                  </w:rPr>
                                  <w:t>Vertical</w:t>
                                </w:r>
                              </w:p>
                            </w:txbxContent>
                          </wps:txbx>
                          <wps:bodyPr rot="0" vert="horz" wrap="square" lIns="91440" tIns="45720" rIns="91440" bIns="45720" anchor="t" anchorCtr="0" upright="1">
                            <a:noAutofit/>
                          </wps:bodyPr>
                        </wps:wsp>
                        <wps:wsp>
                          <wps:cNvPr id="53" name="Rectangle: Rounded Corners 73"/>
                          <wps:cNvSpPr>
                            <a:spLocks noChangeArrowheads="1"/>
                          </wps:cNvSpPr>
                          <wps:spPr bwMode="auto">
                            <a:xfrm>
                              <a:off x="3325" y="5001"/>
                              <a:ext cx="9360" cy="6480"/>
                            </a:xfrm>
                            <a:prstGeom prst="roundRect">
                              <a:avLst>
                                <a:gd name="adj" fmla="val 16667"/>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47A929AC" w14:textId="77777777" w:rsidR="007401F4" w:rsidRPr="00D13D94" w:rsidRDefault="007401F4" w:rsidP="006E3616">
                                <w:pPr>
                                  <w:spacing w:after="0" w:line="240" w:lineRule="auto"/>
                                  <w:jc w:val="center"/>
                                  <w:rPr>
                                    <w:b/>
                                    <w:bCs/>
                                    <w:sz w:val="16"/>
                                    <w:szCs w:val="14"/>
                                  </w:rPr>
                                </w:pPr>
                                <w:r w:rsidRPr="002D5953">
                                  <w:rPr>
                                    <w:b/>
                                    <w:bCs/>
                                    <w:sz w:val="12"/>
                                    <w:szCs w:val="10"/>
                                  </w:rPr>
                                  <w:t>Applications</w:t>
                                </w:r>
                              </w:p>
                            </w:txbxContent>
                          </wps:txbx>
                          <wps:bodyPr rot="0" vert="horz" wrap="square" lIns="91440" tIns="45720" rIns="91440" bIns="45720" anchor="ctr" anchorCtr="0" upright="1">
                            <a:noAutofit/>
                          </wps:bodyPr>
                        </wps:wsp>
                        <wps:wsp>
                          <wps:cNvPr id="54" name="Rectangle: Rounded Corners 74"/>
                          <wps:cNvSpPr>
                            <a:spLocks noChangeArrowheads="1"/>
                          </wps:cNvSpPr>
                          <wps:spPr bwMode="auto">
                            <a:xfrm>
                              <a:off x="3326" y="11992"/>
                              <a:ext cx="9360" cy="6480"/>
                            </a:xfrm>
                            <a:prstGeom prst="roundRect">
                              <a:avLst>
                                <a:gd name="adj" fmla="val 16667"/>
                              </a:avLst>
                            </a:prstGeom>
                            <a:solidFill>
                              <a:srgbClr val="D9D9D9"/>
                            </a:solidFill>
                            <a:ln w="6350">
                              <a:solidFill>
                                <a:srgbClr val="A6A6A6"/>
                              </a:solidFill>
                              <a:miter lim="800000"/>
                              <a:headEnd/>
                              <a:tailEnd/>
                            </a:ln>
                          </wps:spPr>
                          <wps:txbx>
                            <w:txbxContent>
                              <w:p w14:paraId="738A00B7" w14:textId="77777777" w:rsidR="007401F4" w:rsidRPr="002D5953" w:rsidRDefault="007401F4" w:rsidP="006E3616">
                                <w:pPr>
                                  <w:spacing w:after="0" w:line="240" w:lineRule="auto"/>
                                  <w:jc w:val="center"/>
                                  <w:rPr>
                                    <w:sz w:val="20"/>
                                    <w:szCs w:val="20"/>
                                  </w:rPr>
                                </w:pPr>
                                <w:r w:rsidRPr="002D5953">
                                  <w:rPr>
                                    <w:b/>
                                    <w:bCs/>
                                    <w:sz w:val="12"/>
                                    <w:szCs w:val="12"/>
                                  </w:rPr>
                                  <w:t>Middleware</w:t>
                                </w:r>
                              </w:p>
                            </w:txbxContent>
                          </wps:txbx>
                          <wps:bodyPr rot="0" vert="horz" wrap="square" lIns="91440" tIns="45720" rIns="91440" bIns="45720" anchor="ctr" anchorCtr="0" upright="1">
                            <a:noAutofit/>
                          </wps:bodyPr>
                        </wps:wsp>
                        <wps:wsp>
                          <wps:cNvPr id="55" name="Rectangle: Rounded Corners 75"/>
                          <wps:cNvSpPr>
                            <a:spLocks noChangeArrowheads="1"/>
                          </wps:cNvSpPr>
                          <wps:spPr bwMode="auto">
                            <a:xfrm>
                              <a:off x="3333" y="18723"/>
                              <a:ext cx="9360" cy="6480"/>
                            </a:xfrm>
                            <a:prstGeom prst="roundRect">
                              <a:avLst>
                                <a:gd name="adj" fmla="val 16667"/>
                              </a:avLst>
                            </a:prstGeom>
                            <a:solidFill>
                              <a:srgbClr val="F2F2F2"/>
                            </a:solidFill>
                            <a:ln w="6350">
                              <a:solidFill>
                                <a:srgbClr val="A6A6A6"/>
                              </a:solidFill>
                              <a:miter lim="800000"/>
                              <a:headEnd/>
                              <a:tailEnd/>
                            </a:ln>
                          </wps:spPr>
                          <wps:txbx>
                            <w:txbxContent>
                              <w:p w14:paraId="11ED8AB0" w14:textId="77777777" w:rsidR="007401F4" w:rsidRPr="002D5953" w:rsidRDefault="007401F4" w:rsidP="006E3616">
                                <w:pPr>
                                  <w:spacing w:after="0" w:line="240" w:lineRule="auto"/>
                                  <w:jc w:val="center"/>
                                  <w:rPr>
                                    <w:sz w:val="20"/>
                                    <w:szCs w:val="20"/>
                                  </w:rPr>
                                </w:pPr>
                                <w:r w:rsidRPr="002D5953">
                                  <w:rPr>
                                    <w:b/>
                                    <w:bCs/>
                                    <w:sz w:val="12"/>
                                    <w:szCs w:val="12"/>
                                  </w:rPr>
                                  <w:t>IoT Infrastructure</w:t>
                                </w:r>
                              </w:p>
                            </w:txbxContent>
                          </wps:txbx>
                          <wps:bodyPr rot="0" vert="horz" wrap="square" lIns="91440" tIns="45720" rIns="91440" bIns="45720" anchor="ctr" anchorCtr="0" upright="1">
                            <a:noAutofit/>
                          </wps:bodyPr>
                        </wps:wsp>
                      </wpg:wgp>
                      <wpg:wgp>
                        <wpg:cNvPr id="56" name="Group 76"/>
                        <wpg:cNvGrpSpPr>
                          <a:grpSpLocks/>
                        </wpg:cNvGrpSpPr>
                        <wpg:grpSpPr bwMode="auto">
                          <a:xfrm>
                            <a:off x="1100947" y="85952"/>
                            <a:ext cx="976834" cy="2463512"/>
                            <a:chOff x="15594" y="2495"/>
                            <a:chExt cx="10650" cy="22884"/>
                          </a:xfrm>
                        </wpg:grpSpPr>
                        <wps:wsp>
                          <wps:cNvPr id="57" name="Text Box 65"/>
                          <wps:cNvSpPr txBox="1">
                            <a:spLocks noChangeArrowheads="1"/>
                          </wps:cNvSpPr>
                          <wps:spPr bwMode="auto">
                            <a:xfrm>
                              <a:off x="15594" y="2495"/>
                              <a:ext cx="10650" cy="23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4D57A3" w14:textId="77777777" w:rsidR="007401F4" w:rsidRDefault="007401F4" w:rsidP="006E3616">
                                <w:pPr>
                                  <w:jc w:val="center"/>
                                  <w:rPr>
                                    <w:szCs w:val="24"/>
                                  </w:rPr>
                                </w:pPr>
                                <w:r w:rsidRPr="00D13D94">
                                  <w:rPr>
                                    <w:b/>
                                    <w:bCs/>
                                    <w:sz w:val="16"/>
                                    <w:szCs w:val="16"/>
                                  </w:rPr>
                                  <w:t>Vertica</w:t>
                                </w:r>
                                <w:r>
                                  <w:rPr>
                                    <w:b/>
                                    <w:bCs/>
                                    <w:sz w:val="16"/>
                                    <w:szCs w:val="16"/>
                                  </w:rPr>
                                  <w:t>l</w:t>
                                </w:r>
                              </w:p>
                            </w:txbxContent>
                          </wps:txbx>
                          <wps:bodyPr rot="0" vert="horz" wrap="square" lIns="91440" tIns="45720" rIns="91440" bIns="45720" anchor="t" anchorCtr="0" upright="1">
                            <a:noAutofit/>
                          </wps:bodyPr>
                        </wps:wsp>
                        <wps:wsp>
                          <wps:cNvPr id="58" name="Rectangle: Rounded Corners 78"/>
                          <wps:cNvSpPr>
                            <a:spLocks noChangeArrowheads="1"/>
                          </wps:cNvSpPr>
                          <wps:spPr bwMode="auto">
                            <a:xfrm>
                              <a:off x="16287" y="5156"/>
                              <a:ext cx="9360" cy="6480"/>
                            </a:xfrm>
                            <a:prstGeom prst="roundRect">
                              <a:avLst>
                                <a:gd name="adj" fmla="val 16667"/>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144322D2" w14:textId="77777777" w:rsidR="007401F4" w:rsidRPr="002D5953" w:rsidRDefault="007401F4" w:rsidP="006E3616">
                                <w:pPr>
                                  <w:spacing w:after="0" w:line="240" w:lineRule="auto"/>
                                  <w:jc w:val="center"/>
                                  <w:rPr>
                                    <w:sz w:val="20"/>
                                    <w:szCs w:val="20"/>
                                  </w:rPr>
                                </w:pPr>
                                <w:r w:rsidRPr="002D5953">
                                  <w:rPr>
                                    <w:b/>
                                    <w:bCs/>
                                    <w:sz w:val="12"/>
                                    <w:szCs w:val="12"/>
                                  </w:rPr>
                                  <w:t>Applications</w:t>
                                </w:r>
                              </w:p>
                            </w:txbxContent>
                          </wps:txbx>
                          <wps:bodyPr rot="0" vert="horz" wrap="square" lIns="91440" tIns="45720" rIns="91440" bIns="45720" anchor="ctr" anchorCtr="0" upright="1">
                            <a:noAutofit/>
                          </wps:bodyPr>
                        </wps:wsp>
                        <wps:wsp>
                          <wps:cNvPr id="59" name="Rectangle: Rounded Corners 79"/>
                          <wps:cNvSpPr>
                            <a:spLocks noChangeArrowheads="1"/>
                          </wps:cNvSpPr>
                          <wps:spPr bwMode="auto">
                            <a:xfrm>
                              <a:off x="16287" y="11998"/>
                              <a:ext cx="9360" cy="6480"/>
                            </a:xfrm>
                            <a:prstGeom prst="roundRect">
                              <a:avLst>
                                <a:gd name="adj" fmla="val 16667"/>
                              </a:avLst>
                            </a:prstGeom>
                            <a:solidFill>
                              <a:srgbClr val="D9D9D9"/>
                            </a:solidFill>
                            <a:ln w="6350">
                              <a:solidFill>
                                <a:srgbClr val="A6A6A6"/>
                              </a:solidFill>
                              <a:miter lim="800000"/>
                              <a:headEnd/>
                              <a:tailEnd/>
                            </a:ln>
                          </wps:spPr>
                          <wps:txbx>
                            <w:txbxContent>
                              <w:p w14:paraId="619248EA" w14:textId="77777777" w:rsidR="007401F4" w:rsidRPr="002D5953" w:rsidRDefault="007401F4" w:rsidP="006E3616">
                                <w:pPr>
                                  <w:spacing w:after="0"/>
                                  <w:jc w:val="center"/>
                                  <w:rPr>
                                    <w:sz w:val="20"/>
                                    <w:szCs w:val="20"/>
                                  </w:rPr>
                                </w:pPr>
                                <w:r w:rsidRPr="002D5953">
                                  <w:rPr>
                                    <w:b/>
                                    <w:bCs/>
                                    <w:sz w:val="12"/>
                                    <w:szCs w:val="12"/>
                                  </w:rPr>
                                  <w:t>Middleware</w:t>
                                </w:r>
                              </w:p>
                            </w:txbxContent>
                          </wps:txbx>
                          <wps:bodyPr rot="0" vert="horz" wrap="square" lIns="91440" tIns="45720" rIns="91440" bIns="45720" anchor="ctr" anchorCtr="0" upright="1">
                            <a:noAutofit/>
                          </wps:bodyPr>
                        </wps:wsp>
                        <wps:wsp>
                          <wps:cNvPr id="60" name="Rectangle: Rounded Corners 80"/>
                          <wps:cNvSpPr>
                            <a:spLocks noChangeArrowheads="1"/>
                          </wps:cNvSpPr>
                          <wps:spPr bwMode="auto">
                            <a:xfrm>
                              <a:off x="16287" y="18900"/>
                              <a:ext cx="9353" cy="6480"/>
                            </a:xfrm>
                            <a:prstGeom prst="roundRect">
                              <a:avLst>
                                <a:gd name="adj" fmla="val 16667"/>
                              </a:avLst>
                            </a:prstGeom>
                            <a:solidFill>
                              <a:srgbClr val="F2F2F2"/>
                            </a:solidFill>
                            <a:ln w="6350">
                              <a:solidFill>
                                <a:srgbClr val="A6A6A6"/>
                              </a:solidFill>
                              <a:miter lim="800000"/>
                              <a:headEnd/>
                              <a:tailEnd/>
                            </a:ln>
                          </wps:spPr>
                          <wps:txbx>
                            <w:txbxContent>
                              <w:p w14:paraId="6CCF4F6E" w14:textId="77777777" w:rsidR="007401F4" w:rsidRPr="002D5953" w:rsidRDefault="007401F4" w:rsidP="006E3616">
                                <w:pPr>
                                  <w:spacing w:after="0" w:line="240" w:lineRule="auto"/>
                                  <w:jc w:val="center"/>
                                  <w:rPr>
                                    <w:sz w:val="20"/>
                                    <w:szCs w:val="20"/>
                                  </w:rPr>
                                </w:pPr>
                                <w:r w:rsidRPr="002D5953">
                                  <w:rPr>
                                    <w:b/>
                                    <w:bCs/>
                                    <w:sz w:val="12"/>
                                    <w:szCs w:val="12"/>
                                  </w:rPr>
                                  <w:t>IoT Infrastructure</w:t>
                                </w:r>
                              </w:p>
                            </w:txbxContent>
                          </wps:txbx>
                          <wps:bodyPr rot="0" vert="horz" wrap="square" lIns="91440" tIns="45720" rIns="91440" bIns="45720" anchor="ctr" anchorCtr="0" upright="1">
                            <a:noAutofit/>
                          </wps:bodyPr>
                        </wps:wsp>
                      </wpg:wgp>
                      <wps:wsp>
                        <wps:cNvPr id="61" name="Arrow: Right 81"/>
                        <wps:cNvSpPr>
                          <a:spLocks noChangeArrowheads="1"/>
                        </wps:cNvSpPr>
                        <wps:spPr bwMode="auto">
                          <a:xfrm>
                            <a:off x="2274363" y="1231710"/>
                            <a:ext cx="342596" cy="138144"/>
                          </a:xfrm>
                          <a:prstGeom prst="rightArrow">
                            <a:avLst>
                              <a:gd name="adj1" fmla="val 50000"/>
                              <a:gd name="adj2" fmla="val 49985"/>
                            </a:avLst>
                          </a:prstGeom>
                          <a:solidFill>
                            <a:srgbClr val="D9D9D9"/>
                          </a:solidFill>
                          <a:ln w="12700">
                            <a:solidFill>
                              <a:srgbClr val="000000"/>
                            </a:solidFill>
                            <a:miter lim="800000"/>
                            <a:headEnd/>
                            <a:tailEnd/>
                          </a:ln>
                        </wps:spPr>
                        <wps:bodyPr rot="0" vert="horz" wrap="square" lIns="91440" tIns="45720" rIns="91440" bIns="45720" anchor="ctr" anchorCtr="0" upright="1">
                          <a:noAutofit/>
                        </wps:bodyPr>
                      </wps:wsp>
                      <wps:wsp>
                        <wps:cNvPr id="62" name="Arrow: Right 82"/>
                        <wps:cNvSpPr>
                          <a:spLocks noChangeArrowheads="1"/>
                        </wps:cNvSpPr>
                        <wps:spPr bwMode="auto">
                          <a:xfrm>
                            <a:off x="2430727" y="690911"/>
                            <a:ext cx="186221" cy="73453"/>
                          </a:xfrm>
                          <a:prstGeom prst="rightArrow">
                            <a:avLst>
                              <a:gd name="adj1" fmla="val 50000"/>
                              <a:gd name="adj2" fmla="val 49959"/>
                            </a:avLst>
                          </a:prstGeom>
                          <a:solidFill>
                            <a:srgbClr val="D9D9D9"/>
                          </a:solidFill>
                          <a:ln w="12700">
                            <a:solidFill>
                              <a:srgbClr val="000000"/>
                            </a:solidFill>
                            <a:miter lim="800000"/>
                            <a:headEnd/>
                            <a:tailEnd/>
                          </a:ln>
                        </wps:spPr>
                        <wps:bodyPr rot="0" vert="horz" wrap="square" lIns="91440" tIns="45720" rIns="91440" bIns="45720" anchor="ctr" anchorCtr="0" upright="1">
                          <a:noAutofit/>
                        </wps:bodyPr>
                      </wps:wsp>
                      <wpg:wgp>
                        <wpg:cNvPr id="64" name="Group 83"/>
                        <wpg:cNvGrpSpPr>
                          <a:grpSpLocks/>
                        </wpg:cNvGrpSpPr>
                        <wpg:grpSpPr bwMode="auto">
                          <a:xfrm>
                            <a:off x="2629110" y="40241"/>
                            <a:ext cx="2744279" cy="2712333"/>
                            <a:chOff x="28191" y="600"/>
                            <a:chExt cx="27307" cy="29725"/>
                          </a:xfrm>
                        </wpg:grpSpPr>
                        <wps:wsp>
                          <wps:cNvPr id="65" name="Rectangle: Rounded Corners 84"/>
                          <wps:cNvSpPr>
                            <a:spLocks noChangeArrowheads="1"/>
                          </wps:cNvSpPr>
                          <wps:spPr bwMode="auto">
                            <a:xfrm>
                              <a:off x="28191" y="721"/>
                              <a:ext cx="27308" cy="21472"/>
                            </a:xfrm>
                            <a:prstGeom prst="roundRect">
                              <a:avLst>
                                <a:gd name="adj" fmla="val 16667"/>
                              </a:avLst>
                            </a:prstGeom>
                            <a:solidFill>
                              <a:srgbClr val="E2F0D9"/>
                            </a:solidFill>
                            <a:ln w="6350">
                              <a:solidFill>
                                <a:srgbClr val="70AD47"/>
                              </a:solidFill>
                              <a:miter lim="800000"/>
                              <a:headEnd/>
                              <a:tailEnd/>
                            </a:ln>
                          </wps:spPr>
                          <wps:bodyPr rot="0" vert="horz" wrap="square" lIns="91440" tIns="45720" rIns="91440" bIns="45720" anchor="ctr" anchorCtr="0" upright="1">
                            <a:noAutofit/>
                          </wps:bodyPr>
                        </wps:wsp>
                        <wps:wsp>
                          <wps:cNvPr id="66" name="Rectangle: Rounded Corners 85"/>
                          <wps:cNvSpPr>
                            <a:spLocks noChangeArrowheads="1"/>
                          </wps:cNvSpPr>
                          <wps:spPr bwMode="auto">
                            <a:xfrm>
                              <a:off x="32951" y="3127"/>
                              <a:ext cx="8355" cy="27199"/>
                            </a:xfrm>
                            <a:prstGeom prst="roundRect">
                              <a:avLst>
                                <a:gd name="adj" fmla="val 16667"/>
                              </a:avLst>
                            </a:prstGeom>
                            <a:noFill/>
                            <a:ln w="1270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8" name="Rectangle: Rounded Corners 86"/>
                          <wps:cNvSpPr>
                            <a:spLocks noChangeArrowheads="1"/>
                          </wps:cNvSpPr>
                          <wps:spPr bwMode="auto">
                            <a:xfrm>
                              <a:off x="42801" y="18415"/>
                              <a:ext cx="9459" cy="11851"/>
                            </a:xfrm>
                            <a:prstGeom prst="roundRect">
                              <a:avLst>
                                <a:gd name="adj" fmla="val 16667"/>
                              </a:avLst>
                            </a:prstGeom>
                            <a:noFill/>
                            <a:ln w="1270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70" name="Rectangle: Rounded Corners 87"/>
                          <wps:cNvSpPr>
                            <a:spLocks noChangeArrowheads="1"/>
                          </wps:cNvSpPr>
                          <wps:spPr bwMode="auto">
                            <a:xfrm>
                              <a:off x="43044" y="3095"/>
                              <a:ext cx="9550" cy="7914"/>
                            </a:xfrm>
                            <a:prstGeom prst="roundRect">
                              <a:avLst>
                                <a:gd name="adj" fmla="val 16667"/>
                              </a:avLst>
                            </a:prstGeom>
                            <a:noFill/>
                            <a:ln w="1270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71" name="Text Box 65"/>
                          <wps:cNvSpPr txBox="1">
                            <a:spLocks noChangeArrowheads="1"/>
                          </wps:cNvSpPr>
                          <wps:spPr bwMode="auto">
                            <a:xfrm>
                              <a:off x="29715" y="600"/>
                              <a:ext cx="25242" cy="27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12F7CAE" w14:textId="77777777" w:rsidR="007401F4" w:rsidRDefault="007401F4" w:rsidP="006E3616">
                                <w:pPr>
                                  <w:spacing w:after="0" w:line="240" w:lineRule="auto"/>
                                  <w:jc w:val="center"/>
                                  <w:rPr>
                                    <w:szCs w:val="24"/>
                                  </w:rPr>
                                </w:pPr>
                                <w:r>
                                  <w:rPr>
                                    <w:b/>
                                    <w:bCs/>
                                    <w:sz w:val="16"/>
                                    <w:szCs w:val="16"/>
                                  </w:rPr>
                                  <w:t>Smart-City Service-Delivery Platform</w:t>
                                </w:r>
                              </w:p>
                            </w:txbxContent>
                          </wps:txbx>
                          <wps:bodyPr rot="0" vert="horz" wrap="square" lIns="91440" tIns="45720" rIns="91440" bIns="45720" anchor="t" anchorCtr="0" upright="1">
                            <a:noAutofit/>
                          </wps:bodyPr>
                        </wps:wsp>
                        <wps:wsp>
                          <wps:cNvPr id="72" name="Text Box 65"/>
                          <wps:cNvSpPr txBox="1">
                            <a:spLocks noChangeArrowheads="1"/>
                          </wps:cNvSpPr>
                          <wps:spPr bwMode="auto">
                            <a:xfrm>
                              <a:off x="33880" y="2829"/>
                              <a:ext cx="6081" cy="3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E77AD70" w14:textId="77777777" w:rsidR="007401F4" w:rsidRPr="00683325" w:rsidRDefault="007401F4" w:rsidP="006E3616">
                                <w:pPr>
                                  <w:spacing w:after="0" w:line="240" w:lineRule="auto"/>
                                  <w:jc w:val="center"/>
                                  <w:rPr>
                                    <w:sz w:val="20"/>
                                    <w:szCs w:val="20"/>
                                  </w:rPr>
                                </w:pPr>
                                <w:r w:rsidRPr="00683325">
                                  <w:rPr>
                                    <w:b/>
                                    <w:bCs/>
                                    <w:sz w:val="12"/>
                                    <w:szCs w:val="12"/>
                                  </w:rPr>
                                  <w:t>Virtual Vertical</w:t>
                                </w:r>
                              </w:p>
                            </w:txbxContent>
                          </wps:txbx>
                          <wps:bodyPr rot="0" vert="horz" wrap="square" lIns="91440" tIns="45720" rIns="91440" bIns="45720" anchor="t" anchorCtr="0" upright="1">
                            <a:noAutofit/>
                          </wps:bodyPr>
                        </wps:wsp>
                        <wps:wsp>
                          <wps:cNvPr id="73" name="Text Box 65"/>
                          <wps:cNvSpPr txBox="1">
                            <a:spLocks noChangeArrowheads="1"/>
                          </wps:cNvSpPr>
                          <wps:spPr bwMode="auto">
                            <a:xfrm>
                              <a:off x="43059" y="2829"/>
                              <a:ext cx="9777" cy="3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84CB194" w14:textId="77777777" w:rsidR="007401F4" w:rsidRPr="00683325" w:rsidRDefault="007401F4" w:rsidP="006E3616">
                                <w:pPr>
                                  <w:spacing w:after="0" w:line="240" w:lineRule="auto"/>
                                  <w:jc w:val="center"/>
                                  <w:rPr>
                                    <w:sz w:val="20"/>
                                    <w:szCs w:val="20"/>
                                  </w:rPr>
                                </w:pPr>
                                <w:r w:rsidRPr="00683325">
                                  <w:rPr>
                                    <w:b/>
                                    <w:bCs/>
                                    <w:sz w:val="12"/>
                                    <w:szCs w:val="12"/>
                                  </w:rPr>
                                  <w:t>Third Party Applications</w:t>
                                </w:r>
                              </w:p>
                            </w:txbxContent>
                          </wps:txbx>
                          <wps:bodyPr rot="0" vert="horz" wrap="square" lIns="91440" tIns="45720" rIns="91440" bIns="45720" anchor="t" anchorCtr="0" upright="1">
                            <a:noAutofit/>
                          </wps:bodyPr>
                        </wps:wsp>
                        <wps:wsp>
                          <wps:cNvPr id="74" name="Rectangle: Rounded Corners 97"/>
                          <wps:cNvSpPr>
                            <a:spLocks noChangeArrowheads="1"/>
                          </wps:cNvSpPr>
                          <wps:spPr bwMode="auto">
                            <a:xfrm>
                              <a:off x="43416" y="7445"/>
                              <a:ext cx="8146" cy="2433"/>
                            </a:xfrm>
                            <a:prstGeom prst="roundRect">
                              <a:avLst>
                                <a:gd name="adj" fmla="val 16667"/>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67566352" w14:textId="77777777" w:rsidR="007401F4" w:rsidRPr="005273A1" w:rsidRDefault="007401F4" w:rsidP="006E3616">
                                <w:pPr>
                                  <w:jc w:val="center"/>
                                  <w:rPr>
                                    <w:sz w:val="20"/>
                                    <w:szCs w:val="20"/>
                                  </w:rPr>
                                </w:pPr>
                                <w:r w:rsidRPr="005273A1">
                                  <w:rPr>
                                    <w:b/>
                                    <w:bCs/>
                                    <w:sz w:val="12"/>
                                    <w:szCs w:val="12"/>
                                  </w:rPr>
                                  <w:t>Applications</w:t>
                                </w:r>
                              </w:p>
                            </w:txbxContent>
                          </wps:txbx>
                          <wps:bodyPr rot="0" vert="horz" wrap="square" lIns="91440" tIns="45720" rIns="91440" bIns="45720" anchor="t" anchorCtr="0" upright="1">
                            <a:noAutofit/>
                          </wps:bodyPr>
                        </wps:wsp>
                        <wps:wsp>
                          <wps:cNvPr id="75" name="Rectangle: Rounded Corners 98"/>
                          <wps:cNvSpPr>
                            <a:spLocks noChangeArrowheads="1"/>
                          </wps:cNvSpPr>
                          <wps:spPr bwMode="auto">
                            <a:xfrm>
                              <a:off x="32379" y="5083"/>
                              <a:ext cx="21335" cy="5267"/>
                            </a:xfrm>
                            <a:prstGeom prst="roundRect">
                              <a:avLst>
                                <a:gd name="adj" fmla="val 16667"/>
                              </a:avLst>
                            </a:prstGeom>
                            <a:solidFill>
                              <a:srgbClr val="CCECFF">
                                <a:alpha val="18823"/>
                              </a:srgbClr>
                            </a:solidFill>
                            <a:ln w="6350">
                              <a:solidFill>
                                <a:srgbClr val="4472C4"/>
                              </a:solidFill>
                              <a:miter lim="800000"/>
                              <a:headEnd/>
                              <a:tailEnd/>
                            </a:ln>
                          </wps:spPr>
                          <wps:txbx>
                            <w:txbxContent>
                              <w:p w14:paraId="79099A20" w14:textId="77777777" w:rsidR="007401F4" w:rsidRPr="00683325" w:rsidRDefault="007401F4" w:rsidP="006E3616">
                                <w:pPr>
                                  <w:spacing w:after="0" w:line="240" w:lineRule="auto"/>
                                  <w:jc w:val="center"/>
                                  <w:rPr>
                                    <w:b/>
                                    <w:bCs/>
                                    <w:sz w:val="16"/>
                                    <w:szCs w:val="14"/>
                                  </w:rPr>
                                </w:pPr>
                                <w:r w:rsidRPr="00683325">
                                  <w:rPr>
                                    <w:b/>
                                    <w:bCs/>
                                    <w:sz w:val="16"/>
                                    <w:szCs w:val="14"/>
                                  </w:rPr>
                                  <w:t>Application Hosting</w:t>
                                </w:r>
                              </w:p>
                            </w:txbxContent>
                          </wps:txbx>
                          <wps:bodyPr rot="0" vert="horz" wrap="square" lIns="91440" tIns="45720" rIns="91440" bIns="45720" anchor="t" anchorCtr="0" upright="1">
                            <a:noAutofit/>
                          </wps:bodyPr>
                        </wps:wsp>
                        <wps:wsp>
                          <wps:cNvPr id="76" name="Rectangle: Rounded Corners 100"/>
                          <wps:cNvSpPr>
                            <a:spLocks noChangeArrowheads="1"/>
                          </wps:cNvSpPr>
                          <wps:spPr bwMode="auto">
                            <a:xfrm>
                              <a:off x="33132" y="7440"/>
                              <a:ext cx="7560" cy="2426"/>
                            </a:xfrm>
                            <a:prstGeom prst="roundRect">
                              <a:avLst>
                                <a:gd name="adj" fmla="val 16667"/>
                              </a:avLst>
                            </a:prstGeom>
                            <a:gradFill rotWithShape="1">
                              <a:gsLst>
                                <a:gs pos="0">
                                  <a:srgbClr val="B5D5A7"/>
                                </a:gs>
                                <a:gs pos="50000">
                                  <a:srgbClr val="AACE99"/>
                                </a:gs>
                                <a:gs pos="100000">
                                  <a:srgbClr val="9CCA86"/>
                                </a:gs>
                              </a:gsLst>
                              <a:lin ang="5400000"/>
                            </a:gradFill>
                            <a:ln w="6350">
                              <a:solidFill>
                                <a:srgbClr val="70AD47"/>
                              </a:solidFill>
                              <a:miter lim="800000"/>
                              <a:headEnd/>
                              <a:tailEnd/>
                            </a:ln>
                          </wps:spPr>
                          <wps:txbx>
                            <w:txbxContent>
                              <w:p w14:paraId="1A743A98" w14:textId="77777777" w:rsidR="007401F4" w:rsidRPr="00683325" w:rsidRDefault="007401F4" w:rsidP="006E3616">
                                <w:pPr>
                                  <w:jc w:val="center"/>
                                  <w:rPr>
                                    <w:sz w:val="20"/>
                                    <w:szCs w:val="20"/>
                                  </w:rPr>
                                </w:pPr>
                                <w:r w:rsidRPr="00683325">
                                  <w:rPr>
                                    <w:b/>
                                    <w:bCs/>
                                    <w:sz w:val="12"/>
                                    <w:szCs w:val="12"/>
                                  </w:rPr>
                                  <w:t>Applications</w:t>
                                </w:r>
                              </w:p>
                            </w:txbxContent>
                          </wps:txbx>
                          <wps:bodyPr rot="0" vert="horz" wrap="square" lIns="91440" tIns="45720" rIns="91440" bIns="45720" anchor="t" anchorCtr="0" upright="1">
                            <a:noAutofit/>
                          </wps:bodyPr>
                        </wps:wsp>
                        <wps:wsp>
                          <wps:cNvPr id="77" name="Rectangle: Rounded Corners 101"/>
                          <wps:cNvSpPr>
                            <a:spLocks noChangeArrowheads="1"/>
                          </wps:cNvSpPr>
                          <wps:spPr bwMode="auto">
                            <a:xfrm>
                              <a:off x="32304" y="11371"/>
                              <a:ext cx="21410" cy="2965"/>
                            </a:xfrm>
                            <a:prstGeom prst="roundRect">
                              <a:avLst>
                                <a:gd name="adj" fmla="val 16667"/>
                              </a:avLst>
                            </a:prstGeom>
                            <a:solidFill>
                              <a:srgbClr val="CCECFF">
                                <a:alpha val="18823"/>
                              </a:srgbClr>
                            </a:solidFill>
                            <a:ln w="6350">
                              <a:solidFill>
                                <a:srgbClr val="4472C4"/>
                              </a:solidFill>
                              <a:miter lim="800000"/>
                              <a:headEnd/>
                              <a:tailEnd/>
                            </a:ln>
                          </wps:spPr>
                          <wps:txbx>
                            <w:txbxContent>
                              <w:p w14:paraId="147F8E3F" w14:textId="77777777" w:rsidR="007401F4" w:rsidRPr="00683325" w:rsidRDefault="007401F4" w:rsidP="006E3616">
                                <w:pPr>
                                  <w:jc w:val="center"/>
                                  <w:rPr>
                                    <w:sz w:val="20"/>
                                    <w:szCs w:val="20"/>
                                  </w:rPr>
                                </w:pPr>
                                <w:r w:rsidRPr="00683325">
                                  <w:rPr>
                                    <w:b/>
                                    <w:bCs/>
                                    <w:sz w:val="16"/>
                                    <w:szCs w:val="16"/>
                                  </w:rPr>
                                  <w:t>Data Processing</w:t>
                                </w:r>
                              </w:p>
                            </w:txbxContent>
                          </wps:txbx>
                          <wps:bodyPr rot="0" vert="horz" wrap="square" lIns="91440" tIns="45720" rIns="91440" bIns="45720" anchor="t" anchorCtr="0" upright="1">
                            <a:noAutofit/>
                          </wps:bodyPr>
                        </wps:wsp>
                        <wps:wsp>
                          <wps:cNvPr id="78" name="Text Box 65"/>
                          <wps:cNvSpPr txBox="1">
                            <a:spLocks noChangeArrowheads="1"/>
                          </wps:cNvSpPr>
                          <wps:spPr bwMode="auto">
                            <a:xfrm>
                              <a:off x="42188" y="18517"/>
                              <a:ext cx="10649" cy="23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3857BEB" w14:textId="77777777" w:rsidR="007401F4" w:rsidRPr="00683325" w:rsidRDefault="007401F4" w:rsidP="006E3616">
                                <w:pPr>
                                  <w:jc w:val="center"/>
                                  <w:rPr>
                                    <w:sz w:val="20"/>
                                    <w:szCs w:val="20"/>
                                  </w:rPr>
                                </w:pPr>
                                <w:r w:rsidRPr="00683325">
                                  <w:rPr>
                                    <w:b/>
                                    <w:bCs/>
                                    <w:sz w:val="12"/>
                                    <w:szCs w:val="12"/>
                                  </w:rPr>
                                  <w:t>IoT IaaService</w:t>
                                </w:r>
                              </w:p>
                            </w:txbxContent>
                          </wps:txbx>
                          <wps:bodyPr rot="0" vert="horz" wrap="square" lIns="91440" tIns="45720" rIns="91440" bIns="45720" anchor="t" anchorCtr="0" upright="1">
                            <a:noAutofit/>
                          </wps:bodyPr>
                        </wps:wsp>
                        <wps:wsp>
                          <wps:cNvPr id="79" name="Rectangle: Rounded Corners 103"/>
                          <wps:cNvSpPr>
                            <a:spLocks noChangeArrowheads="1"/>
                          </wps:cNvSpPr>
                          <wps:spPr bwMode="auto">
                            <a:xfrm>
                              <a:off x="32304" y="15069"/>
                              <a:ext cx="21405" cy="2959"/>
                            </a:xfrm>
                            <a:prstGeom prst="roundRect">
                              <a:avLst>
                                <a:gd name="adj" fmla="val 16667"/>
                              </a:avLst>
                            </a:prstGeom>
                            <a:solidFill>
                              <a:srgbClr val="CCECFF">
                                <a:alpha val="18823"/>
                              </a:srgbClr>
                            </a:solidFill>
                            <a:ln w="6350">
                              <a:solidFill>
                                <a:srgbClr val="4472C4"/>
                              </a:solidFill>
                              <a:miter lim="800000"/>
                              <a:headEnd/>
                              <a:tailEnd/>
                            </a:ln>
                          </wps:spPr>
                          <wps:txbx>
                            <w:txbxContent>
                              <w:p w14:paraId="25318C66" w14:textId="77777777" w:rsidR="007401F4" w:rsidRPr="00683325" w:rsidRDefault="007401F4" w:rsidP="006E3616">
                                <w:pPr>
                                  <w:jc w:val="center"/>
                                  <w:rPr>
                                    <w:sz w:val="20"/>
                                    <w:szCs w:val="20"/>
                                  </w:rPr>
                                </w:pPr>
                                <w:r w:rsidRPr="00683325">
                                  <w:rPr>
                                    <w:b/>
                                    <w:bCs/>
                                    <w:sz w:val="16"/>
                                    <w:szCs w:val="16"/>
                                  </w:rPr>
                                  <w:t>IoT Infrastructure Integration</w:t>
                                </w:r>
                              </w:p>
                            </w:txbxContent>
                          </wps:txbx>
                          <wps:bodyPr rot="0" vert="horz" wrap="square" lIns="91440" tIns="45720" rIns="91440" bIns="45720" anchor="t" anchorCtr="0" upright="1">
                            <a:noAutofit/>
                          </wps:bodyPr>
                        </wps:wsp>
                        <wps:wsp>
                          <wps:cNvPr id="80" name="Rectangle: Rounded Corners 104"/>
                          <wps:cNvSpPr>
                            <a:spLocks noChangeArrowheads="1"/>
                          </wps:cNvSpPr>
                          <wps:spPr bwMode="auto">
                            <a:xfrm rot="-5400000">
                              <a:off x="27228" y="6556"/>
                              <a:ext cx="5926" cy="2980"/>
                            </a:xfrm>
                            <a:prstGeom prst="roundRect">
                              <a:avLst>
                                <a:gd name="adj" fmla="val 16667"/>
                              </a:avLst>
                            </a:prstGeom>
                            <a:solidFill>
                              <a:srgbClr val="CCECFF">
                                <a:alpha val="18823"/>
                              </a:srgbClr>
                            </a:solidFill>
                            <a:ln w="6350">
                              <a:solidFill>
                                <a:srgbClr val="4472C4"/>
                              </a:solidFill>
                              <a:miter lim="800000"/>
                              <a:headEnd/>
                              <a:tailEnd/>
                            </a:ln>
                          </wps:spPr>
                          <wps:txbx>
                            <w:txbxContent>
                              <w:p w14:paraId="5894C3F7" w14:textId="77777777" w:rsidR="007401F4" w:rsidRPr="002D5953" w:rsidRDefault="007401F4" w:rsidP="006E3616">
                                <w:pPr>
                                  <w:spacing w:line="240" w:lineRule="auto"/>
                                  <w:jc w:val="center"/>
                                  <w:rPr>
                                    <w:sz w:val="16"/>
                                    <w:szCs w:val="16"/>
                                  </w:rPr>
                                </w:pPr>
                                <w:r w:rsidRPr="002D5953">
                                  <w:rPr>
                                    <w:b/>
                                    <w:bCs/>
                                    <w:sz w:val="12"/>
                                    <w:szCs w:val="12"/>
                                  </w:rPr>
                                  <w:t>Metering/ Billing</w:t>
                                </w:r>
                              </w:p>
                            </w:txbxContent>
                          </wps:txbx>
                          <wps:bodyPr rot="0" vert="horz" wrap="square" lIns="91440" tIns="45720" rIns="91440" bIns="45720" anchor="t" anchorCtr="0" upright="1">
                            <a:noAutofit/>
                          </wps:bodyPr>
                        </wps:wsp>
                        <wps:wsp>
                          <wps:cNvPr id="81" name="Rectangle: Rounded Corners 105"/>
                          <wps:cNvSpPr>
                            <a:spLocks noChangeArrowheads="1"/>
                          </wps:cNvSpPr>
                          <wps:spPr bwMode="auto">
                            <a:xfrm rot="-5400000">
                              <a:off x="26733" y="14416"/>
                              <a:ext cx="6923" cy="2972"/>
                            </a:xfrm>
                            <a:prstGeom prst="roundRect">
                              <a:avLst>
                                <a:gd name="adj" fmla="val 16667"/>
                              </a:avLst>
                            </a:prstGeom>
                            <a:solidFill>
                              <a:srgbClr val="CCECFF">
                                <a:alpha val="18823"/>
                              </a:srgbClr>
                            </a:solidFill>
                            <a:ln w="6350">
                              <a:solidFill>
                                <a:srgbClr val="4472C4"/>
                              </a:solidFill>
                              <a:miter lim="800000"/>
                              <a:headEnd/>
                              <a:tailEnd/>
                            </a:ln>
                          </wps:spPr>
                          <wps:txbx>
                            <w:txbxContent>
                              <w:p w14:paraId="414AD148" w14:textId="77777777" w:rsidR="007401F4" w:rsidRPr="002D5953" w:rsidRDefault="007401F4" w:rsidP="006E3616">
                                <w:pPr>
                                  <w:spacing w:after="0" w:line="240" w:lineRule="auto"/>
                                  <w:jc w:val="center"/>
                                  <w:rPr>
                                    <w:sz w:val="20"/>
                                    <w:szCs w:val="20"/>
                                  </w:rPr>
                                </w:pPr>
                                <w:r w:rsidRPr="002D5953">
                                  <w:rPr>
                                    <w:b/>
                                    <w:bCs/>
                                    <w:sz w:val="12"/>
                                    <w:szCs w:val="12"/>
                                  </w:rPr>
                                  <w:t>Tenant management</w:t>
                                </w:r>
                              </w:p>
                            </w:txbxContent>
                          </wps:txbx>
                          <wps:bodyPr rot="0" vert="horz" wrap="square" lIns="91440" tIns="45720" rIns="91440" bIns="45720" anchor="t" anchorCtr="0" upright="1">
                            <a:noAutofit/>
                          </wps:bodyPr>
                        </wps:wsp>
                        <wps:wsp>
                          <wps:cNvPr id="82" name="Arrow: Up-Down 106"/>
                          <wps:cNvSpPr>
                            <a:spLocks noChangeArrowheads="1"/>
                          </wps:cNvSpPr>
                          <wps:spPr bwMode="auto">
                            <a:xfrm>
                              <a:off x="36423" y="22326"/>
                              <a:ext cx="1634" cy="2512"/>
                            </a:xfrm>
                            <a:prstGeom prst="upDownArrow">
                              <a:avLst>
                                <a:gd name="adj1" fmla="val 34861"/>
                                <a:gd name="adj2" fmla="val 49992"/>
                              </a:avLst>
                            </a:prstGeom>
                            <a:solidFill>
                              <a:srgbClr val="D9D9D9"/>
                            </a:solidFill>
                            <a:ln w="12700">
                              <a:solidFill>
                                <a:srgbClr val="000000"/>
                              </a:solidFill>
                              <a:miter lim="800000"/>
                              <a:headEnd/>
                              <a:tailEnd/>
                            </a:ln>
                          </wps:spPr>
                          <wps:bodyPr rot="0" vert="horz" wrap="square" lIns="91440" tIns="45720" rIns="91440" bIns="45720" anchor="ctr" anchorCtr="0" upright="1">
                            <a:noAutofit/>
                          </wps:bodyPr>
                        </wps:wsp>
                        <wps:wsp>
                          <wps:cNvPr id="83" name="Arrow: Up-Down 107"/>
                          <wps:cNvSpPr>
                            <a:spLocks noChangeArrowheads="1"/>
                          </wps:cNvSpPr>
                          <wps:spPr bwMode="auto">
                            <a:xfrm>
                              <a:off x="46497" y="22363"/>
                              <a:ext cx="1632" cy="2509"/>
                            </a:xfrm>
                            <a:prstGeom prst="upDownArrow">
                              <a:avLst>
                                <a:gd name="adj1" fmla="val 50000"/>
                                <a:gd name="adj2" fmla="val 50015"/>
                              </a:avLst>
                            </a:prstGeom>
                            <a:solidFill>
                              <a:srgbClr val="D9D9D9"/>
                            </a:solidFill>
                            <a:ln w="12700">
                              <a:solidFill>
                                <a:srgbClr val="000000"/>
                              </a:solidFill>
                              <a:miter lim="800000"/>
                              <a:headEnd/>
                              <a:tailEnd/>
                            </a:ln>
                          </wps:spPr>
                          <wps:bodyPr rot="0" vert="horz" wrap="square" lIns="91440" tIns="45720" rIns="91440" bIns="45720" anchor="ctr" anchorCtr="0" upright="1">
                            <a:noAutofit/>
                          </wps:bodyPr>
                        </wps:wsp>
                        <wps:wsp>
                          <wps:cNvPr id="84" name="Rectangle: Rounded Corners 108"/>
                          <wps:cNvSpPr>
                            <a:spLocks noChangeArrowheads="1"/>
                          </wps:cNvSpPr>
                          <wps:spPr bwMode="auto">
                            <a:xfrm>
                              <a:off x="33190" y="24867"/>
                              <a:ext cx="7560" cy="3916"/>
                            </a:xfrm>
                            <a:prstGeom prst="roundRect">
                              <a:avLst>
                                <a:gd name="adj" fmla="val 16667"/>
                              </a:avLst>
                            </a:prstGeom>
                            <a:solidFill>
                              <a:srgbClr val="F2F2F2"/>
                            </a:solidFill>
                            <a:ln w="6350">
                              <a:solidFill>
                                <a:srgbClr val="A6A6A6"/>
                              </a:solidFill>
                              <a:miter lim="800000"/>
                              <a:headEnd/>
                              <a:tailEnd/>
                            </a:ln>
                          </wps:spPr>
                          <wps:txbx>
                            <w:txbxContent>
                              <w:p w14:paraId="6103FAF7" w14:textId="77777777" w:rsidR="007401F4" w:rsidRPr="00683325" w:rsidRDefault="007401F4" w:rsidP="006E3616">
                                <w:pPr>
                                  <w:spacing w:line="240" w:lineRule="auto"/>
                                  <w:jc w:val="center"/>
                                  <w:rPr>
                                    <w:sz w:val="20"/>
                                    <w:szCs w:val="20"/>
                                  </w:rPr>
                                </w:pPr>
                                <w:r w:rsidRPr="00683325">
                                  <w:rPr>
                                    <w:b/>
                                    <w:bCs/>
                                    <w:sz w:val="12"/>
                                    <w:szCs w:val="12"/>
                                  </w:rPr>
                                  <w:t>IoT Infrastructure</w:t>
                                </w:r>
                              </w:p>
                            </w:txbxContent>
                          </wps:txbx>
                          <wps:bodyPr rot="0" vert="horz" wrap="square" lIns="91440" tIns="45720" rIns="91440" bIns="45720" anchor="ctr" anchorCtr="0" upright="1">
                            <a:noAutofit/>
                          </wps:bodyPr>
                        </wps:wsp>
                        <wps:wsp>
                          <wps:cNvPr id="85" name="Rectangle: Rounded Corners 109"/>
                          <wps:cNvSpPr>
                            <a:spLocks noChangeArrowheads="1"/>
                          </wps:cNvSpPr>
                          <wps:spPr bwMode="auto">
                            <a:xfrm>
                              <a:off x="43119" y="25189"/>
                              <a:ext cx="8438" cy="3912"/>
                            </a:xfrm>
                            <a:prstGeom prst="roundRect">
                              <a:avLst>
                                <a:gd name="adj" fmla="val 16667"/>
                              </a:avLst>
                            </a:prstGeom>
                            <a:solidFill>
                              <a:srgbClr val="F2F2F2"/>
                            </a:solidFill>
                            <a:ln w="6350">
                              <a:solidFill>
                                <a:srgbClr val="A6A6A6"/>
                              </a:solidFill>
                              <a:miter lim="800000"/>
                              <a:headEnd/>
                              <a:tailEnd/>
                            </a:ln>
                          </wps:spPr>
                          <wps:txbx>
                            <w:txbxContent>
                              <w:p w14:paraId="093D11FC" w14:textId="77777777" w:rsidR="007401F4" w:rsidRPr="00683325" w:rsidRDefault="007401F4" w:rsidP="006E3616">
                                <w:pPr>
                                  <w:spacing w:line="240" w:lineRule="auto"/>
                                  <w:jc w:val="center"/>
                                  <w:rPr>
                                    <w:sz w:val="20"/>
                                    <w:szCs w:val="20"/>
                                  </w:rPr>
                                </w:pPr>
                                <w:r w:rsidRPr="00683325">
                                  <w:rPr>
                                    <w:b/>
                                    <w:bCs/>
                                    <w:sz w:val="12"/>
                                    <w:szCs w:val="12"/>
                                  </w:rPr>
                                  <w:t>IoT Infrastructure</w:t>
                                </w:r>
                              </w:p>
                            </w:txbxContent>
                          </wps:txbx>
                          <wps:bodyPr rot="0" vert="horz" wrap="square" lIns="91440" tIns="45720" rIns="91440" bIns="45720" anchor="ctr" anchorCtr="0" upright="1">
                            <a:noAutofit/>
                          </wps:bodyPr>
                        </wps:wsp>
                      </wpg:wgp>
                      <wps:wsp>
                        <wps:cNvPr id="86" name="Text Box 110"/>
                        <wps:cNvSpPr txBox="1">
                          <a:spLocks noChangeArrowheads="1"/>
                        </wps:cNvSpPr>
                        <wps:spPr bwMode="auto">
                          <a:xfrm>
                            <a:off x="2022417" y="1156893"/>
                            <a:ext cx="467714" cy="3306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FAECA4C" w14:textId="77777777" w:rsidR="007401F4" w:rsidRDefault="007401F4" w:rsidP="006E3616">
                              <w:r>
                                <w:t>…</w:t>
                              </w:r>
                            </w:p>
                          </w:txbxContent>
                        </wps:txbx>
                        <wps:bodyPr rot="0" vert="horz" wrap="square" lIns="91440" tIns="45720" rIns="91440" bIns="45720" anchor="t" anchorCtr="0" upright="1">
                          <a:noAutofit/>
                        </wps:bodyPr>
                      </wps:wsp>
                      <pic:pic xmlns:pic="http://schemas.openxmlformats.org/drawingml/2006/picture">
                        <pic:nvPicPr>
                          <pic:cNvPr id="87" name="Graphic 111"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2223602" y="266530"/>
                            <a:ext cx="266317" cy="241795"/>
                          </a:xfrm>
                          <a:prstGeom prst="rect">
                            <a:avLst/>
                          </a:prstGeom>
                          <a:noFill/>
                          <a:extLst>
                            <a:ext uri="{909E8E84-426E-40DD-AFC4-6F175D3DCCD1}">
                              <a14:hiddenFill xmlns:a14="http://schemas.microsoft.com/office/drawing/2010/main">
                                <a:solidFill>
                                  <a:srgbClr val="FFFFFF"/>
                                </a:solidFill>
                              </a14:hiddenFill>
                            </a:ext>
                          </a:extLst>
                        </pic:spPr>
                      </pic:pic>
                      <wps:wsp>
                        <wps:cNvPr id="88" name="Text Box 65"/>
                        <wps:cNvSpPr txBox="1">
                          <a:spLocks noChangeArrowheads="1"/>
                        </wps:cNvSpPr>
                        <wps:spPr bwMode="auto">
                          <a:xfrm>
                            <a:off x="2118693" y="435419"/>
                            <a:ext cx="506506" cy="322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15DE23B" w14:textId="77777777" w:rsidR="007401F4" w:rsidRPr="00683325" w:rsidRDefault="007401F4" w:rsidP="006E3616">
                              <w:pPr>
                                <w:spacing w:after="0" w:line="240" w:lineRule="auto"/>
                                <w:jc w:val="center"/>
                                <w:rPr>
                                  <w:sz w:val="20"/>
                                  <w:szCs w:val="20"/>
                                </w:rPr>
                              </w:pPr>
                              <w:r w:rsidRPr="00683325">
                                <w:rPr>
                                  <w:b/>
                                  <w:bCs/>
                                  <w:sz w:val="12"/>
                                  <w:szCs w:val="12"/>
                                </w:rPr>
                                <w:t>Platform Provider</w:t>
                              </w:r>
                            </w:p>
                          </w:txbxContent>
                        </wps:txbx>
                        <wps:bodyPr rot="0" vert="horz" wrap="square" lIns="91440" tIns="45720" rIns="91440" bIns="45720" anchor="t" anchorCtr="0" upright="1">
                          <a:noAutofit/>
                        </wps:bodyPr>
                      </wps:wsp>
                      <pic:pic xmlns:pic="http://schemas.openxmlformats.org/drawingml/2006/picture">
                        <pic:nvPicPr>
                          <pic:cNvPr id="90" name="Graphic 96"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385910" y="2820644"/>
                            <a:ext cx="266116" cy="241612"/>
                          </a:xfrm>
                          <a:prstGeom prst="rect">
                            <a:avLst/>
                          </a:prstGeom>
                          <a:noFill/>
                          <a:extLst>
                            <a:ext uri="{909E8E84-426E-40DD-AFC4-6F175D3DCCD1}">
                              <a14:hiddenFill xmlns:a14="http://schemas.microsoft.com/office/drawing/2010/main">
                                <a:solidFill>
                                  <a:srgbClr val="FFFFFF"/>
                                </a:solidFill>
                              </a14:hiddenFill>
                            </a:ext>
                          </a:extLst>
                        </pic:spPr>
                      </pic:pic>
                      <wps:wsp>
                        <wps:cNvPr id="92" name="Arrow: Down 114"/>
                        <wps:cNvSpPr>
                          <a:spLocks noChangeArrowheads="1"/>
                        </wps:cNvSpPr>
                        <wps:spPr bwMode="auto">
                          <a:xfrm rot="10800000">
                            <a:off x="491030" y="2696180"/>
                            <a:ext cx="45927" cy="131940"/>
                          </a:xfrm>
                          <a:prstGeom prst="downArrow">
                            <a:avLst>
                              <a:gd name="adj1" fmla="val 50000"/>
                              <a:gd name="adj2" fmla="val 50055"/>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93" name="Text Box 65"/>
                        <wps:cNvSpPr txBox="1">
                          <a:spLocks noChangeArrowheads="1"/>
                        </wps:cNvSpPr>
                        <wps:spPr bwMode="auto">
                          <a:xfrm>
                            <a:off x="271041" y="2996020"/>
                            <a:ext cx="506004" cy="322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36BA333" w14:textId="77777777" w:rsidR="007401F4" w:rsidRDefault="007401F4" w:rsidP="006E3616">
                              <w:pPr>
                                <w:spacing w:line="240" w:lineRule="auto"/>
                                <w:jc w:val="center"/>
                                <w:rPr>
                                  <w:szCs w:val="24"/>
                                </w:rPr>
                              </w:pPr>
                              <w:r>
                                <w:rPr>
                                  <w:b/>
                                  <w:bCs/>
                                  <w:sz w:val="12"/>
                                  <w:szCs w:val="12"/>
                                </w:rPr>
                                <w:t>Solution Provider</w:t>
                              </w:r>
                            </w:p>
                          </w:txbxContent>
                        </wps:txbx>
                        <wps:bodyPr rot="0" vert="horz" wrap="square" lIns="91440" tIns="45720" rIns="91440" bIns="45720" anchor="t" anchorCtr="0" upright="1">
                          <a:noAutofit/>
                        </wps:bodyPr>
                      </wps:wsp>
                      <wpg:wgp>
                        <wpg:cNvPr id="94" name="Group 116"/>
                        <wpg:cNvGrpSpPr>
                          <a:grpSpLocks/>
                        </wpg:cNvGrpSpPr>
                        <wpg:grpSpPr bwMode="auto">
                          <a:xfrm>
                            <a:off x="1323951" y="2696550"/>
                            <a:ext cx="506104" cy="621651"/>
                            <a:chOff x="13420" y="29760"/>
                            <a:chExt cx="5035" cy="6812"/>
                          </a:xfrm>
                        </wpg:grpSpPr>
                        <pic:pic xmlns:pic="http://schemas.openxmlformats.org/drawingml/2006/picture">
                          <pic:nvPicPr>
                            <pic:cNvPr id="95" name="Graphic 96"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14563" y="31119"/>
                              <a:ext cx="2648" cy="2648"/>
                            </a:xfrm>
                            <a:prstGeom prst="rect">
                              <a:avLst/>
                            </a:prstGeom>
                            <a:noFill/>
                            <a:extLst>
                              <a:ext uri="{909E8E84-426E-40DD-AFC4-6F175D3DCCD1}">
                                <a14:hiddenFill xmlns:a14="http://schemas.microsoft.com/office/drawing/2010/main">
                                  <a:solidFill>
                                    <a:srgbClr val="FFFFFF"/>
                                  </a:solidFill>
                                </a14:hiddenFill>
                              </a:ext>
                            </a:extLst>
                          </pic:spPr>
                        </pic:pic>
                        <wps:wsp>
                          <wps:cNvPr id="96" name="Arrow: Down 118"/>
                          <wps:cNvSpPr>
                            <a:spLocks noChangeArrowheads="1"/>
                          </wps:cNvSpPr>
                          <wps:spPr bwMode="auto">
                            <a:xfrm rot="10800000">
                              <a:off x="15643" y="29760"/>
                              <a:ext cx="450" cy="1441"/>
                            </a:xfrm>
                            <a:prstGeom prst="downArrow">
                              <a:avLst>
                                <a:gd name="adj1" fmla="val 50000"/>
                                <a:gd name="adj2" fmla="val 50079"/>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97" name="Text Box 65"/>
                          <wps:cNvSpPr txBox="1">
                            <a:spLocks noChangeArrowheads="1"/>
                          </wps:cNvSpPr>
                          <wps:spPr bwMode="auto">
                            <a:xfrm>
                              <a:off x="13420" y="33042"/>
                              <a:ext cx="5036" cy="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E37BE8B" w14:textId="77777777" w:rsidR="007401F4" w:rsidRDefault="007401F4" w:rsidP="006E3616">
                                <w:pPr>
                                  <w:spacing w:line="240" w:lineRule="auto"/>
                                  <w:jc w:val="center"/>
                                  <w:rPr>
                                    <w:szCs w:val="24"/>
                                  </w:rPr>
                                </w:pPr>
                                <w:r>
                                  <w:rPr>
                                    <w:b/>
                                    <w:bCs/>
                                    <w:sz w:val="12"/>
                                    <w:szCs w:val="12"/>
                                  </w:rPr>
                                  <w:t>Solution Provider</w:t>
                                </w:r>
                              </w:p>
                            </w:txbxContent>
                          </wps:txbx>
                          <wps:bodyPr rot="0" vert="horz" wrap="square" lIns="91440" tIns="45720" rIns="91440" bIns="45720" anchor="t" anchorCtr="0" upright="1">
                            <a:noAutofit/>
                          </wps:bodyPr>
                        </wps:wsp>
                      </wpg:wgp>
                      <wpg:wgp>
                        <wpg:cNvPr id="98" name="Group 120"/>
                        <wpg:cNvGrpSpPr>
                          <a:grpSpLocks/>
                        </wpg:cNvGrpSpPr>
                        <wpg:grpSpPr bwMode="auto">
                          <a:xfrm>
                            <a:off x="3283147" y="2684142"/>
                            <a:ext cx="505401" cy="621103"/>
                            <a:chOff x="0" y="0"/>
                            <a:chExt cx="5035" cy="6812"/>
                          </a:xfrm>
                        </wpg:grpSpPr>
                        <pic:pic xmlns:pic="http://schemas.openxmlformats.org/drawingml/2006/picture">
                          <pic:nvPicPr>
                            <pic:cNvPr id="99" name="Graphic 96"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1143" y="1359"/>
                              <a:ext cx="2647" cy="2648"/>
                            </a:xfrm>
                            <a:prstGeom prst="rect">
                              <a:avLst/>
                            </a:prstGeom>
                            <a:noFill/>
                            <a:extLst>
                              <a:ext uri="{909E8E84-426E-40DD-AFC4-6F175D3DCCD1}">
                                <a14:hiddenFill xmlns:a14="http://schemas.microsoft.com/office/drawing/2010/main">
                                  <a:solidFill>
                                    <a:srgbClr val="FFFFFF"/>
                                  </a:solidFill>
                                </a14:hiddenFill>
                              </a:ext>
                            </a:extLst>
                          </pic:spPr>
                        </pic:pic>
                        <wps:wsp>
                          <wps:cNvPr id="100" name="Arrow: Down 122"/>
                          <wps:cNvSpPr>
                            <a:spLocks noChangeArrowheads="1"/>
                          </wps:cNvSpPr>
                          <wps:spPr bwMode="auto">
                            <a:xfrm rot="10800000">
                              <a:off x="2222" y="0"/>
                              <a:ext cx="451" cy="1441"/>
                            </a:xfrm>
                            <a:prstGeom prst="downArrow">
                              <a:avLst>
                                <a:gd name="adj1" fmla="val 50000"/>
                                <a:gd name="adj2" fmla="val 49968"/>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101" name="Text Box 65"/>
                          <wps:cNvSpPr txBox="1">
                            <a:spLocks noChangeArrowheads="1"/>
                          </wps:cNvSpPr>
                          <wps:spPr bwMode="auto">
                            <a:xfrm>
                              <a:off x="0" y="3281"/>
                              <a:ext cx="5035" cy="3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F279472" w14:textId="77777777" w:rsidR="007401F4" w:rsidRDefault="007401F4" w:rsidP="006E3616">
                                <w:pPr>
                                  <w:jc w:val="center"/>
                                  <w:rPr>
                                    <w:szCs w:val="24"/>
                                  </w:rPr>
                                </w:pPr>
                                <w:r>
                                  <w:rPr>
                                    <w:b/>
                                    <w:bCs/>
                                    <w:sz w:val="12"/>
                                    <w:szCs w:val="12"/>
                                  </w:rPr>
                                  <w:t>Solution Provider</w:t>
                                </w:r>
                              </w:p>
                            </w:txbxContent>
                          </wps:txbx>
                          <wps:bodyPr rot="0" vert="horz" wrap="square" lIns="91440" tIns="45720" rIns="91440" bIns="45720" anchor="t" anchorCtr="0" upright="1">
                            <a:noAutofit/>
                          </wps:bodyPr>
                        </wps:wsp>
                      </wpg:wgp>
                      <wpg:wgp>
                        <wpg:cNvPr id="102" name="Group 124"/>
                        <wpg:cNvGrpSpPr>
                          <a:grpSpLocks/>
                        </wpg:cNvGrpSpPr>
                        <wpg:grpSpPr bwMode="auto">
                          <a:xfrm>
                            <a:off x="4363098" y="2684142"/>
                            <a:ext cx="505401" cy="621103"/>
                            <a:chOff x="0" y="0"/>
                            <a:chExt cx="5035" cy="6812"/>
                          </a:xfrm>
                        </wpg:grpSpPr>
                        <pic:pic xmlns:pic="http://schemas.openxmlformats.org/drawingml/2006/picture">
                          <pic:nvPicPr>
                            <pic:cNvPr id="103" name="Graphic 96"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1143" y="1359"/>
                              <a:ext cx="2647" cy="2648"/>
                            </a:xfrm>
                            <a:prstGeom prst="rect">
                              <a:avLst/>
                            </a:prstGeom>
                            <a:noFill/>
                            <a:extLst>
                              <a:ext uri="{909E8E84-426E-40DD-AFC4-6F175D3DCCD1}">
                                <a14:hiddenFill xmlns:a14="http://schemas.microsoft.com/office/drawing/2010/main">
                                  <a:solidFill>
                                    <a:srgbClr val="FFFFFF"/>
                                  </a:solidFill>
                                </a14:hiddenFill>
                              </a:ext>
                            </a:extLst>
                          </pic:spPr>
                        </pic:pic>
                        <wps:wsp>
                          <wps:cNvPr id="104" name="Arrow: Down 126"/>
                          <wps:cNvSpPr>
                            <a:spLocks noChangeArrowheads="1"/>
                          </wps:cNvSpPr>
                          <wps:spPr bwMode="auto">
                            <a:xfrm rot="10800000">
                              <a:off x="2222" y="0"/>
                              <a:ext cx="451" cy="1441"/>
                            </a:xfrm>
                            <a:prstGeom prst="downArrow">
                              <a:avLst>
                                <a:gd name="adj1" fmla="val 50000"/>
                                <a:gd name="adj2" fmla="val 49968"/>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105" name="Text Box 65"/>
                          <wps:cNvSpPr txBox="1">
                            <a:spLocks noChangeArrowheads="1"/>
                          </wps:cNvSpPr>
                          <wps:spPr bwMode="auto">
                            <a:xfrm>
                              <a:off x="0" y="3281"/>
                              <a:ext cx="5035" cy="3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2264695" w14:textId="77777777" w:rsidR="007401F4" w:rsidRDefault="007401F4" w:rsidP="006E3616">
                                <w:pPr>
                                  <w:jc w:val="center"/>
                                  <w:rPr>
                                    <w:szCs w:val="24"/>
                                  </w:rPr>
                                </w:pPr>
                                <w:r>
                                  <w:rPr>
                                    <w:b/>
                                    <w:bCs/>
                                    <w:sz w:val="12"/>
                                    <w:szCs w:val="12"/>
                                  </w:rPr>
                                  <w:t>Solution Provider</w:t>
                                </w:r>
                              </w:p>
                            </w:txbxContent>
                          </wps:txbx>
                          <wps:bodyPr rot="0" vert="horz" wrap="square" lIns="91440" tIns="45720" rIns="91440" bIns="45720" anchor="t" anchorCtr="0" upright="1">
                            <a:noAutofit/>
                          </wps:bodyPr>
                        </wps:wsp>
                      </wpg:wgp>
                      <wps:wsp>
                        <wps:cNvPr id="106" name="Arrow: Right 128"/>
                        <wps:cNvSpPr>
                          <a:spLocks noChangeArrowheads="1"/>
                        </wps:cNvSpPr>
                        <wps:spPr bwMode="auto">
                          <a:xfrm rot="10800000">
                            <a:off x="5319018" y="664444"/>
                            <a:ext cx="185618" cy="72996"/>
                          </a:xfrm>
                          <a:prstGeom prst="rightArrow">
                            <a:avLst>
                              <a:gd name="adj1" fmla="val 50000"/>
                              <a:gd name="adj2" fmla="val 49980"/>
                            </a:avLst>
                          </a:prstGeom>
                          <a:solidFill>
                            <a:srgbClr val="D9D9D9"/>
                          </a:solidFill>
                          <a:ln w="12700">
                            <a:solidFill>
                              <a:srgbClr val="000000"/>
                            </a:solidFill>
                            <a:miter lim="800000"/>
                            <a:headEnd/>
                            <a:tailEnd/>
                          </a:ln>
                        </wps:spPr>
                        <wps:bodyPr rot="0" vert="horz" wrap="square" lIns="91440" tIns="45720" rIns="91440" bIns="45720" anchor="ctr" anchorCtr="0" upright="1">
                          <a:noAutofit/>
                        </wps:bodyPr>
                      </wps:wsp>
                      <pic:pic xmlns:pic="http://schemas.openxmlformats.org/drawingml/2006/picture">
                        <pic:nvPicPr>
                          <pic:cNvPr id="107" name="Graphic 96" descr="Us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5372985" y="243718"/>
                            <a:ext cx="266116" cy="241612"/>
                          </a:xfrm>
                          <a:prstGeom prst="rect">
                            <a:avLst/>
                          </a:prstGeom>
                          <a:noFill/>
                          <a:extLst>
                            <a:ext uri="{909E8E84-426E-40DD-AFC4-6F175D3DCCD1}">
                              <a14:hiddenFill xmlns:a14="http://schemas.microsoft.com/office/drawing/2010/main">
                                <a:solidFill>
                                  <a:srgbClr val="FFFFFF"/>
                                </a:solidFill>
                              </a14:hiddenFill>
                            </a:ext>
                          </a:extLst>
                        </pic:spPr>
                      </pic:pic>
                      <wps:wsp>
                        <wps:cNvPr id="108" name="Text Box 65"/>
                        <wps:cNvSpPr txBox="1">
                          <a:spLocks noChangeArrowheads="1"/>
                        </wps:cNvSpPr>
                        <wps:spPr bwMode="auto">
                          <a:xfrm>
                            <a:off x="5265362" y="415262"/>
                            <a:ext cx="607707" cy="322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BC12680" w14:textId="77777777" w:rsidR="007401F4" w:rsidRDefault="007401F4" w:rsidP="006E3616">
                              <w:pPr>
                                <w:spacing w:line="240" w:lineRule="auto"/>
                                <w:jc w:val="center"/>
                                <w:rPr>
                                  <w:szCs w:val="24"/>
                                </w:rPr>
                              </w:pPr>
                              <w:r>
                                <w:rPr>
                                  <w:b/>
                                  <w:bCs/>
                                  <w:sz w:val="12"/>
                                  <w:szCs w:val="12"/>
                                </w:rPr>
                                <w:t>Application Provider</w:t>
                              </w:r>
                            </w:p>
                          </w:txbxContent>
                        </wps:txbx>
                        <wps:bodyPr rot="0" vert="horz" wrap="square" lIns="91440" tIns="45720" rIns="91440" bIns="45720" anchor="t" anchorCtr="0" upright="1">
                          <a:noAutofit/>
                        </wps:bodyPr>
                      </wps:wsp>
                    </wpc:wpc>
                  </a:graphicData>
                </a:graphic>
              </wp:inline>
            </w:drawing>
          </mc:Choice>
          <mc:Fallback>
            <w:pict>
              <v:group w14:anchorId="3FD30CE3" id="Canvas 131" o:spid="_x0000_s1054" editas="canvas" style="width:453.55pt;height:255.1pt;mso-position-horizontal-relative:char;mso-position-vertical-relative:line" coordsize="57594,323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">
                <v:shape id="_x0000_s1055" type="#_x0000_t75" style="position:absolute;width:57594;height:32397;visibility:visible;mso-wrap-style:square" filled="t" stroked="t" strokecolor="black [3213]">
                  <v:fill o:detectmouseclick="t"/>
                  <v:path o:connecttype="none"/>
                </v:shape>
                <v:roundrect id="Rectangle: Rounded Corners 43" o:spid="_x0000_s1056" style="position:absolute;left:491;top:328;width:9779;height:271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" fillcolor="#dae3f3" strokecolor="#4472c4" strokeweight=".5pt">
                  <v:stroke joinstyle="miter"/>
                </v:roundrect>
                <v:roundrect id="Rectangle: Rounded Corners 70" o:spid="_x0000_s1057" style="position:absolute;left:11010;top:353;width:9765;height:270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" fillcolor="#dae3f3" strokecolor="#4472c4" strokeweight=".5pt">
                  <v:stroke joinstyle="miter"/>
                </v:roundrect>
                <v:group id="Group 71" o:spid="_x0000_s1058" style="position:absolute;left:361;top:859;width:9380;height:24635" coordorigin="2743,2495" coordsize="10318,22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Text Box 72" o:spid="_x0000_s1059" type="#_x0000_t202" style="position:absolute;left:2743;top:2495;width:10319;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" filled="f" stroked="f" strokeweight=".5pt">
                    <v:textbox>
                      <w:txbxContent>
                        <w:p w14:paraId="697A2FAB" w14:textId="77777777" w:rsidR="007401F4" w:rsidRPr="00D13D94" w:rsidRDefault="007401F4" w:rsidP="006E3616">
                          <w:pPr>
                            <w:spacing w:after="0" w:line="240" w:lineRule="auto"/>
                            <w:jc w:val="center"/>
                            <w:rPr>
                              <w:b/>
                              <w:bCs/>
                              <w:sz w:val="14"/>
                              <w:szCs w:val="12"/>
                            </w:rPr>
                          </w:pPr>
                          <w:r w:rsidRPr="00D13D94">
                            <w:rPr>
                              <w:b/>
                              <w:bCs/>
                              <w:sz w:val="16"/>
                              <w:szCs w:val="14"/>
                            </w:rPr>
                            <w:t>Vertical</w:t>
                          </w:r>
                        </w:p>
                      </w:txbxContent>
                    </v:textbox>
                  </v:shape>
                  <v:roundrect id="Rectangle: Rounded Corners 73" o:spid="_x0000_s1060" style="position:absolute;left:3325;top:5001;width:9360;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" fillcolor="#b5d5a7" strokecolor="#70ad47" strokeweight=".5pt">
                    <v:fill color2="#9cca86" rotate="t" colors="0 #b5d5a7;.5 #aace99;1 #9cca86" focus="100%" type="gradient">
                      <o:fill v:ext="view" type="gradientUnscaled"/>
                    </v:fill>
                    <v:stroke joinstyle="miter"/>
                    <v:textbox>
                      <w:txbxContent>
                        <w:p w14:paraId="47A929AC" w14:textId="77777777" w:rsidR="007401F4" w:rsidRPr="00D13D94" w:rsidRDefault="007401F4" w:rsidP="006E3616">
                          <w:pPr>
                            <w:spacing w:after="0" w:line="240" w:lineRule="auto"/>
                            <w:jc w:val="center"/>
                            <w:rPr>
                              <w:b/>
                              <w:bCs/>
                              <w:sz w:val="16"/>
                              <w:szCs w:val="14"/>
                            </w:rPr>
                          </w:pPr>
                          <w:r w:rsidRPr="002D5953">
                            <w:rPr>
                              <w:b/>
                              <w:bCs/>
                              <w:sz w:val="12"/>
                              <w:szCs w:val="10"/>
                            </w:rPr>
                            <w:t>Applications</w:t>
                          </w:r>
                        </w:p>
                      </w:txbxContent>
                    </v:textbox>
                  </v:roundrect>
                  <v:roundrect id="Rectangle: Rounded Corners 74" o:spid="_x0000_s1061" style="position:absolute;left:3326;top:11992;width:9360;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" fillcolor="#d9d9d9" strokecolor="#a6a6a6" strokeweight=".5pt">
                    <v:stroke joinstyle="miter"/>
                    <v:textbox>
                      <w:txbxContent>
                        <w:p w14:paraId="738A00B7" w14:textId="77777777" w:rsidR="007401F4" w:rsidRPr="002D5953" w:rsidRDefault="007401F4" w:rsidP="006E3616">
                          <w:pPr>
                            <w:spacing w:after="0" w:line="240" w:lineRule="auto"/>
                            <w:jc w:val="center"/>
                            <w:rPr>
                              <w:sz w:val="20"/>
                              <w:szCs w:val="20"/>
                            </w:rPr>
                          </w:pPr>
                          <w:r w:rsidRPr="002D5953">
                            <w:rPr>
                              <w:b/>
                              <w:bCs/>
                              <w:sz w:val="12"/>
                              <w:szCs w:val="12"/>
                            </w:rPr>
                            <w:t>Middleware</w:t>
                          </w:r>
                        </w:p>
                      </w:txbxContent>
                    </v:textbox>
                  </v:roundrect>
                  <v:roundrect id="Rectangle: Rounded Corners 75" o:spid="_x0000_s1062" style="position:absolute;left:3333;top:18723;width:9360;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" fillcolor="#f2f2f2" strokecolor="#a6a6a6" strokeweight=".5pt">
                    <v:stroke joinstyle="miter"/>
                    <v:textbox>
                      <w:txbxContent>
                        <w:p w14:paraId="11ED8AB0" w14:textId="77777777" w:rsidR="007401F4" w:rsidRPr="002D5953" w:rsidRDefault="007401F4" w:rsidP="006E3616">
                          <w:pPr>
                            <w:spacing w:after="0" w:line="240" w:lineRule="auto"/>
                            <w:jc w:val="center"/>
                            <w:rPr>
                              <w:sz w:val="20"/>
                              <w:szCs w:val="20"/>
                            </w:rPr>
                          </w:pPr>
                          <w:r w:rsidRPr="002D5953">
                            <w:rPr>
                              <w:b/>
                              <w:bCs/>
                              <w:sz w:val="12"/>
                              <w:szCs w:val="12"/>
                            </w:rPr>
                            <w:t>IoT Infrastructure</w:t>
                          </w:r>
                        </w:p>
                      </w:txbxContent>
                    </v:textbox>
                  </v:roundrect>
                </v:group>
                <v:group id="Group 76" o:spid="_x0000_s1063" style="position:absolute;left:11009;top:859;width:9768;height:24635" coordorigin="15594,2495" coordsize="10650,22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Text Box 65" o:spid="_x0000_s1064" type="#_x0000_t202" style="position:absolute;left:15594;top:2495;width:10650;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" filled="f" strokeweight=".5pt">
                    <v:textbox>
                      <w:txbxContent>
                        <w:p w14:paraId="2D4D57A3" w14:textId="77777777" w:rsidR="007401F4" w:rsidRDefault="007401F4" w:rsidP="006E3616">
                          <w:pPr>
                            <w:jc w:val="center"/>
                            <w:rPr>
                              <w:szCs w:val="24"/>
                            </w:rPr>
                          </w:pPr>
                          <w:r w:rsidRPr="00D13D94">
                            <w:rPr>
                              <w:b/>
                              <w:bCs/>
                              <w:sz w:val="16"/>
                              <w:szCs w:val="16"/>
                            </w:rPr>
                            <w:t>Vertica</w:t>
                          </w:r>
                          <w:r>
                            <w:rPr>
                              <w:b/>
                              <w:bCs/>
                              <w:sz w:val="16"/>
                              <w:szCs w:val="16"/>
                            </w:rPr>
                            <w:t>l</w:t>
                          </w:r>
                        </w:p>
                      </w:txbxContent>
                    </v:textbox>
                  </v:shape>
                  <v:roundrect id="Rectangle: Rounded Corners 78" o:spid="_x0000_s1065" style="position:absolute;left:16287;top:5156;width:9360;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" fillcolor="#b5d5a7" strokecolor="#70ad47" strokeweight=".5pt">
                    <v:fill color2="#9cca86" rotate="t" colors="0 #b5d5a7;.5 #aace99;1 #9cca86" focus="100%" type="gradient">
                      <o:fill v:ext="view" type="gradientUnscaled"/>
                    </v:fill>
                    <v:stroke joinstyle="miter"/>
                    <v:textbox>
                      <w:txbxContent>
                        <w:p w14:paraId="144322D2" w14:textId="77777777" w:rsidR="007401F4" w:rsidRPr="002D5953" w:rsidRDefault="007401F4" w:rsidP="006E3616">
                          <w:pPr>
                            <w:spacing w:after="0" w:line="240" w:lineRule="auto"/>
                            <w:jc w:val="center"/>
                            <w:rPr>
                              <w:sz w:val="20"/>
                              <w:szCs w:val="20"/>
                            </w:rPr>
                          </w:pPr>
                          <w:r w:rsidRPr="002D5953">
                            <w:rPr>
                              <w:b/>
                              <w:bCs/>
                              <w:sz w:val="12"/>
                              <w:szCs w:val="12"/>
                            </w:rPr>
                            <w:t>Applications</w:t>
                          </w:r>
                        </w:p>
                      </w:txbxContent>
                    </v:textbox>
                  </v:roundrect>
                  <v:roundrect id="Rectangle: Rounded Corners 79" o:spid="_x0000_s1066" style="position:absolute;left:16287;top:11998;width:9360;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" fillcolor="#d9d9d9" strokecolor="#a6a6a6" strokeweight=".5pt">
                    <v:stroke joinstyle="miter"/>
                    <v:textbox>
                      <w:txbxContent>
                        <w:p w14:paraId="619248EA" w14:textId="77777777" w:rsidR="007401F4" w:rsidRPr="002D5953" w:rsidRDefault="007401F4" w:rsidP="006E3616">
                          <w:pPr>
                            <w:spacing w:after="0"/>
                            <w:jc w:val="center"/>
                            <w:rPr>
                              <w:sz w:val="20"/>
                              <w:szCs w:val="20"/>
                            </w:rPr>
                          </w:pPr>
                          <w:r w:rsidRPr="002D5953">
                            <w:rPr>
                              <w:b/>
                              <w:bCs/>
                              <w:sz w:val="12"/>
                              <w:szCs w:val="12"/>
                            </w:rPr>
                            <w:t>Middleware</w:t>
                          </w:r>
                        </w:p>
                      </w:txbxContent>
                    </v:textbox>
                  </v:roundrect>
                  <v:roundrect id="Rectangle: Rounded Corners 80" o:spid="_x0000_s1067" style="position:absolute;left:16287;top:18900;width:9353;height:64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" fillcolor="#f2f2f2" strokecolor="#a6a6a6" strokeweight=".5pt">
                    <v:stroke joinstyle="miter"/>
                    <v:textbox>
                      <w:txbxContent>
                        <w:p w14:paraId="6CCF4F6E" w14:textId="77777777" w:rsidR="007401F4" w:rsidRPr="002D5953" w:rsidRDefault="007401F4" w:rsidP="006E3616">
                          <w:pPr>
                            <w:spacing w:after="0" w:line="240" w:lineRule="auto"/>
                            <w:jc w:val="center"/>
                            <w:rPr>
                              <w:sz w:val="20"/>
                              <w:szCs w:val="20"/>
                            </w:rPr>
                          </w:pPr>
                          <w:r w:rsidRPr="002D5953">
                            <w:rPr>
                              <w:b/>
                              <w:bCs/>
                              <w:sz w:val="12"/>
                              <w:szCs w:val="12"/>
                            </w:rPr>
                            <w:t>IoT Infrastructure</w:t>
                          </w:r>
                        </w:p>
                      </w:txbxContent>
                    </v:textbox>
                  </v:roundrect>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81" o:spid="_x0000_s1068" type="#_x0000_t13" style="position:absolute;left:22743;top:12317;width:3426;height:1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" adj="17246" fillcolor="#d9d9d9" strokeweight="1pt"/>
                <v:shape id="Arrow: Right 82" o:spid="_x0000_s1069" type="#_x0000_t13" style="position:absolute;left:24307;top:6909;width:1862;height: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" adj="17344" fillcolor="#d9d9d9" strokeweight="1pt"/>
                <v:group id="Group 83" o:spid="_x0000_s1070" style="position:absolute;left:26291;top:402;width:27442;height:27123" coordorigin="28191,600" coordsize="27307,2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oundrect id="Rectangle: Rounded Corners 84" o:spid="_x0000_s1071" style="position:absolute;left:28191;top:721;width:27308;height:214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" fillcolor="#e2f0d9" strokecolor="#70ad47" strokeweight=".5pt">
                    <v:stroke joinstyle="miter"/>
                  </v:roundrect>
                  <v:roundrect id="Rectangle: Rounded Corners 85" o:spid="_x0000_s1072" style="position:absolute;left:32951;top:3127;width:8355;height:271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" filled="f" strokeweight="1pt">
                    <v:stroke dashstyle="dash" joinstyle="miter"/>
                  </v:roundrect>
                  <v:roundrect id="Rectangle: Rounded Corners 86" o:spid="_x0000_s1073" style="position:absolute;left:42801;top:18415;width:9459;height:118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" filled="f" strokeweight="1pt">
                    <v:stroke dashstyle="dash" joinstyle="miter"/>
                  </v:roundrect>
                  <v:roundrect id="Rectangle: Rounded Corners 87" o:spid="_x0000_s1074" style="position:absolute;left:43044;top:3095;width:9550;height:791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" filled="f" strokeweight="1pt">
                    <v:stroke dashstyle="dash" joinstyle="miter"/>
                  </v:roundrect>
                  <v:shape id="Text Box 65" o:spid="_x0000_s1075" type="#_x0000_t202" style="position:absolute;left:29715;top:600;width:25242;height:2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" filled="f" stroked="f" strokeweight=".5pt">
                    <v:textbox>
                      <w:txbxContent>
                        <w:p w14:paraId="412F7CAE" w14:textId="77777777" w:rsidR="007401F4" w:rsidRDefault="007401F4" w:rsidP="006E3616">
                          <w:pPr>
                            <w:spacing w:after="0" w:line="240" w:lineRule="auto"/>
                            <w:jc w:val="center"/>
                            <w:rPr>
                              <w:szCs w:val="24"/>
                            </w:rPr>
                          </w:pPr>
                          <w:r>
                            <w:rPr>
                              <w:b/>
                              <w:bCs/>
                              <w:sz w:val="16"/>
                              <w:szCs w:val="16"/>
                            </w:rPr>
                            <w:t>Smart-City Service-Delivery Platform</w:t>
                          </w:r>
                        </w:p>
                      </w:txbxContent>
                    </v:textbox>
                  </v:shape>
                  <v:shape id="Text Box 65" o:spid="_x0000_s1076" type="#_x0000_t202" style="position:absolute;left:33880;top:2829;width:6081;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" filled="f" stroked="f" strokeweight=".5pt">
                    <v:textbox>
                      <w:txbxContent>
                        <w:p w14:paraId="7E77AD70" w14:textId="77777777" w:rsidR="007401F4" w:rsidRPr="00683325" w:rsidRDefault="007401F4" w:rsidP="006E3616">
                          <w:pPr>
                            <w:spacing w:after="0" w:line="240" w:lineRule="auto"/>
                            <w:jc w:val="center"/>
                            <w:rPr>
                              <w:sz w:val="20"/>
                              <w:szCs w:val="20"/>
                            </w:rPr>
                          </w:pPr>
                          <w:r w:rsidRPr="00683325">
                            <w:rPr>
                              <w:b/>
                              <w:bCs/>
                              <w:sz w:val="12"/>
                              <w:szCs w:val="12"/>
                            </w:rPr>
                            <w:t>Virtual Vertical</w:t>
                          </w:r>
                        </w:p>
                      </w:txbxContent>
                    </v:textbox>
                  </v:shape>
                  <v:shape id="Text Box 65" o:spid="_x0000_s1077" type="#_x0000_t202" style="position:absolute;left:43059;top:2829;width:9777;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" filled="f" stroked="f" strokeweight=".5pt">
                    <v:textbox>
                      <w:txbxContent>
                        <w:p w14:paraId="184CB194" w14:textId="77777777" w:rsidR="007401F4" w:rsidRPr="00683325" w:rsidRDefault="007401F4" w:rsidP="006E3616">
                          <w:pPr>
                            <w:spacing w:after="0" w:line="240" w:lineRule="auto"/>
                            <w:jc w:val="center"/>
                            <w:rPr>
                              <w:sz w:val="20"/>
                              <w:szCs w:val="20"/>
                            </w:rPr>
                          </w:pPr>
                          <w:r w:rsidRPr="00683325">
                            <w:rPr>
                              <w:b/>
                              <w:bCs/>
                              <w:sz w:val="12"/>
                              <w:szCs w:val="12"/>
                            </w:rPr>
                            <w:t>Third Party Applications</w:t>
                          </w:r>
                        </w:p>
                      </w:txbxContent>
                    </v:textbox>
                  </v:shape>
                  <v:roundrect id="Rectangle: Rounded Corners 97" o:spid="_x0000_s1078" style="position:absolute;left:43416;top:7445;width:8146;height:24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" fillcolor="#b5d5a7" strokecolor="#70ad47" strokeweight=".5pt">
                    <v:fill color2="#9cca86" rotate="t" colors="0 #b5d5a7;.5 #aace99;1 #9cca86" focus="100%" type="gradient">
                      <o:fill v:ext="view" type="gradientUnscaled"/>
                    </v:fill>
                    <v:stroke joinstyle="miter"/>
                    <v:textbox>
                      <w:txbxContent>
                        <w:p w14:paraId="67566352" w14:textId="77777777" w:rsidR="007401F4" w:rsidRPr="005273A1" w:rsidRDefault="007401F4" w:rsidP="006E3616">
                          <w:pPr>
                            <w:jc w:val="center"/>
                            <w:rPr>
                              <w:sz w:val="20"/>
                              <w:szCs w:val="20"/>
                            </w:rPr>
                          </w:pPr>
                          <w:r w:rsidRPr="005273A1">
                            <w:rPr>
                              <w:b/>
                              <w:bCs/>
                              <w:sz w:val="12"/>
                              <w:szCs w:val="12"/>
                            </w:rPr>
                            <w:t>Applications</w:t>
                          </w:r>
                        </w:p>
                      </w:txbxContent>
                    </v:textbox>
                  </v:roundrect>
                  <v:roundrect id="Rectangle: Rounded Corners 98" o:spid="_x0000_s1079" style="position:absolute;left:32379;top:5083;width:21335;height:52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" fillcolor="#ccecff" strokecolor="#4472c4" strokeweight=".5pt">
                    <v:fill opacity="12336f"/>
                    <v:stroke joinstyle="miter"/>
                    <v:textbox>
                      <w:txbxContent>
                        <w:p w14:paraId="79099A20" w14:textId="77777777" w:rsidR="007401F4" w:rsidRPr="00683325" w:rsidRDefault="007401F4" w:rsidP="006E3616">
                          <w:pPr>
                            <w:spacing w:after="0" w:line="240" w:lineRule="auto"/>
                            <w:jc w:val="center"/>
                            <w:rPr>
                              <w:b/>
                              <w:bCs/>
                              <w:sz w:val="16"/>
                              <w:szCs w:val="14"/>
                            </w:rPr>
                          </w:pPr>
                          <w:r w:rsidRPr="00683325">
                            <w:rPr>
                              <w:b/>
                              <w:bCs/>
                              <w:sz w:val="16"/>
                              <w:szCs w:val="14"/>
                            </w:rPr>
                            <w:t>Application Hosting</w:t>
                          </w:r>
                        </w:p>
                      </w:txbxContent>
                    </v:textbox>
                  </v:roundrect>
                  <v:roundrect id="Rectangle: Rounded Corners 100" o:spid="_x0000_s1080" style="position:absolute;left:33132;top:7440;width:7560;height:242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" fillcolor="#b5d5a7" strokecolor="#70ad47" strokeweight=".5pt">
                    <v:fill color2="#9cca86" rotate="t" colors="0 #b5d5a7;.5 #aace99;1 #9cca86" focus="100%" type="gradient">
                      <o:fill v:ext="view" type="gradientUnscaled"/>
                    </v:fill>
                    <v:stroke joinstyle="miter"/>
                    <v:textbox>
                      <w:txbxContent>
                        <w:p w14:paraId="1A743A98" w14:textId="77777777" w:rsidR="007401F4" w:rsidRPr="00683325" w:rsidRDefault="007401F4" w:rsidP="006E3616">
                          <w:pPr>
                            <w:jc w:val="center"/>
                            <w:rPr>
                              <w:sz w:val="20"/>
                              <w:szCs w:val="20"/>
                            </w:rPr>
                          </w:pPr>
                          <w:r w:rsidRPr="00683325">
                            <w:rPr>
                              <w:b/>
                              <w:bCs/>
                              <w:sz w:val="12"/>
                              <w:szCs w:val="12"/>
                            </w:rPr>
                            <w:t>Applications</w:t>
                          </w:r>
                        </w:p>
                      </w:txbxContent>
                    </v:textbox>
                  </v:roundrect>
                  <v:roundrect id="Rectangle: Rounded Corners 101" o:spid="_x0000_s1081" style="position:absolute;left:32304;top:11371;width:21410;height:29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" fillcolor="#ccecff" strokecolor="#4472c4" strokeweight=".5pt">
                    <v:fill opacity="12336f"/>
                    <v:stroke joinstyle="miter"/>
                    <v:textbox>
                      <w:txbxContent>
                        <w:p w14:paraId="147F8E3F" w14:textId="77777777" w:rsidR="007401F4" w:rsidRPr="00683325" w:rsidRDefault="007401F4" w:rsidP="006E3616">
                          <w:pPr>
                            <w:jc w:val="center"/>
                            <w:rPr>
                              <w:sz w:val="20"/>
                              <w:szCs w:val="20"/>
                            </w:rPr>
                          </w:pPr>
                          <w:r w:rsidRPr="00683325">
                            <w:rPr>
                              <w:b/>
                              <w:bCs/>
                              <w:sz w:val="16"/>
                              <w:szCs w:val="16"/>
                            </w:rPr>
                            <w:t>Data Processing</w:t>
                          </w:r>
                        </w:p>
                      </w:txbxContent>
                    </v:textbox>
                  </v:roundrect>
                  <v:shape id="Text Box 65" o:spid="_x0000_s1082" type="#_x0000_t202" style="position:absolute;left:42188;top:18517;width:10649;height:2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" filled="f" stroked="f" strokeweight=".5pt">
                    <v:textbox>
                      <w:txbxContent>
                        <w:p w14:paraId="73857BEB" w14:textId="77777777" w:rsidR="007401F4" w:rsidRPr="00683325" w:rsidRDefault="007401F4" w:rsidP="006E3616">
                          <w:pPr>
                            <w:jc w:val="center"/>
                            <w:rPr>
                              <w:sz w:val="20"/>
                              <w:szCs w:val="20"/>
                            </w:rPr>
                          </w:pPr>
                          <w:r w:rsidRPr="00683325">
                            <w:rPr>
                              <w:b/>
                              <w:bCs/>
                              <w:sz w:val="12"/>
                              <w:szCs w:val="12"/>
                            </w:rPr>
                            <w:t>IoT IaaService</w:t>
                          </w:r>
                        </w:p>
                      </w:txbxContent>
                    </v:textbox>
                  </v:shape>
                  <v:roundrect id="Rectangle: Rounded Corners 103" o:spid="_x0000_s1083" style="position:absolute;left:32304;top:15069;width:21405;height:29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" fillcolor="#ccecff" strokecolor="#4472c4" strokeweight=".5pt">
                    <v:fill opacity="12336f"/>
                    <v:stroke joinstyle="miter"/>
                    <v:textbox>
                      <w:txbxContent>
                        <w:p w14:paraId="25318C66" w14:textId="77777777" w:rsidR="007401F4" w:rsidRPr="00683325" w:rsidRDefault="007401F4" w:rsidP="006E3616">
                          <w:pPr>
                            <w:jc w:val="center"/>
                            <w:rPr>
                              <w:sz w:val="20"/>
                              <w:szCs w:val="20"/>
                            </w:rPr>
                          </w:pPr>
                          <w:r w:rsidRPr="00683325">
                            <w:rPr>
                              <w:b/>
                              <w:bCs/>
                              <w:sz w:val="16"/>
                              <w:szCs w:val="16"/>
                            </w:rPr>
                            <w:t>IoT Infrastructure Integration</w:t>
                          </w:r>
                        </w:p>
                      </w:txbxContent>
                    </v:textbox>
                  </v:roundrect>
                  <v:roundrect id="Rectangle: Rounded Corners 104" o:spid="_x0000_s1084" style="position:absolute;left:27228;top:6556;width:5926;height:2980;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" fillcolor="#ccecff" strokecolor="#4472c4" strokeweight=".5pt">
                    <v:fill opacity="12336f"/>
                    <v:stroke joinstyle="miter"/>
                    <v:textbox>
                      <w:txbxContent>
                        <w:p w14:paraId="5894C3F7" w14:textId="77777777" w:rsidR="007401F4" w:rsidRPr="002D5953" w:rsidRDefault="007401F4" w:rsidP="006E3616">
                          <w:pPr>
                            <w:spacing w:line="240" w:lineRule="auto"/>
                            <w:jc w:val="center"/>
                            <w:rPr>
                              <w:sz w:val="16"/>
                              <w:szCs w:val="16"/>
                            </w:rPr>
                          </w:pPr>
                          <w:r w:rsidRPr="002D5953">
                            <w:rPr>
                              <w:b/>
                              <w:bCs/>
                              <w:sz w:val="12"/>
                              <w:szCs w:val="12"/>
                            </w:rPr>
                            <w:t>Metering/ Billing</w:t>
                          </w:r>
                        </w:p>
                      </w:txbxContent>
                    </v:textbox>
                  </v:roundrect>
                  <v:roundrect id="Rectangle: Rounded Corners 105" o:spid="_x0000_s1085" style="position:absolute;left:26733;top:14416;width:6923;height:2972;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" fillcolor="#ccecff" strokecolor="#4472c4" strokeweight=".5pt">
                    <v:fill opacity="12336f"/>
                    <v:stroke joinstyle="miter"/>
                    <v:textbox>
                      <w:txbxContent>
                        <w:p w14:paraId="414AD148" w14:textId="77777777" w:rsidR="007401F4" w:rsidRPr="002D5953" w:rsidRDefault="007401F4" w:rsidP="006E3616">
                          <w:pPr>
                            <w:spacing w:after="0" w:line="240" w:lineRule="auto"/>
                            <w:jc w:val="center"/>
                            <w:rPr>
                              <w:sz w:val="20"/>
                              <w:szCs w:val="20"/>
                            </w:rPr>
                          </w:pPr>
                          <w:r w:rsidRPr="002D5953">
                            <w:rPr>
                              <w:b/>
                              <w:bCs/>
                              <w:sz w:val="12"/>
                              <w:szCs w:val="12"/>
                            </w:rPr>
                            <w:t>Tenant management</w:t>
                          </w:r>
                        </w:p>
                      </w:txbxContent>
                    </v:textbox>
                  </v:round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rrow: Up-Down 106" o:spid="_x0000_s1086" type="#_x0000_t70" style="position:absolute;left:36423;top:22326;width:1634;height:2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" adj="7035,7024" fillcolor="#d9d9d9" strokeweight="1pt"/>
                  <v:shape id="Arrow: Up-Down 107" o:spid="_x0000_s1087" type="#_x0000_t70" style="position:absolute;left:46497;top:22363;width:1632;height:2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" adj=",7027" fillcolor="#d9d9d9" strokeweight="1pt"/>
                  <v:roundrect id="Rectangle: Rounded Corners 108" o:spid="_x0000_s1088" style="position:absolute;left:33190;top:24867;width:7560;height:39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" fillcolor="#f2f2f2" strokecolor="#a6a6a6" strokeweight=".5pt">
                    <v:stroke joinstyle="miter"/>
                    <v:textbox>
                      <w:txbxContent>
                        <w:p w14:paraId="6103FAF7" w14:textId="77777777" w:rsidR="007401F4" w:rsidRPr="00683325" w:rsidRDefault="007401F4" w:rsidP="006E3616">
                          <w:pPr>
                            <w:spacing w:line="240" w:lineRule="auto"/>
                            <w:jc w:val="center"/>
                            <w:rPr>
                              <w:sz w:val="20"/>
                              <w:szCs w:val="20"/>
                            </w:rPr>
                          </w:pPr>
                          <w:r w:rsidRPr="00683325">
                            <w:rPr>
                              <w:b/>
                              <w:bCs/>
                              <w:sz w:val="12"/>
                              <w:szCs w:val="12"/>
                            </w:rPr>
                            <w:t>IoT Infrastructure</w:t>
                          </w:r>
                        </w:p>
                      </w:txbxContent>
                    </v:textbox>
                  </v:roundrect>
                  <v:roundrect id="Rectangle: Rounded Corners 109" o:spid="_x0000_s1089" style="position:absolute;left:43119;top:25189;width:8438;height:39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" fillcolor="#f2f2f2" strokecolor="#a6a6a6" strokeweight=".5pt">
                    <v:stroke joinstyle="miter"/>
                    <v:textbox>
                      <w:txbxContent>
                        <w:p w14:paraId="093D11FC" w14:textId="77777777" w:rsidR="007401F4" w:rsidRPr="00683325" w:rsidRDefault="007401F4" w:rsidP="006E3616">
                          <w:pPr>
                            <w:spacing w:line="240" w:lineRule="auto"/>
                            <w:jc w:val="center"/>
                            <w:rPr>
                              <w:sz w:val="20"/>
                              <w:szCs w:val="20"/>
                            </w:rPr>
                          </w:pPr>
                          <w:r w:rsidRPr="00683325">
                            <w:rPr>
                              <w:b/>
                              <w:bCs/>
                              <w:sz w:val="12"/>
                              <w:szCs w:val="12"/>
                            </w:rPr>
                            <w:t>IoT Infrastructure</w:t>
                          </w:r>
                        </w:p>
                      </w:txbxContent>
                    </v:textbox>
                  </v:roundrect>
                </v:group>
                <v:shape id="Text Box 110" o:spid="_x0000_s1090" type="#_x0000_t202" style="position:absolute;left:20224;top:11568;width:4677;height:3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" filled="f" stroked="f" strokeweight=".5pt">
                  <v:textbox>
                    <w:txbxContent>
                      <w:p w14:paraId="7FAECA4C" w14:textId="77777777" w:rsidR="007401F4" w:rsidRDefault="007401F4" w:rsidP="006E3616">
                        <w:r>
                          <w:t>…</w:t>
                        </w:r>
                      </w:p>
                    </w:txbxContent>
                  </v:textbox>
                </v:shape>
                <v:shape id="Graphic 111" o:spid="_x0000_s1091" type="#_x0000_t75" alt="User" style="position:absolute;left:22236;top:2665;width:2663;height:24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">
                  <v:imagedata r:id="rId29" o:title="User"/>
                </v:shape>
                <v:shape id="Text Box 65" o:spid="_x0000_s1092" type="#_x0000_t202" style="position:absolute;left:21186;top:4354;width:5065;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" filled="f" stroked="f" strokeweight=".5pt">
                  <v:textbox>
                    <w:txbxContent>
                      <w:p w14:paraId="115DE23B" w14:textId="77777777" w:rsidR="007401F4" w:rsidRPr="00683325" w:rsidRDefault="007401F4" w:rsidP="006E3616">
                        <w:pPr>
                          <w:spacing w:after="0" w:line="240" w:lineRule="auto"/>
                          <w:jc w:val="center"/>
                          <w:rPr>
                            <w:sz w:val="20"/>
                            <w:szCs w:val="20"/>
                          </w:rPr>
                        </w:pPr>
                        <w:r w:rsidRPr="00683325">
                          <w:rPr>
                            <w:b/>
                            <w:bCs/>
                            <w:sz w:val="12"/>
                            <w:szCs w:val="12"/>
                          </w:rPr>
                          <w:t>Platform Provider</w:t>
                        </w:r>
                      </w:p>
                    </w:txbxContent>
                  </v:textbox>
                </v:shape>
                <v:shape id="Graphic 96" o:spid="_x0000_s1093" type="#_x0000_t75" alt="User" style="position:absolute;left:3859;top:28206;width:2661;height:2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">
                  <v:imagedata r:id="rId29" o:title="User"/>
                </v:shape>
                <v:shape id="Arrow: Down 114" o:spid="_x0000_s1094" type="#_x0000_t67" style="position:absolute;left:4910;top:26961;width:459;height:13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" adj="17836" fillcolor="black" strokeweight="1pt"/>
                <v:shape id="Text Box 65" o:spid="_x0000_s1095" type="#_x0000_t202" style="position:absolute;left:2710;top:29960;width:5060;height:3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" filled="f" stroked="f" strokeweight=".5pt">
                  <v:textbox>
                    <w:txbxContent>
                      <w:p w14:paraId="336BA333" w14:textId="77777777" w:rsidR="007401F4" w:rsidRDefault="007401F4" w:rsidP="006E3616">
                        <w:pPr>
                          <w:spacing w:line="240" w:lineRule="auto"/>
                          <w:jc w:val="center"/>
                          <w:rPr>
                            <w:szCs w:val="24"/>
                          </w:rPr>
                        </w:pPr>
                        <w:r>
                          <w:rPr>
                            <w:b/>
                            <w:bCs/>
                            <w:sz w:val="12"/>
                            <w:szCs w:val="12"/>
                          </w:rPr>
                          <w:t>Solution Provider</w:t>
                        </w:r>
                      </w:p>
                    </w:txbxContent>
                  </v:textbox>
                </v:shape>
                <v:group id="Group 116" o:spid="_x0000_s1096" style="position:absolute;left:13239;top:26965;width:5061;height:6217" coordorigin="13420,29760" coordsize="5035,6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shape id="Graphic 96" o:spid="_x0000_s1097" type="#_x0000_t75" alt="User" style="position:absolute;left:14563;top:31119;width:2648;height:2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">
                    <v:imagedata r:id="rId29" o:title="User"/>
                  </v:shape>
                  <v:shape id="Arrow: Down 118" o:spid="_x0000_s1098" type="#_x0000_t67" style="position:absolute;left:15643;top:29760;width:450;height:144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" adj="18222" fillcolor="black" strokeweight="1pt"/>
                  <v:shape id="Text Box 65" o:spid="_x0000_s1099" type="#_x0000_t202" style="position:absolute;left:13420;top:33042;width:5036;height:3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YGh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pe5nD/En6AXN0AAAD//wMAUEsBAi0AFAAGAAgAAAAhANvh9svuAAAAhQEAABMAAAAAAAAA&#10;AAAAAAAAAAAAAFtDb250ZW50X1R5cGVzXS54bWxQSwECLQAUAAYACAAAACEAWvQsW78AAAAVAQAA&#10;CwAAAAAAAAAAAAAAAAAfAQAAX3JlbHMvLnJlbHNQSwECLQAUAAYACAAAACEANi2BocYAAADbAAAA&#10;DwAAAAAAAAAAAAAAAAAHAgAAZHJzL2Rvd25yZXYueG1sUEsFBgAAAAADAAMAtwAAAPoCAAAAAA==&#10;" filled="f" stroked="f" strokeweight=".5pt">
                    <v:textbox>
                      <w:txbxContent>
                        <w:p w14:paraId="6E37BE8B" w14:textId="77777777" w:rsidR="007401F4" w:rsidRDefault="007401F4" w:rsidP="006E3616">
                          <w:pPr>
                            <w:spacing w:line="240" w:lineRule="auto"/>
                            <w:jc w:val="center"/>
                            <w:rPr>
                              <w:szCs w:val="24"/>
                            </w:rPr>
                          </w:pPr>
                          <w:r>
                            <w:rPr>
                              <w:b/>
                              <w:bCs/>
                              <w:sz w:val="12"/>
                              <w:szCs w:val="12"/>
                            </w:rPr>
                            <w:t>Solution Provider</w:t>
                          </w:r>
                        </w:p>
                      </w:txbxContent>
                    </v:textbox>
                  </v:shape>
                </v:group>
                <v:group id="Group 120" o:spid="_x0000_s1100" style="position:absolute;left:32831;top:26841;width:5054;height:6211" coordsize="5035,6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Graphic 96" o:spid="_x0000_s1101" type="#_x0000_t75" alt="User" style="position:absolute;left:1143;top:1359;width:2647;height:2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">
                    <v:imagedata r:id="rId29" o:title="User"/>
                  </v:shape>
                  <v:shape id="Arrow: Down 122" o:spid="_x0000_s1102" type="#_x0000_t67" style="position:absolute;left:2222;width:451;height:144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" adj="18222" fillcolor="black" strokeweight="1pt"/>
                  <v:shape id="Text Box 65" o:spid="_x0000_s1103" type="#_x0000_t202" style="position:absolute;top:3281;width:5035;height:3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" filled="f" stroked="f" strokeweight=".5pt">
                    <v:textbox>
                      <w:txbxContent>
                        <w:p w14:paraId="6F279472" w14:textId="77777777" w:rsidR="007401F4" w:rsidRDefault="007401F4" w:rsidP="006E3616">
                          <w:pPr>
                            <w:jc w:val="center"/>
                            <w:rPr>
                              <w:szCs w:val="24"/>
                            </w:rPr>
                          </w:pPr>
                          <w:r>
                            <w:rPr>
                              <w:b/>
                              <w:bCs/>
                              <w:sz w:val="12"/>
                              <w:szCs w:val="12"/>
                            </w:rPr>
                            <w:t>Solution Provider</w:t>
                          </w:r>
                        </w:p>
                      </w:txbxContent>
                    </v:textbox>
                  </v:shape>
                </v:group>
                <v:group id="Group 124" o:spid="_x0000_s1104" style="position:absolute;left:43630;top:26841;width:5054;height:6211" coordsize="5035,6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shape id="Graphic 96" o:spid="_x0000_s1105" type="#_x0000_t75" alt="User" style="position:absolute;left:1143;top:1359;width:2647;height:2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">
                    <v:imagedata r:id="rId29" o:title="User"/>
                  </v:shape>
                  <v:shape id="Arrow: Down 126" o:spid="_x0000_s1106" type="#_x0000_t67" style="position:absolute;left:2222;width:451;height:144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" adj="18222" fillcolor="black" strokeweight="1pt"/>
                  <v:shape id="Text Box 65" o:spid="_x0000_s1107" type="#_x0000_t202" style="position:absolute;top:3281;width:5035;height:3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" filled="f" stroked="f" strokeweight=".5pt">
                    <v:textbox>
                      <w:txbxContent>
                        <w:p w14:paraId="52264695" w14:textId="77777777" w:rsidR="007401F4" w:rsidRDefault="007401F4" w:rsidP="006E3616">
                          <w:pPr>
                            <w:jc w:val="center"/>
                            <w:rPr>
                              <w:szCs w:val="24"/>
                            </w:rPr>
                          </w:pPr>
                          <w:r>
                            <w:rPr>
                              <w:b/>
                              <w:bCs/>
                              <w:sz w:val="12"/>
                              <w:szCs w:val="12"/>
                            </w:rPr>
                            <w:t>Solution Provider</w:t>
                          </w:r>
                        </w:p>
                      </w:txbxContent>
                    </v:textbox>
                  </v:shape>
                </v:group>
                <v:shape id="Arrow: Right 128" o:spid="_x0000_s1108" type="#_x0000_t13" style="position:absolute;left:53190;top:6644;width:1856;height:73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" adj="17354" fillcolor="#d9d9d9" strokeweight="1pt"/>
                <v:shape id="Graphic 96" o:spid="_x0000_s1109" type="#_x0000_t75" alt="User" style="position:absolute;left:53729;top:2437;width:2662;height:2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">
                  <v:imagedata r:id="rId29" o:title="User"/>
                </v:shape>
                <v:shape id="Text Box 65" o:spid="_x0000_s1110" type="#_x0000_t202" style="position:absolute;left:52653;top:4152;width:6077;height:3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" filled="f" stroked="f" strokeweight=".5pt">
                  <v:textbox>
                    <w:txbxContent>
                      <w:p w14:paraId="2BC12680" w14:textId="77777777" w:rsidR="007401F4" w:rsidRDefault="007401F4" w:rsidP="006E3616">
                        <w:pPr>
                          <w:spacing w:line="240" w:lineRule="auto"/>
                          <w:jc w:val="center"/>
                          <w:rPr>
                            <w:szCs w:val="24"/>
                          </w:rPr>
                        </w:pPr>
                        <w:r>
                          <w:rPr>
                            <w:b/>
                            <w:bCs/>
                            <w:sz w:val="12"/>
                            <w:szCs w:val="12"/>
                          </w:rPr>
                          <w:t>Application Provider</w:t>
                        </w:r>
                      </w:p>
                    </w:txbxContent>
                  </v:textbox>
                </v:shape>
                <w10:anchorlock/>
              </v:group>
            </w:pict>
          </mc:Fallback>
        </mc:AlternateContent>
      </w:r>
    </w:p>
    <w:p w14:paraId="2EC6C769" w14:textId="0141E7AA" w:rsidR="006E3616" w:rsidRPr="00400193" w:rsidRDefault="006E3616" w:rsidP="006E3616">
      <w:pPr>
        <w:pStyle w:val="Caption"/>
        <w:spacing w:after="240"/>
      </w:pPr>
      <w:bookmarkStart w:id="85" w:name="_Ref42257411"/>
      <w:bookmarkStart w:id="86" w:name="_Toc5538755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6</w:t>
      </w:r>
      <w:r w:rsidR="00E35E8C" w:rsidRPr="00400193">
        <w:fldChar w:fldCharType="end"/>
      </w:r>
      <w:bookmarkEnd w:id="85"/>
      <w:r w:rsidRPr="00400193">
        <w:t>: The concept of PaaS. Source: adapted from Li et al. (2013, p. 80)</w:t>
      </w:r>
      <w:bookmarkEnd w:id="86"/>
    </w:p>
    <w:p w14:paraId="1ADCE5EE" w14:textId="659E5073" w:rsidR="006E3616" w:rsidRPr="00400193" w:rsidRDefault="006E3616" w:rsidP="006E3616">
      <w:r w:rsidRPr="00400193">
        <w:t xml:space="preserve">This approach to usage must also be considered as part of risk management. </w:t>
      </w:r>
      <w:r w:rsidRPr="00400193">
        <w:rPr>
          <w:i/>
        </w:rPr>
        <w:t>“Traditional ‘silo’ risk management has focused on managing primarily financial and hazard risks through hedging and insurance”</w:t>
      </w:r>
      <w:r w:rsidRPr="00400193">
        <w:t xml:space="preserve"> (Keith, 2014, p. 20) and the ‘silo’ approach means that it is domain-dependent, or vertical </w:t>
      </w:r>
      <w:r w:rsidR="0019578D" w:rsidRPr="00400193">
        <w:t>(Li</w:t>
      </w:r>
      <w:r w:rsidR="00704A6D" w:rsidRPr="00400193">
        <w:t xml:space="preserve"> et al</w:t>
      </w:r>
      <w:r w:rsidR="0019578D" w:rsidRPr="00400193">
        <w:t>., 2013)</w:t>
      </w:r>
      <w:r w:rsidRPr="00400193">
        <w:t>. This also fits well with the idea behind the need for a new, comprehensive CRM framework and emphasises the importance of increasing levels of awareness and resilience to cyber-attack.</w:t>
      </w:r>
    </w:p>
    <w:p w14:paraId="276DACAF" w14:textId="77777777" w:rsidR="006E3616" w:rsidRPr="00400193" w:rsidRDefault="006E3616" w:rsidP="006E3616">
      <w:r w:rsidRPr="00400193">
        <w:t xml:space="preserve">Several responses have been developed for these risks, where traditional approaches such as Probability Risk Assessment (PRA) are considered insufficient. PRA is an excellent way of assessing risk, provided the assessor is aware of the risks. However, many cyber-risks are unique or not previously seen, so the assessor is often not truly aware of the risks. Ralston, Graham and Hieb (2007) suggested that the best of these new responses is hierarchical holographic modelling (HHM), which can be combined with risk filtering, ranking and management (RFRM). Both these approaches are valid but require substantial research by the organisation before use. This means that they </w:t>
      </w:r>
      <w:r w:rsidRPr="00400193">
        <w:lastRenderedPageBreak/>
        <w:t>may form a part of a new framework and can probably be successfully combined with other approaches but are not sufficient on their own.</w:t>
      </w:r>
    </w:p>
    <w:p w14:paraId="35868B85" w14:textId="7CBCFF77" w:rsidR="006E3616" w:rsidRPr="00400193" w:rsidRDefault="006E3616" w:rsidP="006E3616">
      <w:r w:rsidRPr="00400193">
        <w:t xml:space="preserve">Some of the effects of cyber-risks are shown in </w:t>
      </w:r>
      <w:r w:rsidRPr="00400193">
        <w:fldChar w:fldCharType="begin"/>
      </w:r>
      <w:r w:rsidRPr="00400193">
        <w:instrText xml:space="preserve"> REF _Ref42257735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7</w:t>
      </w:r>
      <w:r w:rsidRPr="00400193">
        <w:fldChar w:fldCharType="end"/>
      </w:r>
      <w:r w:rsidRPr="00400193">
        <w:t xml:space="preserve">. This is not a comprehensive list of every threat and response but shows that cyber-risk is more than ‘just an IT problem’. Cyber-risk management (CRM) is therefore a vital part of any enterprise that is reliant on computers at any level. It also illustrates the ‘traditional’ view where the threats, vulnerabilities and responses are all made up of separate ‘domains’ (e.g. ‘Hacktivism’, ‘people’, ‘policies’) demonstrating one of the weaknesses described in another context by </w:t>
      </w:r>
      <w:r w:rsidR="0019578D" w:rsidRPr="00400193">
        <w:t>(Li</w:t>
      </w:r>
      <w:r w:rsidR="00704A6D" w:rsidRPr="00400193">
        <w:t xml:space="preserve"> et al</w:t>
      </w:r>
      <w:r w:rsidR="0019578D" w:rsidRPr="00400193">
        <w:t>., 2013; 2019)</w:t>
      </w:r>
      <w:r w:rsidRPr="00400193">
        <w:t>.</w:t>
      </w:r>
    </w:p>
    <w:p w14:paraId="05A32DE9" w14:textId="49BA3AC2" w:rsidR="006E3616" w:rsidRPr="00400193" w:rsidRDefault="006E3616" w:rsidP="00641F89">
      <w:r w:rsidRPr="00400193">
        <w:t>The various standards for cyber-security (</w:t>
      </w:r>
      <w:r w:rsidRPr="00400193">
        <w:fldChar w:fldCharType="begin"/>
      </w:r>
      <w:r w:rsidRPr="00400193">
        <w:instrText xml:space="preserve"> REF _Ref42181699 \h </w:instrText>
      </w:r>
      <w:r w:rsidRPr="00400193">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1</w:t>
      </w:r>
      <w:r w:rsidRPr="00400193">
        <w:fldChar w:fldCharType="end"/>
      </w:r>
      <w:r w:rsidRPr="00400193">
        <w:t xml:space="preserve"> and</w:t>
      </w:r>
      <w:r w:rsidR="00641F89" w:rsidRPr="00400193">
        <w:t xml:space="preserve"> </w:t>
      </w:r>
      <w:r w:rsidR="004E7116" w:rsidRPr="00400193">
        <w:fldChar w:fldCharType="begin"/>
      </w:r>
      <w:r w:rsidR="004E7116" w:rsidRPr="00400193">
        <w:instrText xml:space="preserve"> REF _Ref52721193 \h </w:instrText>
      </w:r>
      <w:r w:rsidR="004E7116" w:rsidRPr="00400193">
        <w:fldChar w:fldCharType="separate"/>
      </w:r>
      <w:r w:rsidR="00BB7C18" w:rsidRPr="00400193">
        <w:t xml:space="preserve">Appendix </w:t>
      </w:r>
      <w:r w:rsidR="00BB7C18">
        <w:rPr>
          <w:noProof/>
        </w:rPr>
        <w:t>2</w:t>
      </w:r>
      <w:r w:rsidR="004E7116" w:rsidRPr="00400193">
        <w:fldChar w:fldCharType="end"/>
      </w:r>
      <w:r w:rsidRPr="00400193">
        <w:t xml:space="preserve">) all prescribe actions to mitigate attacks, rather than to measure resilience or prevent attacks. It is therefore essential that emerging trends are considered alongside the existing frameworks that for cyber-risk management. The risk framework shown in </w:t>
      </w:r>
      <w:r w:rsidRPr="00400193">
        <w:fldChar w:fldCharType="begin"/>
      </w:r>
      <w:r w:rsidRPr="00400193">
        <w:instrText xml:space="preserve"> REF _Ref42257735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7</w:t>
      </w:r>
      <w:r w:rsidRPr="00400193">
        <w:fldChar w:fldCharType="end"/>
      </w:r>
      <w:r w:rsidRPr="00400193">
        <w:t xml:space="preserve"> does not suggest any method of mitigating the threats or reducing the damage to the ‘values’. It clearly acknowledges that accidents and poor practices both increase vulnerability, but that both are spread across the entire spectrum. Neither is therefore the whole cause of that vulnerability. The next stage for most enterprises would be to look at the recommendations in BS ISO/IEC 27001:2005 (BSI, 2005) (and ISO 31000:2009) to create an applicable framework similar to </w:t>
      </w:r>
      <w:r w:rsidRPr="00400193">
        <w:fldChar w:fldCharType="begin"/>
      </w:r>
      <w:r w:rsidRPr="00400193">
        <w:instrText xml:space="preserve"> REF _Ref42258029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8</w:t>
      </w:r>
      <w:r w:rsidRPr="00400193">
        <w:fldChar w:fldCharType="end"/>
      </w:r>
      <w:r w:rsidRPr="00400193">
        <w:t xml:space="preserve">. This clearly shows the dynamic nature of a CRM framework, operating on an endless cycle of assessment and development. </w:t>
      </w:r>
      <w:r w:rsidRPr="00400193">
        <w:fldChar w:fldCharType="begin"/>
      </w:r>
      <w:r w:rsidRPr="00400193">
        <w:instrText xml:space="preserve"> REF _Ref42258029 \h </w:instrText>
      </w:r>
      <w:r w:rsidRPr="00400193">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8</w:t>
      </w:r>
      <w:r w:rsidRPr="00400193">
        <w:fldChar w:fldCharType="end"/>
      </w:r>
      <w:r w:rsidRPr="00400193">
        <w:t xml:space="preserve"> describes a general risk management framework and process, but essentially ERM must include CRM and CRM must be taken as seriously as any other risk to the enterprise. This framework is, and must be, based on a continuous cycle such as the Plan, Do, Check, Act (PDCA) cycle (also known as the Deming cycle (Deming, 2000) or Plan-Do-Study-Act (PDSA) cycle), because the process must be continuous, and not applied once and then ignored. </w:t>
      </w:r>
    </w:p>
    <w:p w14:paraId="6024E6C9" w14:textId="77777777" w:rsidR="006E3616" w:rsidRPr="00400193" w:rsidRDefault="006E3616" w:rsidP="006E3616">
      <w:pPr>
        <w:keepNext/>
        <w:spacing w:after="0" w:line="240" w:lineRule="auto"/>
      </w:pPr>
      <w:r w:rsidRPr="00400193">
        <w:rPr>
          <w:rFonts w:eastAsia="Arial Unicode MS" w:cs="Times New Roman"/>
          <w:noProof/>
          <w:szCs w:val="24"/>
          <w:lang w:val="en-US"/>
        </w:rPr>
        <w:lastRenderedPageBreak/>
        <w:drawing>
          <wp:inline distT="0" distB="0" distL="0" distR="0" wp14:anchorId="50BC02DF" wp14:editId="5142FF09">
            <wp:extent cx="5760000" cy="3240000"/>
            <wp:effectExtent l="19050" t="19050" r="12700" b="17780"/>
            <wp:docPr id="12" name="Picture 39" descr="https://pbs.twimg.com/media/Be0mmDDCQAA-ml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descr="https://pbs.twimg.com/media/Be0mmDDCQAA-ml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02B68E21" w14:textId="4A76746F" w:rsidR="006E3616" w:rsidRPr="00400193" w:rsidRDefault="006E3616" w:rsidP="006E3616">
      <w:pPr>
        <w:pStyle w:val="Caption"/>
        <w:spacing w:after="240"/>
      </w:pPr>
      <w:bookmarkStart w:id="87" w:name="_Ref42257735"/>
      <w:bookmarkStart w:id="88" w:name="_Toc5538755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7</w:t>
      </w:r>
      <w:r w:rsidR="00E35E8C" w:rsidRPr="00400193">
        <w:fldChar w:fldCharType="end"/>
      </w:r>
      <w:bookmarkEnd w:id="87"/>
      <w:r w:rsidRPr="00400193">
        <w:t>: Cyber-risk framework. Source: adapted from World Economic Forum (2012, p. 13)</w:t>
      </w:r>
      <w:bookmarkEnd w:id="88"/>
    </w:p>
    <w:p w14:paraId="30774B0D" w14:textId="77777777" w:rsidR="006E3616" w:rsidRPr="00400193" w:rsidRDefault="006E3616" w:rsidP="006E3616">
      <w:pPr>
        <w:pStyle w:val="Caption"/>
        <w:keepNext/>
      </w:pPr>
      <w:r w:rsidRPr="00400193">
        <w:rPr>
          <w:noProof/>
          <w:lang w:val="en-US"/>
        </w:rPr>
        <w:drawing>
          <wp:inline distT="0" distB="0" distL="0" distR="0" wp14:anchorId="0814C3E8" wp14:editId="7914A9A2">
            <wp:extent cx="5778000" cy="3240000"/>
            <wp:effectExtent l="19050" t="19050" r="13335" b="17780"/>
            <wp:docPr id="13" name="image2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9.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78000" cy="3240000"/>
                    </a:xfrm>
                    <a:prstGeom prst="rect">
                      <a:avLst/>
                    </a:prstGeom>
                    <a:noFill/>
                    <a:ln w="19050">
                      <a:solidFill>
                        <a:schemeClr val="tx1"/>
                      </a:solidFill>
                    </a:ln>
                  </pic:spPr>
                </pic:pic>
              </a:graphicData>
            </a:graphic>
          </wp:inline>
        </w:drawing>
      </w:r>
    </w:p>
    <w:p w14:paraId="6B86FB01" w14:textId="29255BA8" w:rsidR="006E3616" w:rsidRPr="00400193" w:rsidRDefault="006E3616" w:rsidP="006E3616">
      <w:pPr>
        <w:pStyle w:val="Caption"/>
      </w:pPr>
      <w:bookmarkStart w:id="89" w:name="_Ref42258029"/>
      <w:bookmarkStart w:id="90" w:name="_Toc5538755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8</w:t>
      </w:r>
      <w:r w:rsidR="00E35E8C" w:rsidRPr="00400193">
        <w:fldChar w:fldCharType="end"/>
      </w:r>
      <w:bookmarkEnd w:id="89"/>
      <w:r w:rsidRPr="00400193">
        <w:t>: CRM framework and process based on BS ISO recommendations. Source: adapted from BSI/ISO (2016)</w:t>
      </w:r>
      <w:bookmarkEnd w:id="90"/>
    </w:p>
    <w:p w14:paraId="34583892" w14:textId="77777777" w:rsidR="006E3616" w:rsidRPr="00400193" w:rsidRDefault="006E3616" w:rsidP="006E3616"/>
    <w:p w14:paraId="377EFF66" w14:textId="77777777" w:rsidR="006E3616" w:rsidRPr="00400193" w:rsidRDefault="006E3616" w:rsidP="006E3616">
      <w:pPr>
        <w:pStyle w:val="Heading3"/>
        <w:rPr>
          <w:rFonts w:eastAsia="Arial"/>
          <w:lang w:eastAsia="zh-CN" w:bidi="hi-IN"/>
        </w:rPr>
      </w:pPr>
      <w:bookmarkStart w:id="91" w:name="_Toc61894664"/>
      <w:r w:rsidRPr="00400193">
        <w:rPr>
          <w:rFonts w:eastAsia="Arial"/>
          <w:lang w:eastAsia="zh-CN" w:bidi="hi-IN"/>
        </w:rPr>
        <w:t>The Importance of a CRM Framework</w:t>
      </w:r>
      <w:bookmarkEnd w:id="91"/>
    </w:p>
    <w:p w14:paraId="1E18B50A" w14:textId="178B0225" w:rsidR="006E3616" w:rsidRPr="00400193" w:rsidRDefault="006E3616" w:rsidP="006E3616">
      <w:pPr>
        <w:suppressAutoHyphens/>
        <w:rPr>
          <w:szCs w:val="24"/>
          <w:lang w:eastAsia="zh-CN" w:bidi="hi-IN"/>
        </w:rPr>
      </w:pPr>
      <w:r w:rsidRPr="00400193">
        <w:rPr>
          <w:szCs w:val="24"/>
          <w:lang w:eastAsia="zh-CN" w:bidi="hi-IN"/>
        </w:rPr>
        <w:t xml:space="preserve">It is essential to manage cyber-risks because of the level of interconnectivity in the modern business world and the consequent multiplication of risk. The computer systems of suppliers, their suppliers, customers and their customers are all linked in </w:t>
      </w:r>
      <w:r w:rsidRPr="00400193">
        <w:rPr>
          <w:szCs w:val="24"/>
          <w:lang w:eastAsia="zh-CN" w:bidi="hi-IN"/>
        </w:rPr>
        <w:lastRenderedPageBreak/>
        <w:t xml:space="preserve">what is essentially a ‘neural network’. In its simplest form, with one supplier and one customer, it may look something like </w:t>
      </w:r>
      <w:r w:rsidRPr="00400193">
        <w:rPr>
          <w:szCs w:val="24"/>
          <w:lang w:eastAsia="zh-CN" w:bidi="hi-IN"/>
        </w:rPr>
        <w:fldChar w:fldCharType="begin"/>
      </w:r>
      <w:r w:rsidRPr="00400193">
        <w:rPr>
          <w:szCs w:val="24"/>
          <w:lang w:eastAsia="zh-CN" w:bidi="hi-IN"/>
        </w:rPr>
        <w:instrText xml:space="preserve"> REF _Ref42538265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9</w:t>
      </w:r>
      <w:r w:rsidRPr="00400193">
        <w:rPr>
          <w:szCs w:val="24"/>
          <w:lang w:eastAsia="zh-CN" w:bidi="hi-IN"/>
        </w:rPr>
        <w:fldChar w:fldCharType="end"/>
      </w:r>
      <w:r w:rsidRPr="00400193">
        <w:rPr>
          <w:szCs w:val="24"/>
          <w:lang w:eastAsia="zh-CN" w:bidi="hi-IN"/>
        </w:rPr>
        <w:t xml:space="preserve">. However, as suppliers and customers are added, it will begin to look more like those shown in </w:t>
      </w:r>
      <w:r w:rsidRPr="00400193">
        <w:rPr>
          <w:szCs w:val="24"/>
          <w:lang w:eastAsia="zh-CN" w:bidi="hi-IN"/>
        </w:rPr>
        <w:fldChar w:fldCharType="begin"/>
      </w:r>
      <w:r w:rsidRPr="00400193">
        <w:rPr>
          <w:szCs w:val="24"/>
          <w:lang w:eastAsia="zh-CN" w:bidi="hi-IN"/>
        </w:rPr>
        <w:instrText xml:space="preserve"> REF _Ref42538275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10</w:t>
      </w:r>
      <w:r w:rsidRPr="00400193">
        <w:rPr>
          <w:szCs w:val="24"/>
          <w:lang w:eastAsia="zh-CN" w:bidi="hi-IN"/>
        </w:rPr>
        <w:fldChar w:fldCharType="end"/>
      </w:r>
      <w:r w:rsidRPr="00400193">
        <w:rPr>
          <w:szCs w:val="24"/>
          <w:lang w:eastAsia="zh-CN" w:bidi="hi-IN"/>
        </w:rPr>
        <w:t>.</w:t>
      </w:r>
    </w:p>
    <w:p w14:paraId="34E5F0F6" w14:textId="148D5C92" w:rsidR="006E3616" w:rsidRPr="00400193" w:rsidRDefault="006E3616" w:rsidP="006E3616">
      <w:pPr>
        <w:suppressAutoHyphens/>
        <w:rPr>
          <w:szCs w:val="24"/>
          <w:lang w:eastAsia="zh-CN" w:bidi="hi-IN"/>
        </w:rPr>
      </w:pPr>
      <w:r w:rsidRPr="00400193">
        <w:rPr>
          <w:szCs w:val="24"/>
          <w:lang w:eastAsia="zh-CN" w:bidi="hi-IN"/>
        </w:rPr>
        <w:t xml:space="preserve">This multiplication of connections highlights both the importance and the difficulty of developing a ‘one size fits all’ framework for protection. It also shows the potential size of the problem. If devices such as smart phones are connected to these networks, background “apps” can compromise security even further (Efthymiopoulos, 2016). These devices also complicate the connected structure by connecting across layers, so that in </w:t>
      </w:r>
      <w:r w:rsidRPr="00400193">
        <w:rPr>
          <w:szCs w:val="24"/>
          <w:lang w:eastAsia="zh-CN" w:bidi="hi-IN"/>
        </w:rPr>
        <w:fldChar w:fldCharType="begin"/>
      </w:r>
      <w:r w:rsidRPr="00400193">
        <w:rPr>
          <w:szCs w:val="24"/>
          <w:lang w:eastAsia="zh-CN" w:bidi="hi-IN"/>
        </w:rPr>
        <w:instrText xml:space="preserve"> REF _Ref42538275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10</w:t>
      </w:r>
      <w:r w:rsidRPr="00400193">
        <w:rPr>
          <w:szCs w:val="24"/>
          <w:lang w:eastAsia="zh-CN" w:bidi="hi-IN"/>
        </w:rPr>
        <w:fldChar w:fldCharType="end"/>
      </w:r>
      <w:r w:rsidRPr="00400193">
        <w:rPr>
          <w:szCs w:val="24"/>
          <w:lang w:eastAsia="zh-CN" w:bidi="hi-IN"/>
        </w:rPr>
        <w:t xml:space="preserve"> a smartphone could connect layer three directly to layer one, multiplying the risk by the number of connections in each layer.</w:t>
      </w:r>
    </w:p>
    <w:p w14:paraId="7459ED46" w14:textId="77777777" w:rsidR="006E3616" w:rsidRPr="00400193" w:rsidRDefault="006E3616" w:rsidP="006E3616">
      <w:pPr>
        <w:keepNext/>
        <w:suppressAutoHyphens/>
        <w:spacing w:after="0" w:line="240" w:lineRule="auto"/>
      </w:pPr>
      <w:r w:rsidRPr="00400193">
        <w:rPr>
          <w:noProof/>
          <w:lang w:val="en-US"/>
        </w:rPr>
        <mc:AlternateContent>
          <mc:Choice Requires="wpc">
            <w:drawing>
              <wp:inline distT="0" distB="0" distL="0" distR="0" wp14:anchorId="2F76043D" wp14:editId="057CDCC9">
                <wp:extent cx="5760000" cy="1620000"/>
                <wp:effectExtent l="0" t="0" r="12700" b="18415"/>
                <wp:docPr id="47" name="Canvas 147"/>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19050">
                          <a:solidFill>
                            <a:schemeClr val="tx1"/>
                          </a:solidFill>
                        </a:ln>
                      </wpc:whole>
                      <wps:wsp>
                        <wps:cNvPr id="31" name="Oval 132"/>
                        <wps:cNvSpPr>
                          <a:spLocks noChangeArrowheads="1"/>
                        </wps:cNvSpPr>
                        <wps:spPr bwMode="auto">
                          <a:xfrm>
                            <a:off x="973529" y="511166"/>
                            <a:ext cx="495849" cy="501429"/>
                          </a:xfrm>
                          <a:prstGeom prst="ellipse">
                            <a:avLst/>
                          </a:prstGeom>
                          <a:solidFill>
                            <a:srgbClr val="BFBFBF"/>
                          </a:solidFill>
                          <a:ln w="12700">
                            <a:solidFill>
                              <a:srgbClr val="000000"/>
                            </a:solidFill>
                            <a:miter lim="800000"/>
                            <a:headEnd/>
                            <a:tailEnd/>
                          </a:ln>
                        </wps:spPr>
                        <wps:bodyPr rot="0" vert="horz" wrap="square" lIns="91440" tIns="45720" rIns="91440" bIns="45720" anchor="ctr" anchorCtr="0" upright="1">
                          <a:noAutofit/>
                        </wps:bodyPr>
                      </wps:wsp>
                      <wps:wsp>
                        <wps:cNvPr id="32" name="Oval 133"/>
                        <wps:cNvSpPr>
                          <a:spLocks noChangeArrowheads="1"/>
                        </wps:cNvSpPr>
                        <wps:spPr bwMode="auto">
                          <a:xfrm>
                            <a:off x="2558882" y="9949"/>
                            <a:ext cx="495642" cy="501206"/>
                          </a:xfrm>
                          <a:prstGeom prst="ellipse">
                            <a:avLst/>
                          </a:prstGeom>
                          <a:solidFill>
                            <a:srgbClr val="BFBFBF"/>
                          </a:solidFill>
                          <a:ln w="12700">
                            <a:solidFill>
                              <a:srgbClr val="000000"/>
                            </a:solidFill>
                            <a:miter lim="800000"/>
                            <a:headEnd/>
                            <a:tailEnd/>
                          </a:ln>
                        </wps:spPr>
                        <wps:bodyPr rot="0" vert="horz" wrap="square" lIns="91440" tIns="45720" rIns="91440" bIns="45720" anchor="ctr" anchorCtr="0" upright="1">
                          <a:noAutofit/>
                        </wps:bodyPr>
                      </wps:wsp>
                      <wps:wsp>
                        <wps:cNvPr id="33" name="Oval 134"/>
                        <wps:cNvSpPr>
                          <a:spLocks noChangeArrowheads="1"/>
                        </wps:cNvSpPr>
                        <wps:spPr bwMode="auto">
                          <a:xfrm>
                            <a:off x="2594933" y="1080000"/>
                            <a:ext cx="495642" cy="501206"/>
                          </a:xfrm>
                          <a:prstGeom prst="ellipse">
                            <a:avLst/>
                          </a:prstGeom>
                          <a:solidFill>
                            <a:srgbClr val="BFBFBF"/>
                          </a:solidFill>
                          <a:ln w="12700">
                            <a:solidFill>
                              <a:srgbClr val="000000"/>
                            </a:solidFill>
                            <a:miter lim="800000"/>
                            <a:headEnd/>
                            <a:tailEnd/>
                          </a:ln>
                        </wps:spPr>
                        <wps:bodyPr rot="0" vert="horz" wrap="square" lIns="91440" tIns="45720" rIns="91440" bIns="45720" anchor="ctr" anchorCtr="0" upright="1">
                          <a:noAutofit/>
                        </wps:bodyPr>
                      </wps:wsp>
                      <wps:wsp>
                        <wps:cNvPr id="34" name="Oval 135"/>
                        <wps:cNvSpPr>
                          <a:spLocks noChangeArrowheads="1"/>
                        </wps:cNvSpPr>
                        <wps:spPr bwMode="auto">
                          <a:xfrm>
                            <a:off x="4325757" y="509703"/>
                            <a:ext cx="495642" cy="501316"/>
                          </a:xfrm>
                          <a:prstGeom prst="ellipse">
                            <a:avLst/>
                          </a:prstGeom>
                          <a:solidFill>
                            <a:srgbClr val="BFBFBF"/>
                          </a:solidFill>
                          <a:ln w="12700">
                            <a:solidFill>
                              <a:srgbClr val="000000"/>
                            </a:solidFill>
                            <a:miter lim="800000"/>
                            <a:headEnd/>
                            <a:tailEnd/>
                          </a:ln>
                        </wps:spPr>
                        <wps:bodyPr rot="0" vert="horz" wrap="square" lIns="91440" tIns="45720" rIns="91440" bIns="45720" anchor="ctr" anchorCtr="0" upright="1">
                          <a:noAutofit/>
                        </wps:bodyPr>
                      </wps:wsp>
                      <wps:wsp>
                        <wps:cNvPr id="35" name="Straight Arrow Connector 136"/>
                        <wps:cNvCnPr>
                          <a:cxnSpLocks noChangeShapeType="1"/>
                        </wps:cNvCnPr>
                        <wps:spPr bwMode="auto">
                          <a:xfrm>
                            <a:off x="288420" y="771429"/>
                            <a:ext cx="685098" cy="0"/>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6" name="Straight Arrow Connector 137"/>
                        <wps:cNvCnPr>
                          <a:cxnSpLocks noChangeShapeType="1"/>
                        </wps:cNvCnPr>
                        <wps:spPr bwMode="auto">
                          <a:xfrm flipV="1">
                            <a:off x="1396742" y="260497"/>
                            <a:ext cx="1162135" cy="324000"/>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7" name="Straight Arrow Connector 138"/>
                        <wps:cNvCnPr>
                          <a:cxnSpLocks noChangeShapeType="1"/>
                        </wps:cNvCnPr>
                        <wps:spPr bwMode="auto">
                          <a:xfrm>
                            <a:off x="1396738" y="939035"/>
                            <a:ext cx="1198190" cy="401479"/>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8" name="Straight Arrow Connector 139"/>
                        <wps:cNvCnPr>
                          <a:cxnSpLocks noChangeShapeType="1"/>
                        </wps:cNvCnPr>
                        <wps:spPr bwMode="auto">
                          <a:xfrm flipV="1">
                            <a:off x="3090573" y="937469"/>
                            <a:ext cx="1307703" cy="402931"/>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9" name="Straight Arrow Connector 140"/>
                        <wps:cNvCnPr>
                          <a:cxnSpLocks noChangeShapeType="1"/>
                        </wps:cNvCnPr>
                        <wps:spPr bwMode="auto">
                          <a:xfrm>
                            <a:off x="3054516" y="260497"/>
                            <a:ext cx="1271233" cy="499754"/>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Straight Arrow Connector 141"/>
                        <wps:cNvCnPr>
                          <a:cxnSpLocks noChangeShapeType="1"/>
                        </wps:cNvCnPr>
                        <wps:spPr bwMode="auto">
                          <a:xfrm>
                            <a:off x="4821402" y="760137"/>
                            <a:ext cx="605367" cy="0"/>
                          </a:xfrm>
                          <a:prstGeom prst="straightConnector1">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 name="Text Box 142"/>
                        <wps:cNvSpPr txBox="1">
                          <a:spLocks noChangeArrowheads="1"/>
                        </wps:cNvSpPr>
                        <wps:spPr bwMode="auto">
                          <a:xfrm>
                            <a:off x="90182" y="433590"/>
                            <a:ext cx="516946" cy="326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16E5E24" w14:textId="77777777" w:rsidR="007401F4" w:rsidRDefault="007401F4" w:rsidP="006E3616">
                              <w:r>
                                <w:t>input</w:t>
                              </w:r>
                            </w:p>
                          </w:txbxContent>
                        </wps:txbx>
                        <wps:bodyPr rot="0" vert="horz" wrap="none" lIns="91440" tIns="45720" rIns="91440" bIns="45720" anchor="t" anchorCtr="0" upright="1">
                          <a:noAutofit/>
                        </wps:bodyPr>
                      </wps:wsp>
                      <wps:wsp>
                        <wps:cNvPr id="42" name="Text Box 56"/>
                        <wps:cNvSpPr txBox="1">
                          <a:spLocks noChangeArrowheads="1"/>
                        </wps:cNvSpPr>
                        <wps:spPr bwMode="auto">
                          <a:xfrm>
                            <a:off x="5118218" y="432248"/>
                            <a:ext cx="610878"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B0B1983" w14:textId="77777777" w:rsidR="007401F4" w:rsidRDefault="007401F4" w:rsidP="006E3616">
                              <w:pPr>
                                <w:rPr>
                                  <w:szCs w:val="24"/>
                                </w:rPr>
                              </w:pPr>
                              <w:r>
                                <w:t>output</w:t>
                              </w:r>
                            </w:p>
                          </w:txbxContent>
                        </wps:txbx>
                        <wps:bodyPr rot="0" vert="horz" wrap="none" lIns="91440" tIns="45720" rIns="91440" bIns="45720" anchor="t" anchorCtr="0" upright="1">
                          <a:noAutofit/>
                        </wps:bodyPr>
                      </wps:wsp>
                      <wps:wsp>
                        <wps:cNvPr id="43" name="Text Box 56"/>
                        <wps:cNvSpPr txBox="1">
                          <a:spLocks noChangeArrowheads="1"/>
                        </wps:cNvSpPr>
                        <wps:spPr bwMode="auto">
                          <a:xfrm>
                            <a:off x="973385" y="1088126"/>
                            <a:ext cx="286908"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CE2F066" w14:textId="77777777" w:rsidR="007401F4" w:rsidRDefault="007401F4" w:rsidP="006E3616">
                              <w:pPr>
                                <w:rPr>
                                  <w:szCs w:val="24"/>
                                </w:rPr>
                              </w:pPr>
                              <w:r>
                                <w:t>A</w:t>
                              </w:r>
                            </w:p>
                          </w:txbxContent>
                        </wps:txbx>
                        <wps:bodyPr rot="0" vert="horz" wrap="none" lIns="91440" tIns="45720" rIns="91440" bIns="45720" anchor="t" anchorCtr="0" upright="1">
                          <a:noAutofit/>
                        </wps:bodyPr>
                      </wps:wsp>
                      <wps:wsp>
                        <wps:cNvPr id="44" name="Text Box 56"/>
                        <wps:cNvSpPr txBox="1">
                          <a:spLocks noChangeArrowheads="1"/>
                        </wps:cNvSpPr>
                        <wps:spPr bwMode="auto">
                          <a:xfrm>
                            <a:off x="2615133" y="489067"/>
                            <a:ext cx="295215"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5AD6818" w14:textId="77777777" w:rsidR="007401F4" w:rsidRDefault="007401F4" w:rsidP="006E3616">
                              <w:pPr>
                                <w:spacing w:line="240" w:lineRule="auto"/>
                              </w:pPr>
                              <w:r>
                                <w:t>B</w:t>
                              </w:r>
                            </w:p>
                            <w:p w14:paraId="487F41C0" w14:textId="77777777" w:rsidR="007401F4" w:rsidRDefault="007401F4" w:rsidP="006E3616">
                              <w:pPr>
                                <w:spacing w:line="240" w:lineRule="auto"/>
                                <w:rPr>
                                  <w:szCs w:val="24"/>
                                </w:rPr>
                              </w:pPr>
                              <w:r>
                                <w:t>C</w:t>
                              </w:r>
                            </w:p>
                          </w:txbxContent>
                        </wps:txbx>
                        <wps:bodyPr rot="0" vert="horz" wrap="none" lIns="91440" tIns="45720" rIns="91440" bIns="45720" anchor="t" anchorCtr="0" upright="1">
                          <a:noAutofit/>
                        </wps:bodyPr>
                      </wps:wsp>
                      <wps:wsp>
                        <wps:cNvPr id="46" name="Text Box 56"/>
                        <wps:cNvSpPr txBox="1">
                          <a:spLocks noChangeArrowheads="1"/>
                        </wps:cNvSpPr>
                        <wps:spPr bwMode="auto">
                          <a:xfrm>
                            <a:off x="4398149" y="1079622"/>
                            <a:ext cx="295215" cy="326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60DCFA9" w14:textId="77777777" w:rsidR="007401F4" w:rsidRDefault="007401F4" w:rsidP="006E3616">
                              <w:pPr>
                                <w:rPr>
                                  <w:szCs w:val="24"/>
                                </w:rPr>
                              </w:pPr>
                              <w:r>
                                <w:t>D</w:t>
                              </w:r>
                            </w:p>
                          </w:txbxContent>
                        </wps:txbx>
                        <wps:bodyPr rot="0" vert="horz" wrap="none" lIns="91440" tIns="45720" rIns="91440" bIns="45720" anchor="t" anchorCtr="0" upright="1">
                          <a:noAutofit/>
                        </wps:bodyPr>
                      </wps:wsp>
                    </wpc:wpc>
                  </a:graphicData>
                </a:graphic>
              </wp:inline>
            </w:drawing>
          </mc:Choice>
          <mc:Fallback>
            <w:pict>
              <v:group w14:anchorId="2F76043D" id="Canvas 147" o:spid="_x0000_s1111" editas="canvas" style="width:453.55pt;height:127.55pt;mso-position-horizontal-relative:char;mso-position-vertical-relative:line" coordsize="57594,16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">
                <v:shape id="_x0000_s1112" type="#_x0000_t75" style="position:absolute;width:57594;height:16198;visibility:visible;mso-wrap-style:square" filled="t" stroked="t" strokecolor="black [3213]" strokeweight="1.5pt">
                  <v:fill o:detectmouseclick="t"/>
                  <v:path o:connecttype="none"/>
                </v:shape>
                <v:oval id="Oval 132" o:spid="_x0000_s1113" style="position:absolute;left:9735;top:5111;width:4958;height:50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" fillcolor="#bfbfbf" strokeweight="1pt">
                  <v:stroke joinstyle="miter"/>
                </v:oval>
                <v:oval id="Oval 133" o:spid="_x0000_s1114" style="position:absolute;left:25588;top:99;width:4957;height:5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" fillcolor="#bfbfbf" strokeweight="1pt">
                  <v:stroke joinstyle="miter"/>
                </v:oval>
                <v:oval id="Oval 134" o:spid="_x0000_s1115" style="position:absolute;left:25949;top:10800;width:4956;height:5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" fillcolor="#bfbfbf" strokeweight="1pt">
                  <v:stroke joinstyle="miter"/>
                </v:oval>
                <v:oval id="Oval 135" o:spid="_x0000_s1116" style="position:absolute;left:43257;top:5097;width:4956;height:5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" fillcolor="#bfbfbf" strokeweight="1pt">
                  <v:stroke joinstyle="miter"/>
                </v:oval>
                <v:shapetype id="_x0000_t32" coordsize="21600,21600" o:spt="32" o:oned="t" path="m,l21600,21600e" filled="f">
                  <v:path arrowok="t" fillok="f" o:connecttype="none"/>
                  <o:lock v:ext="edit" shapetype="t"/>
                </v:shapetype>
                <v:shape id="Straight Arrow Connector 136" o:spid="_x0000_s1117" type="#_x0000_t32" style="position:absolute;left:2884;top:7714;width:68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" strokeweight="1.5pt">
                  <v:stroke endarrow="block" joinstyle="miter"/>
                </v:shape>
                <v:shape id="Straight Arrow Connector 137" o:spid="_x0000_s1118" type="#_x0000_t32" style="position:absolute;left:13967;top:2604;width:11621;height:32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" strokeweight="1.5pt">
                  <v:stroke endarrow="block" joinstyle="miter"/>
                </v:shape>
                <v:shape id="Straight Arrow Connector 138" o:spid="_x0000_s1119" type="#_x0000_t32" style="position:absolute;left:13967;top:9390;width:11982;height:40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" strokeweight="1.5pt">
                  <v:stroke endarrow="block" joinstyle="miter"/>
                </v:shape>
                <v:shape id="Straight Arrow Connector 139" o:spid="_x0000_s1120" type="#_x0000_t32" style="position:absolute;left:30905;top:9374;width:13077;height:40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" strokeweight="1.5pt">
                  <v:stroke endarrow="block" joinstyle="miter"/>
                </v:shape>
                <v:shape id="Straight Arrow Connector 140" o:spid="_x0000_s1121" type="#_x0000_t32" style="position:absolute;left:30545;top:2604;width:12712;height:4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" strokeweight="1.5pt">
                  <v:stroke endarrow="block" joinstyle="miter"/>
                </v:shape>
                <v:shape id="Straight Arrow Connector 141" o:spid="_x0000_s1122" type="#_x0000_t32" style="position:absolute;left:48214;top:7601;width:60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" strokeweight="1.5pt">
                  <v:stroke endarrow="block" joinstyle="miter"/>
                </v:shape>
                <v:shape id="Text Box 142" o:spid="_x0000_s1123" type="#_x0000_t202" style="position:absolute;left:901;top:4335;width:5170;height:32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" filled="f" stroked="f" strokeweight=".5pt">
                  <v:textbox>
                    <w:txbxContent>
                      <w:p w14:paraId="016E5E24" w14:textId="77777777" w:rsidR="007401F4" w:rsidRDefault="007401F4" w:rsidP="006E3616">
                        <w:r>
                          <w:t>input</w:t>
                        </w:r>
                      </w:p>
                    </w:txbxContent>
                  </v:textbox>
                </v:shape>
                <v:shape id="Text Box 56" o:spid="_x0000_s1124" type="#_x0000_t202" style="position:absolute;left:51182;top:4322;width:6108;height:325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" filled="f" stroked="f" strokeweight=".5pt">
                  <v:textbox>
                    <w:txbxContent>
                      <w:p w14:paraId="5B0B1983" w14:textId="77777777" w:rsidR="007401F4" w:rsidRDefault="007401F4" w:rsidP="006E3616">
                        <w:pPr>
                          <w:rPr>
                            <w:szCs w:val="24"/>
                          </w:rPr>
                        </w:pPr>
                        <w:r>
                          <w:t>output</w:t>
                        </w:r>
                      </w:p>
                    </w:txbxContent>
                  </v:textbox>
                </v:shape>
                <v:shape id="Text Box 56" o:spid="_x0000_s1125" type="#_x0000_t202" style="position:absolute;left:9733;top:10881;width:2869;height:32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" filled="f" stroked="f" strokeweight=".5pt">
                  <v:textbox>
                    <w:txbxContent>
                      <w:p w14:paraId="1CE2F066" w14:textId="77777777" w:rsidR="007401F4" w:rsidRDefault="007401F4" w:rsidP="006E3616">
                        <w:pPr>
                          <w:rPr>
                            <w:szCs w:val="24"/>
                          </w:rPr>
                        </w:pPr>
                        <w:r>
                          <w:t>A</w:t>
                        </w:r>
                      </w:p>
                    </w:txbxContent>
                  </v:textbox>
                </v:shape>
                <v:shape id="Text Box 56" o:spid="_x0000_s1126" type="#_x0000_t202" style="position:absolute;left:26151;top:4890;width:2952;height:590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" filled="f" stroked="f" strokeweight=".5pt">
                  <v:textbox>
                    <w:txbxContent>
                      <w:p w14:paraId="65AD6818" w14:textId="77777777" w:rsidR="007401F4" w:rsidRDefault="007401F4" w:rsidP="006E3616">
                        <w:pPr>
                          <w:spacing w:line="240" w:lineRule="auto"/>
                        </w:pPr>
                        <w:r>
                          <w:t>B</w:t>
                        </w:r>
                      </w:p>
                      <w:p w14:paraId="487F41C0" w14:textId="77777777" w:rsidR="007401F4" w:rsidRDefault="007401F4" w:rsidP="006E3616">
                        <w:pPr>
                          <w:spacing w:line="240" w:lineRule="auto"/>
                          <w:rPr>
                            <w:szCs w:val="24"/>
                          </w:rPr>
                        </w:pPr>
                        <w:r>
                          <w:t>C</w:t>
                        </w:r>
                      </w:p>
                    </w:txbxContent>
                  </v:textbox>
                </v:shape>
                <v:shape id="Text Box 56" o:spid="_x0000_s1127" type="#_x0000_t202" style="position:absolute;left:43981;top:10796;width:2952;height:32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" filled="f" stroked="f" strokeweight=".5pt">
                  <v:textbox>
                    <w:txbxContent>
                      <w:p w14:paraId="060DCFA9" w14:textId="77777777" w:rsidR="007401F4" w:rsidRDefault="007401F4" w:rsidP="006E3616">
                        <w:pPr>
                          <w:rPr>
                            <w:szCs w:val="24"/>
                          </w:rPr>
                        </w:pPr>
                        <w:r>
                          <w:t>D</w:t>
                        </w:r>
                      </w:p>
                    </w:txbxContent>
                  </v:textbox>
                </v:shape>
                <w10:anchorlock/>
              </v:group>
            </w:pict>
          </mc:Fallback>
        </mc:AlternateContent>
      </w:r>
    </w:p>
    <w:p w14:paraId="38F08373" w14:textId="2D957CAD" w:rsidR="006E3616" w:rsidRPr="00400193" w:rsidRDefault="006E3616" w:rsidP="006E3616">
      <w:pPr>
        <w:pStyle w:val="Caption"/>
        <w:rPr>
          <w:szCs w:val="24"/>
          <w:lang w:eastAsia="zh-CN" w:bidi="hi-IN"/>
        </w:rPr>
      </w:pPr>
      <w:bookmarkStart w:id="92" w:name="_Ref42538265"/>
      <w:bookmarkStart w:id="93" w:name="_Toc5538756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9</w:t>
      </w:r>
      <w:r w:rsidR="00E35E8C" w:rsidRPr="00400193">
        <w:fldChar w:fldCharType="end"/>
      </w:r>
      <w:bookmarkEnd w:id="92"/>
      <w:r w:rsidRPr="00400193">
        <w:t>: A simple neural network. Source: Shiffman (2012)</w:t>
      </w:r>
      <w:bookmarkEnd w:id="93"/>
    </w:p>
    <w:p w14:paraId="7DEFB7B4" w14:textId="77777777" w:rsidR="006E3616" w:rsidRPr="00400193" w:rsidRDefault="006E3616" w:rsidP="006E3616">
      <w:pPr>
        <w:keepNext/>
        <w:suppressAutoHyphens/>
        <w:spacing w:after="0" w:line="240" w:lineRule="auto"/>
      </w:pPr>
      <w:r w:rsidRPr="00400193">
        <w:rPr>
          <w:noProof/>
          <w:lang w:val="en-US"/>
        </w:rPr>
        <w:drawing>
          <wp:inline distT="0" distB="0" distL="0" distR="0" wp14:anchorId="12B7E594" wp14:editId="49D3F345">
            <wp:extent cx="5760000" cy="2880000"/>
            <wp:effectExtent l="19050" t="19050" r="12700" b="15875"/>
            <wp:docPr id="15" name="Pictur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706767ED" w14:textId="53AB559D" w:rsidR="006E3616" w:rsidRPr="00400193" w:rsidRDefault="006E3616" w:rsidP="006E3616">
      <w:pPr>
        <w:pStyle w:val="Caption"/>
        <w:rPr>
          <w:szCs w:val="24"/>
          <w:lang w:eastAsia="zh-CN" w:bidi="hi-IN"/>
        </w:rPr>
      </w:pPr>
      <w:bookmarkStart w:id="94" w:name="_Ref42538275"/>
      <w:bookmarkStart w:id="95" w:name="_Toc5538756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10</w:t>
      </w:r>
      <w:r w:rsidR="00E35E8C" w:rsidRPr="00400193">
        <w:fldChar w:fldCharType="end"/>
      </w:r>
      <w:bookmarkEnd w:id="94"/>
      <w:r w:rsidRPr="00400193">
        <w:t>: Deep or complex neural networks. Source: Shiffman (2012)</w:t>
      </w:r>
      <w:bookmarkEnd w:id="95"/>
    </w:p>
    <w:p w14:paraId="4A0AF2E5" w14:textId="77777777" w:rsidR="006E3616" w:rsidRPr="00400193" w:rsidRDefault="006E3616" w:rsidP="006E3616">
      <w:pPr>
        <w:suppressAutoHyphens/>
        <w:rPr>
          <w:szCs w:val="24"/>
          <w:lang w:eastAsia="zh-CN" w:bidi="hi-IN"/>
        </w:rPr>
      </w:pPr>
      <w:bookmarkStart w:id="96" w:name="_46r0co2"/>
      <w:bookmarkStart w:id="97" w:name="_2lwamvv"/>
      <w:bookmarkEnd w:id="96"/>
      <w:bookmarkEnd w:id="97"/>
    </w:p>
    <w:p w14:paraId="21152884" w14:textId="7DA0EEA1" w:rsidR="006E3616" w:rsidRPr="00400193" w:rsidRDefault="006E3616" w:rsidP="006E3616">
      <w:pPr>
        <w:suppressAutoHyphens/>
        <w:rPr>
          <w:szCs w:val="24"/>
          <w:lang w:eastAsia="zh-CN" w:bidi="hi-IN"/>
        </w:rPr>
      </w:pPr>
      <w:r w:rsidRPr="00400193">
        <w:rPr>
          <w:szCs w:val="24"/>
          <w:lang w:eastAsia="zh-CN" w:bidi="hi-IN"/>
        </w:rPr>
        <w:t xml:space="preserve">The direct relevance of some of the literature to the development of CRM frameworks is not always obvious. The next section provides a table that links the subject areas of the studies examined to their relevance to other areas. Fowler (2015) gave </w:t>
      </w:r>
      <w:r w:rsidRPr="00400193">
        <w:rPr>
          <w:szCs w:val="24"/>
          <w:lang w:eastAsia="zh-CN" w:bidi="hi-IN"/>
        </w:rPr>
        <w:fldChar w:fldCharType="begin"/>
      </w:r>
      <w:r w:rsidRPr="00400193">
        <w:rPr>
          <w:szCs w:val="24"/>
          <w:lang w:eastAsia="zh-CN" w:bidi="hi-IN"/>
        </w:rPr>
        <w:instrText xml:space="preserve"> REF _Ref42433519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2</w:t>
      </w:r>
      <w:r w:rsidRPr="00400193">
        <w:rPr>
          <w:szCs w:val="24"/>
          <w:lang w:eastAsia="zh-CN" w:bidi="hi-IN"/>
        </w:rPr>
        <w:fldChar w:fldCharType="end"/>
      </w:r>
      <w:r w:rsidRPr="00400193">
        <w:rPr>
          <w:szCs w:val="24"/>
          <w:lang w:eastAsia="zh-CN" w:bidi="hi-IN"/>
        </w:rPr>
        <w:t xml:space="preserve"> </w:t>
      </w:r>
      <w:r w:rsidRPr="00400193">
        <w:rPr>
          <w:szCs w:val="24"/>
          <w:lang w:eastAsia="zh-CN" w:bidi="hi-IN"/>
        </w:rPr>
        <w:lastRenderedPageBreak/>
        <w:t>as an example of the minimum costs of cyber-attacks in terms of reputation, financial cost, and the effect on operations. From news reports, it is also clear that once a company has been attacked, it becomes a target for future attacks (BBC, 2011; Sky News, 2016). The figures in this table suggest that it is worthwhile looking at a list of common ‘events’ (</w:t>
      </w:r>
      <w:r w:rsidRPr="00400193">
        <w:rPr>
          <w:szCs w:val="24"/>
          <w:lang w:eastAsia="zh-CN" w:bidi="hi-IN"/>
        </w:rPr>
        <w:fldChar w:fldCharType="begin"/>
      </w:r>
      <w:r w:rsidRPr="00400193">
        <w:rPr>
          <w:szCs w:val="24"/>
          <w:lang w:eastAsia="zh-CN" w:bidi="hi-IN"/>
        </w:rPr>
        <w:instrText xml:space="preserve"> REF _Ref42433629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3</w:t>
      </w:r>
      <w:r w:rsidRPr="00400193">
        <w:rPr>
          <w:szCs w:val="24"/>
          <w:lang w:eastAsia="zh-CN" w:bidi="hi-IN"/>
        </w:rPr>
        <w:fldChar w:fldCharType="end"/>
      </w:r>
      <w:r w:rsidRPr="00400193">
        <w:rPr>
          <w:szCs w:val="24"/>
          <w:lang w:eastAsia="zh-CN" w:bidi="hi-IN"/>
        </w:rPr>
        <w:t>) and their possible consequences. Any cyber-attack will consist of several of these events occurring at the same time.</w:t>
      </w:r>
    </w:p>
    <w:tbl>
      <w:tblPr>
        <w:tblW w:w="9025" w:type="dxa"/>
        <w:tblLook w:val="04A0" w:firstRow="1" w:lastRow="0" w:firstColumn="1" w:lastColumn="0" w:noHBand="0" w:noVBand="1"/>
      </w:tblPr>
      <w:tblGrid>
        <w:gridCol w:w="2253"/>
        <w:gridCol w:w="2255"/>
        <w:gridCol w:w="2254"/>
        <w:gridCol w:w="2263"/>
      </w:tblGrid>
      <w:tr w:rsidR="00A0618E" w:rsidRPr="00400193" w14:paraId="031E597B" w14:textId="77777777" w:rsidTr="003B5486">
        <w:tc>
          <w:tcPr>
            <w:tcW w:w="2252" w:type="dxa"/>
            <w:tcBorders>
              <w:top w:val="single" w:sz="4" w:space="0" w:color="000000"/>
              <w:left w:val="single" w:sz="4" w:space="0" w:color="000000"/>
              <w:bottom w:val="single" w:sz="4" w:space="0" w:color="auto"/>
              <w:right w:val="single" w:sz="4" w:space="0" w:color="auto"/>
            </w:tcBorders>
          </w:tcPr>
          <w:p w14:paraId="43C003F4" w14:textId="77777777" w:rsidR="006E3616" w:rsidRPr="00400193" w:rsidRDefault="006E3616" w:rsidP="003B5486">
            <w:pPr>
              <w:suppressAutoHyphens/>
              <w:spacing w:after="0" w:line="240" w:lineRule="auto"/>
              <w:rPr>
                <w:b/>
                <w:bCs/>
                <w:sz w:val="22"/>
                <w:lang w:eastAsia="zh-CN" w:bidi="hi-IN"/>
              </w:rPr>
            </w:pPr>
          </w:p>
        </w:tc>
        <w:tc>
          <w:tcPr>
            <w:tcW w:w="6772" w:type="dxa"/>
            <w:gridSpan w:val="3"/>
            <w:tcBorders>
              <w:top w:val="single" w:sz="4" w:space="0" w:color="auto"/>
              <w:left w:val="single" w:sz="4" w:space="0" w:color="auto"/>
              <w:bottom w:val="single" w:sz="4" w:space="0" w:color="auto"/>
              <w:right w:val="single" w:sz="4" w:space="0" w:color="auto"/>
            </w:tcBorders>
            <w:hideMark/>
          </w:tcPr>
          <w:p w14:paraId="386483BA" w14:textId="77777777" w:rsidR="006E3616" w:rsidRPr="00400193" w:rsidRDefault="006E3616" w:rsidP="003B5486">
            <w:pPr>
              <w:suppressAutoHyphens/>
              <w:spacing w:after="0" w:line="240" w:lineRule="auto"/>
              <w:jc w:val="center"/>
              <w:rPr>
                <w:b/>
                <w:bCs/>
                <w:sz w:val="22"/>
                <w:lang w:eastAsia="zh-CN" w:bidi="hi-IN"/>
              </w:rPr>
            </w:pPr>
            <w:r w:rsidRPr="00400193">
              <w:rPr>
                <w:b/>
                <w:bCs/>
                <w:sz w:val="22"/>
                <w:lang w:eastAsia="zh-CN" w:bidi="hi-IN"/>
              </w:rPr>
              <w:t xml:space="preserve">Consequence </w:t>
            </w:r>
          </w:p>
        </w:tc>
      </w:tr>
      <w:tr w:rsidR="00A0618E" w:rsidRPr="00400193" w14:paraId="4A9E1E53"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3E5B6E2B"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Size of incident</w:t>
            </w:r>
          </w:p>
        </w:tc>
        <w:tc>
          <w:tcPr>
            <w:tcW w:w="2255" w:type="dxa"/>
            <w:tcBorders>
              <w:top w:val="single" w:sz="4" w:space="0" w:color="auto"/>
              <w:left w:val="single" w:sz="4" w:space="0" w:color="auto"/>
              <w:bottom w:val="single" w:sz="4" w:space="0" w:color="auto"/>
              <w:right w:val="single" w:sz="4" w:space="0" w:color="auto"/>
            </w:tcBorders>
            <w:hideMark/>
          </w:tcPr>
          <w:p w14:paraId="549E4116"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 xml:space="preserve">Reputational damage </w:t>
            </w:r>
          </w:p>
        </w:tc>
        <w:tc>
          <w:tcPr>
            <w:tcW w:w="2254" w:type="dxa"/>
            <w:tcBorders>
              <w:top w:val="single" w:sz="4" w:space="0" w:color="auto"/>
              <w:left w:val="single" w:sz="4" w:space="0" w:color="auto"/>
              <w:bottom w:val="single" w:sz="4" w:space="0" w:color="auto"/>
              <w:right w:val="single" w:sz="4" w:space="0" w:color="auto"/>
            </w:tcBorders>
            <w:hideMark/>
          </w:tcPr>
          <w:p w14:paraId="5633D530"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Financial damage (US$)</w:t>
            </w:r>
          </w:p>
        </w:tc>
        <w:tc>
          <w:tcPr>
            <w:tcW w:w="2263" w:type="dxa"/>
            <w:tcBorders>
              <w:top w:val="single" w:sz="4" w:space="0" w:color="auto"/>
              <w:left w:val="single" w:sz="4" w:space="0" w:color="auto"/>
              <w:bottom w:val="single" w:sz="4" w:space="0" w:color="auto"/>
              <w:right w:val="single" w:sz="4" w:space="0" w:color="auto"/>
            </w:tcBorders>
            <w:hideMark/>
          </w:tcPr>
          <w:p w14:paraId="1D86775E"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Operational damage</w:t>
            </w:r>
          </w:p>
        </w:tc>
      </w:tr>
      <w:tr w:rsidR="00A0618E" w:rsidRPr="00400193" w14:paraId="42CF6230"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2EFE3370" w14:textId="77777777" w:rsidR="006E3616" w:rsidRPr="00400193" w:rsidRDefault="006E3616" w:rsidP="003B5486">
            <w:pPr>
              <w:suppressAutoHyphens/>
              <w:spacing w:after="0" w:line="240" w:lineRule="auto"/>
              <w:jc w:val="left"/>
              <w:rPr>
                <w:b/>
                <w:bCs/>
                <w:sz w:val="22"/>
                <w:lang w:eastAsia="zh-CN" w:bidi="hi-IN"/>
              </w:rPr>
            </w:pPr>
            <w:r w:rsidRPr="00400193">
              <w:rPr>
                <w:b/>
                <w:bCs/>
                <w:sz w:val="22"/>
                <w:lang w:eastAsia="zh-CN" w:bidi="hi-IN"/>
              </w:rPr>
              <w:t>Incidental</w:t>
            </w:r>
          </w:p>
        </w:tc>
        <w:tc>
          <w:tcPr>
            <w:tcW w:w="2255" w:type="dxa"/>
            <w:tcBorders>
              <w:top w:val="single" w:sz="4" w:space="0" w:color="auto"/>
              <w:left w:val="single" w:sz="4" w:space="0" w:color="auto"/>
              <w:bottom w:val="single" w:sz="4" w:space="0" w:color="auto"/>
              <w:right w:val="single" w:sz="4" w:space="0" w:color="auto"/>
            </w:tcBorders>
            <w:hideMark/>
          </w:tcPr>
          <w:p w14:paraId="69082EFE"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Limited</w:t>
            </w:r>
          </w:p>
        </w:tc>
        <w:tc>
          <w:tcPr>
            <w:tcW w:w="2254" w:type="dxa"/>
            <w:tcBorders>
              <w:top w:val="single" w:sz="4" w:space="0" w:color="auto"/>
              <w:left w:val="single" w:sz="4" w:space="0" w:color="auto"/>
              <w:bottom w:val="single" w:sz="4" w:space="0" w:color="auto"/>
              <w:right w:val="single" w:sz="4" w:space="0" w:color="auto"/>
            </w:tcBorders>
            <w:hideMark/>
          </w:tcPr>
          <w:p w14:paraId="79FFC845"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&lt; $500</w:t>
            </w:r>
            <w:r w:rsidRPr="00400193">
              <w:rPr>
                <w:sz w:val="22"/>
                <w:lang w:eastAsia="zh-CN" w:bidi="hi-IN"/>
              </w:rPr>
              <w:tab/>
            </w:r>
          </w:p>
        </w:tc>
        <w:tc>
          <w:tcPr>
            <w:tcW w:w="2263" w:type="dxa"/>
            <w:tcBorders>
              <w:top w:val="single" w:sz="4" w:space="0" w:color="auto"/>
              <w:left w:val="single" w:sz="4" w:space="0" w:color="auto"/>
              <w:bottom w:val="single" w:sz="4" w:space="0" w:color="auto"/>
              <w:right w:val="single" w:sz="4" w:space="0" w:color="auto"/>
            </w:tcBorders>
            <w:hideMark/>
          </w:tcPr>
          <w:p w14:paraId="64B304E3"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&lt; 9% degraded service</w:t>
            </w:r>
          </w:p>
        </w:tc>
      </w:tr>
      <w:tr w:rsidR="00A0618E" w:rsidRPr="00400193" w14:paraId="2B6FD762"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28F6B098" w14:textId="77777777" w:rsidR="006E3616" w:rsidRPr="00400193" w:rsidRDefault="006E3616" w:rsidP="003B5486">
            <w:pPr>
              <w:suppressAutoHyphens/>
              <w:spacing w:after="0" w:line="240" w:lineRule="auto"/>
              <w:jc w:val="left"/>
              <w:rPr>
                <w:b/>
                <w:bCs/>
                <w:sz w:val="22"/>
                <w:lang w:eastAsia="zh-CN" w:bidi="hi-IN"/>
              </w:rPr>
            </w:pPr>
            <w:r w:rsidRPr="00400193">
              <w:rPr>
                <w:b/>
                <w:bCs/>
                <w:sz w:val="22"/>
                <w:lang w:eastAsia="zh-CN" w:bidi="hi-IN"/>
              </w:rPr>
              <w:t xml:space="preserve">Minor </w:t>
            </w:r>
          </w:p>
        </w:tc>
        <w:tc>
          <w:tcPr>
            <w:tcW w:w="2255" w:type="dxa"/>
            <w:tcBorders>
              <w:top w:val="single" w:sz="4" w:space="0" w:color="auto"/>
              <w:left w:val="single" w:sz="4" w:space="0" w:color="auto"/>
              <w:bottom w:val="single" w:sz="4" w:space="0" w:color="auto"/>
              <w:right w:val="single" w:sz="4" w:space="0" w:color="auto"/>
            </w:tcBorders>
            <w:hideMark/>
          </w:tcPr>
          <w:p w14:paraId="1AE172F0"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Local/regional short-term negative exposure</w:t>
            </w:r>
          </w:p>
        </w:tc>
        <w:tc>
          <w:tcPr>
            <w:tcW w:w="2254" w:type="dxa"/>
            <w:tcBorders>
              <w:top w:val="single" w:sz="4" w:space="0" w:color="auto"/>
              <w:left w:val="single" w:sz="4" w:space="0" w:color="auto"/>
              <w:bottom w:val="single" w:sz="4" w:space="0" w:color="auto"/>
              <w:right w:val="single" w:sz="4" w:space="0" w:color="auto"/>
            </w:tcBorders>
            <w:hideMark/>
          </w:tcPr>
          <w:p w14:paraId="5603321C"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$500–$1,000</w:t>
            </w:r>
          </w:p>
        </w:tc>
        <w:tc>
          <w:tcPr>
            <w:tcW w:w="2263" w:type="dxa"/>
            <w:tcBorders>
              <w:top w:val="single" w:sz="4" w:space="0" w:color="auto"/>
              <w:left w:val="single" w:sz="4" w:space="0" w:color="auto"/>
              <w:bottom w:val="single" w:sz="4" w:space="0" w:color="auto"/>
              <w:right w:val="single" w:sz="4" w:space="0" w:color="auto"/>
            </w:tcBorders>
            <w:hideMark/>
          </w:tcPr>
          <w:p w14:paraId="53A63C9B" w14:textId="77777777" w:rsidR="006E3616" w:rsidRPr="00400193" w:rsidRDefault="006E3616" w:rsidP="003B5486">
            <w:pPr>
              <w:suppressAutoHyphens/>
              <w:spacing w:after="0" w:line="240" w:lineRule="auto"/>
              <w:jc w:val="left"/>
              <w:rPr>
                <w:sz w:val="22"/>
                <w:lang w:eastAsia="zh-CN" w:bidi="hi-IN"/>
              </w:rPr>
            </w:pPr>
            <w:r w:rsidRPr="00400193">
              <w:rPr>
                <w:sz w:val="22"/>
                <w:lang w:eastAsia="zh-CN" w:bidi="hi-IN"/>
              </w:rPr>
              <w:t>10–49% degraded service</w:t>
            </w:r>
          </w:p>
        </w:tc>
      </w:tr>
      <w:tr w:rsidR="00A0618E" w:rsidRPr="00400193" w14:paraId="25A1CC22"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7CA6929B"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 xml:space="preserve">Moderate </w:t>
            </w:r>
          </w:p>
        </w:tc>
        <w:tc>
          <w:tcPr>
            <w:tcW w:w="2255" w:type="dxa"/>
            <w:tcBorders>
              <w:top w:val="single" w:sz="4" w:space="0" w:color="auto"/>
              <w:left w:val="single" w:sz="4" w:space="0" w:color="auto"/>
              <w:bottom w:val="single" w:sz="4" w:space="0" w:color="auto"/>
              <w:right w:val="single" w:sz="4" w:space="0" w:color="auto"/>
            </w:tcBorders>
            <w:hideMark/>
          </w:tcPr>
          <w:p w14:paraId="1D533381"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Local/regional medium-term negative exposure</w:t>
            </w:r>
          </w:p>
        </w:tc>
        <w:tc>
          <w:tcPr>
            <w:tcW w:w="2254" w:type="dxa"/>
            <w:tcBorders>
              <w:top w:val="single" w:sz="4" w:space="0" w:color="auto"/>
              <w:left w:val="single" w:sz="4" w:space="0" w:color="auto"/>
              <w:bottom w:val="single" w:sz="4" w:space="0" w:color="auto"/>
              <w:right w:val="single" w:sz="4" w:space="0" w:color="auto"/>
            </w:tcBorders>
            <w:hideMark/>
          </w:tcPr>
          <w:p w14:paraId="1BEBA49F"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$1,000–$19,000</w:t>
            </w:r>
          </w:p>
        </w:tc>
        <w:tc>
          <w:tcPr>
            <w:tcW w:w="2263" w:type="dxa"/>
            <w:tcBorders>
              <w:top w:val="single" w:sz="4" w:space="0" w:color="auto"/>
              <w:left w:val="single" w:sz="4" w:space="0" w:color="auto"/>
              <w:bottom w:val="single" w:sz="4" w:space="0" w:color="auto"/>
              <w:right w:val="single" w:sz="4" w:space="0" w:color="auto"/>
            </w:tcBorders>
            <w:hideMark/>
          </w:tcPr>
          <w:p w14:paraId="3A17298D"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&gt; 50% degraded service</w:t>
            </w:r>
          </w:p>
        </w:tc>
      </w:tr>
      <w:tr w:rsidR="00A0618E" w:rsidRPr="00400193" w14:paraId="35629EB4"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4B20F9E2"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Major</w:t>
            </w:r>
          </w:p>
        </w:tc>
        <w:tc>
          <w:tcPr>
            <w:tcW w:w="2255" w:type="dxa"/>
            <w:tcBorders>
              <w:top w:val="single" w:sz="4" w:space="0" w:color="auto"/>
              <w:left w:val="single" w:sz="4" w:space="0" w:color="auto"/>
              <w:bottom w:val="single" w:sz="4" w:space="0" w:color="auto"/>
              <w:right w:val="single" w:sz="4" w:space="0" w:color="auto"/>
            </w:tcBorders>
            <w:hideMark/>
          </w:tcPr>
          <w:p w14:paraId="4B1F4285"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National negative publicity</w:t>
            </w:r>
          </w:p>
        </w:tc>
        <w:tc>
          <w:tcPr>
            <w:tcW w:w="2254" w:type="dxa"/>
            <w:tcBorders>
              <w:top w:val="single" w:sz="4" w:space="0" w:color="auto"/>
              <w:left w:val="single" w:sz="4" w:space="0" w:color="auto"/>
              <w:bottom w:val="single" w:sz="4" w:space="0" w:color="auto"/>
              <w:right w:val="single" w:sz="4" w:space="0" w:color="auto"/>
            </w:tcBorders>
            <w:hideMark/>
          </w:tcPr>
          <w:p w14:paraId="0947C5FB"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$20,000–$40000</w:t>
            </w:r>
          </w:p>
        </w:tc>
        <w:tc>
          <w:tcPr>
            <w:tcW w:w="2263" w:type="dxa"/>
            <w:tcBorders>
              <w:top w:val="single" w:sz="4" w:space="0" w:color="auto"/>
              <w:left w:val="single" w:sz="4" w:space="0" w:color="auto"/>
              <w:bottom w:val="single" w:sz="4" w:space="0" w:color="auto"/>
              <w:right w:val="single" w:sz="4" w:space="0" w:color="auto"/>
            </w:tcBorders>
            <w:hideMark/>
          </w:tcPr>
          <w:p w14:paraId="2182E39C"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Complete loss of service</w:t>
            </w:r>
          </w:p>
        </w:tc>
      </w:tr>
      <w:tr w:rsidR="00A0618E" w:rsidRPr="00400193" w14:paraId="31DFC5A3" w14:textId="77777777" w:rsidTr="003B5486">
        <w:tc>
          <w:tcPr>
            <w:tcW w:w="2252" w:type="dxa"/>
            <w:tcBorders>
              <w:top w:val="single" w:sz="4" w:space="0" w:color="auto"/>
              <w:left w:val="single" w:sz="4" w:space="0" w:color="auto"/>
              <w:bottom w:val="single" w:sz="4" w:space="0" w:color="auto"/>
              <w:right w:val="single" w:sz="4" w:space="0" w:color="auto"/>
            </w:tcBorders>
            <w:hideMark/>
          </w:tcPr>
          <w:p w14:paraId="236F40B9" w14:textId="77777777" w:rsidR="006E3616" w:rsidRPr="00400193" w:rsidRDefault="006E3616" w:rsidP="003B5486">
            <w:pPr>
              <w:suppressAutoHyphens/>
              <w:spacing w:after="0" w:line="240" w:lineRule="auto"/>
              <w:rPr>
                <w:b/>
                <w:bCs/>
                <w:sz w:val="22"/>
                <w:lang w:eastAsia="zh-CN" w:bidi="hi-IN"/>
              </w:rPr>
            </w:pPr>
            <w:r w:rsidRPr="00400193">
              <w:rPr>
                <w:b/>
                <w:bCs/>
                <w:sz w:val="22"/>
                <w:lang w:eastAsia="zh-CN" w:bidi="hi-IN"/>
              </w:rPr>
              <w:t>Critical</w:t>
            </w:r>
          </w:p>
        </w:tc>
        <w:tc>
          <w:tcPr>
            <w:tcW w:w="2255" w:type="dxa"/>
            <w:tcBorders>
              <w:top w:val="single" w:sz="4" w:space="0" w:color="auto"/>
              <w:left w:val="single" w:sz="4" w:space="0" w:color="auto"/>
              <w:bottom w:val="single" w:sz="4" w:space="0" w:color="auto"/>
              <w:right w:val="single" w:sz="4" w:space="0" w:color="auto"/>
            </w:tcBorders>
            <w:hideMark/>
          </w:tcPr>
          <w:p w14:paraId="7E12D12B"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Global negative publicity, long-term negative exposure</w:t>
            </w:r>
          </w:p>
        </w:tc>
        <w:tc>
          <w:tcPr>
            <w:tcW w:w="2254" w:type="dxa"/>
            <w:tcBorders>
              <w:top w:val="single" w:sz="4" w:space="0" w:color="auto"/>
              <w:left w:val="single" w:sz="4" w:space="0" w:color="auto"/>
              <w:bottom w:val="single" w:sz="4" w:space="0" w:color="auto"/>
              <w:right w:val="single" w:sz="4" w:space="0" w:color="auto"/>
            </w:tcBorders>
            <w:hideMark/>
          </w:tcPr>
          <w:p w14:paraId="32EF6844"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&gt; $50,000</w:t>
            </w:r>
          </w:p>
        </w:tc>
        <w:tc>
          <w:tcPr>
            <w:tcW w:w="2263" w:type="dxa"/>
            <w:tcBorders>
              <w:top w:val="single" w:sz="4" w:space="0" w:color="auto"/>
              <w:left w:val="single" w:sz="4" w:space="0" w:color="auto"/>
              <w:bottom w:val="single" w:sz="4" w:space="0" w:color="auto"/>
              <w:right w:val="single" w:sz="4" w:space="0" w:color="auto"/>
            </w:tcBorders>
            <w:hideMark/>
          </w:tcPr>
          <w:p w14:paraId="257FC61B" w14:textId="77777777" w:rsidR="006E3616" w:rsidRPr="00400193" w:rsidRDefault="006E3616" w:rsidP="003B5486">
            <w:pPr>
              <w:keepNext/>
              <w:suppressAutoHyphens/>
              <w:spacing w:after="0" w:line="240" w:lineRule="auto"/>
              <w:rPr>
                <w:sz w:val="22"/>
                <w:lang w:eastAsia="zh-CN" w:bidi="hi-IN"/>
              </w:rPr>
            </w:pPr>
            <w:r w:rsidRPr="00400193">
              <w:rPr>
                <w:sz w:val="22"/>
                <w:lang w:eastAsia="zh-CN" w:bidi="hi-IN"/>
              </w:rPr>
              <w:t>Complete loss of service and loss of employee productivity</w:t>
            </w:r>
          </w:p>
        </w:tc>
      </w:tr>
    </w:tbl>
    <w:p w14:paraId="70ADD128" w14:textId="132AAD0B" w:rsidR="006E3616" w:rsidRPr="00400193" w:rsidRDefault="006E3616" w:rsidP="006E3616">
      <w:pPr>
        <w:pStyle w:val="Caption"/>
        <w:spacing w:after="240"/>
        <w:rPr>
          <w:b w:val="0"/>
          <w:i w:val="0"/>
          <w:szCs w:val="24"/>
          <w:lang w:eastAsia="zh-CN" w:bidi="hi-IN"/>
        </w:rPr>
      </w:pPr>
      <w:bookmarkStart w:id="98" w:name="_111kx3o"/>
      <w:bookmarkStart w:id="99" w:name="_Ref42433519"/>
      <w:bookmarkStart w:id="100" w:name="_Toc52901527"/>
      <w:bookmarkEnd w:id="9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2</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w:t>
      </w:r>
      <w:r w:rsidRPr="00400193">
        <w:fldChar w:fldCharType="end"/>
      </w:r>
      <w:bookmarkEnd w:id="99"/>
      <w:r w:rsidRPr="00400193">
        <w:t>: A consequences table. The financial damages in this table represent the absolute minimum cost. Source: Fowler (2015, p. 101)</w:t>
      </w:r>
      <w:bookmarkEnd w:id="100"/>
    </w:p>
    <w:p w14:paraId="573DEEA8" w14:textId="0BDE5243" w:rsidR="006E3616" w:rsidRPr="00400193" w:rsidRDefault="006E3616" w:rsidP="006E3616">
      <w:pPr>
        <w:suppressAutoHyphens/>
        <w:rPr>
          <w:szCs w:val="24"/>
          <w:lang w:eastAsia="zh-CN" w:bidi="hi-IN"/>
        </w:rPr>
      </w:pPr>
      <w:r w:rsidRPr="00400193">
        <w:rPr>
          <w:szCs w:val="24"/>
          <w:lang w:eastAsia="zh-CN" w:bidi="hi-IN"/>
        </w:rPr>
        <w:t xml:space="preserve">Fowler (2015) stressed the necessity of planning to deal with events as well as trying to prevent them. All these events, including accidental or unintentional data disclosure, can be reduced or mitigated by the application of a suitable framework. When dealing with an attack, the business continuity plan must address both cyber-risks and operational risks, and a disaster recovery plan is advisable in any company that relies heavily on technology. The link between operational or cyber-risks, events, response and recovery is clearly shown in </w:t>
      </w:r>
      <w:r w:rsidRPr="00400193">
        <w:rPr>
          <w:szCs w:val="24"/>
          <w:lang w:eastAsia="zh-CN" w:bidi="hi-IN"/>
        </w:rPr>
        <w:fldChar w:fldCharType="begin"/>
      </w:r>
      <w:r w:rsidRPr="00400193">
        <w:rPr>
          <w:szCs w:val="24"/>
          <w:lang w:eastAsia="zh-CN" w:bidi="hi-IN"/>
        </w:rPr>
        <w:instrText xml:space="preserve"> REF _Ref42538414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11</w:t>
      </w:r>
      <w:r w:rsidRPr="00400193">
        <w:rPr>
          <w:szCs w:val="24"/>
          <w:lang w:eastAsia="zh-CN" w:bidi="hi-IN"/>
        </w:rPr>
        <w:fldChar w:fldCharType="end"/>
      </w:r>
      <w:r w:rsidRPr="00400193">
        <w:rPr>
          <w:szCs w:val="24"/>
          <w:lang w:eastAsia="zh-CN" w:bidi="hi-IN"/>
        </w:rPr>
        <w:t>. This also shows the need to plan for a cyber-attack and have an appropriate response for recovery or continuity in place before the attack. The framework for preventing attacks and events must include staff awareness, with the emphasis on individual liability for the data each person handles.</w:t>
      </w:r>
    </w:p>
    <w:p w14:paraId="7DF97812" w14:textId="79D9E990" w:rsidR="006E3616" w:rsidRPr="00400193" w:rsidRDefault="006E3616" w:rsidP="006E3616">
      <w:pPr>
        <w:suppressAutoHyphens/>
        <w:rPr>
          <w:szCs w:val="24"/>
          <w:lang w:eastAsia="zh-CN" w:bidi="hi-IN"/>
        </w:rPr>
      </w:pPr>
      <w:r w:rsidRPr="00400193">
        <w:rPr>
          <w:szCs w:val="24"/>
          <w:lang w:eastAsia="zh-CN" w:bidi="hi-IN"/>
        </w:rPr>
        <w:t xml:space="preserve">it is important to include human resources management in a CRM framework. Governments and industry may work together to </w:t>
      </w:r>
      <w:r w:rsidRPr="00400193">
        <w:rPr>
          <w:i/>
          <w:szCs w:val="24"/>
          <w:lang w:eastAsia="zh-CN" w:bidi="hi-IN"/>
        </w:rPr>
        <w:t xml:space="preserve">“secure cyber-space” </w:t>
      </w:r>
      <w:r w:rsidRPr="00400193">
        <w:rPr>
          <w:szCs w:val="24"/>
          <w:lang w:eastAsia="zh-CN" w:bidi="hi-IN"/>
        </w:rPr>
        <w:t xml:space="preserve">(Obama 2009, cited in Clinton, 2015, p. 53) but a totally secure system would still not be risk-free. The simple fact is that, at its base, every cyber-threat or risk has a human element. </w:t>
      </w:r>
      <w:r w:rsidRPr="00400193">
        <w:rPr>
          <w:szCs w:val="24"/>
          <w:lang w:eastAsia="zh-CN" w:bidi="hi-IN"/>
        </w:rPr>
        <w:lastRenderedPageBreak/>
        <w:t>Fraud, property theft, and the creation of malware and viruses are all human actions (Fowler, 2015). To consider them in any other light will detract from how the risk is considered. Regardless of ‘</w:t>
      </w:r>
      <w:r w:rsidR="00AF1660" w:rsidRPr="00400193">
        <w:rPr>
          <w:szCs w:val="24"/>
          <w:lang w:eastAsia="zh-CN" w:bidi="hi-IN"/>
        </w:rPr>
        <w:t>fail safes</w:t>
      </w:r>
      <w:r w:rsidRPr="00400193">
        <w:rPr>
          <w:szCs w:val="24"/>
          <w:lang w:eastAsia="zh-CN" w:bidi="hi-IN"/>
        </w:rPr>
        <w:t>’, people leave live terminals unattended, and can be fooled into handing out bank details or other security information.</w:t>
      </w:r>
    </w:p>
    <w:tbl>
      <w:tblPr>
        <w:tblW w:w="9024" w:type="dxa"/>
        <w:tblLook w:val="04A0" w:firstRow="1" w:lastRow="0" w:firstColumn="1" w:lastColumn="0" w:noHBand="0" w:noVBand="1"/>
      </w:tblPr>
      <w:tblGrid>
        <w:gridCol w:w="4507"/>
        <w:gridCol w:w="4517"/>
      </w:tblGrid>
      <w:tr w:rsidR="00A0618E" w:rsidRPr="00400193" w14:paraId="425996B8" w14:textId="77777777" w:rsidTr="003B5486">
        <w:tc>
          <w:tcPr>
            <w:tcW w:w="4507" w:type="dxa"/>
            <w:tcBorders>
              <w:top w:val="single" w:sz="18" w:space="0" w:color="000000"/>
              <w:left w:val="single" w:sz="4" w:space="0" w:color="000000"/>
              <w:bottom w:val="single" w:sz="4" w:space="0" w:color="auto"/>
              <w:right w:val="nil"/>
            </w:tcBorders>
            <w:hideMark/>
          </w:tcPr>
          <w:p w14:paraId="668050F5" w14:textId="77777777" w:rsidR="006E3616" w:rsidRPr="00400193" w:rsidRDefault="006E3616" w:rsidP="003B5486">
            <w:pPr>
              <w:suppressAutoHyphens/>
              <w:spacing w:after="0" w:line="240" w:lineRule="auto"/>
              <w:rPr>
                <w:sz w:val="22"/>
                <w:lang w:eastAsia="zh-CN" w:bidi="hi-IN"/>
              </w:rPr>
            </w:pPr>
            <w:r w:rsidRPr="00400193">
              <w:rPr>
                <w:b/>
                <w:sz w:val="22"/>
                <w:lang w:eastAsia="zh-CN" w:bidi="hi-IN"/>
              </w:rPr>
              <w:t>Event</w:t>
            </w:r>
          </w:p>
        </w:tc>
        <w:tc>
          <w:tcPr>
            <w:tcW w:w="4517" w:type="dxa"/>
            <w:tcBorders>
              <w:top w:val="single" w:sz="18" w:space="0" w:color="000000"/>
              <w:left w:val="single" w:sz="4" w:space="0" w:color="FFFFFF"/>
              <w:bottom w:val="single" w:sz="4" w:space="0" w:color="auto"/>
              <w:right w:val="single" w:sz="4" w:space="0" w:color="000000"/>
            </w:tcBorders>
            <w:hideMark/>
          </w:tcPr>
          <w:p w14:paraId="63AEC21C" w14:textId="77777777" w:rsidR="006E3616" w:rsidRPr="00400193" w:rsidRDefault="006E3616" w:rsidP="003B5486">
            <w:pPr>
              <w:suppressAutoHyphens/>
              <w:spacing w:after="0" w:line="240" w:lineRule="auto"/>
              <w:rPr>
                <w:sz w:val="22"/>
                <w:lang w:eastAsia="zh-CN" w:bidi="hi-IN"/>
              </w:rPr>
            </w:pPr>
            <w:r w:rsidRPr="00400193">
              <w:rPr>
                <w:b/>
                <w:sz w:val="22"/>
                <w:lang w:eastAsia="zh-CN" w:bidi="hi-IN"/>
              </w:rPr>
              <w:t xml:space="preserve">Possible Consequences </w:t>
            </w:r>
          </w:p>
        </w:tc>
      </w:tr>
      <w:tr w:rsidR="00A0618E" w:rsidRPr="00400193" w14:paraId="7637FA36"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01F7F5ED"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service availability</w:t>
            </w:r>
          </w:p>
        </w:tc>
        <w:tc>
          <w:tcPr>
            <w:tcW w:w="4517" w:type="dxa"/>
            <w:tcBorders>
              <w:top w:val="single" w:sz="4" w:space="0" w:color="auto"/>
              <w:left w:val="single" w:sz="4" w:space="0" w:color="auto"/>
              <w:bottom w:val="single" w:sz="4" w:space="0" w:color="auto"/>
              <w:right w:val="single" w:sz="4" w:space="0" w:color="auto"/>
            </w:tcBorders>
            <w:hideMark/>
          </w:tcPr>
          <w:p w14:paraId="20A239D9"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revenue</w:t>
            </w:r>
          </w:p>
          <w:p w14:paraId="0A920EE2"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customer confidence</w:t>
            </w:r>
          </w:p>
          <w:p w14:paraId="20519E70"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employee productivity</w:t>
            </w:r>
          </w:p>
        </w:tc>
      </w:tr>
      <w:tr w:rsidR="00A0618E" w:rsidRPr="00400193" w14:paraId="07416310"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5C86ED6A"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Web application compromise</w:t>
            </w:r>
          </w:p>
        </w:tc>
        <w:tc>
          <w:tcPr>
            <w:tcW w:w="4517" w:type="dxa"/>
            <w:tcBorders>
              <w:top w:val="single" w:sz="4" w:space="0" w:color="auto"/>
              <w:left w:val="single" w:sz="4" w:space="0" w:color="auto"/>
              <w:bottom w:val="single" w:sz="4" w:space="0" w:color="auto"/>
              <w:right w:val="single" w:sz="4" w:space="0" w:color="auto"/>
            </w:tcBorders>
            <w:hideMark/>
          </w:tcPr>
          <w:p w14:paraId="3F4EE8D4"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revenue</w:t>
            </w:r>
          </w:p>
          <w:p w14:paraId="5146E761"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data integrity</w:t>
            </w:r>
          </w:p>
          <w:p w14:paraId="28275054"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customer confidence</w:t>
            </w:r>
          </w:p>
        </w:tc>
      </w:tr>
      <w:tr w:rsidR="00A0618E" w:rsidRPr="00400193" w14:paraId="50794C1D"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7282074B"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Electronic financial fraud</w:t>
            </w:r>
          </w:p>
        </w:tc>
        <w:tc>
          <w:tcPr>
            <w:tcW w:w="4517" w:type="dxa"/>
            <w:tcBorders>
              <w:top w:val="single" w:sz="4" w:space="0" w:color="auto"/>
              <w:left w:val="single" w:sz="4" w:space="0" w:color="auto"/>
              <w:bottom w:val="single" w:sz="4" w:space="0" w:color="auto"/>
              <w:right w:val="single" w:sz="4" w:space="0" w:color="auto"/>
            </w:tcBorders>
            <w:hideMark/>
          </w:tcPr>
          <w:p w14:paraId="015EC814"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revenue</w:t>
            </w:r>
          </w:p>
          <w:p w14:paraId="2C2E563F"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data integrity</w:t>
            </w:r>
          </w:p>
          <w:p w14:paraId="08AF8476"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customer confidence</w:t>
            </w:r>
          </w:p>
        </w:tc>
      </w:tr>
      <w:tr w:rsidR="00A0618E" w:rsidRPr="00400193" w14:paraId="24BF8F97"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5869E14B"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Malware/virus outbreak</w:t>
            </w:r>
          </w:p>
        </w:tc>
        <w:tc>
          <w:tcPr>
            <w:tcW w:w="4517" w:type="dxa"/>
            <w:tcBorders>
              <w:top w:val="single" w:sz="4" w:space="0" w:color="auto"/>
              <w:left w:val="single" w:sz="4" w:space="0" w:color="auto"/>
              <w:bottom w:val="single" w:sz="4" w:space="0" w:color="auto"/>
              <w:right w:val="single" w:sz="4" w:space="0" w:color="auto"/>
            </w:tcBorders>
            <w:hideMark/>
          </w:tcPr>
          <w:p w14:paraId="70F4D9DA"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service availability</w:t>
            </w:r>
          </w:p>
          <w:p w14:paraId="7C5677B4"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data integrity</w:t>
            </w:r>
          </w:p>
          <w:p w14:paraId="1C3B29CE"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employee productivity</w:t>
            </w:r>
          </w:p>
        </w:tc>
      </w:tr>
      <w:tr w:rsidR="00A0618E" w:rsidRPr="00400193" w14:paraId="1F367A91"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63F45FD5"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Physical theft of an electronic asset</w:t>
            </w:r>
          </w:p>
        </w:tc>
        <w:tc>
          <w:tcPr>
            <w:tcW w:w="4517" w:type="dxa"/>
            <w:tcBorders>
              <w:top w:val="single" w:sz="4" w:space="0" w:color="auto"/>
              <w:left w:val="single" w:sz="4" w:space="0" w:color="auto"/>
              <w:bottom w:val="single" w:sz="4" w:space="0" w:color="auto"/>
              <w:right w:val="single" w:sz="4" w:space="0" w:color="auto"/>
            </w:tcBorders>
            <w:hideMark/>
          </w:tcPr>
          <w:p w14:paraId="310D4F43"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Financial loss</w:t>
            </w:r>
          </w:p>
          <w:p w14:paraId="66A691DB"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customer confidence</w:t>
            </w:r>
          </w:p>
        </w:tc>
      </w:tr>
      <w:tr w:rsidR="00A0618E" w:rsidRPr="00400193" w14:paraId="59DF5699"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0808D7C2"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Unintentional data disclosure</w:t>
            </w:r>
          </w:p>
        </w:tc>
        <w:tc>
          <w:tcPr>
            <w:tcW w:w="4517" w:type="dxa"/>
            <w:tcBorders>
              <w:top w:val="single" w:sz="4" w:space="0" w:color="auto"/>
              <w:left w:val="single" w:sz="4" w:space="0" w:color="auto"/>
              <w:bottom w:val="single" w:sz="4" w:space="0" w:color="auto"/>
              <w:right w:val="single" w:sz="4" w:space="0" w:color="auto"/>
            </w:tcBorders>
            <w:hideMark/>
          </w:tcPr>
          <w:p w14:paraId="5649E11A"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revenue</w:t>
            </w:r>
          </w:p>
          <w:p w14:paraId="6B4D820D"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service availability</w:t>
            </w:r>
          </w:p>
          <w:p w14:paraId="1783243C"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data integrity</w:t>
            </w:r>
          </w:p>
          <w:p w14:paraId="1D11E0D9"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employee productivity</w:t>
            </w:r>
          </w:p>
          <w:p w14:paraId="51EBB082"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customer confidence</w:t>
            </w:r>
          </w:p>
        </w:tc>
      </w:tr>
      <w:tr w:rsidR="00A0618E" w:rsidRPr="00400193" w14:paraId="260A64EC" w14:textId="77777777" w:rsidTr="003B5486">
        <w:tc>
          <w:tcPr>
            <w:tcW w:w="4507" w:type="dxa"/>
            <w:tcBorders>
              <w:top w:val="single" w:sz="4" w:space="0" w:color="auto"/>
              <w:left w:val="single" w:sz="4" w:space="0" w:color="auto"/>
              <w:bottom w:val="single" w:sz="4" w:space="0" w:color="auto"/>
              <w:right w:val="single" w:sz="4" w:space="0" w:color="auto"/>
            </w:tcBorders>
            <w:hideMark/>
          </w:tcPr>
          <w:p w14:paraId="680A1095"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Intellectual property theft</w:t>
            </w:r>
          </w:p>
        </w:tc>
        <w:tc>
          <w:tcPr>
            <w:tcW w:w="4517" w:type="dxa"/>
            <w:tcBorders>
              <w:top w:val="single" w:sz="4" w:space="0" w:color="auto"/>
              <w:left w:val="single" w:sz="4" w:space="0" w:color="auto"/>
              <w:bottom w:val="single" w:sz="4" w:space="0" w:color="auto"/>
              <w:right w:val="single" w:sz="4" w:space="0" w:color="auto"/>
            </w:tcBorders>
            <w:hideMark/>
          </w:tcPr>
          <w:p w14:paraId="652B1EA2" w14:textId="77777777" w:rsidR="006E3616" w:rsidRPr="00400193" w:rsidRDefault="006E3616" w:rsidP="003B5486">
            <w:pPr>
              <w:suppressAutoHyphens/>
              <w:spacing w:after="0" w:line="240" w:lineRule="auto"/>
              <w:rPr>
                <w:sz w:val="22"/>
                <w:lang w:eastAsia="zh-CN" w:bidi="hi-IN"/>
              </w:rPr>
            </w:pPr>
            <w:r w:rsidRPr="00400193">
              <w:rPr>
                <w:sz w:val="22"/>
                <w:lang w:eastAsia="zh-CN" w:bidi="hi-IN"/>
              </w:rPr>
              <w:t>Loss of competitive advantage</w:t>
            </w:r>
          </w:p>
          <w:p w14:paraId="42432C61" w14:textId="77777777" w:rsidR="006E3616" w:rsidRPr="00400193" w:rsidRDefault="006E3616" w:rsidP="003B5486">
            <w:pPr>
              <w:keepNext/>
              <w:suppressAutoHyphens/>
              <w:spacing w:after="0" w:line="240" w:lineRule="auto"/>
              <w:rPr>
                <w:sz w:val="22"/>
                <w:lang w:eastAsia="zh-CN" w:bidi="hi-IN"/>
              </w:rPr>
            </w:pPr>
            <w:r w:rsidRPr="00400193">
              <w:rPr>
                <w:sz w:val="22"/>
                <w:lang w:eastAsia="zh-CN" w:bidi="hi-IN"/>
              </w:rPr>
              <w:t>Loss of customer confidence</w:t>
            </w:r>
          </w:p>
        </w:tc>
      </w:tr>
    </w:tbl>
    <w:p w14:paraId="77CE89D9" w14:textId="2F9AE0F9" w:rsidR="006E3616" w:rsidRPr="00400193" w:rsidRDefault="006E3616" w:rsidP="006E3616">
      <w:pPr>
        <w:pStyle w:val="Caption"/>
        <w:spacing w:after="240"/>
        <w:rPr>
          <w:b w:val="0"/>
          <w:i w:val="0"/>
          <w:szCs w:val="24"/>
          <w:lang w:eastAsia="zh-CN" w:bidi="hi-IN"/>
        </w:rPr>
      </w:pPr>
      <w:bookmarkStart w:id="101" w:name="_3l18frh"/>
      <w:bookmarkStart w:id="102" w:name="_Ref42433629"/>
      <w:bookmarkStart w:id="103" w:name="_Toc52901528"/>
      <w:bookmarkEnd w:id="10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2</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w:t>
      </w:r>
      <w:r w:rsidRPr="00400193">
        <w:fldChar w:fldCharType="end"/>
      </w:r>
      <w:bookmarkEnd w:id="102"/>
      <w:r w:rsidRPr="00400193">
        <w:t>: The most common events in a cyber-attack. Note: several of these can occur simultaneously. Source: Fowler (2015, p. 99)</w:t>
      </w:r>
      <w:bookmarkEnd w:id="103"/>
    </w:p>
    <w:p w14:paraId="498B3B0C" w14:textId="37C187F7" w:rsidR="006E3616" w:rsidRPr="00400193" w:rsidRDefault="006E3616" w:rsidP="006E3616">
      <w:pPr>
        <w:suppressAutoHyphens/>
        <w:spacing w:after="0"/>
        <w:rPr>
          <w:szCs w:val="24"/>
          <w:lang w:eastAsia="zh-CN" w:bidi="hi-IN"/>
        </w:rPr>
      </w:pPr>
      <w:r w:rsidRPr="00400193">
        <w:rPr>
          <w:szCs w:val="24"/>
          <w:lang w:eastAsia="zh-CN" w:bidi="hi-IN"/>
        </w:rPr>
        <w:t xml:space="preserve">These ‘human factors’ explain why it is important to establish a culture of cyber-risk management, and why Chief Security Officers and Chief Information Security Officers need to understand both people management and computer management. They are also why awareness must be at the top of the agenda when discussing a new framework. Essentially, organisations must consider </w:t>
      </w:r>
      <w:r w:rsidRPr="00400193">
        <w:rPr>
          <w:i/>
          <w:iCs/>
          <w:szCs w:val="24"/>
          <w:lang w:eastAsia="zh-CN" w:bidi="hi-IN"/>
        </w:rPr>
        <w:t>“insider threats”</w:t>
      </w:r>
      <w:r w:rsidRPr="00400193">
        <w:rPr>
          <w:szCs w:val="24"/>
          <w:lang w:eastAsia="zh-CN" w:bidi="hi-IN"/>
        </w:rPr>
        <w:t xml:space="preserve"> (Sticha </w:t>
      </w:r>
      <w:r w:rsidR="00337F8A" w:rsidRPr="00400193">
        <w:rPr>
          <w:szCs w:val="24"/>
          <w:lang w:eastAsia="zh-CN" w:bidi="hi-IN"/>
        </w:rPr>
        <w:t>and</w:t>
      </w:r>
      <w:r w:rsidRPr="00400193">
        <w:rPr>
          <w:szCs w:val="24"/>
          <w:lang w:eastAsia="zh-CN" w:bidi="hi-IN"/>
        </w:rPr>
        <w:t xml:space="preserve"> Axelrad, 2016).</w:t>
      </w:r>
    </w:p>
    <w:p w14:paraId="4E7A0738" w14:textId="7F2385A6" w:rsidR="00D726EA" w:rsidRPr="00400193" w:rsidRDefault="00D726EA" w:rsidP="00D726EA">
      <w:pPr>
        <w:suppressAutoHyphens/>
        <w:rPr>
          <w:szCs w:val="24"/>
          <w:lang w:eastAsia="zh-CN" w:bidi="hi-IN"/>
        </w:rPr>
      </w:pPr>
      <w:r w:rsidRPr="00400193">
        <w:rPr>
          <w:szCs w:val="24"/>
          <w:lang w:eastAsia="zh-CN" w:bidi="hi-IN"/>
        </w:rPr>
        <w:t>Cyber-attacks are often ‘opportunist’ events (</w:t>
      </w:r>
      <w:r w:rsidRPr="00400193">
        <w:rPr>
          <w:iCs/>
          <w:szCs w:val="24"/>
          <w:lang w:eastAsia="zh-CN" w:bidi="hi-IN"/>
        </w:rPr>
        <w:t>i.e.</w:t>
      </w:r>
      <w:r w:rsidRPr="00400193">
        <w:rPr>
          <w:szCs w:val="24"/>
          <w:lang w:eastAsia="zh-CN" w:bidi="hi-IN"/>
        </w:rPr>
        <w:t xml:space="preserve"> although carefully planned, attackers wait for the right opportunity to breach security) </w:t>
      </w:r>
      <w:sdt>
        <w:sdtPr>
          <w:rPr>
            <w:szCs w:val="24"/>
            <w:lang w:eastAsia="zh-CN" w:bidi="hi-IN"/>
          </w:rPr>
          <w:id w:val="702368729"/>
          <w:citation/>
        </w:sdtPr>
        <w:sdtEndPr/>
        <w:sdtContent>
          <w:r w:rsidRPr="00400193">
            <w:rPr>
              <w:szCs w:val="24"/>
              <w:lang w:eastAsia="zh-CN" w:bidi="hi-IN"/>
            </w:rPr>
            <w:fldChar w:fldCharType="begin"/>
          </w:r>
          <w:r w:rsidRPr="00400193">
            <w:rPr>
              <w:szCs w:val="24"/>
              <w:lang w:eastAsia="zh-CN" w:bidi="hi-IN"/>
            </w:rPr>
            <w:instrText xml:space="preserve"> CITATION Fow15 \l 2057 </w:instrText>
          </w:r>
          <w:r w:rsidRPr="00400193">
            <w:rPr>
              <w:szCs w:val="24"/>
              <w:lang w:eastAsia="zh-CN" w:bidi="hi-IN"/>
            </w:rPr>
            <w:fldChar w:fldCharType="separate"/>
          </w:r>
          <w:r w:rsidRPr="00400193">
            <w:rPr>
              <w:szCs w:val="24"/>
              <w:lang w:eastAsia="zh-CN" w:bidi="hi-IN"/>
            </w:rPr>
            <w:t>(Fowler, 2015)</w:t>
          </w:r>
          <w:r w:rsidRPr="00400193">
            <w:rPr>
              <w:szCs w:val="24"/>
              <w:lang w:eastAsia="zh-CN" w:bidi="hi-IN"/>
            </w:rPr>
            <w:fldChar w:fldCharType="end"/>
          </w:r>
        </w:sdtContent>
      </w:sdt>
      <w:r w:rsidRPr="00400193">
        <w:rPr>
          <w:szCs w:val="24"/>
          <w:lang w:eastAsia="zh-CN" w:bidi="hi-IN"/>
        </w:rPr>
        <w:t>. Following security procedures (e.g. swipe cards, password changes) substantially reduces the risk, and that must be seen as a personal problem for every single staff member who accesses the system at work, at home or on a smart phone (Lesjak</w:t>
      </w:r>
      <w:r w:rsidR="00704A6D" w:rsidRPr="00400193">
        <w:rPr>
          <w:szCs w:val="24"/>
          <w:lang w:eastAsia="zh-CN" w:bidi="hi-IN"/>
        </w:rPr>
        <w:t xml:space="preserve"> et al</w:t>
      </w:r>
      <w:r w:rsidRPr="00400193">
        <w:rPr>
          <w:i/>
          <w:iCs/>
          <w:szCs w:val="24"/>
          <w:lang w:eastAsia="zh-CN" w:bidi="hi-IN"/>
        </w:rPr>
        <w:t>.</w:t>
      </w:r>
      <w:r w:rsidRPr="00400193">
        <w:rPr>
          <w:szCs w:val="24"/>
          <w:lang w:eastAsia="zh-CN" w:bidi="hi-IN"/>
        </w:rPr>
        <w:t xml:space="preserve">, 2016). An awareness at board level that this is not enough to prevent determined professional attacks must lead to the adoption of a suitable and reasonable CRM framework </w:t>
      </w:r>
      <w:r w:rsidR="00337F8A" w:rsidRPr="00400193">
        <w:rPr>
          <w:szCs w:val="24"/>
          <w:lang w:eastAsia="zh-CN" w:bidi="hi-IN"/>
        </w:rPr>
        <w:t>(Yayla and Hu, 2014)</w:t>
      </w:r>
      <w:r w:rsidRPr="00400193">
        <w:rPr>
          <w:szCs w:val="24"/>
          <w:lang w:eastAsia="zh-CN" w:bidi="hi-IN"/>
        </w:rPr>
        <w:t xml:space="preserve">. This combination of ‘physical’ and ‘cyber’ security is behind the proposal of </w:t>
      </w:r>
      <w:r w:rsidRPr="00400193">
        <w:rPr>
          <w:szCs w:val="24"/>
          <w:lang w:eastAsia="zh-CN" w:bidi="hi-IN"/>
        </w:rPr>
        <w:lastRenderedPageBreak/>
        <w:t>Hessami, Jahankhani and Nkhoma (2015) for RECYPHER, or Responsive Cyber-Physical Risk Management, an idea that clearly has merit and may be a part of any proposed framework.</w:t>
      </w:r>
    </w:p>
    <w:p w14:paraId="7D6526E1" w14:textId="77777777" w:rsidR="006E3616" w:rsidRPr="00400193" w:rsidRDefault="006E3616" w:rsidP="006E3616">
      <w:pPr>
        <w:keepNext/>
        <w:suppressAutoHyphens/>
        <w:spacing w:after="0" w:line="240" w:lineRule="auto"/>
        <w:jc w:val="center"/>
      </w:pPr>
      <w:r w:rsidRPr="00400193">
        <w:rPr>
          <w:noProof/>
          <w:szCs w:val="24"/>
          <w:lang w:val="en-US"/>
        </w:rPr>
        <w:drawing>
          <wp:inline distT="0" distB="0" distL="0" distR="0" wp14:anchorId="746AF3E7" wp14:editId="24CD29B1">
            <wp:extent cx="5760000" cy="3240000"/>
            <wp:effectExtent l="19050" t="19050" r="12700" b="17780"/>
            <wp:docPr id="16" name="image48.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8.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C9178AE" w14:textId="67EC1B43" w:rsidR="006E3616" w:rsidRPr="00400193" w:rsidRDefault="006E3616" w:rsidP="006E3616">
      <w:pPr>
        <w:pStyle w:val="Caption"/>
        <w:spacing w:after="240"/>
        <w:jc w:val="left"/>
        <w:rPr>
          <w:szCs w:val="24"/>
          <w:lang w:eastAsia="zh-CN" w:bidi="hi-IN"/>
        </w:rPr>
      </w:pPr>
      <w:bookmarkStart w:id="104" w:name="_Ref42538414"/>
      <w:bookmarkStart w:id="105" w:name="_Toc5538756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11</w:t>
      </w:r>
      <w:r w:rsidR="00E35E8C" w:rsidRPr="00400193">
        <w:fldChar w:fldCharType="end"/>
      </w:r>
      <w:bookmarkEnd w:id="104"/>
      <w:r w:rsidRPr="00400193">
        <w:t>: The link between risks, event response and recovery.</w:t>
      </w:r>
      <w:bookmarkEnd w:id="105"/>
      <w:r w:rsidRPr="00400193">
        <w:t xml:space="preserve"> </w:t>
      </w:r>
    </w:p>
    <w:p w14:paraId="291F2D31" w14:textId="77777777" w:rsidR="006E3616" w:rsidRPr="00400193" w:rsidRDefault="006E3616" w:rsidP="006E3616">
      <w:pPr>
        <w:pStyle w:val="Heading3"/>
        <w:rPr>
          <w:rFonts w:eastAsia="Arial"/>
          <w:lang w:eastAsia="zh-CN" w:bidi="hi-IN"/>
        </w:rPr>
      </w:pPr>
      <w:bookmarkStart w:id="106" w:name="_206ipza"/>
      <w:bookmarkStart w:id="107" w:name="_4k668n3"/>
      <w:bookmarkStart w:id="108" w:name="_Toc61894665"/>
      <w:bookmarkEnd w:id="106"/>
      <w:bookmarkEnd w:id="107"/>
      <w:r w:rsidRPr="00400193">
        <w:rPr>
          <w:rFonts w:eastAsia="Arial"/>
          <w:lang w:eastAsia="zh-CN" w:bidi="hi-IN"/>
        </w:rPr>
        <w:t>Past and Present Challenges to CRM</w:t>
      </w:r>
      <w:bookmarkEnd w:id="108"/>
    </w:p>
    <w:p w14:paraId="2C158133" w14:textId="77777777" w:rsidR="006E3616" w:rsidRPr="00400193" w:rsidRDefault="006E3616" w:rsidP="006E3616">
      <w:pPr>
        <w:rPr>
          <w:lang w:eastAsia="zh-CN" w:bidi="hi-IN"/>
        </w:rPr>
      </w:pPr>
      <w:r w:rsidRPr="00400193">
        <w:rPr>
          <w:lang w:eastAsia="zh-CN" w:bidi="hi-IN"/>
        </w:rPr>
        <w:t xml:space="preserve">One of the major challenges that has always faced CRM is the attitude that data security is an IT problem, rather than a matter for the individuals handling data </w:t>
      </w:r>
      <w:sdt>
        <w:sdtPr>
          <w:rPr>
            <w:lang w:eastAsia="zh-CN" w:bidi="hi-IN"/>
          </w:rPr>
          <w:id w:val="-1643106790"/>
          <w:citation/>
        </w:sdtPr>
        <w:sdtEndPr/>
        <w:sdtContent>
          <w:r w:rsidRPr="00400193">
            <w:rPr>
              <w:lang w:eastAsia="zh-CN" w:bidi="hi-IN"/>
            </w:rPr>
            <w:fldChar w:fldCharType="begin"/>
          </w:r>
          <w:r w:rsidRPr="00400193">
            <w:rPr>
              <w:lang w:eastAsia="zh-CN" w:bidi="hi-IN"/>
            </w:rPr>
            <w:instrText xml:space="preserve"> CITATION Amo11 \l 2057 </w:instrText>
          </w:r>
          <w:r w:rsidRPr="00400193">
            <w:rPr>
              <w:lang w:eastAsia="zh-CN" w:bidi="hi-IN"/>
            </w:rPr>
            <w:fldChar w:fldCharType="separate"/>
          </w:r>
          <w:r w:rsidRPr="00400193">
            <w:rPr>
              <w:lang w:eastAsia="zh-CN" w:bidi="hi-IN"/>
            </w:rPr>
            <w:t>(Amoroso, 2011)</w:t>
          </w:r>
          <w:r w:rsidRPr="00400193">
            <w:rPr>
              <w:lang w:eastAsia="zh-CN" w:bidi="hi-IN"/>
            </w:rPr>
            <w:fldChar w:fldCharType="end"/>
          </w:r>
        </w:sdtContent>
      </w:sdt>
      <w:r w:rsidRPr="00400193">
        <w:rPr>
          <w:lang w:eastAsia="zh-CN" w:bidi="hi-IN"/>
        </w:rPr>
        <w:t xml:space="preserve">. This challenge remains unaddressed in many companies. There is certainly some IT responsibility if there is no security protocol in place on the use of smart phones, tablets, and lap-tops to access company systems </w:t>
      </w:r>
      <w:sdt>
        <w:sdtPr>
          <w:rPr>
            <w:lang w:eastAsia="zh-CN" w:bidi="hi-IN"/>
          </w:rPr>
          <w:id w:val="1080259650"/>
          <w:citation/>
        </w:sdtPr>
        <w:sdtEndPr/>
        <w:sdtContent>
          <w:r w:rsidRPr="00400193">
            <w:rPr>
              <w:lang w:eastAsia="zh-CN" w:bidi="hi-IN"/>
            </w:rPr>
            <w:fldChar w:fldCharType="begin"/>
          </w:r>
          <w:r w:rsidRPr="00400193">
            <w:rPr>
              <w:lang w:eastAsia="zh-CN" w:bidi="hi-IN"/>
            </w:rPr>
            <w:instrText xml:space="preserve"> CITATION Wal08 \l 2057 </w:instrText>
          </w:r>
          <w:r w:rsidRPr="00400193">
            <w:rPr>
              <w:lang w:eastAsia="zh-CN" w:bidi="hi-IN"/>
            </w:rPr>
            <w:fldChar w:fldCharType="separate"/>
          </w:r>
          <w:r w:rsidRPr="00400193">
            <w:rPr>
              <w:lang w:eastAsia="zh-CN" w:bidi="hi-IN"/>
            </w:rPr>
            <w:t>(Waldron, 2008)</w:t>
          </w:r>
          <w:r w:rsidRPr="00400193">
            <w:rPr>
              <w:lang w:eastAsia="zh-CN" w:bidi="hi-IN"/>
            </w:rPr>
            <w:fldChar w:fldCharType="end"/>
          </w:r>
        </w:sdtContent>
      </w:sdt>
      <w:r w:rsidRPr="00400193">
        <w:rPr>
          <w:lang w:eastAsia="zh-CN" w:bidi="hi-IN"/>
        </w:rPr>
        <w:t>.</w:t>
      </w:r>
    </w:p>
    <w:p w14:paraId="500A578B" w14:textId="742691DB" w:rsidR="006E3616" w:rsidRPr="00400193" w:rsidRDefault="006E3616" w:rsidP="006E3616">
      <w:pPr>
        <w:rPr>
          <w:lang w:eastAsia="zh-CN" w:bidi="hi-IN"/>
        </w:rPr>
      </w:pPr>
      <w:r w:rsidRPr="00400193">
        <w:rPr>
          <w:lang w:eastAsia="zh-CN" w:bidi="hi-IN"/>
        </w:rPr>
        <w:t xml:space="preserve">Another challenge facing CRM is event frequency. It is necessary to have or introduce continuous surveillance of the system for errors or attacks </w:t>
      </w:r>
      <w:sdt>
        <w:sdtPr>
          <w:rPr>
            <w:lang w:eastAsia="zh-CN" w:bidi="hi-IN"/>
          </w:rPr>
          <w:id w:val="1795473689"/>
          <w:citation/>
        </w:sdtPr>
        <w:sdtEndPr/>
        <w:sdtContent>
          <w:r w:rsidRPr="00400193">
            <w:rPr>
              <w:lang w:eastAsia="zh-CN" w:bidi="hi-IN"/>
            </w:rPr>
            <w:fldChar w:fldCharType="begin"/>
          </w:r>
          <w:r w:rsidRPr="00400193">
            <w:rPr>
              <w:lang w:eastAsia="zh-CN" w:bidi="hi-IN"/>
            </w:rPr>
            <w:instrText xml:space="preserve"> CITATION Jul13 \l 2057 </w:instrText>
          </w:r>
          <w:r w:rsidRPr="00400193">
            <w:rPr>
              <w:lang w:eastAsia="zh-CN" w:bidi="hi-IN"/>
            </w:rPr>
            <w:fldChar w:fldCharType="separate"/>
          </w:r>
          <w:r w:rsidRPr="00400193">
            <w:rPr>
              <w:lang w:eastAsia="zh-CN" w:bidi="hi-IN"/>
            </w:rPr>
            <w:t>(Julisch, 2013)</w:t>
          </w:r>
          <w:r w:rsidRPr="00400193">
            <w:rPr>
              <w:lang w:eastAsia="zh-CN" w:bidi="hi-IN"/>
            </w:rPr>
            <w:fldChar w:fldCharType="end"/>
          </w:r>
        </w:sdtContent>
      </w:sdt>
      <w:r w:rsidRPr="00400193">
        <w:rPr>
          <w:lang w:eastAsia="zh-CN" w:bidi="hi-IN"/>
        </w:rPr>
        <w:t xml:space="preserve">. However, the person overseeing the surveillance is unable to predict what, when or where the next attack will be. The purpose of CRM is to retain resilience to attack, so first responders need to be available at all times (Yoon et al., 2016) to step in and control the event. There are also clear indications that cyber-risks are not lessening despite the efforts of companies to introduce CRM frameworks. Indeed, some commentators have suggested that the growth is almost exponential (Raiu, 2012). As fast as frameworks or devices are created to protect companies from cyber-attack, attackers develop new ways to get around them and attack </w:t>
      </w:r>
      <w:sdt>
        <w:sdtPr>
          <w:rPr>
            <w:lang w:eastAsia="zh-CN" w:bidi="hi-IN"/>
          </w:rPr>
          <w:id w:val="726719626"/>
          <w:citation/>
        </w:sdtPr>
        <w:sdtEndPr/>
        <w:sdtContent>
          <w:r w:rsidRPr="00400193">
            <w:rPr>
              <w:lang w:eastAsia="zh-CN" w:bidi="hi-IN"/>
            </w:rPr>
            <w:fldChar w:fldCharType="begin"/>
          </w:r>
          <w:r w:rsidRPr="00400193">
            <w:rPr>
              <w:lang w:eastAsia="zh-CN" w:bidi="hi-IN"/>
            </w:rPr>
            <w:instrText xml:space="preserve">CITATION Sch15 \t  \l 2057 </w:instrText>
          </w:r>
          <w:r w:rsidRPr="00400193">
            <w:rPr>
              <w:lang w:eastAsia="zh-CN" w:bidi="hi-IN"/>
            </w:rPr>
            <w:fldChar w:fldCharType="separate"/>
          </w:r>
          <w:r w:rsidRPr="00400193">
            <w:rPr>
              <w:lang w:eastAsia="zh-CN" w:bidi="hi-IN"/>
            </w:rPr>
            <w:t>(Schneier, 2015)</w:t>
          </w:r>
          <w:r w:rsidRPr="00400193">
            <w:rPr>
              <w:lang w:eastAsia="zh-CN" w:bidi="hi-IN"/>
            </w:rPr>
            <w:fldChar w:fldCharType="end"/>
          </w:r>
        </w:sdtContent>
      </w:sdt>
      <w:r w:rsidRPr="00400193">
        <w:rPr>
          <w:lang w:eastAsia="zh-CN" w:bidi="hi-IN"/>
        </w:rPr>
        <w:t xml:space="preserve">. It seems logical </w:t>
      </w:r>
      <w:r w:rsidRPr="00400193">
        <w:rPr>
          <w:lang w:eastAsia="zh-CN" w:bidi="hi-IN"/>
        </w:rPr>
        <w:lastRenderedPageBreak/>
        <w:t xml:space="preserve">that when attackers have to put in more effort, they will attempt to do more damage during an attack </w:t>
      </w:r>
      <w:r w:rsidR="00337F8A" w:rsidRPr="00400193">
        <w:rPr>
          <w:lang w:eastAsia="zh-CN" w:bidi="hi-IN"/>
        </w:rPr>
        <w:t>(Andress and Winterfield, 2011)</w:t>
      </w:r>
      <w:r w:rsidRPr="00400193">
        <w:rPr>
          <w:lang w:eastAsia="zh-CN" w:bidi="hi-IN"/>
        </w:rPr>
        <w:t>. This means that managers need to be increasingly aware. Sticha and Axelrad (2016) found that there were fewer insider threats from disgruntled staff who tried to conceal counterproductive behaviour than from those who simply carried out the actions with no attempt at concealment. One single study cannot be considered definitive, but it is worth mentioning their conclusion that the level of counterproductive behaviour, concealed or otherwise, is not the sole indicator of risk.</w:t>
      </w:r>
    </w:p>
    <w:p w14:paraId="37CD5D6B" w14:textId="1FD6CB49" w:rsidR="006E3616" w:rsidRPr="00400193" w:rsidRDefault="006E3616" w:rsidP="006E3616">
      <w:pPr>
        <w:rPr>
          <w:lang w:eastAsia="zh-CN" w:bidi="hi-IN"/>
        </w:rPr>
      </w:pPr>
      <w:r w:rsidRPr="00400193">
        <w:rPr>
          <w:lang w:eastAsia="zh-CN" w:bidi="hi-IN"/>
        </w:rPr>
        <w:t xml:space="preserve">Sticha and Axelrad used their own system dynamics model in conjunction with a Bayesian belief network, which they suggested was </w:t>
      </w:r>
      <w:r w:rsidRPr="00400193">
        <w:rPr>
          <w:i/>
          <w:iCs/>
          <w:lang w:eastAsia="zh-CN" w:bidi="hi-IN"/>
        </w:rPr>
        <w:t>“a good tool to use for prediction”</w:t>
      </w:r>
      <w:r w:rsidRPr="00400193">
        <w:rPr>
          <w:lang w:eastAsia="zh-CN" w:bidi="hi-IN"/>
        </w:rPr>
        <w:t xml:space="preserve"> because it </w:t>
      </w:r>
      <w:r w:rsidRPr="00400193">
        <w:rPr>
          <w:i/>
          <w:iCs/>
          <w:lang w:eastAsia="zh-CN" w:bidi="hi-IN"/>
        </w:rPr>
        <w:t>“characterizes probabilistic relationships among indicator variables”.</w:t>
      </w:r>
      <w:r w:rsidRPr="00400193">
        <w:rPr>
          <w:lang w:eastAsia="zh-CN" w:bidi="hi-IN"/>
        </w:rPr>
        <w:t xml:space="preserve"> They acknowledged that their result was counter-intuitive but suggested that this should encourage risk managers to look deeper and more closely at employee behavioural patterns (Sticha </w:t>
      </w:r>
      <w:r w:rsidR="00337F8A" w:rsidRPr="00400193">
        <w:rPr>
          <w:lang w:eastAsia="zh-CN" w:bidi="hi-IN"/>
        </w:rPr>
        <w:t>and</w:t>
      </w:r>
      <w:r w:rsidRPr="00400193">
        <w:rPr>
          <w:lang w:eastAsia="zh-CN" w:bidi="hi-IN"/>
        </w:rPr>
        <w:t xml:space="preserve"> Axelrad, 2016, p. 351).</w:t>
      </w:r>
    </w:p>
    <w:p w14:paraId="5C859741" w14:textId="77777777" w:rsidR="006E3616" w:rsidRPr="00400193" w:rsidRDefault="006E3616" w:rsidP="006E3616">
      <w:pPr>
        <w:pStyle w:val="Heading3"/>
        <w:rPr>
          <w:rFonts w:eastAsia="Arial"/>
          <w:lang w:eastAsia="zh-CN" w:bidi="hi-IN"/>
        </w:rPr>
      </w:pPr>
      <w:bookmarkStart w:id="109" w:name="_Toc61894666"/>
      <w:r w:rsidRPr="00400193">
        <w:rPr>
          <w:rFonts w:eastAsia="Arial"/>
          <w:lang w:eastAsia="zh-CN" w:bidi="hi-IN"/>
        </w:rPr>
        <w:t>Risk Detection and Evaluation in CRM</w:t>
      </w:r>
      <w:bookmarkEnd w:id="109"/>
    </w:p>
    <w:p w14:paraId="0C087A19" w14:textId="77777777" w:rsidR="006E3616" w:rsidRPr="00400193" w:rsidRDefault="006E3616" w:rsidP="006E3616">
      <w:pPr>
        <w:rPr>
          <w:lang w:eastAsia="zh-CN" w:bidi="hi-IN"/>
        </w:rPr>
      </w:pPr>
      <w:r w:rsidRPr="00400193">
        <w:rPr>
          <w:lang w:eastAsia="zh-CN" w:bidi="hi-IN"/>
        </w:rPr>
        <w:t>The increasing complexity of ICT and the apparent ‘randomness’ of cyber-attacks means that detecting and evaluating the risk of attack is not easy. Methods suggested to predict where and when an attack will happen include game theory (Fielder</w:t>
      </w:r>
      <w:r w:rsidRPr="00400193">
        <w:rPr>
          <w:i/>
          <w:iCs/>
          <w:lang w:eastAsia="zh-CN" w:bidi="hi-IN"/>
        </w:rPr>
        <w:t xml:space="preserve"> </w:t>
      </w:r>
      <w:r w:rsidRPr="00400193">
        <w:rPr>
          <w:lang w:eastAsia="zh-CN" w:bidi="hi-IN"/>
        </w:rPr>
        <w:t>et al., 2016). This approach, where risks and possibilities are considered from the viewpoints of both ‘defence’ and ‘attack’, has serious limitations. The most serious disadvantage of the game theory approach is that it engages in too many trade-offs. Risk managers who seek the “least-worst” option rather than the best will be more likely to succeed, but at a cost of never knowing how well the company could have performed.</w:t>
      </w:r>
    </w:p>
    <w:p w14:paraId="3C40D09F" w14:textId="3A4069E6" w:rsidR="006E3616" w:rsidRPr="00400193" w:rsidRDefault="006E3616" w:rsidP="006E3616">
      <w:pPr>
        <w:rPr>
          <w:lang w:eastAsia="zh-CN" w:bidi="hi-IN"/>
        </w:rPr>
      </w:pPr>
      <w:r w:rsidRPr="00400193">
        <w:rPr>
          <w:lang w:eastAsia="zh-CN" w:bidi="hi-IN"/>
        </w:rPr>
        <w:t xml:space="preserve">Despite this possible drawback, “attacker-centric game theory” (Adams </w:t>
      </w:r>
      <w:r w:rsidR="00337F8A" w:rsidRPr="00400193">
        <w:rPr>
          <w:lang w:eastAsia="zh-CN" w:bidi="hi-IN"/>
        </w:rPr>
        <w:t>and</w:t>
      </w:r>
      <w:r w:rsidRPr="00400193">
        <w:rPr>
          <w:lang w:eastAsia="zh-CN" w:bidi="hi-IN"/>
        </w:rPr>
        <w:t xml:space="preserve"> Makramalla, 2015) may be very helpful when trying to assess future risks. Getting to know your own systems and those of your ‘enemy’ can reduce risk and increase resilience simultaneously. Using game theory is not the same as ‘gamification’ (Dale, 2014). It is essential that risk managers do not trivialise the job of defending the system into a ‘game’ that you sometimes lose. However, as well as identifying future threats, game theory can also help to indicate possible insider threats (Casey</w:t>
      </w:r>
      <w:r w:rsidRPr="00400193">
        <w:rPr>
          <w:i/>
          <w:iCs/>
          <w:lang w:eastAsia="zh-CN" w:bidi="hi-IN"/>
        </w:rPr>
        <w:t xml:space="preserve"> </w:t>
      </w:r>
      <w:r w:rsidRPr="00400193">
        <w:rPr>
          <w:lang w:eastAsia="zh-CN" w:bidi="hi-IN"/>
        </w:rPr>
        <w:t xml:space="preserve">et al., 2016) and deter them. Combining game theory with the SD and Bayesian Belief Network (BBN) approach (Sticha </w:t>
      </w:r>
      <w:r w:rsidR="00337F8A" w:rsidRPr="00400193">
        <w:rPr>
          <w:lang w:eastAsia="zh-CN" w:bidi="hi-IN"/>
        </w:rPr>
        <w:t>and</w:t>
      </w:r>
      <w:r w:rsidRPr="00400193">
        <w:rPr>
          <w:lang w:eastAsia="zh-CN" w:bidi="hi-IN"/>
        </w:rPr>
        <w:t xml:space="preserve"> Axelrad, 2016) may prove a better tool than either on its own.</w:t>
      </w:r>
    </w:p>
    <w:p w14:paraId="1D903ECD" w14:textId="22D9ED52" w:rsidR="006E3616" w:rsidRPr="00400193" w:rsidRDefault="006E3616" w:rsidP="006E3616">
      <w:pPr>
        <w:rPr>
          <w:lang w:eastAsia="zh-CN" w:bidi="hi-IN"/>
        </w:rPr>
      </w:pPr>
      <w:r w:rsidRPr="00400193">
        <w:rPr>
          <w:lang w:eastAsia="zh-CN" w:bidi="hi-IN"/>
        </w:rPr>
        <w:lastRenderedPageBreak/>
        <w:t xml:space="preserve">Fransen, Smulders and Kerkdijk (2015) proposed a system of joint infrastructure and data sharing, which they called cyber-security information exchange. They noted that </w:t>
      </w:r>
      <w:r w:rsidRPr="00400193">
        <w:rPr>
          <w:i/>
          <w:iCs/>
          <w:lang w:eastAsia="zh-CN" w:bidi="hi-IN"/>
        </w:rPr>
        <w:t>“cyber-attacks are continuously becoming more sophisticated… and employ(s) specific stealth techniques to avoid detection”</w:t>
      </w:r>
      <w:r w:rsidRPr="00400193">
        <w:rPr>
          <w:lang w:eastAsia="zh-CN" w:bidi="hi-IN"/>
        </w:rPr>
        <w:t xml:space="preserve"> (Fransen, Smulders </w:t>
      </w:r>
      <w:r w:rsidR="00337F8A" w:rsidRPr="00400193">
        <w:rPr>
          <w:lang w:eastAsia="zh-CN" w:bidi="hi-IN"/>
        </w:rPr>
        <w:t>and</w:t>
      </w:r>
      <w:r w:rsidRPr="00400193">
        <w:rPr>
          <w:lang w:eastAsia="zh-CN" w:bidi="hi-IN"/>
        </w:rPr>
        <w:t xml:space="preserve"> Kerkdijk, 2015, p. 106). This means that information sharing could be a useful tool in the fight against cyber-crime. This suggestion has merit, but raises questions about what, when, and how to share, and particularly how, because CRM policy is mainly focused on preventing access to information.</w:t>
      </w:r>
    </w:p>
    <w:p w14:paraId="41C60C8C" w14:textId="7C43EACE" w:rsidR="006E3616" w:rsidRPr="00400193" w:rsidRDefault="006E3616" w:rsidP="006E3616">
      <w:pPr>
        <w:rPr>
          <w:lang w:eastAsia="zh-CN" w:bidi="hi-IN"/>
        </w:rPr>
      </w:pPr>
      <w:r w:rsidRPr="00400193">
        <w:rPr>
          <w:lang w:eastAsia="zh-CN" w:bidi="hi-IN"/>
        </w:rPr>
        <w:t xml:space="preserve">This division between shared and private data is at the heart of any CRM policy </w:t>
      </w:r>
      <w:sdt>
        <w:sdtPr>
          <w:rPr>
            <w:lang w:eastAsia="zh-CN" w:bidi="hi-IN"/>
          </w:rPr>
          <w:id w:val="-36430487"/>
          <w:citation/>
        </w:sdtPr>
        <w:sdtEndPr/>
        <w:sdtContent>
          <w:r w:rsidRPr="00400193">
            <w:rPr>
              <w:lang w:eastAsia="zh-CN" w:bidi="hi-IN"/>
            </w:rPr>
            <w:fldChar w:fldCharType="begin"/>
          </w:r>
          <w:r w:rsidRPr="00400193">
            <w:rPr>
              <w:lang w:eastAsia="zh-CN" w:bidi="hi-IN"/>
            </w:rPr>
            <w:instrText xml:space="preserve"> CITATION Shi15 \l 2057 </w:instrText>
          </w:r>
          <w:r w:rsidRPr="00400193">
            <w:rPr>
              <w:lang w:eastAsia="zh-CN" w:bidi="hi-IN"/>
            </w:rPr>
            <w:fldChar w:fldCharType="separate"/>
          </w:r>
          <w:r w:rsidRPr="00400193">
            <w:rPr>
              <w:lang w:eastAsia="zh-CN" w:bidi="hi-IN"/>
            </w:rPr>
            <w:t>(Shields, 2015)</w:t>
          </w:r>
          <w:r w:rsidRPr="00400193">
            <w:rPr>
              <w:lang w:eastAsia="zh-CN" w:bidi="hi-IN"/>
            </w:rPr>
            <w:fldChar w:fldCharType="end"/>
          </w:r>
        </w:sdtContent>
      </w:sdt>
      <w:r w:rsidRPr="00400193">
        <w:rPr>
          <w:lang w:eastAsia="zh-CN" w:bidi="hi-IN"/>
        </w:rPr>
        <w:t xml:space="preserve">. The risk managers’ job is to find a position with the fewest trade-offs between privacy and accessibility. A good Chief Information Officer or Chief Information Security Officer will also need to be able to inform the board about any problems that have occurred </w:t>
      </w:r>
      <w:r w:rsidR="00337F8A" w:rsidRPr="00400193">
        <w:rPr>
          <w:lang w:eastAsia="zh-CN" w:bidi="hi-IN"/>
        </w:rPr>
        <w:t>(Yayla and Hu, 2014)</w:t>
      </w:r>
      <w:r w:rsidRPr="00400193">
        <w:rPr>
          <w:lang w:eastAsia="zh-CN" w:bidi="hi-IN"/>
        </w:rPr>
        <w:t xml:space="preserve">, including what percentage were due to accident, carelessness, deliberate attacks, or because of lack of awareness of a specific risk </w:t>
      </w:r>
      <w:sdt>
        <w:sdtPr>
          <w:rPr>
            <w:lang w:eastAsia="zh-CN" w:bidi="hi-IN"/>
          </w:rPr>
          <w:id w:val="-871754642"/>
          <w:citation/>
        </w:sdtPr>
        <w:sdtEndPr/>
        <w:sdtContent>
          <w:r w:rsidRPr="00400193">
            <w:rPr>
              <w:lang w:eastAsia="zh-CN" w:bidi="hi-IN"/>
            </w:rPr>
            <w:fldChar w:fldCharType="begin"/>
          </w:r>
          <w:r w:rsidRPr="00400193">
            <w:rPr>
              <w:lang w:eastAsia="zh-CN" w:bidi="hi-IN"/>
            </w:rPr>
            <w:instrText xml:space="preserve"> CITATION Kor15 \l 2057 </w:instrText>
          </w:r>
          <w:r w:rsidRPr="00400193">
            <w:rPr>
              <w:lang w:eastAsia="zh-CN" w:bidi="hi-IN"/>
            </w:rPr>
            <w:fldChar w:fldCharType="separate"/>
          </w:r>
          <w:r w:rsidRPr="00400193">
            <w:rPr>
              <w:lang w:eastAsia="zh-CN" w:bidi="hi-IN"/>
            </w:rPr>
            <w:t>(Korpela, 2015)</w:t>
          </w:r>
          <w:r w:rsidRPr="00400193">
            <w:rPr>
              <w:lang w:eastAsia="zh-CN" w:bidi="hi-IN"/>
            </w:rPr>
            <w:fldChar w:fldCharType="end"/>
          </w:r>
        </w:sdtContent>
      </w:sdt>
      <w:r w:rsidRPr="00400193">
        <w:rPr>
          <w:lang w:eastAsia="zh-CN" w:bidi="hi-IN"/>
        </w:rPr>
        <w:t>. Risk identification or recognition (Shields, 2015) must take place before defence can be considered.</w:t>
      </w:r>
    </w:p>
    <w:p w14:paraId="65DC3B09" w14:textId="77777777" w:rsidR="006E3616" w:rsidRPr="00400193" w:rsidRDefault="006E3616" w:rsidP="006E3616">
      <w:pPr>
        <w:rPr>
          <w:lang w:eastAsia="zh-CN" w:bidi="hi-IN"/>
        </w:rPr>
      </w:pPr>
      <w:r w:rsidRPr="00400193">
        <w:rPr>
          <w:lang w:eastAsia="zh-CN" w:bidi="hi-IN"/>
        </w:rPr>
        <w:t>IT managers may feel that they have covered the risks with automated intrusion detection systems (IDS) (or intrusion prevention systems, IPS) and ‘unified threat management’ (UTM) (Raywood, 2012). Nevertheless, as has repeatedly been proven by events, a security incident and event management (SIEM) policy or system is about managing people, not installing hardware (Leonard, 2015). Board-level Chief Information Officers or Chief Information Security Officers therefore need to be conversant with both the technical ICT terminology and systems and with the operation and conventions of human resources management (HRM).</w:t>
      </w:r>
    </w:p>
    <w:p w14:paraId="4CD1C2DA" w14:textId="79ED66B0" w:rsidR="006E3616" w:rsidRPr="00400193" w:rsidRDefault="006E3616" w:rsidP="006E3616">
      <w:pPr>
        <w:rPr>
          <w:lang w:eastAsia="zh-CN" w:bidi="hi-IN"/>
        </w:rPr>
      </w:pPr>
      <w:r w:rsidRPr="00400193">
        <w:rPr>
          <w:lang w:eastAsia="zh-CN" w:bidi="hi-IN"/>
        </w:rPr>
        <w:t xml:space="preserve">The underlying point for cyber-risk resilience is that the ability to recover from an attack is far more important than the ability to prevent one. The level of resilience must have a human element as well as an electronic one, and so information management must include people (Waldron, 2008). ‘Knowledge management’ in an electronically connected company (Valkokari, Paasi </w:t>
      </w:r>
      <w:r w:rsidR="00337F8A" w:rsidRPr="00400193">
        <w:rPr>
          <w:lang w:eastAsia="zh-CN" w:bidi="hi-IN"/>
        </w:rPr>
        <w:t>and</w:t>
      </w:r>
      <w:r w:rsidRPr="00400193">
        <w:rPr>
          <w:lang w:eastAsia="zh-CN" w:bidi="hi-IN"/>
        </w:rPr>
        <w:t xml:space="preserve"> Rantala, 2012) is still about individuals. Good knowledge management will help build resilience, because the knowledge map will allow the right people to be used (Gonzalez </w:t>
      </w:r>
      <w:r w:rsidR="00337F8A" w:rsidRPr="00400193">
        <w:rPr>
          <w:lang w:eastAsia="zh-CN" w:bidi="hi-IN"/>
        </w:rPr>
        <w:t>and</w:t>
      </w:r>
      <w:r w:rsidRPr="00400193">
        <w:rPr>
          <w:lang w:eastAsia="zh-CN" w:bidi="hi-IN"/>
        </w:rPr>
        <w:t xml:space="preserve"> Martins, 2014) in a disaster. Knowledge management, particularly in small and medium-sized businesses, is also </w:t>
      </w:r>
      <w:r w:rsidRPr="00400193">
        <w:rPr>
          <w:lang w:eastAsia="zh-CN" w:bidi="hi-IN"/>
        </w:rPr>
        <w:lastRenderedPageBreak/>
        <w:t xml:space="preserve">a performance indicator (Roxas, Battisti </w:t>
      </w:r>
      <w:r w:rsidR="00337F8A" w:rsidRPr="00400193">
        <w:rPr>
          <w:lang w:eastAsia="zh-CN" w:bidi="hi-IN"/>
        </w:rPr>
        <w:t>and</w:t>
      </w:r>
      <w:r w:rsidRPr="00400193">
        <w:rPr>
          <w:lang w:eastAsia="zh-CN" w:bidi="hi-IN"/>
        </w:rPr>
        <w:t xml:space="preserve"> Deakins, 2014), so the connection with resilience is a clear indicator of its importance to CRM.</w:t>
      </w:r>
    </w:p>
    <w:p w14:paraId="262D0555" w14:textId="77777777" w:rsidR="006E3616" w:rsidRPr="00400193" w:rsidRDefault="006E3616" w:rsidP="006E3616">
      <w:pPr>
        <w:pStyle w:val="Heading3"/>
        <w:rPr>
          <w:rFonts w:eastAsia="Arial"/>
          <w:lang w:eastAsia="zh-CN" w:bidi="hi-IN"/>
        </w:rPr>
      </w:pPr>
      <w:bookmarkStart w:id="110" w:name="_Toc61894667"/>
      <w:r w:rsidRPr="00400193">
        <w:rPr>
          <w:rFonts w:eastAsia="Arial"/>
          <w:lang w:eastAsia="zh-CN" w:bidi="hi-IN"/>
        </w:rPr>
        <w:t>Data Mining and other Legal Activities</w:t>
      </w:r>
      <w:bookmarkEnd w:id="110"/>
    </w:p>
    <w:p w14:paraId="28324314" w14:textId="77777777" w:rsidR="006E3616" w:rsidRPr="00400193" w:rsidRDefault="006E3616" w:rsidP="006E3616">
      <w:pPr>
        <w:rPr>
          <w:lang w:eastAsia="zh-CN" w:bidi="hi-IN"/>
        </w:rPr>
      </w:pPr>
      <w:r w:rsidRPr="00400193">
        <w:rPr>
          <w:lang w:eastAsia="zh-CN" w:bidi="hi-IN"/>
        </w:rPr>
        <w:t>Data mining is one of the ‘grey areas’ of cyber-attack, particularly with the IoT. Much information has now become public that was previously considered confidential (Chen</w:t>
      </w:r>
      <w:r w:rsidRPr="00400193">
        <w:rPr>
          <w:i/>
          <w:iCs/>
          <w:lang w:eastAsia="zh-CN" w:bidi="hi-IN"/>
        </w:rPr>
        <w:t xml:space="preserve"> </w:t>
      </w:r>
      <w:r w:rsidRPr="00400193">
        <w:rPr>
          <w:lang w:eastAsia="zh-CN" w:bidi="hi-IN"/>
        </w:rPr>
        <w:t>et al., 2015). ‘Data mining’, strictly speaking, is legal. It consists of accessing data that have not been protected and are therefore in the public domain. However, the connection to more serious cyber-attacks arises because of the reconnaissance or survey phase of cyber-attacks. If this preparation can be hidden within apparently innocuous ‘data mining’, it is much harder to detect or prevent.</w:t>
      </w:r>
    </w:p>
    <w:p w14:paraId="2B442EC2" w14:textId="77777777" w:rsidR="006E3616" w:rsidRPr="00400193" w:rsidRDefault="006E3616" w:rsidP="006E3616">
      <w:pPr>
        <w:rPr>
          <w:lang w:eastAsia="zh-CN" w:bidi="hi-IN"/>
        </w:rPr>
      </w:pPr>
      <w:r w:rsidRPr="00400193">
        <w:rPr>
          <w:lang w:eastAsia="zh-CN" w:bidi="hi-IN"/>
        </w:rPr>
        <w:t>The advent of the IoT has meant that there are now detailed data available about the way that products are actually used in the real world (Chen</w:t>
      </w:r>
      <w:r w:rsidRPr="00400193">
        <w:rPr>
          <w:i/>
          <w:iCs/>
          <w:lang w:eastAsia="zh-CN" w:bidi="hi-IN"/>
        </w:rPr>
        <w:t xml:space="preserve"> </w:t>
      </w:r>
      <w:r w:rsidRPr="00400193">
        <w:rPr>
          <w:lang w:eastAsia="zh-CN" w:bidi="hi-IN"/>
        </w:rPr>
        <w:t>et al., 2015). Many of these data are unprotected, and in the public domain and mining these data is totally legal. However, determined hackers have used weaknesses discovered during data mining to compromise systems (Chen</w:t>
      </w:r>
      <w:r w:rsidRPr="00400193">
        <w:rPr>
          <w:i/>
          <w:iCs/>
          <w:lang w:eastAsia="zh-CN" w:bidi="hi-IN"/>
        </w:rPr>
        <w:t xml:space="preserve"> </w:t>
      </w:r>
      <w:r w:rsidRPr="00400193">
        <w:rPr>
          <w:lang w:eastAsia="zh-CN" w:bidi="hi-IN"/>
        </w:rPr>
        <w:t xml:space="preserve">et al., 2015; Li et al., 2013). As soon as that is considered, data mining becomes a cyber-threat. This highlights one of the ‘grey areas’ of cyber-security: is it ethical to employ ‘hackers’ to improve your own security (Peterson, 2015)? If so, should they look only at your own weaknesses, or those of other companies that you may not wish to replicate? </w:t>
      </w:r>
    </w:p>
    <w:p w14:paraId="71C28FCE" w14:textId="77777777" w:rsidR="006E3616" w:rsidRPr="00400193" w:rsidRDefault="006E3616" w:rsidP="006E3616">
      <w:pPr>
        <w:rPr>
          <w:lang w:eastAsia="zh-CN" w:bidi="hi-IN"/>
        </w:rPr>
      </w:pPr>
      <w:r w:rsidRPr="00400193">
        <w:rPr>
          <w:lang w:eastAsia="zh-CN" w:bidi="hi-IN"/>
        </w:rPr>
        <w:t>Data mining and the general browsing of competitors’ products is legal but may be a double-edged sword. The realisation that your competitor has left an open doorway into the computer system may be too much temptation for an individual in your organisation, and suddenly, your company has become the cyber-criminal. It is therefore essential for CRM to consider not only how your own security may be breached, but also the response and reaction if an internal user becomes a threat to others, and therefore, indirectly to their own company. There must also be robust guidelines about what level of data mining is acceptable, and the actions to be taken in the event of discovering a ‘gap’ in someone else’s defences. These may include a procedure for informing them immediately, to minimise any damage to them. This may seem altruistic, but it helps both parties, and needs to become the industry standard response as connectivity increases with the IoT.</w:t>
      </w:r>
    </w:p>
    <w:p w14:paraId="5013CF0A" w14:textId="77777777" w:rsidR="006E3616" w:rsidRPr="00400193" w:rsidRDefault="006E3616" w:rsidP="006E3616">
      <w:pPr>
        <w:pStyle w:val="Heading3"/>
        <w:rPr>
          <w:rFonts w:eastAsia="Arial"/>
          <w:lang w:eastAsia="zh-CN" w:bidi="hi-IN"/>
        </w:rPr>
      </w:pPr>
      <w:bookmarkStart w:id="111" w:name="_Toc61894668"/>
      <w:r w:rsidRPr="00400193">
        <w:rPr>
          <w:rFonts w:eastAsia="Arial"/>
          <w:lang w:eastAsia="zh-CN" w:bidi="hi-IN"/>
        </w:rPr>
        <w:lastRenderedPageBreak/>
        <w:t>CRM and Strategic Planning</w:t>
      </w:r>
      <w:bookmarkEnd w:id="111"/>
    </w:p>
    <w:p w14:paraId="22FAA08E" w14:textId="77777777" w:rsidR="006E3616" w:rsidRPr="00400193" w:rsidRDefault="006E3616" w:rsidP="006E3616">
      <w:pPr>
        <w:rPr>
          <w:lang w:eastAsia="zh-CN" w:bidi="hi-IN"/>
        </w:rPr>
      </w:pPr>
      <w:r w:rsidRPr="00400193">
        <w:rPr>
          <w:lang w:eastAsia="zh-CN" w:bidi="hi-IN"/>
        </w:rPr>
        <w:t xml:space="preserve">Adding CRM to the long-term strategic plans has always been suggested by cyber-security experts (Fowler, 2015), as well as prompted by the need to provide a response strategy (Waldron, 2008). Data systems can only be totally secure if they are not connected to anything and only viewed by one employee. Even then, there may be human errors or trust issues. If that premise is accepted, strategic planning needs to be on the basis that ‘our system is not completely secure but is open to attack’ </w:t>
      </w:r>
      <w:sdt>
        <w:sdtPr>
          <w:rPr>
            <w:lang w:eastAsia="zh-CN" w:bidi="hi-IN"/>
          </w:rPr>
          <w:id w:val="818693560"/>
          <w:citation/>
        </w:sdtPr>
        <w:sdtEndPr/>
        <w:sdtContent>
          <w:r w:rsidRPr="00400193">
            <w:rPr>
              <w:lang w:eastAsia="zh-CN" w:bidi="hi-IN"/>
            </w:rPr>
            <w:fldChar w:fldCharType="begin"/>
          </w:r>
          <w:r w:rsidRPr="00400193">
            <w:rPr>
              <w:lang w:eastAsia="zh-CN" w:bidi="hi-IN"/>
            </w:rPr>
            <w:instrText xml:space="preserve">CITATION Sch00 \t  \m Sch12 \n  \t  \l 2057 </w:instrText>
          </w:r>
          <w:r w:rsidRPr="00400193">
            <w:rPr>
              <w:lang w:eastAsia="zh-CN" w:bidi="hi-IN"/>
            </w:rPr>
            <w:fldChar w:fldCharType="separate"/>
          </w:r>
          <w:r w:rsidRPr="00400193">
            <w:rPr>
              <w:lang w:eastAsia="zh-CN" w:bidi="hi-IN"/>
            </w:rPr>
            <w:t>(Schneier, 2000; 2012)</w:t>
          </w:r>
          <w:r w:rsidRPr="00400193">
            <w:rPr>
              <w:lang w:eastAsia="zh-CN" w:bidi="hi-IN"/>
            </w:rPr>
            <w:fldChar w:fldCharType="end"/>
          </w:r>
        </w:sdtContent>
      </w:sdt>
      <w:r w:rsidRPr="00400193">
        <w:rPr>
          <w:lang w:eastAsia="zh-CN" w:bidi="hi-IN"/>
        </w:rPr>
        <w:t>. Total internet security may be an aim, but so far is a long way from realisation (Clinton, 2015).</w:t>
      </w:r>
    </w:p>
    <w:p w14:paraId="03EE2CF9" w14:textId="77777777" w:rsidR="006E3616" w:rsidRPr="00400193" w:rsidRDefault="006E3616" w:rsidP="006E3616">
      <w:pPr>
        <w:rPr>
          <w:lang w:eastAsia="zh-CN" w:bidi="hi-IN"/>
        </w:rPr>
      </w:pPr>
      <w:r w:rsidRPr="00400193">
        <w:rPr>
          <w:lang w:eastAsia="zh-CN" w:bidi="hi-IN"/>
        </w:rPr>
        <w:t>The difference between CRM and ordinary risk management is that ‘ordinary’ events, even extremely serious events such as earthquakes and floods, can be foreseen or imagined. A concentrated distributed denial of service (DDoS) attack (Bendovschi, 2015) would cause similar damage to a major flood, because it would prevent anyone in the company from accessing the system. With no emails, no CAD/CAM operations (in manufacturing), and no news feeds or financial information (banking and finance), the system would effectively be ‘flooded’. However, unlike a flood, the DDoS attack could occur at any time, night, or day, and is only one of many possibilities (Fowler, 2015). Some of these possibilities are also unknown. A new framework needs to protect against attacks that cannot be imagined or are dismissed as trivial.</w:t>
      </w:r>
    </w:p>
    <w:p w14:paraId="63400793" w14:textId="77777777" w:rsidR="006E3616" w:rsidRPr="00400193" w:rsidRDefault="006E3616" w:rsidP="006E3616">
      <w:pPr>
        <w:rPr>
          <w:lang w:eastAsia="zh-CN" w:bidi="hi-IN"/>
        </w:rPr>
      </w:pPr>
      <w:r w:rsidRPr="00400193">
        <w:rPr>
          <w:lang w:eastAsia="zh-CN" w:bidi="hi-IN"/>
        </w:rPr>
        <w:t>This clearly raises the question “how do you imagine the unimaginable?”. This is the hardest question that the CRM must answer. This lack of knowledge about future attacks means that the CRM policy must be robust enough to counter any existing or historical cyber-attack (Waldron, 2008). Long-term strategies for cyber-risks need to consider whether insurance is necessary (Mukhopadhyay</w:t>
      </w:r>
      <w:r w:rsidRPr="00400193">
        <w:rPr>
          <w:i/>
          <w:iCs/>
          <w:lang w:eastAsia="zh-CN" w:bidi="hi-IN"/>
        </w:rPr>
        <w:t xml:space="preserve"> </w:t>
      </w:r>
      <w:r w:rsidRPr="00400193">
        <w:rPr>
          <w:lang w:eastAsia="zh-CN" w:bidi="hi-IN"/>
        </w:rPr>
        <w:t>et al., 2013), or even possible. It must also consider future possibilities like smart-grids (Liu</w:t>
      </w:r>
      <w:r w:rsidRPr="00400193">
        <w:rPr>
          <w:i/>
          <w:iCs/>
          <w:lang w:eastAsia="zh-CN" w:bidi="hi-IN"/>
        </w:rPr>
        <w:t xml:space="preserve"> </w:t>
      </w:r>
      <w:r w:rsidRPr="00400193">
        <w:rPr>
          <w:lang w:eastAsia="zh-CN" w:bidi="hi-IN"/>
        </w:rPr>
        <w:t>et al., 2012) and smart cities (Efthymiopoulos, 2016), and how these may affect existing security measures. The person in charge of the CRM therefore needs to be and remain completely up to date on current trends in cyber-attack (Bendovschi, 2015).</w:t>
      </w:r>
    </w:p>
    <w:p w14:paraId="2A6F784E" w14:textId="6B39227A" w:rsidR="006E3616" w:rsidRPr="00400193" w:rsidRDefault="006E3616" w:rsidP="006E3616">
      <w:pPr>
        <w:rPr>
          <w:lang w:eastAsia="zh-CN" w:bidi="hi-IN"/>
        </w:rPr>
      </w:pPr>
      <w:r w:rsidRPr="00400193">
        <w:rPr>
          <w:lang w:eastAsia="zh-CN" w:bidi="hi-IN"/>
        </w:rPr>
        <w:t xml:space="preserve">The consideration of security (physical and cyber-security) in smart grids is already a reality (Habash, Groza, and Burr, 2013). This is clearly an efficient method of transmitting data over long distances, with a </w:t>
      </w:r>
      <w:r w:rsidRPr="00400193">
        <w:rPr>
          <w:i/>
          <w:iCs/>
          <w:lang w:eastAsia="zh-CN" w:bidi="hi-IN"/>
        </w:rPr>
        <w:t xml:space="preserve">“proposed framework [that] calls for a </w:t>
      </w:r>
      <w:r w:rsidRPr="00400193">
        <w:rPr>
          <w:i/>
          <w:iCs/>
          <w:lang w:eastAsia="zh-CN" w:bidi="hi-IN"/>
        </w:rPr>
        <w:lastRenderedPageBreak/>
        <w:t>coordinated assessment of cyber and physical risks keeping the whole grid security goals in mind</w:t>
      </w:r>
      <w:r w:rsidRPr="00400193">
        <w:rPr>
          <w:lang w:eastAsia="zh-CN" w:bidi="hi-IN"/>
        </w:rPr>
        <w:t xml:space="preserve">” (Habash, Groza </w:t>
      </w:r>
      <w:r w:rsidR="00337F8A" w:rsidRPr="00400193">
        <w:rPr>
          <w:lang w:eastAsia="zh-CN" w:bidi="hi-IN"/>
        </w:rPr>
        <w:t>and</w:t>
      </w:r>
      <w:r w:rsidRPr="00400193">
        <w:rPr>
          <w:lang w:eastAsia="zh-CN" w:bidi="hi-IN"/>
        </w:rPr>
        <w:t xml:space="preserve"> Burr, 2013, p. 1070).</w:t>
      </w:r>
    </w:p>
    <w:p w14:paraId="11672361" w14:textId="77777777" w:rsidR="006E3616" w:rsidRPr="00400193" w:rsidRDefault="006E3616" w:rsidP="006E3616">
      <w:pPr>
        <w:rPr>
          <w:lang w:eastAsia="zh-CN" w:bidi="hi-IN"/>
        </w:rPr>
      </w:pPr>
      <w:r w:rsidRPr="00400193">
        <w:rPr>
          <w:lang w:eastAsia="zh-CN" w:bidi="hi-IN"/>
        </w:rPr>
        <w:t xml:space="preserve">Efthymiopoulos’s (2016) work on smart cities must also be critically considered when planning for future framework development. This is an area of increasing importance because it increases the connectedness of individuals, governments, and businesses. To omit such an important sector from any resilience plans would be a serious error, and it may even be possible to use the latent capacity of these grids and cities as a part of the resilience response. </w:t>
      </w:r>
    </w:p>
    <w:p w14:paraId="3CC4E7F3" w14:textId="77777777" w:rsidR="006E3616" w:rsidRPr="00400193" w:rsidRDefault="006E3616" w:rsidP="006E3616">
      <w:pPr>
        <w:rPr>
          <w:lang w:eastAsia="zh-CN" w:bidi="hi-IN"/>
        </w:rPr>
      </w:pPr>
      <w:r w:rsidRPr="00400193">
        <w:rPr>
          <w:lang w:eastAsia="zh-CN" w:bidi="hi-IN"/>
        </w:rPr>
        <w:t>Strategic planning is also linked to business ethics, and what is acceptable or unacceptable practice. This situation arises when considering, for example, data mining. It may be helpful for governments to provide official definitions to prevent situations arising where “what I do is simply data mining, but what you do is cyber-theft” even though both are doing the same thing. There will always be companies that go beyond limits, but if those limits have been agreed across an industry, it is possible to take action to stop breaches.</w:t>
      </w:r>
    </w:p>
    <w:p w14:paraId="69033974" w14:textId="77777777" w:rsidR="006E3616" w:rsidRPr="00400193" w:rsidRDefault="006E3616" w:rsidP="006E3616">
      <w:pPr>
        <w:rPr>
          <w:lang w:eastAsia="zh-CN" w:bidi="hi-IN"/>
        </w:rPr>
      </w:pPr>
      <w:r w:rsidRPr="00400193">
        <w:rPr>
          <w:lang w:eastAsia="zh-CN" w:bidi="hi-IN"/>
        </w:rPr>
        <w:t>CRM can also be used to add value, which means that it is essential for strategic planning. Strategic planning is easier in a company with a ‘culture’ of CRM. However, regardless of the size of the company, CRM should be an essential part of the ERM. It is likely that ICT will be part of everybody’s life for the foreseeable future (Hatch, 2011) so CRM will also need to be part of strategic planning. Hatch (2011) considered this from an educational viewpoint, but the thrust of her argument applies equally to business. It is essential to make the best use of the tools that are available, and to be aware of the possible dangers of doing so.</w:t>
      </w:r>
    </w:p>
    <w:p w14:paraId="3BC011B9" w14:textId="77777777" w:rsidR="006E3616" w:rsidRPr="00400193" w:rsidRDefault="006E3616" w:rsidP="006E3616">
      <w:pPr>
        <w:pStyle w:val="Heading3"/>
        <w:rPr>
          <w:rFonts w:eastAsia="Arial"/>
          <w:lang w:eastAsia="zh-CN" w:bidi="hi-IN"/>
        </w:rPr>
      </w:pPr>
      <w:bookmarkStart w:id="112" w:name="_Toc61894669"/>
      <w:r w:rsidRPr="00400193">
        <w:rPr>
          <w:rFonts w:eastAsia="Arial"/>
        </w:rPr>
        <w:t>Using</w:t>
      </w:r>
      <w:r w:rsidRPr="00400193">
        <w:rPr>
          <w:rFonts w:eastAsia="Arial"/>
          <w:lang w:eastAsia="zh-CN" w:bidi="hi-IN"/>
        </w:rPr>
        <w:t xml:space="preserve"> CRM to ‘Add Value’</w:t>
      </w:r>
      <w:bookmarkEnd w:id="112"/>
    </w:p>
    <w:p w14:paraId="5274C657" w14:textId="77777777" w:rsidR="006E3616" w:rsidRPr="00400193" w:rsidRDefault="006E3616" w:rsidP="006E3616">
      <w:pPr>
        <w:rPr>
          <w:lang w:eastAsia="zh-CN" w:bidi="hi-IN"/>
        </w:rPr>
      </w:pPr>
      <w:r w:rsidRPr="00400193">
        <w:rPr>
          <w:lang w:eastAsia="zh-CN" w:bidi="hi-IN"/>
        </w:rPr>
        <w:t>Falkner and Hiebl (2015) suggested that small to medium-sized enterprises (SMEs) are less likely than larger companies to use any form of risk management because of a lack of resources. By extension, the implication is that they have no CRM policies, although:</w:t>
      </w:r>
    </w:p>
    <w:p w14:paraId="64E9D32A" w14:textId="53B3FC90" w:rsidR="006E3616" w:rsidRPr="00400193" w:rsidRDefault="006E3616" w:rsidP="00641F89">
      <w:pPr>
        <w:pStyle w:val="Quote"/>
        <w:rPr>
          <w:lang w:eastAsia="zh-CN" w:bidi="hi-IN"/>
        </w:rPr>
      </w:pPr>
      <w:r w:rsidRPr="00400193">
        <w:rPr>
          <w:lang w:eastAsia="zh-CN" w:bidi="hi-IN"/>
        </w:rPr>
        <w:t xml:space="preserve">potential impact of implementation failure [is] relatively higher – especially if SMEs opt for open-source software vendors and not for large for-profit software vendors… [and that] all gaps in online security have an impact on reputation and customer trust (Falkner </w:t>
      </w:r>
      <w:r w:rsidR="00337F8A" w:rsidRPr="00400193">
        <w:rPr>
          <w:lang w:eastAsia="zh-CN" w:bidi="hi-IN"/>
        </w:rPr>
        <w:t>and</w:t>
      </w:r>
      <w:r w:rsidRPr="00400193">
        <w:rPr>
          <w:lang w:eastAsia="zh-CN" w:bidi="hi-IN"/>
        </w:rPr>
        <w:t xml:space="preserve"> Hiebl, 2015, pp. 130–131)</w:t>
      </w:r>
    </w:p>
    <w:p w14:paraId="7956F11C" w14:textId="77777777" w:rsidR="006E3616" w:rsidRPr="00400193" w:rsidRDefault="006E3616" w:rsidP="006E3616">
      <w:pPr>
        <w:rPr>
          <w:lang w:eastAsia="zh-CN" w:bidi="hi-IN"/>
        </w:rPr>
      </w:pPr>
      <w:r w:rsidRPr="00400193">
        <w:rPr>
          <w:lang w:eastAsia="zh-CN" w:bidi="hi-IN"/>
        </w:rPr>
        <w:lastRenderedPageBreak/>
        <w:t>This issue has added importance because SMEs are a major driving force of the economy of both developed and developing countries. Gama and Geraldes (2012) suggested that in the EU, SMEs provide around 99% of economic activities and two-thirds of private sector jobs.</w:t>
      </w:r>
    </w:p>
    <w:p w14:paraId="176CACDF" w14:textId="77777777" w:rsidR="006E3616" w:rsidRPr="00400193" w:rsidRDefault="006E3616" w:rsidP="006E3616">
      <w:pPr>
        <w:rPr>
          <w:lang w:eastAsia="zh-CN" w:bidi="hi-IN"/>
        </w:rPr>
      </w:pPr>
      <w:r w:rsidRPr="00400193">
        <w:rPr>
          <w:lang w:eastAsia="zh-CN" w:bidi="hi-IN"/>
        </w:rPr>
        <w:t xml:space="preserve">The very companies that most need ‘non-financial risk management’ (Wong, 2014) are therefore the least likely to have it. In turn, this means that any SME adopting the framework proposed could claim it as a unique selling point to potential investors, thus ‘adding value’ to their investment package. </w:t>
      </w:r>
    </w:p>
    <w:p w14:paraId="3F30977E" w14:textId="77777777" w:rsidR="006E3616" w:rsidRPr="00400193" w:rsidRDefault="006E3616" w:rsidP="006E3616">
      <w:pPr>
        <w:rPr>
          <w:lang w:eastAsia="zh-CN" w:bidi="hi-IN"/>
        </w:rPr>
      </w:pPr>
      <w:r w:rsidRPr="00400193">
        <w:rPr>
          <w:lang w:eastAsia="zh-CN" w:bidi="hi-IN"/>
        </w:rPr>
        <w:t>There is one difficulty with viewing risk management as ‘risk minimisation’: it tends to minimise creativity too (Ehsan, 2013). To add value requires creativity, so in this context, risk management needs to be viewed as the ability to respond when an incident occurs (Ehsan, 2013). This approach initially seems the opposite of what has been proposed so far, which is all about the prevention or minimisation of major cyber-attacks. However, it is compatible. In the engineering and production areas of a company, it is important to promote creativity, but cyber-security can be maintained by setting up a ‘creation zone’, where any attack on the system cannot spread into the main computer system.</w:t>
      </w:r>
    </w:p>
    <w:p w14:paraId="46308441" w14:textId="77777777" w:rsidR="006E3616" w:rsidRPr="00400193" w:rsidRDefault="006E3616" w:rsidP="006E3616">
      <w:pPr>
        <w:rPr>
          <w:lang w:eastAsia="zh-CN" w:bidi="hi-IN"/>
        </w:rPr>
      </w:pPr>
      <w:r w:rsidRPr="00400193">
        <w:rPr>
          <w:lang w:eastAsia="zh-CN" w:bidi="hi-IN"/>
        </w:rPr>
        <w:t>Another way in which CRM can be used to add value is through the idea of “cyber-intelligence” (Borum</w:t>
      </w:r>
      <w:r w:rsidRPr="00400193">
        <w:rPr>
          <w:i/>
          <w:iCs/>
          <w:lang w:eastAsia="zh-CN" w:bidi="hi-IN"/>
        </w:rPr>
        <w:t xml:space="preserve"> </w:t>
      </w:r>
      <w:r w:rsidRPr="00400193">
        <w:rPr>
          <w:lang w:eastAsia="zh-CN" w:bidi="hi-IN"/>
        </w:rPr>
        <w:t>et al., 2015). The firm that has gained enough knowledge to be able to predict and respond to the next cyber-attack will also be in a position to predict and react to market changes. This is because the ‘intelligence’ (in the military sense) required to predict attacks is similar to the intelligence required to predict market changes. The first clear indication of a requirement for the new framework begins to emerge here: a CRM framework must include flexibility so that creativity is not stifled, and an ‘intelligence network’ that will feed information about important trends and details to the risk manager.</w:t>
      </w:r>
    </w:p>
    <w:p w14:paraId="4E4E9664" w14:textId="77777777" w:rsidR="006E3616" w:rsidRPr="00400193" w:rsidRDefault="006E3616" w:rsidP="006E3616">
      <w:pPr>
        <w:pStyle w:val="Heading3"/>
        <w:rPr>
          <w:rFonts w:eastAsia="Arial"/>
          <w:lang w:eastAsia="zh-CN" w:bidi="hi-IN"/>
        </w:rPr>
      </w:pPr>
      <w:bookmarkStart w:id="113" w:name="_Toc61894670"/>
      <w:r w:rsidRPr="00400193">
        <w:rPr>
          <w:rFonts w:eastAsia="Arial"/>
          <w:lang w:eastAsia="zh-CN" w:bidi="hi-IN"/>
        </w:rPr>
        <w:t xml:space="preserve">The Need for a </w:t>
      </w:r>
      <w:r w:rsidRPr="00400193">
        <w:rPr>
          <w:rFonts w:eastAsia="Arial"/>
        </w:rPr>
        <w:t>Culture</w:t>
      </w:r>
      <w:r w:rsidRPr="00400193">
        <w:rPr>
          <w:rFonts w:eastAsia="Arial"/>
          <w:lang w:eastAsia="zh-CN" w:bidi="hi-IN"/>
        </w:rPr>
        <w:t xml:space="preserve"> of CRM</w:t>
      </w:r>
      <w:bookmarkEnd w:id="113"/>
    </w:p>
    <w:p w14:paraId="37EC5FEF" w14:textId="77777777" w:rsidR="006E3616" w:rsidRPr="00400193" w:rsidRDefault="006E3616" w:rsidP="006E3616">
      <w:pPr>
        <w:rPr>
          <w:lang w:eastAsia="zh-CN" w:bidi="hi-IN"/>
        </w:rPr>
      </w:pPr>
      <w:r w:rsidRPr="00400193">
        <w:rPr>
          <w:lang w:eastAsia="zh-CN" w:bidi="hi-IN"/>
        </w:rPr>
        <w:t>The need for a culture of CRM can also be seen from the point of view of ‘added value’. Until all companies, small or large, accept that it is a necessity rather than a free choice, and bring in a corporate culture of risk management including CRM, it seems unlikely that progress will be made in this area (Institute of Risk Management, 2014).</w:t>
      </w:r>
    </w:p>
    <w:p w14:paraId="022912FE" w14:textId="77777777" w:rsidR="006E3616" w:rsidRPr="00400193" w:rsidRDefault="006E3616" w:rsidP="006E3616">
      <w:pPr>
        <w:rPr>
          <w:lang w:eastAsia="zh-CN" w:bidi="hi-IN"/>
        </w:rPr>
      </w:pPr>
      <w:r w:rsidRPr="00400193">
        <w:rPr>
          <w:lang w:eastAsia="zh-CN" w:bidi="hi-IN"/>
        </w:rPr>
        <w:lastRenderedPageBreak/>
        <w:t xml:space="preserve">Warner and Sloan (2016, p. 1) took a similar view, saying; </w:t>
      </w:r>
      <w:r w:rsidRPr="00400193">
        <w:rPr>
          <w:i/>
          <w:iCs/>
          <w:lang w:eastAsia="zh-CN" w:bidi="hi-IN"/>
        </w:rPr>
        <w:t>“Security experts have long explained how to defend better. So why does society tolerate a significant loss that it has the means to avoid?”</w:t>
      </w:r>
      <w:r w:rsidRPr="00400193">
        <w:rPr>
          <w:lang w:eastAsia="zh-CN" w:bidi="hi-IN"/>
        </w:rPr>
        <w:t>. They suggested that part of the answer is a reluctance to accept the cost, and partly the need for a culture of CRM. The ‘cost’ is not simply financial but includes aspects such as the additional time required for security measures. It also considers the idea that estimates of the levels of loss are likely to be underestimates because of the lack of information available.</w:t>
      </w:r>
    </w:p>
    <w:p w14:paraId="7CCA5277" w14:textId="77777777" w:rsidR="006E3616" w:rsidRPr="00400193" w:rsidRDefault="006E3616" w:rsidP="006E3616">
      <w:pPr>
        <w:rPr>
          <w:lang w:eastAsia="zh-CN" w:bidi="hi-IN"/>
        </w:rPr>
      </w:pPr>
      <w:r w:rsidRPr="00400193">
        <w:rPr>
          <w:lang w:eastAsia="zh-CN" w:bidi="hi-IN"/>
        </w:rPr>
        <w:t>Shackelford, Fort and Charoen (2016) put CRM into the same category as corporate social responsibility, which also required a culture to be developed before it was truly effective. This view is based on the idea that in future, as the levels of connection increase, cyber-security at the company level will affect national security. Companies will therefore find it is in both their own best interests and the best interests of their host country to instigate a culture of CRM.</w:t>
      </w:r>
    </w:p>
    <w:p w14:paraId="78CAA846" w14:textId="5FE48AD4" w:rsidR="006E3616" w:rsidRPr="00400193" w:rsidRDefault="006E3616" w:rsidP="006E3616">
      <w:pPr>
        <w:rPr>
          <w:lang w:eastAsia="zh-CN" w:bidi="hi-IN"/>
        </w:rPr>
      </w:pPr>
      <w:r w:rsidRPr="00400193">
        <w:rPr>
          <w:lang w:eastAsia="zh-CN" w:bidi="hi-IN"/>
        </w:rPr>
        <w:t>This idea of the level of importance of cyber-security is upheld by experts from America’s Central Intelligence Agency (CIA) (Borum</w:t>
      </w:r>
      <w:r w:rsidRPr="00400193">
        <w:rPr>
          <w:i/>
          <w:iCs/>
          <w:lang w:eastAsia="zh-CN" w:bidi="hi-IN"/>
        </w:rPr>
        <w:t xml:space="preserve"> </w:t>
      </w:r>
      <w:r w:rsidRPr="00400193">
        <w:rPr>
          <w:lang w:eastAsia="zh-CN" w:bidi="hi-IN"/>
        </w:rPr>
        <w:t xml:space="preserve">et al., 2015, p. 317). The CIA noted that Investing in technology, firewalls and intrusion detection systems is necessary, but insufficient. The agency made a strong case for cyber-security to include cyber-intelligence, as described in Section 2.3.4. However, the level to which this is pursued is a matter for individual companies, because the point at which ‘gathering intelligence’ and ‘data mining’ become ‘cyber-spying’ and ‘cyber-attacks’ is a matter of ethics and viewpoint. This dichotomy leads towards another necessary part of a CRM framework: guidance on acceptable and unacceptable behaviour (e.g. data mining vs. cyber-attack). That guidance needs to go into more depth than simply saying “what is not protected is a fair target”. Information security also needs to become as much a part of the organisational culture as physical security </w:t>
      </w:r>
      <w:sdt>
        <w:sdtPr>
          <w:rPr>
            <w:lang w:eastAsia="zh-CN" w:bidi="hi-IN"/>
          </w:rPr>
          <w:id w:val="281079231"/>
          <w:citation/>
        </w:sdtPr>
        <w:sdtEndPr/>
        <w:sdtContent>
          <w:r w:rsidRPr="00400193">
            <w:rPr>
              <w:lang w:eastAsia="zh-CN" w:bidi="hi-IN"/>
            </w:rPr>
            <w:fldChar w:fldCharType="begin"/>
          </w:r>
          <w:r w:rsidRPr="00400193">
            <w:rPr>
              <w:lang w:eastAsia="zh-CN" w:bidi="hi-IN"/>
            </w:rPr>
            <w:instrText xml:space="preserve"> CITATION Yil16 \l 2057 </w:instrText>
          </w:r>
          <w:r w:rsidRPr="00400193">
            <w:rPr>
              <w:lang w:eastAsia="zh-CN" w:bidi="hi-IN"/>
            </w:rPr>
            <w:fldChar w:fldCharType="separate"/>
          </w:r>
          <w:r w:rsidRPr="00400193">
            <w:rPr>
              <w:lang w:eastAsia="zh-CN" w:bidi="hi-IN"/>
            </w:rPr>
            <w:t>(Yildirim, 2016)</w:t>
          </w:r>
          <w:r w:rsidRPr="00400193">
            <w:rPr>
              <w:lang w:eastAsia="zh-CN" w:bidi="hi-IN"/>
            </w:rPr>
            <w:fldChar w:fldCharType="end"/>
          </w:r>
        </w:sdtContent>
      </w:sdt>
      <w:r w:rsidRPr="00400193">
        <w:rPr>
          <w:lang w:eastAsia="zh-CN" w:bidi="hi-IN"/>
        </w:rPr>
        <w:t>. Nobody would think of leaving the factory open and unlocked after everyone has gone home, and access is usually restricted during working hours. However, a visiting executive from a rival company can often access the computer system from a smartphone simply because no-one has bothered to make the system secure (or worse, an entrance has been left open by someone who “didn’t think” that it was a problem) (Cain</w:t>
      </w:r>
      <w:r w:rsidR="00704A6D" w:rsidRPr="00400193">
        <w:rPr>
          <w:lang w:eastAsia="zh-CN" w:bidi="hi-IN"/>
        </w:rPr>
        <w:t xml:space="preserve"> et al</w:t>
      </w:r>
      <w:r w:rsidRPr="00400193">
        <w:rPr>
          <w:i/>
          <w:iCs/>
          <w:lang w:eastAsia="zh-CN" w:bidi="hi-IN"/>
        </w:rPr>
        <w:t>.</w:t>
      </w:r>
      <w:r w:rsidRPr="00400193">
        <w:rPr>
          <w:lang w:eastAsia="zh-CN" w:bidi="hi-IN"/>
        </w:rPr>
        <w:t>, 2016).</w:t>
      </w:r>
    </w:p>
    <w:p w14:paraId="11A67EBE" w14:textId="77777777" w:rsidR="006E3616" w:rsidRPr="00400193" w:rsidRDefault="006E3616" w:rsidP="006E3616">
      <w:pPr>
        <w:rPr>
          <w:lang w:eastAsia="zh-CN" w:bidi="hi-IN"/>
        </w:rPr>
      </w:pPr>
      <w:r w:rsidRPr="00400193">
        <w:rPr>
          <w:lang w:eastAsia="zh-CN" w:bidi="hi-IN"/>
        </w:rPr>
        <w:lastRenderedPageBreak/>
        <w:t xml:space="preserve">This growth of a culture of cyber-risk awareness may be assisted by executives other than the Chief Information Security Officer visiting trade fairs and cyber-security fairs (Larson, 2015). One difficulty with these events is that board members who really need information about the latest threats are actually the least likely to attend. Part of developing a culture of CRM needs to be incentives for the board and senior managers to learn about the subject. They will then (hopefully) become more enthusiastic, which will encourage more junior managers to learn more. </w:t>
      </w:r>
    </w:p>
    <w:p w14:paraId="3B58F57F" w14:textId="14C4B48F" w:rsidR="006E3616" w:rsidRPr="00400193" w:rsidRDefault="006E3616" w:rsidP="006E3616">
      <w:pPr>
        <w:rPr>
          <w:lang w:eastAsia="zh-CN" w:bidi="hi-IN"/>
        </w:rPr>
      </w:pPr>
      <w:r w:rsidRPr="00400193">
        <w:rPr>
          <w:lang w:eastAsia="zh-CN" w:bidi="hi-IN"/>
        </w:rPr>
        <w:t xml:space="preserve">In creating this culture of risk awareness, it should be remembered that </w:t>
      </w:r>
      <w:r w:rsidRPr="00400193">
        <w:rPr>
          <w:i/>
          <w:iCs/>
          <w:lang w:eastAsia="zh-CN" w:bidi="hi-IN"/>
        </w:rPr>
        <w:t>“cyber-risks are amongst the most underestimated business risks”</w:t>
      </w:r>
      <w:r w:rsidRPr="00400193">
        <w:rPr>
          <w:lang w:eastAsia="zh-CN" w:bidi="hi-IN"/>
        </w:rPr>
        <w:t xml:space="preserve"> (Kosub, 2015, p. 631). This theme has emerged strongly from the literature review. Kosub (2015) concentrated on the process of CRM, using existing frameworks, but included the need for a risk culture. Kosub’s proposed process is shown in </w:t>
      </w:r>
      <w:r w:rsidRPr="00400193">
        <w:rPr>
          <w:lang w:eastAsia="zh-CN" w:bidi="hi-IN"/>
        </w:rPr>
        <w:fldChar w:fldCharType="begin"/>
      </w:r>
      <w:r w:rsidRPr="00400193">
        <w:rPr>
          <w:lang w:eastAsia="zh-CN" w:bidi="hi-IN"/>
        </w:rPr>
        <w:instrText xml:space="preserve"> REF _Ref42538739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12</w:t>
      </w:r>
      <w:r w:rsidRPr="00400193">
        <w:rPr>
          <w:lang w:eastAsia="zh-CN" w:bidi="hi-IN"/>
        </w:rPr>
        <w:fldChar w:fldCharType="end"/>
      </w:r>
      <w:r w:rsidRPr="00400193">
        <w:rPr>
          <w:lang w:eastAsia="zh-CN" w:bidi="hi-IN"/>
        </w:rPr>
        <w:t>. He placed risk culture last in the process but noted that this simply reflects the logical progression for a company setting up CRM for the first time, rather than the relative importance.</w:t>
      </w:r>
    </w:p>
    <w:p w14:paraId="5ECEE4FF" w14:textId="77777777" w:rsidR="006E3616" w:rsidRPr="00400193" w:rsidRDefault="006E3616" w:rsidP="006E3616">
      <w:pPr>
        <w:keepNext/>
        <w:suppressAutoHyphens/>
        <w:spacing w:before="120" w:after="120" w:line="240" w:lineRule="auto"/>
      </w:pPr>
      <w:r w:rsidRPr="00400193">
        <w:rPr>
          <w:rFonts w:eastAsia="Arial Unicode MS" w:cs="Times New Roman"/>
          <w:noProof/>
          <w:szCs w:val="24"/>
          <w:lang w:val="en-US"/>
        </w:rPr>
        <w:drawing>
          <wp:inline distT="0" distB="0" distL="0" distR="0" wp14:anchorId="3399D165" wp14:editId="371964D8">
            <wp:extent cx="5760000" cy="3240000"/>
            <wp:effectExtent l="38100" t="19050" r="31750" b="36830"/>
            <wp:docPr id="17" name="Diagram 1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4233FF00" w14:textId="45ED2496" w:rsidR="006E3616" w:rsidRPr="00400193" w:rsidRDefault="006E3616" w:rsidP="006E3616">
      <w:pPr>
        <w:pStyle w:val="Caption"/>
        <w:rPr>
          <w:szCs w:val="24"/>
          <w:lang w:eastAsia="zh-CN" w:bidi="hi-IN"/>
        </w:rPr>
      </w:pPr>
      <w:bookmarkStart w:id="114" w:name="_Ref42538739"/>
      <w:bookmarkStart w:id="115" w:name="_Toc5538756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12</w:t>
      </w:r>
      <w:r w:rsidR="00E35E8C" w:rsidRPr="00400193">
        <w:fldChar w:fldCharType="end"/>
      </w:r>
      <w:bookmarkEnd w:id="114"/>
      <w:r w:rsidRPr="00400193">
        <w:t>: Kosub's suggested process for CRM. Source: adapted from Kosub (2015)</w:t>
      </w:r>
      <w:bookmarkEnd w:id="115"/>
    </w:p>
    <w:p w14:paraId="5FCA803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 </w:t>
      </w:r>
    </w:p>
    <w:p w14:paraId="76A56FF4" w14:textId="77777777" w:rsidR="006E3616" w:rsidRPr="00400193" w:rsidRDefault="006E3616" w:rsidP="006E3616">
      <w:pPr>
        <w:rPr>
          <w:lang w:eastAsia="zh-CN" w:bidi="hi-IN"/>
        </w:rPr>
      </w:pPr>
      <w:r w:rsidRPr="00400193">
        <w:rPr>
          <w:lang w:eastAsia="zh-CN" w:bidi="hi-IN"/>
        </w:rPr>
        <w:t xml:space="preserve">The process is important, but the BSI/ISO (BSI/ISO, 2016) standards and other frameworks provide a scaffolding to support it. The purpose of this study is to produce </w:t>
      </w:r>
      <w:r w:rsidRPr="00400193">
        <w:rPr>
          <w:lang w:eastAsia="zh-CN" w:bidi="hi-IN"/>
        </w:rPr>
        <w:lastRenderedPageBreak/>
        <w:t xml:space="preserve">an improved framework that will permit a process such as Kosub’s (2015) to operate without difficulty and to become a natural part of the company’s ERM. </w:t>
      </w:r>
    </w:p>
    <w:p w14:paraId="43C4E9C3" w14:textId="77777777" w:rsidR="006E3616" w:rsidRPr="00400193" w:rsidRDefault="006E3616" w:rsidP="006E3616">
      <w:pPr>
        <w:pStyle w:val="Heading3"/>
        <w:rPr>
          <w:rFonts w:eastAsia="Arial"/>
          <w:lang w:eastAsia="zh-CN" w:bidi="hi-IN"/>
        </w:rPr>
      </w:pPr>
      <w:bookmarkStart w:id="116" w:name="_Toc61894671"/>
      <w:r w:rsidRPr="00400193">
        <w:rPr>
          <w:rFonts w:eastAsia="Arial"/>
          <w:lang w:eastAsia="zh-CN" w:bidi="hi-IN"/>
        </w:rPr>
        <w:t>CRM Frameworks and Board Level Involvement</w:t>
      </w:r>
      <w:bookmarkEnd w:id="116"/>
    </w:p>
    <w:p w14:paraId="7448BD12" w14:textId="77777777" w:rsidR="006E3616" w:rsidRPr="00400193" w:rsidRDefault="006E3616" w:rsidP="006E3616">
      <w:pPr>
        <w:rPr>
          <w:lang w:eastAsia="zh-CN" w:bidi="hi-IN"/>
        </w:rPr>
      </w:pPr>
      <w:r w:rsidRPr="00400193">
        <w:rPr>
          <w:lang w:eastAsia="zh-CN" w:bidi="hi-IN"/>
        </w:rPr>
        <w:t>If the networks used for the transmission were limited to software-defined networks, it is unlikely that additional support or framework would be required. These networks are naturally resilient and tend to become even stronger when they are attacked (Ahmed</w:t>
      </w:r>
      <w:r w:rsidRPr="00400193">
        <w:rPr>
          <w:i/>
          <w:iCs/>
          <w:lang w:eastAsia="zh-CN" w:bidi="hi-IN"/>
        </w:rPr>
        <w:t xml:space="preserve"> </w:t>
      </w:r>
      <w:r w:rsidRPr="00400193">
        <w:rPr>
          <w:lang w:eastAsia="zh-CN" w:bidi="hi-IN"/>
        </w:rPr>
        <w:t>et al., 2015).</w:t>
      </w:r>
    </w:p>
    <w:p w14:paraId="258A5693" w14:textId="3413F000" w:rsidR="006E3616" w:rsidRPr="00400193" w:rsidRDefault="006E3616" w:rsidP="006E3616">
      <w:pPr>
        <w:rPr>
          <w:lang w:eastAsia="zh-CN" w:bidi="hi-IN"/>
        </w:rPr>
      </w:pPr>
      <w:r w:rsidRPr="00400193">
        <w:rPr>
          <w:lang w:eastAsia="zh-CN" w:bidi="hi-IN"/>
        </w:rPr>
        <w:t xml:space="preserve">Yayla and Hu (2014) emphasised the need for a knowledgeable Chief Information Officer (CIO) on the board. These officers must keep abreast of all developments in ICT and know the company’s ICT systems in detail. They suggested that </w:t>
      </w:r>
      <w:r w:rsidRPr="00400193">
        <w:rPr>
          <w:i/>
          <w:iCs/>
          <w:lang w:eastAsia="zh-CN" w:bidi="hi-IN"/>
        </w:rPr>
        <w:t>“research has shown a lack of board of directors’ oversight on CIO- and IT-related issues”</w:t>
      </w:r>
      <w:r w:rsidRPr="00400193">
        <w:rPr>
          <w:lang w:eastAsia="zh-CN" w:bidi="hi-IN"/>
        </w:rPr>
        <w:t xml:space="preserve"> (Yayla </w:t>
      </w:r>
      <w:r w:rsidR="00337F8A" w:rsidRPr="00400193">
        <w:rPr>
          <w:lang w:eastAsia="zh-CN" w:bidi="hi-IN"/>
        </w:rPr>
        <w:t>and</w:t>
      </w:r>
      <w:r w:rsidRPr="00400193">
        <w:rPr>
          <w:lang w:eastAsia="zh-CN" w:bidi="hi-IN"/>
        </w:rPr>
        <w:t xml:space="preserve"> Hu, 2014, p. 401).</w:t>
      </w:r>
    </w:p>
    <w:p w14:paraId="472802C5" w14:textId="3BC84229" w:rsidR="006E3616" w:rsidRPr="00400193" w:rsidRDefault="006E3616" w:rsidP="00701D7E">
      <w:pPr>
        <w:spacing w:after="0"/>
        <w:rPr>
          <w:lang w:eastAsia="zh-CN" w:bidi="hi-IN"/>
        </w:rPr>
      </w:pPr>
      <w:r w:rsidRPr="00400193">
        <w:rPr>
          <w:lang w:eastAsia="zh-CN" w:bidi="hi-IN"/>
        </w:rPr>
        <w:t xml:space="preserve">This is clearly a serious issue, because ‘CIO- and IT-related issues’ are now such a large part of the activities of almost every company. If the board does not know there is a risk, it cannot be managed. It therefore also seems advisable to suggest that all members of the board should have a certain level of computer literacy. Yayla and Hu’s (2014) model for research is shown in </w:t>
      </w:r>
      <w:r w:rsidRPr="00400193">
        <w:rPr>
          <w:lang w:eastAsia="zh-CN" w:bidi="hi-IN"/>
        </w:rPr>
        <w:fldChar w:fldCharType="begin"/>
      </w:r>
      <w:r w:rsidRPr="00400193">
        <w:rPr>
          <w:lang w:eastAsia="zh-CN" w:bidi="hi-IN"/>
        </w:rPr>
        <w:instrText xml:space="preserve"> REF _Ref42538853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13</w:t>
      </w:r>
      <w:r w:rsidRPr="00400193">
        <w:rPr>
          <w:lang w:eastAsia="zh-CN" w:bidi="hi-IN"/>
        </w:rPr>
        <w:fldChar w:fldCharType="end"/>
      </w:r>
      <w:r w:rsidRPr="00400193">
        <w:rPr>
          <w:lang w:eastAsia="zh-CN" w:bidi="hi-IN"/>
        </w:rPr>
        <w:t>.</w:t>
      </w:r>
    </w:p>
    <w:p w14:paraId="64FF1056" w14:textId="77777777" w:rsidR="006E3616" w:rsidRPr="00400193" w:rsidRDefault="006E3616" w:rsidP="00701D7E">
      <w:pPr>
        <w:keepNext/>
        <w:suppressAutoHyphens/>
        <w:spacing w:after="0" w:line="240" w:lineRule="auto"/>
        <w:jc w:val="center"/>
      </w:pPr>
      <w:r w:rsidRPr="00400193">
        <w:rPr>
          <w:rFonts w:eastAsia="Arial Unicode MS" w:cs="Times New Roman"/>
          <w:noProof/>
          <w:szCs w:val="24"/>
          <w:lang w:val="en-US"/>
        </w:rPr>
        <w:drawing>
          <wp:inline distT="0" distB="0" distL="0" distR="0" wp14:anchorId="1B281637" wp14:editId="2FE38804">
            <wp:extent cx="5760000" cy="3240000"/>
            <wp:effectExtent l="19050" t="19050" r="12700" b="17780"/>
            <wp:docPr id="18"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822AC1A" w14:textId="0C9C11FE" w:rsidR="006E3616" w:rsidRPr="00400193" w:rsidRDefault="006E3616" w:rsidP="00701D7E">
      <w:pPr>
        <w:pStyle w:val="Caption"/>
        <w:rPr>
          <w:szCs w:val="24"/>
          <w:lang w:eastAsia="zh-CN" w:bidi="hi-IN"/>
        </w:rPr>
      </w:pPr>
      <w:bookmarkStart w:id="117" w:name="_Ref42538853"/>
      <w:bookmarkStart w:id="118" w:name="_Toc5538756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13</w:t>
      </w:r>
      <w:r w:rsidR="00E35E8C" w:rsidRPr="00400193">
        <w:fldChar w:fldCharType="end"/>
      </w:r>
      <w:bookmarkEnd w:id="117"/>
      <w:r w:rsidRPr="00400193">
        <w:t>: Yayla and Hu's (2014) model for research on the effect of board level knowledge on the performance of firms</w:t>
      </w:r>
      <w:bookmarkEnd w:id="118"/>
    </w:p>
    <w:p w14:paraId="55313AC2" w14:textId="18D7F9B7" w:rsidR="006E3616" w:rsidRPr="00400193" w:rsidRDefault="006E3616" w:rsidP="00701D7E">
      <w:pPr>
        <w:pStyle w:val="NoSpacing"/>
        <w:spacing w:after="240"/>
        <w:rPr>
          <w:lang w:eastAsia="zh-CN" w:bidi="hi-IN"/>
        </w:rPr>
      </w:pPr>
      <w:r w:rsidRPr="00400193">
        <w:rPr>
          <w:lang w:eastAsia="zh-CN" w:bidi="hi-IN"/>
        </w:rPr>
        <w:t xml:space="preserve">Note: H1 is the negative effect of low knowledge at board level, H2 is the positive effect of board-level IT knowledge, H3 is how the negative effect is lessened if the company has a </w:t>
      </w:r>
      <w:r w:rsidRPr="00400193">
        <w:rPr>
          <w:lang w:eastAsia="zh-CN" w:bidi="hi-IN"/>
        </w:rPr>
        <w:lastRenderedPageBreak/>
        <w:t>lower level of IT use, and H4 is how board IT awareness improves performance if the industry is IT-intensive. In simple terms, greater IT intensity leads to a greater need for board-level awareness of cyber-risk and</w:t>
      </w:r>
      <w:r w:rsidR="00701D7E" w:rsidRPr="00400193">
        <w:rPr>
          <w:lang w:eastAsia="zh-CN" w:bidi="hi-IN"/>
        </w:rPr>
        <w:t xml:space="preserve"> -resilience.</w:t>
      </w:r>
      <w:r w:rsidRPr="00400193">
        <w:rPr>
          <w:lang w:eastAsia="zh-CN" w:bidi="hi-IN"/>
        </w:rPr>
        <w:t xml:space="preserve"> </w:t>
      </w:r>
    </w:p>
    <w:p w14:paraId="5CA81218" w14:textId="77777777" w:rsidR="006E3616" w:rsidRPr="00400193" w:rsidRDefault="006E3616" w:rsidP="006E3616">
      <w:pPr>
        <w:rPr>
          <w:lang w:eastAsia="zh-CN" w:bidi="hi-IN"/>
        </w:rPr>
      </w:pPr>
      <w:r w:rsidRPr="00400193">
        <w:rPr>
          <w:lang w:eastAsia="zh-CN" w:bidi="hi-IN"/>
        </w:rPr>
        <w:t xml:space="preserve">Yayla and Hu (2014, p. 426) noted </w:t>
      </w:r>
      <w:r w:rsidRPr="00400193">
        <w:rPr>
          <w:i/>
          <w:iCs/>
          <w:lang w:eastAsia="zh-CN" w:bidi="hi-IN"/>
        </w:rPr>
        <w:t>“The board of directors’ IT awareness has a significant effect on firms’ performance”</w:t>
      </w:r>
      <w:r w:rsidRPr="00400193">
        <w:rPr>
          <w:lang w:eastAsia="zh-CN" w:bidi="hi-IN"/>
        </w:rPr>
        <w:t>. This view that the board must have a higher level of IT awareness has also been upheld by others. Clinton (2015) suggested that it is best practice for this to be the case, and Borum</w:t>
      </w:r>
      <w:r w:rsidRPr="00400193">
        <w:rPr>
          <w:i/>
          <w:iCs/>
          <w:lang w:eastAsia="zh-CN" w:bidi="hi-IN"/>
        </w:rPr>
        <w:t xml:space="preserve"> </w:t>
      </w:r>
      <w:r w:rsidRPr="00400193">
        <w:rPr>
          <w:lang w:eastAsia="zh-CN" w:bidi="hi-IN"/>
        </w:rPr>
        <w:t xml:space="preserve">et al. (2015) also insisted that IT awareness is essential for cyber-intelligence. It therefore seems reasonable to suggest that a mainstay of the new framework will be education/training at board level to ensure that all members of the board have an adequate level of IT knowledge and cyber-risk awareness. </w:t>
      </w:r>
    </w:p>
    <w:p w14:paraId="36CB18F5" w14:textId="77777777" w:rsidR="006E3616" w:rsidRPr="00400193" w:rsidRDefault="006E3616" w:rsidP="006E3616">
      <w:pPr>
        <w:rPr>
          <w:lang w:eastAsia="zh-CN" w:bidi="hi-IN"/>
        </w:rPr>
      </w:pPr>
      <w:r w:rsidRPr="00400193">
        <w:rPr>
          <w:lang w:eastAsia="zh-CN" w:bidi="hi-IN"/>
        </w:rPr>
        <w:t>Board members can then lead the drive to introduce the required culture of CRM. In this case, a top-down approach is necessary, rather than a bottom-up one, because it will save time and also be generally more accepted both by board members and junior staff. The reason for this is intuitive; if you begin at the bottom, by the time it reaches board level, the ‘ground level’ employees will already be thinking of it as ‘just another management time-wasting programme’. However, if it begins at the top, these employees can see that it is already being implemented and taken seriously by senior managers.</w:t>
      </w:r>
    </w:p>
    <w:p w14:paraId="28893A9C" w14:textId="77777777" w:rsidR="006E3616" w:rsidRPr="00400193" w:rsidRDefault="006E3616" w:rsidP="006E3616">
      <w:pPr>
        <w:pStyle w:val="Heading3"/>
        <w:rPr>
          <w:rFonts w:eastAsia="Arial"/>
          <w:lang w:eastAsia="zh-CN" w:bidi="hi-IN"/>
        </w:rPr>
      </w:pPr>
      <w:bookmarkStart w:id="119" w:name="_Toc61894672"/>
      <w:r w:rsidRPr="00400193">
        <w:rPr>
          <w:rFonts w:eastAsia="Arial"/>
          <w:lang w:eastAsia="zh-CN" w:bidi="hi-IN"/>
        </w:rPr>
        <w:t>The Cultural Aspects of CRM Implementation</w:t>
      </w:r>
      <w:bookmarkEnd w:id="119"/>
    </w:p>
    <w:p w14:paraId="339A30B7" w14:textId="77777777" w:rsidR="006E3616" w:rsidRPr="00400193" w:rsidRDefault="006E3616" w:rsidP="006E3616">
      <w:pPr>
        <w:rPr>
          <w:lang w:eastAsia="zh-CN" w:bidi="hi-IN"/>
        </w:rPr>
      </w:pPr>
      <w:r w:rsidRPr="00400193">
        <w:rPr>
          <w:lang w:eastAsia="zh-CN" w:bidi="hi-IN"/>
        </w:rPr>
        <w:t>In some of the countries in the Middle East area or the slightly wider Middle East and North Africa region there is a strong dichotomy between modern, global business practices (including the use of ICT) and the traditional, Islamic and family-based way of life. Tomlinson (2003) suggested that this can lead to conflict over identity. However, it is also a difficulty in relation to security issues. There may be a level of resentment (Hammoudeh, 2012) of the need for passwords and security measures if people have given their word that the information is confidential.</w:t>
      </w:r>
    </w:p>
    <w:p w14:paraId="3D4B9F3E" w14:textId="77777777" w:rsidR="006E3616" w:rsidRPr="00400193" w:rsidRDefault="006E3616" w:rsidP="006E3616">
      <w:pPr>
        <w:pStyle w:val="Heading3"/>
        <w:rPr>
          <w:rFonts w:eastAsia="Arial"/>
          <w:lang w:eastAsia="zh-CN" w:bidi="hi-IN"/>
        </w:rPr>
      </w:pPr>
      <w:bookmarkStart w:id="120" w:name="_Toc61894673"/>
      <w:r w:rsidRPr="00400193">
        <w:rPr>
          <w:rFonts w:eastAsia="Arial"/>
          <w:lang w:eastAsia="zh-CN" w:bidi="hi-IN"/>
        </w:rPr>
        <w:t xml:space="preserve">The </w:t>
      </w:r>
      <w:r w:rsidRPr="00400193">
        <w:rPr>
          <w:rFonts w:eastAsia="Arial"/>
        </w:rPr>
        <w:t>Dubai</w:t>
      </w:r>
      <w:r w:rsidRPr="00400193">
        <w:rPr>
          <w:rFonts w:eastAsia="Arial"/>
          <w:lang w:eastAsia="zh-CN" w:bidi="hi-IN"/>
        </w:rPr>
        <w:t xml:space="preserve"> Vision of Cyber Safety</w:t>
      </w:r>
      <w:bookmarkEnd w:id="120"/>
    </w:p>
    <w:p w14:paraId="1928E14C" w14:textId="3B041E11" w:rsidR="006E3616" w:rsidRPr="00400193" w:rsidRDefault="006E3616" w:rsidP="006E3616">
      <w:pPr>
        <w:rPr>
          <w:lang w:eastAsia="zh-CN" w:bidi="hi-IN"/>
        </w:rPr>
      </w:pPr>
      <w:r w:rsidRPr="00400193">
        <w:rPr>
          <w:lang w:eastAsia="zh-CN" w:bidi="hi-IN"/>
        </w:rPr>
        <w:t xml:space="preserve">The Dubai Electronic Security Centre (2017) published a vision (see </w:t>
      </w:r>
      <w:r w:rsidRPr="00400193">
        <w:rPr>
          <w:lang w:eastAsia="zh-CN" w:bidi="hi-IN"/>
        </w:rPr>
        <w:fldChar w:fldCharType="begin"/>
      </w:r>
      <w:r w:rsidRPr="00400193">
        <w:rPr>
          <w:lang w:eastAsia="zh-CN" w:bidi="hi-IN"/>
        </w:rPr>
        <w:instrText xml:space="preserve"> REF _Ref43136449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14</w:t>
      </w:r>
      <w:r w:rsidRPr="00400193">
        <w:rPr>
          <w:lang w:eastAsia="zh-CN" w:bidi="hi-IN"/>
        </w:rPr>
        <w:fldChar w:fldCharType="end"/>
      </w:r>
      <w:r w:rsidRPr="00400193">
        <w:rPr>
          <w:lang w:eastAsia="zh-CN" w:bidi="hi-IN"/>
        </w:rPr>
        <w:t>) that is intended to make Dubai electronically and physically:</w:t>
      </w:r>
    </w:p>
    <w:p w14:paraId="5057D6EF" w14:textId="77777777" w:rsidR="006E3616" w:rsidRPr="00400193" w:rsidRDefault="006E3616" w:rsidP="00F617A9">
      <w:pPr>
        <w:pStyle w:val="Quote"/>
        <w:rPr>
          <w:lang w:eastAsia="zh-CN" w:bidi="hi-IN"/>
        </w:rPr>
      </w:pPr>
      <w:r w:rsidRPr="00400193">
        <w:rPr>
          <w:lang w:eastAsia="zh-CN" w:bidi="hi-IN"/>
        </w:rPr>
        <w:t xml:space="preserve">The Most Secure Place: A feeling among residents and workers living in Dubai and tourists visiting Dubai, that the city is a safe and secure place and that any personal security </w:t>
      </w:r>
      <w:r w:rsidRPr="00400193">
        <w:t>concerns</w:t>
      </w:r>
      <w:r w:rsidRPr="00400193">
        <w:rPr>
          <w:lang w:eastAsia="zh-CN" w:bidi="hi-IN"/>
        </w:rPr>
        <w:t xml:space="preserve"> are dealt with efficiently </w:t>
      </w:r>
      <w:r w:rsidRPr="00400193">
        <w:rPr>
          <w:lang w:eastAsia="zh-CN" w:bidi="hi-IN"/>
        </w:rPr>
        <w:lastRenderedPageBreak/>
        <w:t>and transparently by law enforcement authorities (Dubai Electronic Security Centre, 2017, p. 9).</w:t>
      </w:r>
    </w:p>
    <w:p w14:paraId="54DD5CC0" w14:textId="77777777" w:rsidR="006E3616" w:rsidRPr="00400193" w:rsidRDefault="006E3616" w:rsidP="006E3616">
      <w:pPr>
        <w:rPr>
          <w:lang w:eastAsia="zh-CN" w:bidi="hi-IN"/>
        </w:rPr>
      </w:pPr>
      <w:r w:rsidRPr="00400193">
        <w:rPr>
          <w:lang w:eastAsia="zh-CN" w:bidi="hi-IN"/>
        </w:rPr>
        <w:t>The intent is to bring this about using the principles of risk awareness, and a rapid response to new or emerging physical or electronic threats.</w:t>
      </w:r>
    </w:p>
    <w:p w14:paraId="4B3C07FE" w14:textId="77777777" w:rsidR="006E3616" w:rsidRPr="00400193" w:rsidRDefault="006E3616" w:rsidP="006E3616">
      <w:pPr>
        <w:pStyle w:val="Heading2"/>
        <w:rPr>
          <w:rFonts w:eastAsia="Arial"/>
          <w:lang w:eastAsia="zh-CN" w:bidi="hi-IN"/>
        </w:rPr>
      </w:pPr>
      <w:bookmarkStart w:id="121" w:name="_Toc61894674"/>
      <w:r w:rsidRPr="00400193">
        <w:rPr>
          <w:rFonts w:eastAsia="Arial"/>
          <w:lang w:eastAsia="zh-CN" w:bidi="hi-IN"/>
        </w:rPr>
        <w:t>ERM Issues in the Financial Sector</w:t>
      </w:r>
      <w:bookmarkEnd w:id="121"/>
    </w:p>
    <w:p w14:paraId="590B77BC" w14:textId="77777777" w:rsidR="006E3616" w:rsidRPr="00400193" w:rsidRDefault="006E3616" w:rsidP="006E3616">
      <w:pPr>
        <w:rPr>
          <w:lang w:eastAsia="zh-CN" w:bidi="hi-IN"/>
        </w:rPr>
      </w:pPr>
      <w:r w:rsidRPr="00400193">
        <w:rPr>
          <w:lang w:eastAsia="zh-CN" w:bidi="hi-IN"/>
        </w:rPr>
        <w:t>The cyber-risks defined as a part of the overall Enterprise Risk Management (ERM) process are particularly applicable to the banking and financial sector. In this sector, an integrated strategic ERM alignment framework was proposed by Keith (2014) in a thesis. There are parts of the UAE public sector where these financial issues are relevant.</w:t>
      </w:r>
    </w:p>
    <w:p w14:paraId="27FD46AF" w14:textId="77777777" w:rsidR="006E3616" w:rsidRPr="00400193" w:rsidRDefault="006E3616" w:rsidP="00D726EA">
      <w:pPr>
        <w:spacing w:after="0"/>
        <w:rPr>
          <w:lang w:eastAsia="zh-CN" w:bidi="hi-IN"/>
        </w:rPr>
      </w:pPr>
      <w:r w:rsidRPr="00400193">
        <w:rPr>
          <w:lang w:eastAsia="zh-CN" w:bidi="hi-IN"/>
        </w:rPr>
        <w:t xml:space="preserve">This critique of Keith’s (2014) thesis examines its objective and purpose, as well as presentation of the theory, the research approach used, the way that it was reported, and how the results were presented. To understand the research methodology, other authors were also consulted (Crotty, 1998; Bryman, 2008). The arguments used by Keith (2014) are set out below. </w:t>
      </w:r>
    </w:p>
    <w:p w14:paraId="3A8D63D1" w14:textId="77777777" w:rsidR="006E3616" w:rsidRPr="00400193" w:rsidRDefault="006E3616" w:rsidP="006E3616">
      <w:pPr>
        <w:keepNext/>
        <w:suppressAutoHyphens/>
        <w:spacing w:before="120" w:after="0" w:line="240" w:lineRule="auto"/>
        <w:jc w:val="center"/>
      </w:pPr>
      <w:r w:rsidRPr="00400193">
        <w:rPr>
          <w:rFonts w:eastAsia="Arial Unicode MS" w:cs="Times New Roman"/>
          <w:noProof/>
          <w:szCs w:val="24"/>
          <w:lang w:val="en-US"/>
        </w:rPr>
        <w:drawing>
          <wp:inline distT="0" distB="0" distL="0" distR="0" wp14:anchorId="62510C03" wp14:editId="0CE2DECB">
            <wp:extent cx="5760000" cy="3240000"/>
            <wp:effectExtent l="19050" t="19050" r="12700" b="17780"/>
            <wp:docPr id="19" name="Picture 30" descr="Screen Clipp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descr="Screen Clippi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D3B2443" w14:textId="3E8364EB" w:rsidR="006E3616" w:rsidRPr="00400193" w:rsidRDefault="006E3616" w:rsidP="006E3616">
      <w:pPr>
        <w:pStyle w:val="Caption"/>
        <w:rPr>
          <w:szCs w:val="24"/>
          <w:lang w:eastAsia="zh-CN" w:bidi="hi-IN"/>
        </w:rPr>
      </w:pPr>
      <w:bookmarkStart w:id="122" w:name="_Ref43136449"/>
      <w:bookmarkStart w:id="123" w:name="_Toc5538756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14</w:t>
      </w:r>
      <w:r w:rsidR="00E35E8C" w:rsidRPr="00400193">
        <w:fldChar w:fldCharType="end"/>
      </w:r>
      <w:bookmarkEnd w:id="122"/>
      <w:r w:rsidRPr="00400193">
        <w:t>: Dubai's cyber-safety tree. Source: Dubai Electronic Security Centre (2017, p. 10)</w:t>
      </w:r>
      <w:bookmarkEnd w:id="123"/>
    </w:p>
    <w:p w14:paraId="40EB084A" w14:textId="77777777" w:rsidR="006E3616" w:rsidRPr="00400193" w:rsidRDefault="006E3616" w:rsidP="006E3616">
      <w:pPr>
        <w:rPr>
          <w:lang w:eastAsia="zh-CN" w:bidi="hi-IN"/>
        </w:rPr>
      </w:pPr>
      <w:r w:rsidRPr="00400193">
        <w:rPr>
          <w:lang w:eastAsia="zh-CN" w:bidi="hi-IN"/>
        </w:rPr>
        <w:t xml:space="preserve">The purpose of Keith’s (2014) research was very clearly laid out, and her research questions were a logical extension of her aims and objectives. She aimed to validate a ‘strategic alignment framework’ for ERM in the financial sector, and her </w:t>
      </w:r>
      <w:r w:rsidRPr="00400193">
        <w:rPr>
          <w:lang w:eastAsia="zh-CN" w:bidi="hi-IN"/>
        </w:rPr>
        <w:lastRenderedPageBreak/>
        <w:t>deconstruction and examination of the existing ERM frameworks provides a strong basis or foundation for that financial ERM.</w:t>
      </w:r>
    </w:p>
    <w:p w14:paraId="13A9D295" w14:textId="77777777" w:rsidR="006E3616" w:rsidRPr="00400193" w:rsidRDefault="006E3616" w:rsidP="006E3616">
      <w:pPr>
        <w:rPr>
          <w:lang w:eastAsia="zh-CN" w:bidi="hi-IN"/>
        </w:rPr>
      </w:pPr>
      <w:r w:rsidRPr="00400193">
        <w:rPr>
          <w:lang w:eastAsia="zh-CN" w:bidi="hi-IN"/>
        </w:rPr>
        <w:t>Keith examined the theories behind the existence and development of ERM from the 1990s to the present and identified how the traditional ‘silo’ or vertical ERM has developed and how it differs from the simple ‘risk management’ that preceded it. Several theorists were identified as driving the change from risk management to ERM, and the idea that ‘audit’ should ensure that ERM procedures are followed correctly, but that ‘compliance’ should work with risk assessors to ensure that the ERM procedures proposed are suitable and adequate (fit for purpose).</w:t>
      </w:r>
    </w:p>
    <w:p w14:paraId="75004D7B" w14:textId="77777777" w:rsidR="006E3616" w:rsidRPr="00400193" w:rsidRDefault="006E3616" w:rsidP="006E3616">
      <w:pPr>
        <w:rPr>
          <w:lang w:eastAsia="zh-CN" w:bidi="hi-IN"/>
        </w:rPr>
      </w:pPr>
      <w:r w:rsidRPr="00400193">
        <w:rPr>
          <w:lang w:eastAsia="zh-CN" w:bidi="hi-IN"/>
        </w:rPr>
        <w:t>The rationale for the research was that ERM developed very quickly, particularly since the global financial crisis of 2008. However, very little academic research had been completed into whether the ‘silo’ approach was still valid and appropriate or whether a wider, strategic, tactic was needed. This rationale also helped to identify the gap in the existing research: that previous studies into the growth and development of ERM all concentrated on the existing ‘silo’ or ‘domain dependent’ risk management programs rather than examining the strategic view.</w:t>
      </w:r>
    </w:p>
    <w:p w14:paraId="27A96018" w14:textId="77777777" w:rsidR="006E3616" w:rsidRPr="00400193" w:rsidRDefault="006E3616" w:rsidP="006E3616">
      <w:pPr>
        <w:rPr>
          <w:lang w:eastAsia="zh-CN" w:bidi="hi-IN"/>
        </w:rPr>
      </w:pPr>
      <w:r w:rsidRPr="00400193">
        <w:rPr>
          <w:lang w:eastAsia="zh-CN" w:bidi="hi-IN"/>
        </w:rPr>
        <w:t>Keith (2014) aimed to close this gap by trying to find an ERM approach to link and integrate these separate domains or silos, and deal with them simultaneously. This would allow risk managers to consider the risks faced by the company as a whole, instead of breaking them down into categories such as financial, operational, and hazard. Most previous studies tended to follow the traditional path of separation rather than the suggested route of integration.</w:t>
      </w:r>
    </w:p>
    <w:p w14:paraId="27D84EAA" w14:textId="2ADA1129" w:rsidR="006E3616" w:rsidRPr="00400193" w:rsidRDefault="006E3616" w:rsidP="006E3616">
      <w:pPr>
        <w:rPr>
          <w:lang w:eastAsia="zh-CN" w:bidi="hi-IN"/>
        </w:rPr>
      </w:pPr>
      <w:r w:rsidRPr="00400193">
        <w:rPr>
          <w:lang w:eastAsia="zh-CN" w:bidi="hi-IN"/>
        </w:rPr>
        <w:t xml:space="preserve">To bring about this integrated approach, Keith (2014) began by examining the philosophy behind the research. She noted that different researchers have different world-views, the </w:t>
      </w:r>
      <w:r w:rsidRPr="00400193">
        <w:rPr>
          <w:i/>
          <w:iCs/>
          <w:lang w:eastAsia="zh-CN" w:bidi="hi-IN"/>
        </w:rPr>
        <w:t>““Weltanschauung, … that guides [their] actions”</w:t>
      </w:r>
      <w:r w:rsidRPr="00400193">
        <w:rPr>
          <w:lang w:eastAsia="zh-CN" w:bidi="hi-IN"/>
        </w:rPr>
        <w:t xml:space="preserve"> (Crotty, 1998, p. 94), and that this leads to different research paradigms. The major two paradigms identified were positivism and phenomenology, where positivism takes a deductive approach and phenomenology an inductive approach. These vary in several ways, and Keith fully justified her choice of an interpretivist philosophy, which is largely deductive, but which includes some inductive aspects. One useful idea in her literature review is a variation on Covey’s (1999) ‘four-quadrant’ approach. He originally used this for time management, but Keith’s (2014) adaptation was a useful variation to discover any </w:t>
      </w:r>
      <w:r w:rsidRPr="00400193">
        <w:rPr>
          <w:lang w:eastAsia="zh-CN" w:bidi="hi-IN"/>
        </w:rPr>
        <w:lastRenderedPageBreak/>
        <w:t xml:space="preserve">difficulties or drawbacks of existing frameworks (see </w:t>
      </w:r>
      <w:r w:rsidRPr="00400193">
        <w:rPr>
          <w:lang w:eastAsia="zh-CN" w:bidi="hi-IN"/>
        </w:rPr>
        <w:fldChar w:fldCharType="begin"/>
      </w:r>
      <w:r w:rsidRPr="00400193">
        <w:rPr>
          <w:lang w:eastAsia="zh-CN" w:bidi="hi-IN"/>
        </w:rPr>
        <w:instrText xml:space="preserve"> REF _Ref43136845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4</w:t>
      </w:r>
      <w:r w:rsidRPr="00400193">
        <w:rPr>
          <w:lang w:eastAsia="zh-CN" w:bidi="hi-IN"/>
        </w:rPr>
        <w:fldChar w:fldCharType="end"/>
      </w:r>
      <w:r w:rsidRPr="00400193">
        <w:rPr>
          <w:lang w:eastAsia="zh-CN" w:bidi="hi-IN"/>
        </w:rPr>
        <w:t>). This approach has been adapted for the development of the new framework described in Chapter 4. Existing standards (</w:t>
      </w:r>
      <w:r w:rsidRPr="00400193">
        <w:rPr>
          <w:lang w:eastAsia="zh-CN" w:bidi="hi-IN"/>
        </w:rPr>
        <w:fldChar w:fldCharType="begin"/>
      </w:r>
      <w:r w:rsidRPr="00400193">
        <w:rPr>
          <w:lang w:eastAsia="zh-CN" w:bidi="hi-IN"/>
        </w:rPr>
        <w:instrText xml:space="preserve"> REF _Ref42181699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1</w:t>
      </w:r>
      <w:r w:rsidRPr="00400193">
        <w:rPr>
          <w:lang w:eastAsia="zh-CN" w:bidi="hi-IN"/>
        </w:rPr>
        <w:fldChar w:fldCharType="end"/>
      </w:r>
      <w:r w:rsidRPr="00400193">
        <w:rPr>
          <w:lang w:eastAsia="zh-CN" w:bidi="hi-IN"/>
        </w:rPr>
        <w:t>) were also considered in relation to both existing and proposed frameworks.</w:t>
      </w:r>
    </w:p>
    <w:p w14:paraId="304E9059" w14:textId="77777777" w:rsidR="006E3616" w:rsidRPr="00400193" w:rsidRDefault="006E3616" w:rsidP="006E3616">
      <w:pPr>
        <w:rPr>
          <w:lang w:eastAsia="zh-CN" w:bidi="hi-IN"/>
        </w:rPr>
      </w:pPr>
      <w:r w:rsidRPr="00400193">
        <w:rPr>
          <w:lang w:eastAsia="zh-CN" w:bidi="hi-IN"/>
        </w:rPr>
        <w:t>Overall, Keith (2014) clearly explained her methodology in both parts of the research, part one being the ‘desk-top’ research, including the literature review and part two the descriptive research involving questionnaires to gather first-hand data. This allows the reader to clearly differentiate the limitations of each discrete section of the research and to reach an opinion about its overall validity and reliability. This information is also useful to any other researcher and informs their approaches. It is clear from the literature review that the major problem facing Keith (2014) was the same as in any rapidly changing field: the most recent research papers can supersede research before it has been completed, so that the researcher has to update their work almost continuously.</w:t>
      </w:r>
    </w:p>
    <w:p w14:paraId="51046FD6" w14:textId="77777777" w:rsidR="006E3616" w:rsidRPr="00400193" w:rsidRDefault="006E3616" w:rsidP="006E3616">
      <w:pPr>
        <w:rPr>
          <w:lang w:eastAsia="zh-CN" w:bidi="hi-IN"/>
        </w:rPr>
      </w:pPr>
      <w:r w:rsidRPr="00400193">
        <w:rPr>
          <w:lang w:eastAsia="zh-CN" w:bidi="hi-IN"/>
        </w:rPr>
        <w:t>Keith’s (2014) presentation was clear, and the possible impact of her suggested framework was also made plain. The quadrants show the main drawbacks of existing frameworks or approaches. Separating academic and industry-based contributions allowed the identification of the ‘research gap’. In effect, a new framework would have to concentrate on whichever quadrant has the least supporting evidence, because this is the ‘gap’ which must be filled. It logically follows that areas where existing frameworks are weak will be strengthened, without weakening in any way those areas which are already strong. Where the research philosophy or outcome could reasonably be fitted into more than one quadrant, this was done, adding to the robustness of the findings. It is clear that these divisions were to some degree arbitrary because they were based on the perceptions of the researcher but providing the criteria behind the classification means that they can be considered valid.</w:t>
      </w:r>
    </w:p>
    <w:p w14:paraId="324345DA" w14:textId="3FE2DAC3" w:rsidR="006E3616" w:rsidRPr="00400193" w:rsidRDefault="006E3616" w:rsidP="006E3616">
      <w:pPr>
        <w:rPr>
          <w:lang w:eastAsia="zh-CN" w:bidi="hi-IN"/>
        </w:rPr>
      </w:pPr>
      <w:r w:rsidRPr="00400193">
        <w:rPr>
          <w:lang w:eastAsia="zh-CN" w:bidi="hi-IN"/>
        </w:rPr>
        <w:t xml:space="preserve">The literature suggests that a new framework must include some way of measuring ‘resilience’, which was not one of the considerations covered by Keith (2014). Part of her approach has therefore been adapted here, but it is supported by additional considerations about resilience laid out in existing frameworks and the Introduction on the gap in existing research, and particularly in </w:t>
      </w:r>
      <w:r w:rsidRPr="00400193">
        <w:rPr>
          <w:lang w:eastAsia="zh-CN" w:bidi="hi-IN"/>
        </w:rPr>
        <w:fldChar w:fldCharType="begin"/>
      </w:r>
      <w:r w:rsidRPr="00400193">
        <w:rPr>
          <w:lang w:eastAsia="zh-CN" w:bidi="hi-IN"/>
        </w:rPr>
        <w:instrText xml:space="preserve"> REF _Ref42255623 \h  \* MERGEFORMAT </w:instrText>
      </w:r>
      <w:r w:rsidRPr="00400193">
        <w:rPr>
          <w:lang w:eastAsia="zh-CN" w:bidi="hi-IN"/>
        </w:rPr>
      </w:r>
      <w:r w:rsidRPr="00400193">
        <w:rPr>
          <w:lang w:eastAsia="zh-CN" w:bidi="hi-IN"/>
        </w:rPr>
        <w:fldChar w:fldCharType="separate"/>
      </w:r>
      <w:r w:rsidR="00BB7C18" w:rsidRPr="00400193">
        <w:t xml:space="preserve">Figure </w:t>
      </w:r>
      <w:r w:rsidR="00BB7C18">
        <w:rPr>
          <w:cs/>
        </w:rPr>
        <w:t>‎</w:t>
      </w:r>
      <w:r w:rsidR="00BB7C18">
        <w:rPr>
          <w:noProof/>
        </w:rPr>
        <w:t>2</w:t>
      </w:r>
      <w:r w:rsidR="00BB7C18" w:rsidRPr="00400193">
        <w:noBreakHyphen/>
      </w:r>
      <w:r w:rsidR="00BB7C18">
        <w:rPr>
          <w:noProof/>
        </w:rPr>
        <w:t>1</w:t>
      </w:r>
      <w:r w:rsidRPr="00400193">
        <w:rPr>
          <w:lang w:eastAsia="zh-CN" w:bidi="hi-IN"/>
        </w:rPr>
        <w:fldChar w:fldCharType="end"/>
      </w:r>
      <w:r w:rsidRPr="00400193">
        <w:rPr>
          <w:lang w:eastAsia="zh-CN" w:bidi="hi-IN"/>
        </w:rPr>
        <w:t>, which details the concept of resilience measurement.</w:t>
      </w:r>
    </w:p>
    <w:p w14:paraId="59DB7F41" w14:textId="056A7347" w:rsidR="006E3616" w:rsidRPr="00400193" w:rsidRDefault="006E3616" w:rsidP="006E3616">
      <w:pPr>
        <w:pStyle w:val="Heading2"/>
        <w:rPr>
          <w:rFonts w:eastAsia="Arial"/>
          <w:lang w:eastAsia="zh-CN" w:bidi="hi-IN"/>
        </w:rPr>
      </w:pPr>
      <w:bookmarkStart w:id="124" w:name="_Toc61894675"/>
      <w:r w:rsidRPr="00400193">
        <w:rPr>
          <w:rFonts w:eastAsia="Arial"/>
          <w:lang w:eastAsia="zh-CN" w:bidi="hi-IN"/>
        </w:rPr>
        <w:lastRenderedPageBreak/>
        <w:t>Gap in CRM – Why a New Framework is Required</w:t>
      </w:r>
      <w:bookmarkEnd w:id="124"/>
    </w:p>
    <w:p w14:paraId="2B1B402E" w14:textId="1CA821AB" w:rsidR="006E3616" w:rsidRPr="00400193" w:rsidRDefault="00367B3A" w:rsidP="00D726EA">
      <w:pPr>
        <w:rPr>
          <w:lang w:eastAsia="zh-CN" w:bidi="hi-IN"/>
        </w:rPr>
      </w:pPr>
      <w:r w:rsidRPr="00400193">
        <w:rPr>
          <w:lang w:eastAsia="zh-CN" w:bidi="hi-IN"/>
        </w:rPr>
        <w:t>CRM is a well</w:t>
      </w:r>
      <w:r w:rsidR="001B6F70" w:rsidRPr="00400193">
        <w:rPr>
          <w:lang w:eastAsia="zh-CN" w:bidi="hi-IN"/>
        </w:rPr>
        <w:t>-</w:t>
      </w:r>
      <w:r w:rsidRPr="00400193">
        <w:rPr>
          <w:lang w:eastAsia="zh-CN" w:bidi="hi-IN"/>
        </w:rPr>
        <w:t>established area, but risk management in general, and CRM in particular, have only recently begun to consider the overall importance of resilience (Zhang, Collins, and O'Connor-Close, 2020). This has therefore allowed a research gap to develop, which is discussed below, and which, in turn has led to the need for this research and for a new conceptual framework that incorporates risk management, cyber-security, and cyber-resilience.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655"/>
        <w:gridCol w:w="3762"/>
        <w:gridCol w:w="3771"/>
      </w:tblGrid>
      <w:tr w:rsidR="00A0618E" w:rsidRPr="00400193" w14:paraId="5234D02B" w14:textId="77777777" w:rsidTr="00C82323">
        <w:trPr>
          <w:trHeight w:val="163"/>
          <w:jc w:val="center"/>
        </w:trPr>
        <w:tc>
          <w:tcPr>
            <w:tcW w:w="655" w:type="dxa"/>
            <w:tcBorders>
              <w:top w:val="single" w:sz="4" w:space="0" w:color="000000" w:themeColor="text1"/>
              <w:bottom w:val="single" w:sz="4" w:space="0" w:color="D9E2F3" w:themeColor="accent1" w:themeTint="33"/>
              <w:right w:val="single" w:sz="4" w:space="0" w:color="D9E2F3" w:themeColor="accent1" w:themeTint="33"/>
              <w:tl2br w:val="single" w:sz="4" w:space="0" w:color="000000" w:themeColor="text1"/>
            </w:tcBorders>
            <w:shd w:val="clear" w:color="auto" w:fill="D9E2F3" w:themeFill="accent1" w:themeFillTint="33"/>
            <w:vAlign w:val="center"/>
          </w:tcPr>
          <w:p w14:paraId="1497AAE0" w14:textId="77777777" w:rsidR="006E3616" w:rsidRPr="00400193" w:rsidRDefault="006E3616" w:rsidP="003B5486">
            <w:pPr>
              <w:spacing w:before="40" w:after="0" w:line="276" w:lineRule="auto"/>
              <w:jc w:val="center"/>
              <w:rPr>
                <w:rFonts w:eastAsia="Arial Unicode MS" w:cs="Times New Roman"/>
                <w:b/>
                <w:szCs w:val="24"/>
              </w:rPr>
            </w:pPr>
          </w:p>
        </w:tc>
        <w:tc>
          <w:tcPr>
            <w:tcW w:w="8188" w:type="dxa"/>
            <w:gridSpan w:val="3"/>
            <w:tcBorders>
              <w:left w:val="single" w:sz="4" w:space="0" w:color="D9E2F3" w:themeColor="accent1" w:themeTint="33"/>
            </w:tcBorders>
            <w:shd w:val="clear" w:color="auto" w:fill="D9E2F3" w:themeFill="accent1" w:themeFillTint="33"/>
            <w:vAlign w:val="center"/>
          </w:tcPr>
          <w:p w14:paraId="198303C8" w14:textId="77777777" w:rsidR="006E3616" w:rsidRPr="00400193" w:rsidRDefault="006E3616" w:rsidP="003B5486">
            <w:pPr>
              <w:spacing w:before="40" w:after="0" w:line="276" w:lineRule="auto"/>
              <w:jc w:val="center"/>
              <w:rPr>
                <w:rFonts w:eastAsia="Arial Unicode MS" w:cs="Times New Roman"/>
                <w:b/>
                <w:szCs w:val="24"/>
              </w:rPr>
            </w:pPr>
            <w:r w:rsidRPr="00400193">
              <w:rPr>
                <w:rFonts w:eastAsia="Arial Unicode MS" w:cs="Times New Roman"/>
                <w:b/>
                <w:szCs w:val="24"/>
              </w:rPr>
              <w:t>Research Philosophy</w:t>
            </w:r>
          </w:p>
        </w:tc>
      </w:tr>
      <w:tr w:rsidR="00A0618E" w:rsidRPr="00400193" w14:paraId="301F0D34" w14:textId="77777777" w:rsidTr="00C82323">
        <w:trPr>
          <w:cantSplit/>
          <w:trHeight w:val="147"/>
          <w:jc w:val="center"/>
        </w:trPr>
        <w:tc>
          <w:tcPr>
            <w:tcW w:w="655" w:type="dxa"/>
            <w:vMerge w:val="restart"/>
            <w:tcBorders>
              <w:top w:val="single" w:sz="4" w:space="0" w:color="D9E2F3" w:themeColor="accent1" w:themeTint="33"/>
            </w:tcBorders>
            <w:shd w:val="clear" w:color="auto" w:fill="D9E2F3" w:themeFill="accent1" w:themeFillTint="33"/>
            <w:textDirection w:val="btLr"/>
            <w:vAlign w:val="center"/>
          </w:tcPr>
          <w:p w14:paraId="4F22EA85" w14:textId="77777777" w:rsidR="006E3616" w:rsidRPr="00400193" w:rsidRDefault="006E3616" w:rsidP="003B5486">
            <w:pPr>
              <w:spacing w:before="40" w:after="0" w:line="276" w:lineRule="auto"/>
              <w:ind w:left="113" w:right="113"/>
              <w:jc w:val="center"/>
              <w:rPr>
                <w:rFonts w:eastAsia="Arial Unicode MS" w:cs="Times New Roman"/>
                <w:b/>
                <w:szCs w:val="24"/>
              </w:rPr>
            </w:pPr>
            <w:r w:rsidRPr="00400193">
              <w:rPr>
                <w:rFonts w:eastAsia="Arial Unicode MS" w:cs="Times New Roman"/>
                <w:b/>
                <w:szCs w:val="24"/>
              </w:rPr>
              <w:t>Research Outcomes</w:t>
            </w:r>
          </w:p>
        </w:tc>
        <w:tc>
          <w:tcPr>
            <w:tcW w:w="655" w:type="dxa"/>
            <w:tcBorders>
              <w:top w:val="single" w:sz="4" w:space="0" w:color="808080"/>
              <w:bottom w:val="single" w:sz="4" w:space="0" w:color="D9D9D9" w:themeColor="background1" w:themeShade="D9"/>
              <w:right w:val="single" w:sz="4" w:space="0" w:color="D9D9D9" w:themeColor="background1" w:themeShade="D9"/>
              <w:tl2br w:val="single" w:sz="4" w:space="0" w:color="000000" w:themeColor="text1"/>
            </w:tcBorders>
            <w:shd w:val="clear" w:color="auto" w:fill="D9D9D9" w:themeFill="background1" w:themeFillShade="D9"/>
            <w:vAlign w:val="center"/>
          </w:tcPr>
          <w:p w14:paraId="098BD58C" w14:textId="77777777" w:rsidR="006E3616" w:rsidRPr="00400193" w:rsidRDefault="006E3616" w:rsidP="003B5486">
            <w:pPr>
              <w:spacing w:before="40" w:after="0" w:line="276" w:lineRule="auto"/>
              <w:jc w:val="center"/>
              <w:rPr>
                <w:rFonts w:eastAsia="Arial Unicode MS" w:cs="Times New Roman"/>
                <w:szCs w:val="24"/>
              </w:rPr>
            </w:pPr>
          </w:p>
        </w:tc>
        <w:tc>
          <w:tcPr>
            <w:tcW w:w="3762" w:type="dxa"/>
            <w:tcBorders>
              <w:left w:val="single" w:sz="4" w:space="0" w:color="D9D9D9" w:themeColor="background1" w:themeShade="D9"/>
              <w:right w:val="single" w:sz="4" w:space="0" w:color="000000" w:themeColor="text1"/>
            </w:tcBorders>
            <w:shd w:val="clear" w:color="auto" w:fill="D9D9D9" w:themeFill="background1" w:themeFillShade="D9"/>
            <w:vAlign w:val="center"/>
          </w:tcPr>
          <w:p w14:paraId="548C1E8B" w14:textId="77777777" w:rsidR="006E3616" w:rsidRPr="00400193" w:rsidRDefault="006E3616" w:rsidP="003B5486">
            <w:pPr>
              <w:spacing w:before="40" w:after="0" w:line="276" w:lineRule="auto"/>
              <w:jc w:val="center"/>
              <w:rPr>
                <w:rFonts w:eastAsia="Arial Unicode MS" w:cs="Times New Roman"/>
                <w:b/>
                <w:szCs w:val="24"/>
              </w:rPr>
            </w:pPr>
            <w:r w:rsidRPr="00400193">
              <w:rPr>
                <w:rFonts w:eastAsia="Arial Unicode MS" w:cs="Times New Roman"/>
                <w:b/>
                <w:szCs w:val="24"/>
              </w:rPr>
              <w:t>Visionary</w:t>
            </w:r>
          </w:p>
        </w:tc>
        <w:tc>
          <w:tcPr>
            <w:tcW w:w="3771" w:type="dxa"/>
            <w:tcBorders>
              <w:left w:val="single" w:sz="4" w:space="0" w:color="000000" w:themeColor="text1"/>
            </w:tcBorders>
            <w:shd w:val="clear" w:color="auto" w:fill="D9D9D9" w:themeFill="background1" w:themeFillShade="D9"/>
            <w:vAlign w:val="center"/>
          </w:tcPr>
          <w:p w14:paraId="1E7CADAA" w14:textId="77777777" w:rsidR="006E3616" w:rsidRPr="00400193" w:rsidRDefault="006E3616" w:rsidP="003B5486">
            <w:pPr>
              <w:spacing w:before="40" w:after="0" w:line="276" w:lineRule="auto"/>
              <w:jc w:val="center"/>
              <w:rPr>
                <w:rFonts w:eastAsia="Arial Unicode MS" w:cs="Times New Roman"/>
                <w:b/>
                <w:szCs w:val="24"/>
              </w:rPr>
            </w:pPr>
            <w:r w:rsidRPr="00400193">
              <w:rPr>
                <w:rFonts w:eastAsia="Arial Unicode MS" w:cs="Times New Roman"/>
                <w:b/>
                <w:szCs w:val="24"/>
              </w:rPr>
              <w:t>Implementational</w:t>
            </w:r>
          </w:p>
        </w:tc>
      </w:tr>
      <w:tr w:rsidR="00A0618E" w:rsidRPr="00400193" w14:paraId="789718D9" w14:textId="77777777" w:rsidTr="00C82323">
        <w:trPr>
          <w:trHeight w:val="147"/>
          <w:jc w:val="center"/>
        </w:trPr>
        <w:tc>
          <w:tcPr>
            <w:tcW w:w="655" w:type="dxa"/>
            <w:vMerge/>
            <w:shd w:val="clear" w:color="auto" w:fill="D9E2F3" w:themeFill="accent1" w:themeFillTint="33"/>
            <w:vAlign w:val="center"/>
          </w:tcPr>
          <w:p w14:paraId="324A5171" w14:textId="77777777" w:rsidR="006E3616" w:rsidRPr="00400193" w:rsidRDefault="006E3616" w:rsidP="003B5486">
            <w:pPr>
              <w:spacing w:before="40" w:after="0" w:line="276" w:lineRule="auto"/>
              <w:jc w:val="center"/>
              <w:rPr>
                <w:rFonts w:eastAsia="Arial Unicode MS" w:cs="Times New Roman"/>
                <w:szCs w:val="24"/>
              </w:rPr>
            </w:pPr>
          </w:p>
        </w:tc>
        <w:tc>
          <w:tcPr>
            <w:tcW w:w="655" w:type="dxa"/>
            <w:vMerge w:val="restart"/>
            <w:tcBorders>
              <w:top w:val="single" w:sz="4" w:space="0" w:color="D9D9D9" w:themeColor="background1" w:themeShade="D9"/>
              <w:bottom w:val="single" w:sz="4" w:space="0" w:color="833C0B"/>
              <w:right w:val="single" w:sz="4" w:space="0" w:color="833C0B"/>
            </w:tcBorders>
            <w:shd w:val="clear" w:color="auto" w:fill="D9D9D9" w:themeFill="background1" w:themeFillShade="D9"/>
            <w:textDirection w:val="btLr"/>
          </w:tcPr>
          <w:p w14:paraId="682335D0" w14:textId="77777777" w:rsidR="006E3616" w:rsidRPr="00400193" w:rsidRDefault="006E3616" w:rsidP="003B5486">
            <w:pPr>
              <w:spacing w:before="40" w:after="0" w:line="276" w:lineRule="auto"/>
              <w:ind w:left="113" w:right="113"/>
              <w:jc w:val="center"/>
              <w:rPr>
                <w:rFonts w:eastAsia="Arial Unicode MS" w:cs="Times New Roman"/>
                <w:b/>
                <w:szCs w:val="24"/>
              </w:rPr>
            </w:pPr>
            <w:r w:rsidRPr="00400193">
              <w:rPr>
                <w:rFonts w:eastAsia="Arial Unicode MS" w:cs="Times New Roman"/>
                <w:b/>
                <w:szCs w:val="24"/>
              </w:rPr>
              <w:t>Descriptive</w:t>
            </w:r>
          </w:p>
        </w:tc>
        <w:tc>
          <w:tcPr>
            <w:tcW w:w="3762" w:type="dxa"/>
            <w:tcBorders>
              <w:left w:val="single" w:sz="4" w:space="0" w:color="833C0B"/>
            </w:tcBorders>
            <w:shd w:val="clear" w:color="auto" w:fill="F2F2F2" w:themeFill="background1" w:themeFillShade="F2"/>
            <w:vAlign w:val="center"/>
          </w:tcPr>
          <w:p w14:paraId="29D45DA2" w14:textId="77777777" w:rsidR="006E3616" w:rsidRPr="00400193" w:rsidRDefault="006E3616" w:rsidP="003B5486">
            <w:pPr>
              <w:spacing w:before="40" w:after="0" w:line="276" w:lineRule="auto"/>
              <w:jc w:val="center"/>
              <w:rPr>
                <w:rFonts w:eastAsia="Arial Unicode MS" w:cs="Times New Roman"/>
                <w:szCs w:val="24"/>
              </w:rPr>
            </w:pPr>
            <w:r w:rsidRPr="00400193">
              <w:rPr>
                <w:rFonts w:eastAsia="Arial Unicode MS" w:cs="Times New Roman"/>
                <w:szCs w:val="24"/>
              </w:rPr>
              <w:t>Quadrant I</w:t>
            </w:r>
          </w:p>
        </w:tc>
        <w:tc>
          <w:tcPr>
            <w:tcW w:w="3771" w:type="dxa"/>
            <w:shd w:val="clear" w:color="auto" w:fill="F2F2F2" w:themeFill="background1" w:themeFillShade="F2"/>
            <w:vAlign w:val="center"/>
          </w:tcPr>
          <w:p w14:paraId="5318C6FF" w14:textId="77777777" w:rsidR="006E3616" w:rsidRPr="00400193" w:rsidRDefault="006E3616" w:rsidP="003B5486">
            <w:pPr>
              <w:spacing w:before="40" w:after="0" w:line="276" w:lineRule="auto"/>
              <w:jc w:val="center"/>
              <w:rPr>
                <w:rFonts w:eastAsia="Arial Unicode MS" w:cs="Times New Roman"/>
                <w:szCs w:val="24"/>
              </w:rPr>
            </w:pPr>
            <w:r w:rsidRPr="00400193">
              <w:rPr>
                <w:rFonts w:eastAsia="Arial Unicode MS" w:cs="Times New Roman"/>
                <w:szCs w:val="24"/>
              </w:rPr>
              <w:t>Quadrant III</w:t>
            </w:r>
          </w:p>
        </w:tc>
      </w:tr>
      <w:tr w:rsidR="00A0618E" w:rsidRPr="00400193" w14:paraId="51BA9C38" w14:textId="77777777" w:rsidTr="00C82323">
        <w:trPr>
          <w:trHeight w:val="607"/>
          <w:jc w:val="center"/>
        </w:trPr>
        <w:tc>
          <w:tcPr>
            <w:tcW w:w="655" w:type="dxa"/>
            <w:vMerge/>
            <w:shd w:val="clear" w:color="auto" w:fill="D9E2F3" w:themeFill="accent1" w:themeFillTint="33"/>
            <w:vAlign w:val="center"/>
          </w:tcPr>
          <w:p w14:paraId="57A13278" w14:textId="77777777" w:rsidR="006E3616" w:rsidRPr="00400193" w:rsidRDefault="006E3616" w:rsidP="003B5486">
            <w:pPr>
              <w:spacing w:before="40" w:after="0" w:line="276" w:lineRule="auto"/>
              <w:jc w:val="center"/>
              <w:rPr>
                <w:rFonts w:eastAsia="Arial Unicode MS" w:cs="Times New Roman"/>
                <w:szCs w:val="24"/>
              </w:rPr>
            </w:pPr>
          </w:p>
        </w:tc>
        <w:tc>
          <w:tcPr>
            <w:tcW w:w="655" w:type="dxa"/>
            <w:vMerge/>
            <w:tcBorders>
              <w:bottom w:val="single" w:sz="4" w:space="0" w:color="000000" w:themeColor="text1"/>
              <w:right w:val="single" w:sz="4" w:space="0" w:color="833C0B"/>
            </w:tcBorders>
            <w:shd w:val="clear" w:color="auto" w:fill="D9D9D9" w:themeFill="background1" w:themeFillShade="D9"/>
            <w:vAlign w:val="center"/>
          </w:tcPr>
          <w:p w14:paraId="5E1A0653" w14:textId="77777777" w:rsidR="006E3616" w:rsidRPr="00400193" w:rsidRDefault="006E3616" w:rsidP="003B5486">
            <w:pPr>
              <w:spacing w:before="40" w:after="0" w:line="276" w:lineRule="auto"/>
              <w:jc w:val="center"/>
              <w:rPr>
                <w:rFonts w:eastAsia="Arial Unicode MS" w:cs="Times New Roman"/>
                <w:b/>
                <w:szCs w:val="24"/>
              </w:rPr>
            </w:pPr>
          </w:p>
        </w:tc>
        <w:tc>
          <w:tcPr>
            <w:tcW w:w="3762" w:type="dxa"/>
            <w:tcBorders>
              <w:left w:val="single" w:sz="4" w:space="0" w:color="833C0B"/>
            </w:tcBorders>
            <w:shd w:val="clear" w:color="auto" w:fill="FFFFFF" w:themeFill="background1"/>
          </w:tcPr>
          <w:p w14:paraId="27718B1A" w14:textId="2EB5EAA4" w:rsidR="006E3616" w:rsidRPr="00400193" w:rsidRDefault="006E3616"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Describes CRM definitions and discusses the links to organisational factors</w:t>
            </w:r>
            <w:r w:rsidR="00960797" w:rsidRPr="00400193">
              <w:rPr>
                <w:rFonts w:eastAsia="Arial Unicode MS" w:cs="Times New Roman"/>
                <w:sz w:val="18"/>
                <w:szCs w:val="24"/>
              </w:rPr>
              <w:t>.</w:t>
            </w:r>
          </w:p>
          <w:p w14:paraId="49F21BF8" w14:textId="2AE019D5" w:rsidR="006E3616" w:rsidRPr="00400193" w:rsidRDefault="00960797" w:rsidP="00960797">
            <w:pPr>
              <w:spacing w:before="40" w:after="0" w:line="276" w:lineRule="auto"/>
              <w:jc w:val="left"/>
              <w:rPr>
                <w:rFonts w:eastAsia="Arial Unicode MS" w:cs="Times New Roman"/>
                <w:sz w:val="18"/>
                <w:szCs w:val="24"/>
              </w:rPr>
            </w:pPr>
            <w:r w:rsidRPr="00400193">
              <w:rPr>
                <w:rFonts w:eastAsia="Arial Unicode MS" w:cs="Times New Roman"/>
                <w:sz w:val="18"/>
                <w:szCs w:val="24"/>
              </w:rPr>
              <w:t xml:space="preserve">The literature definitions are sometimes unclear, with borderline activities (e.g. </w:t>
            </w:r>
            <w:r w:rsidR="006E3616" w:rsidRPr="00400193">
              <w:rPr>
                <w:rFonts w:eastAsia="Arial Unicode MS" w:cs="Times New Roman"/>
                <w:sz w:val="18"/>
                <w:szCs w:val="24"/>
              </w:rPr>
              <w:t>Data mining or cyber theft?</w:t>
            </w:r>
            <w:r w:rsidRPr="00400193">
              <w:rPr>
                <w:rFonts w:eastAsia="Arial Unicode MS" w:cs="Times New Roman"/>
                <w:sz w:val="18"/>
                <w:szCs w:val="24"/>
              </w:rPr>
              <w:t>) needing to be made clear in any replacement framework.</w:t>
            </w:r>
          </w:p>
          <w:p w14:paraId="10078771" w14:textId="18635ED2" w:rsidR="006E3616" w:rsidRPr="00400193" w:rsidRDefault="00960797" w:rsidP="00960797">
            <w:pPr>
              <w:spacing w:before="40" w:after="0" w:line="276" w:lineRule="auto"/>
              <w:jc w:val="left"/>
              <w:rPr>
                <w:rFonts w:eastAsia="Arial Unicode MS" w:cs="Times New Roman"/>
                <w:sz w:val="18"/>
                <w:szCs w:val="24"/>
              </w:rPr>
            </w:pPr>
            <w:r w:rsidRPr="00400193">
              <w:rPr>
                <w:rFonts w:eastAsia="Arial Unicode MS" w:cs="Times New Roman"/>
                <w:sz w:val="18"/>
                <w:szCs w:val="24"/>
              </w:rPr>
              <w:t xml:space="preserve">Essential issues of employee behaviour often too detailed to apply in the “real world” – a generalised description of counter-productive behaviour is needed, and a better analysis of whether actions are deliberate or accidental will help prediction and prevention. </w:t>
            </w:r>
          </w:p>
        </w:tc>
        <w:tc>
          <w:tcPr>
            <w:tcW w:w="3771" w:type="dxa"/>
            <w:shd w:val="clear" w:color="auto" w:fill="FFFFFF" w:themeFill="background1"/>
          </w:tcPr>
          <w:p w14:paraId="0BE3A6A3" w14:textId="30865566" w:rsidR="006E3616" w:rsidRPr="00400193" w:rsidRDefault="006E3616"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Describes the process of CRM implementation and discusses some practical guidelines</w:t>
            </w:r>
            <w:r w:rsidR="00960797" w:rsidRPr="00400193">
              <w:rPr>
                <w:rFonts w:eastAsia="Arial Unicode MS" w:cs="Times New Roman"/>
                <w:sz w:val="18"/>
                <w:szCs w:val="24"/>
              </w:rPr>
              <w:t>.</w:t>
            </w:r>
          </w:p>
          <w:p w14:paraId="2C86EB8B" w14:textId="62452322" w:rsidR="00960797" w:rsidRPr="00400193" w:rsidRDefault="00960797"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The literature suggests staff training and management awareness as being essential, but no transferable guidance on how to achieve this in the UAE.</w:t>
            </w:r>
          </w:p>
          <w:p w14:paraId="1161AD17" w14:textId="4CA73B01" w:rsidR="00960797" w:rsidRPr="00400193" w:rsidRDefault="00960797"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Advances in the IoT represent new threats, but an integrated CRM is needed for the new resilience framework.</w:t>
            </w:r>
          </w:p>
          <w:p w14:paraId="4694B398" w14:textId="0122371B" w:rsidR="006E3616" w:rsidRPr="00400193" w:rsidRDefault="00960797" w:rsidP="00960797">
            <w:pPr>
              <w:spacing w:before="40" w:after="0" w:line="276" w:lineRule="auto"/>
              <w:jc w:val="left"/>
              <w:rPr>
                <w:rFonts w:eastAsia="Arial Unicode MS" w:cs="Times New Roman"/>
                <w:sz w:val="18"/>
                <w:szCs w:val="24"/>
              </w:rPr>
            </w:pPr>
            <w:r w:rsidRPr="00400193">
              <w:rPr>
                <w:rFonts w:eastAsia="Arial Unicode MS" w:cs="Times New Roman"/>
                <w:sz w:val="18"/>
                <w:szCs w:val="24"/>
              </w:rPr>
              <w:t>Concentrates on either resilience -OR- security, need to resolve dichotomy.</w:t>
            </w:r>
          </w:p>
        </w:tc>
      </w:tr>
      <w:tr w:rsidR="00A0618E" w:rsidRPr="00400193" w14:paraId="62F28D82" w14:textId="77777777" w:rsidTr="00C82323">
        <w:trPr>
          <w:trHeight w:val="147"/>
          <w:jc w:val="center"/>
        </w:trPr>
        <w:tc>
          <w:tcPr>
            <w:tcW w:w="655" w:type="dxa"/>
            <w:vMerge/>
            <w:shd w:val="clear" w:color="auto" w:fill="D9E2F3" w:themeFill="accent1" w:themeFillTint="33"/>
            <w:vAlign w:val="center"/>
          </w:tcPr>
          <w:p w14:paraId="7F07ED8D" w14:textId="77777777" w:rsidR="006E3616" w:rsidRPr="00400193" w:rsidRDefault="006E3616" w:rsidP="003B5486">
            <w:pPr>
              <w:spacing w:before="40" w:after="0" w:line="276" w:lineRule="auto"/>
              <w:jc w:val="center"/>
              <w:rPr>
                <w:rFonts w:eastAsia="Arial Unicode MS" w:cs="Times New Roman"/>
                <w:szCs w:val="24"/>
              </w:rPr>
            </w:pPr>
          </w:p>
        </w:tc>
        <w:tc>
          <w:tcPr>
            <w:tcW w:w="655" w:type="dxa"/>
            <w:vMerge w:val="restart"/>
            <w:tcBorders>
              <w:top w:val="single" w:sz="4" w:space="0" w:color="000000" w:themeColor="text1"/>
              <w:bottom w:val="single" w:sz="4" w:space="0" w:color="833C0B"/>
              <w:right w:val="single" w:sz="4" w:space="0" w:color="833C0B"/>
            </w:tcBorders>
            <w:shd w:val="clear" w:color="auto" w:fill="D9D9D9" w:themeFill="background1" w:themeFillShade="D9"/>
            <w:textDirection w:val="btLr"/>
            <w:vAlign w:val="center"/>
          </w:tcPr>
          <w:p w14:paraId="6E3138ED" w14:textId="77777777" w:rsidR="006E3616" w:rsidRPr="00400193" w:rsidRDefault="006E3616" w:rsidP="003B5486">
            <w:pPr>
              <w:spacing w:before="40" w:after="0" w:line="276" w:lineRule="auto"/>
              <w:ind w:left="113" w:right="113"/>
              <w:jc w:val="center"/>
              <w:rPr>
                <w:rFonts w:eastAsia="Arial Unicode MS" w:cs="Times New Roman"/>
                <w:b/>
                <w:szCs w:val="24"/>
              </w:rPr>
            </w:pPr>
            <w:r w:rsidRPr="00400193">
              <w:rPr>
                <w:rFonts w:eastAsia="Arial Unicode MS" w:cs="Times New Roman"/>
                <w:b/>
                <w:szCs w:val="24"/>
              </w:rPr>
              <w:t>Prescriptive</w:t>
            </w:r>
          </w:p>
        </w:tc>
        <w:tc>
          <w:tcPr>
            <w:tcW w:w="3762" w:type="dxa"/>
            <w:tcBorders>
              <w:left w:val="single" w:sz="4" w:space="0" w:color="833C0B"/>
            </w:tcBorders>
            <w:shd w:val="clear" w:color="auto" w:fill="F2F2F2" w:themeFill="background1" w:themeFillShade="F2"/>
            <w:vAlign w:val="center"/>
          </w:tcPr>
          <w:p w14:paraId="7161BBEE" w14:textId="77777777" w:rsidR="006E3616" w:rsidRPr="00400193" w:rsidRDefault="006E3616" w:rsidP="003B5486">
            <w:pPr>
              <w:spacing w:before="40" w:after="0" w:line="276" w:lineRule="auto"/>
              <w:jc w:val="center"/>
              <w:rPr>
                <w:rFonts w:eastAsia="Arial Unicode MS" w:cs="Times New Roman"/>
                <w:szCs w:val="24"/>
              </w:rPr>
            </w:pPr>
            <w:r w:rsidRPr="00400193">
              <w:rPr>
                <w:rFonts w:eastAsia="Arial Unicode MS" w:cs="Times New Roman"/>
                <w:szCs w:val="24"/>
              </w:rPr>
              <w:t>Quadrant II</w:t>
            </w:r>
          </w:p>
        </w:tc>
        <w:tc>
          <w:tcPr>
            <w:tcW w:w="3771" w:type="dxa"/>
            <w:shd w:val="clear" w:color="auto" w:fill="F2F2F2" w:themeFill="background1" w:themeFillShade="F2"/>
            <w:vAlign w:val="center"/>
          </w:tcPr>
          <w:p w14:paraId="4D737F96" w14:textId="77777777" w:rsidR="006E3616" w:rsidRPr="00400193" w:rsidRDefault="006E3616" w:rsidP="003B5486">
            <w:pPr>
              <w:spacing w:before="40" w:after="0" w:line="276" w:lineRule="auto"/>
              <w:jc w:val="center"/>
              <w:rPr>
                <w:rFonts w:eastAsia="Arial Unicode MS" w:cs="Times New Roman"/>
                <w:szCs w:val="24"/>
              </w:rPr>
            </w:pPr>
            <w:r w:rsidRPr="00400193">
              <w:rPr>
                <w:rFonts w:eastAsia="Arial Unicode MS" w:cs="Times New Roman"/>
                <w:szCs w:val="24"/>
              </w:rPr>
              <w:t>Quadrant IV</w:t>
            </w:r>
          </w:p>
        </w:tc>
      </w:tr>
      <w:tr w:rsidR="00A0618E" w:rsidRPr="00400193" w14:paraId="5DD23270" w14:textId="77777777" w:rsidTr="00C82323">
        <w:trPr>
          <w:trHeight w:val="656"/>
          <w:jc w:val="center"/>
        </w:trPr>
        <w:tc>
          <w:tcPr>
            <w:tcW w:w="655" w:type="dxa"/>
            <w:vMerge/>
            <w:shd w:val="clear" w:color="auto" w:fill="D9E2F3" w:themeFill="accent1" w:themeFillTint="33"/>
            <w:vAlign w:val="center"/>
          </w:tcPr>
          <w:p w14:paraId="0E2BA346" w14:textId="77777777" w:rsidR="006E3616" w:rsidRPr="00400193" w:rsidRDefault="006E3616" w:rsidP="003B5486">
            <w:pPr>
              <w:spacing w:before="40" w:after="0" w:line="276" w:lineRule="auto"/>
              <w:jc w:val="center"/>
              <w:rPr>
                <w:rFonts w:eastAsia="Arial Unicode MS" w:cs="Times New Roman"/>
                <w:szCs w:val="24"/>
              </w:rPr>
            </w:pPr>
          </w:p>
        </w:tc>
        <w:tc>
          <w:tcPr>
            <w:tcW w:w="655" w:type="dxa"/>
            <w:vMerge/>
            <w:tcBorders>
              <w:bottom w:val="single" w:sz="4" w:space="0" w:color="833C0B"/>
              <w:right w:val="single" w:sz="4" w:space="0" w:color="833C0B"/>
            </w:tcBorders>
            <w:shd w:val="clear" w:color="auto" w:fill="D9D9D9" w:themeFill="background1" w:themeFillShade="D9"/>
            <w:vAlign w:val="center"/>
          </w:tcPr>
          <w:p w14:paraId="3B236F40" w14:textId="77777777" w:rsidR="006E3616" w:rsidRPr="00400193" w:rsidRDefault="006E3616" w:rsidP="003B5486">
            <w:pPr>
              <w:spacing w:before="40" w:after="0" w:line="276" w:lineRule="auto"/>
              <w:jc w:val="center"/>
              <w:rPr>
                <w:rFonts w:eastAsia="Arial Unicode MS" w:cs="Times New Roman"/>
                <w:szCs w:val="24"/>
              </w:rPr>
            </w:pPr>
          </w:p>
        </w:tc>
        <w:tc>
          <w:tcPr>
            <w:tcW w:w="3762" w:type="dxa"/>
            <w:tcBorders>
              <w:left w:val="single" w:sz="4" w:space="0" w:color="833C0B"/>
            </w:tcBorders>
            <w:shd w:val="clear" w:color="auto" w:fill="FFFFFF" w:themeFill="background1"/>
          </w:tcPr>
          <w:p w14:paraId="596FB447" w14:textId="6552C341" w:rsidR="006E3616" w:rsidRPr="00400193" w:rsidRDefault="006E3616"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Provides prescriptive CRM approach and discusses the links to organisational factors</w:t>
            </w:r>
            <w:r w:rsidR="00960797" w:rsidRPr="00400193">
              <w:rPr>
                <w:rFonts w:eastAsia="Arial Unicode MS" w:cs="Times New Roman"/>
                <w:sz w:val="18"/>
                <w:szCs w:val="24"/>
              </w:rPr>
              <w:t>.</w:t>
            </w:r>
          </w:p>
          <w:p w14:paraId="277D357C" w14:textId="77777777" w:rsidR="008A35AD" w:rsidRPr="00400193" w:rsidRDefault="00960797" w:rsidP="00960797">
            <w:pPr>
              <w:spacing w:before="40" w:after="0" w:line="276" w:lineRule="auto"/>
              <w:jc w:val="left"/>
              <w:rPr>
                <w:rFonts w:eastAsia="Arial Unicode MS" w:cs="Times New Roman"/>
                <w:sz w:val="18"/>
                <w:szCs w:val="24"/>
              </w:rPr>
            </w:pPr>
            <w:r w:rsidRPr="00400193">
              <w:rPr>
                <w:rFonts w:eastAsia="Arial Unicode MS" w:cs="Times New Roman"/>
                <w:sz w:val="18"/>
                <w:szCs w:val="24"/>
              </w:rPr>
              <w:t>The industry standards (</w:t>
            </w:r>
            <w:r w:rsidR="00C82323" w:rsidRPr="00400193">
              <w:rPr>
                <w:rFonts w:eastAsia="Arial Unicode MS" w:cs="Times New Roman"/>
                <w:sz w:val="18"/>
                <w:szCs w:val="24"/>
              </w:rPr>
              <w:t>BSI/ISO standards</w:t>
            </w:r>
            <w:r w:rsidRPr="00400193">
              <w:rPr>
                <w:rFonts w:eastAsia="Arial Unicode MS" w:cs="Times New Roman"/>
                <w:sz w:val="18"/>
                <w:szCs w:val="24"/>
              </w:rPr>
              <w:t>, COSO, etc)</w:t>
            </w:r>
            <w:r w:rsidR="008A35AD" w:rsidRPr="00400193">
              <w:rPr>
                <w:rFonts w:eastAsia="Arial Unicode MS" w:cs="Times New Roman"/>
                <w:sz w:val="18"/>
                <w:szCs w:val="24"/>
              </w:rPr>
              <w:t xml:space="preserve"> are provided here, but they have gaps and flaws. </w:t>
            </w:r>
          </w:p>
          <w:p w14:paraId="2B8F10A2" w14:textId="77777777" w:rsidR="008A35AD" w:rsidRPr="00400193" w:rsidRDefault="008A35AD" w:rsidP="00960797">
            <w:pPr>
              <w:spacing w:before="40" w:after="0" w:line="276" w:lineRule="auto"/>
              <w:jc w:val="left"/>
              <w:rPr>
                <w:rFonts w:eastAsia="Arial Unicode MS" w:cs="Times New Roman"/>
                <w:sz w:val="18"/>
                <w:szCs w:val="24"/>
              </w:rPr>
            </w:pPr>
            <w:r w:rsidRPr="00400193">
              <w:rPr>
                <w:rFonts w:eastAsia="Arial Unicode MS" w:cs="Times New Roman"/>
                <w:sz w:val="18"/>
                <w:szCs w:val="24"/>
              </w:rPr>
              <w:t>Industry security specialists (e.g. Schneier, Fowler) provide the basis for security -OR- resilience, and the vision to combine the two is needed for the new framework.</w:t>
            </w:r>
          </w:p>
          <w:p w14:paraId="30311CE9" w14:textId="265B0010" w:rsidR="006E3616" w:rsidRPr="00400193" w:rsidRDefault="008A35AD" w:rsidP="008A35AD">
            <w:pPr>
              <w:spacing w:before="40" w:after="0" w:line="276" w:lineRule="auto"/>
              <w:jc w:val="left"/>
              <w:rPr>
                <w:rFonts w:eastAsia="Arial Unicode MS" w:cs="Times New Roman"/>
                <w:sz w:val="18"/>
                <w:szCs w:val="24"/>
              </w:rPr>
            </w:pPr>
            <w:r w:rsidRPr="00400193">
              <w:rPr>
                <w:rFonts w:eastAsia="Arial Unicode MS" w:cs="Times New Roman"/>
                <w:sz w:val="18"/>
                <w:szCs w:val="24"/>
              </w:rPr>
              <w:t>Combining disparate views is the purpose of the research – the philosophy of visionary prescriptive (or proscriptive) action will bring a more positive outcome.</w:t>
            </w:r>
          </w:p>
        </w:tc>
        <w:tc>
          <w:tcPr>
            <w:tcW w:w="3771" w:type="dxa"/>
            <w:shd w:val="clear" w:color="auto" w:fill="FFFFFF" w:themeFill="background1"/>
          </w:tcPr>
          <w:p w14:paraId="672EE7CA" w14:textId="7AFC0F32" w:rsidR="006E3616" w:rsidRPr="00400193" w:rsidRDefault="006E3616"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Provides prescriptive CRM approach and discusses the implementation process</w:t>
            </w:r>
            <w:r w:rsidR="008A35AD" w:rsidRPr="00400193">
              <w:rPr>
                <w:rFonts w:eastAsia="Arial Unicode MS" w:cs="Times New Roman"/>
                <w:sz w:val="18"/>
                <w:szCs w:val="24"/>
              </w:rPr>
              <w:t>.</w:t>
            </w:r>
          </w:p>
          <w:p w14:paraId="32DFF3D7" w14:textId="3F8A196F" w:rsidR="008A35AD" w:rsidRPr="00400193" w:rsidRDefault="008A35AD"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The results synthesised from the other three quadrants of the literature will allow the creation of a new, robust, resilience framework.</w:t>
            </w:r>
          </w:p>
          <w:p w14:paraId="2FFE864D" w14:textId="04A0BD3B" w:rsidR="008A35AD" w:rsidRPr="00400193" w:rsidRDefault="008A35AD" w:rsidP="003B5486">
            <w:pPr>
              <w:spacing w:before="40" w:after="0" w:line="276" w:lineRule="auto"/>
              <w:jc w:val="left"/>
              <w:rPr>
                <w:rFonts w:eastAsia="Arial Unicode MS" w:cs="Times New Roman"/>
                <w:sz w:val="18"/>
                <w:szCs w:val="24"/>
              </w:rPr>
            </w:pPr>
            <w:r w:rsidRPr="00400193">
              <w:rPr>
                <w:rFonts w:eastAsia="Arial Unicode MS" w:cs="Times New Roman"/>
                <w:sz w:val="18"/>
                <w:szCs w:val="24"/>
              </w:rPr>
              <w:t>The new CRM/Resilience approach both prescribes and proscribes, details measurement principles and training regimes, and provides a framework that can be implemented for CI and the public sector.</w:t>
            </w:r>
          </w:p>
          <w:p w14:paraId="7E5D56A7" w14:textId="1E6F4228" w:rsidR="006E3616" w:rsidRPr="00400193" w:rsidRDefault="008A35AD" w:rsidP="008A35AD">
            <w:pPr>
              <w:spacing w:before="40" w:after="0" w:line="276" w:lineRule="auto"/>
              <w:jc w:val="left"/>
              <w:rPr>
                <w:rFonts w:eastAsia="Arial Unicode MS" w:cs="Times New Roman"/>
                <w:sz w:val="18"/>
                <w:szCs w:val="24"/>
              </w:rPr>
            </w:pPr>
            <w:r w:rsidRPr="00400193">
              <w:rPr>
                <w:rFonts w:eastAsia="Arial Unicode MS" w:cs="Times New Roman"/>
                <w:sz w:val="18"/>
                <w:szCs w:val="24"/>
              </w:rPr>
              <w:t>People/Public/Private (3P) approach considered ideal.</w:t>
            </w:r>
          </w:p>
        </w:tc>
      </w:tr>
    </w:tbl>
    <w:p w14:paraId="63E5D092" w14:textId="7FCB0A03" w:rsidR="006E3616" w:rsidRPr="00400193" w:rsidRDefault="006E3616" w:rsidP="006E3616">
      <w:pPr>
        <w:pStyle w:val="Caption"/>
        <w:spacing w:after="240"/>
      </w:pPr>
      <w:bookmarkStart w:id="125" w:name="_Ref43136845"/>
      <w:bookmarkStart w:id="126" w:name="_Toc5290152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2</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w:t>
      </w:r>
      <w:r w:rsidRPr="00400193">
        <w:fldChar w:fldCharType="end"/>
      </w:r>
      <w:bookmarkEnd w:id="125"/>
      <w:r w:rsidRPr="00400193">
        <w:t>: Variation of Covey's four quadrants showing an assessment of the literature on existing CRM frameworks. This allowed the researcher to develop an alternative framework, avoiding any of the difficulties of existing frameworks.</w:t>
      </w:r>
      <w:r w:rsidRPr="00400193">
        <w:rPr>
          <w:b w:val="0"/>
          <w:i w:val="0"/>
          <w:iCs w:val="0"/>
          <w:szCs w:val="24"/>
          <w:lang w:eastAsia="zh-CN" w:bidi="hi-IN"/>
        </w:rPr>
        <w:t xml:space="preserve"> </w:t>
      </w:r>
      <w:r w:rsidRPr="00400193">
        <w:t>Source: adapted from Covey (1999); Keith (2014)</w:t>
      </w:r>
      <w:bookmarkEnd w:id="126"/>
    </w:p>
    <w:p w14:paraId="73E1CA0B" w14:textId="28F8D6A4" w:rsidR="00D726EA" w:rsidRPr="00400193" w:rsidRDefault="00D726EA" w:rsidP="00D726EA">
      <w:pPr>
        <w:rPr>
          <w:lang w:eastAsia="zh-CN" w:bidi="hi-IN"/>
        </w:rPr>
      </w:pPr>
      <w:r w:rsidRPr="00400193">
        <w:rPr>
          <w:lang w:eastAsia="zh-CN" w:bidi="hi-IN"/>
        </w:rPr>
        <w:t xml:space="preserve">The existing frameworks and standards largely concentrate on mitigation after an attack, although some also include preventative measures. This mitigation is undoubtedly linked to resilience, but one of the aims of the new framework is that it </w:t>
      </w:r>
      <w:r w:rsidRPr="00400193">
        <w:rPr>
          <w:lang w:eastAsia="zh-CN" w:bidi="hi-IN"/>
        </w:rPr>
        <w:lastRenderedPageBreak/>
        <w:t>must provide a way of measuring resilience, which these do not provide. Information about the patterns of cyber-attack, particularly the cyber kill chain</w:t>
      </w:r>
      <w:r w:rsidRPr="00400193">
        <w:rPr>
          <w:vertAlign w:val="superscript"/>
          <w:lang w:eastAsia="zh-CN" w:bidi="hi-IN"/>
        </w:rPr>
        <w:t xml:space="preserve">® </w:t>
      </w:r>
      <w:r w:rsidR="00337F8A" w:rsidRPr="00400193">
        <w:rPr>
          <w:lang w:eastAsia="zh-CN" w:bidi="hi-IN"/>
        </w:rPr>
        <w:t>(Hutchins, Cloppert, and Amin, 2011)</w:t>
      </w:r>
      <w:r w:rsidRPr="00400193">
        <w:rPr>
          <w:lang w:eastAsia="zh-CN" w:bidi="hi-IN"/>
        </w:rPr>
        <w:t>, emphasises when threats are detected earlier, it is easier to either prevent them or recover from them (improved resilience).</w:t>
      </w:r>
    </w:p>
    <w:p w14:paraId="6CB19659" w14:textId="1B5C7631" w:rsidR="00D726EA" w:rsidRPr="00400193" w:rsidRDefault="00D726EA" w:rsidP="00D726EA">
      <w:r w:rsidRPr="00400193">
        <w:rPr>
          <w:lang w:eastAsia="zh-CN" w:bidi="hi-IN"/>
        </w:rPr>
        <w:t xml:space="preserve">Logically, this indicates that the existing frameworks are not detecting or intervening soon enough. </w:t>
      </w:r>
      <w:r w:rsidRPr="00400193">
        <w:rPr>
          <w:lang w:eastAsia="zh-CN" w:bidi="hi-IN"/>
        </w:rPr>
        <w:fldChar w:fldCharType="begin"/>
      </w:r>
      <w:r w:rsidRPr="00400193">
        <w:rPr>
          <w:lang w:eastAsia="zh-CN" w:bidi="hi-IN"/>
        </w:rPr>
        <w:instrText xml:space="preserve"> REF _Ref43136481 \h  \* MERGEFORMAT </w:instrText>
      </w:r>
      <w:r w:rsidRPr="00400193">
        <w:rPr>
          <w:lang w:eastAsia="zh-CN" w:bidi="hi-IN"/>
        </w:rPr>
      </w:r>
      <w:r w:rsidRPr="00400193">
        <w:rPr>
          <w:lang w:eastAsia="zh-CN" w:bidi="hi-IN"/>
        </w:rPr>
        <w:fldChar w:fldCharType="separate"/>
      </w:r>
      <w:r w:rsidR="00BB7C18" w:rsidRPr="00400193">
        <w:rPr>
          <w:lang w:eastAsia="zh-CN" w:bidi="hi-IN"/>
        </w:rPr>
        <w:t xml:space="preserve">Figure </w:t>
      </w:r>
      <w:r w:rsidR="00BB7C18">
        <w:rPr>
          <w:cs/>
          <w:lang w:eastAsia="zh-CN" w:bidi="hi-IN"/>
        </w:rPr>
        <w:t>‎</w:t>
      </w:r>
      <w:r w:rsidR="00BB7C18">
        <w:rPr>
          <w:noProof/>
        </w:rPr>
        <w:t>2</w:t>
      </w:r>
      <w:r w:rsidR="00BB7C18" w:rsidRPr="00400193">
        <w:noBreakHyphen/>
      </w:r>
      <w:r w:rsidR="00BB7C18">
        <w:rPr>
          <w:noProof/>
        </w:rPr>
        <w:t>15</w:t>
      </w:r>
      <w:r w:rsidRPr="00400193">
        <w:rPr>
          <w:lang w:eastAsia="zh-CN" w:bidi="hi-IN"/>
        </w:rPr>
        <w:fldChar w:fldCharType="end"/>
      </w:r>
      <w:r w:rsidRPr="00400193">
        <w:rPr>
          <w:lang w:eastAsia="zh-CN" w:bidi="hi-IN"/>
        </w:rPr>
        <w:t xml:space="preserve"> shows this graphically. It indicates that although the existing frameworks discuss early detection, their main purpose is mitigation, or not allowing the attack to proceed past point ‘B’ in the diagram. The ‘gap’ between the current situation (‘B’) and the ideal situation (‘A’) is the area where the proposed new framework must operate.</w:t>
      </w:r>
    </w:p>
    <w:p w14:paraId="027F61BC" w14:textId="614F22AB" w:rsidR="006E3616" w:rsidRPr="00400193" w:rsidRDefault="00CE093E" w:rsidP="006E3616">
      <w:r w:rsidRPr="00400193">
        <w:t xml:space="preserve">In </w:t>
      </w:r>
      <w:r w:rsidRPr="00400193">
        <w:fldChar w:fldCharType="begin"/>
      </w:r>
      <w:r w:rsidRPr="00400193">
        <w:instrText xml:space="preserve"> REF _Ref43136845 \h </w:instrText>
      </w:r>
      <w:r w:rsidRPr="00400193">
        <w:fldChar w:fldCharType="separate"/>
      </w:r>
      <w:r w:rsidR="00BB7C18" w:rsidRPr="00400193">
        <w:t xml:space="preserve">Table </w:t>
      </w:r>
      <w:r w:rsidR="00BB7C18">
        <w:rPr>
          <w:noProof/>
          <w:cs/>
        </w:rPr>
        <w:t>‎</w:t>
      </w:r>
      <w:r w:rsidR="00BB7C18">
        <w:rPr>
          <w:noProof/>
        </w:rPr>
        <w:t>2</w:t>
      </w:r>
      <w:r w:rsidR="00BB7C18" w:rsidRPr="00400193">
        <w:noBreakHyphen/>
      </w:r>
      <w:r w:rsidR="00BB7C18">
        <w:rPr>
          <w:noProof/>
        </w:rPr>
        <w:t>4</w:t>
      </w:r>
      <w:r w:rsidRPr="00400193">
        <w:fldChar w:fldCharType="end"/>
      </w:r>
      <w:r w:rsidRPr="00400193">
        <w:t>, the layout shows the classification of the literature reviewed and the way in which difficulties needed to be overcome. The first column, the visionary aspect of the research philosophy, revealed problems for the outcome in both descriptive and prescriptive literature. Thus, the final quadrant, the implementational philosophy and the prescriptive outcome can be combined. Ito</w:t>
      </w:r>
      <w:r w:rsidR="00704A6D" w:rsidRPr="00400193">
        <w:t xml:space="preserve"> et al</w:t>
      </w:r>
      <w:r w:rsidRPr="00400193">
        <w:t xml:space="preserve">. (2016) suggest that for any initiative to work in the public sector a 3P approach is needed – </w:t>
      </w:r>
      <w:r w:rsidRPr="00400193">
        <w:rPr>
          <w:i/>
          <w:iCs/>
        </w:rPr>
        <w:t>i.e.</w:t>
      </w:r>
      <w:r w:rsidR="00E67F45" w:rsidRPr="00400193">
        <w:t xml:space="preserve"> People, Public, Private – and that is incorporated in this research.</w:t>
      </w:r>
    </w:p>
    <w:p w14:paraId="6BD523F7" w14:textId="66ACC746" w:rsidR="006E3616" w:rsidRPr="00400193" w:rsidRDefault="006E3616" w:rsidP="00D872FE">
      <w:pPr>
        <w:spacing w:after="0"/>
        <w:rPr>
          <w:lang w:eastAsia="zh-CN" w:bidi="hi-IN"/>
        </w:rPr>
      </w:pPr>
      <w:r w:rsidRPr="00400193">
        <w:rPr>
          <w:lang w:eastAsia="zh-CN" w:bidi="hi-IN"/>
        </w:rPr>
        <w:t>The next section discusses the theory behind the new framework, which is developed in more detail in later chapters. It uses previous definitions of resilience to accept that the minimum requirement is a return to the pre-attack state. The various factors multiplied together and added or subtracted as required will give a measure of any individual company’s ability to recover from a cyber-attack of a given severity.</w:t>
      </w:r>
    </w:p>
    <w:p w14:paraId="6AD19D30" w14:textId="0D65A964" w:rsidR="006E3616" w:rsidRPr="00400193" w:rsidRDefault="00D872FE" w:rsidP="00D872FE">
      <w:pPr>
        <w:keepNext/>
        <w:spacing w:after="0" w:line="240" w:lineRule="auto"/>
        <w:jc w:val="center"/>
      </w:pPr>
      <w:r w:rsidRPr="00400193">
        <w:rPr>
          <w:noProof/>
          <w:lang w:val="en-US"/>
        </w:rPr>
        <mc:AlternateContent>
          <mc:Choice Requires="wps">
            <w:drawing>
              <wp:anchor distT="0" distB="0" distL="114300" distR="114300" simplePos="0" relativeHeight="251754496" behindDoc="0" locked="0" layoutInCell="1" allowOverlap="1" wp14:anchorId="1996A990" wp14:editId="0C1A453C">
                <wp:simplePos x="0" y="0"/>
                <wp:positionH relativeFrom="margin">
                  <wp:posOffset>0</wp:posOffset>
                </wp:positionH>
                <wp:positionV relativeFrom="paragraph">
                  <wp:posOffset>-1905</wp:posOffset>
                </wp:positionV>
                <wp:extent cx="5762625" cy="1706880"/>
                <wp:effectExtent l="0" t="0" r="28575" b="26670"/>
                <wp:wrapNone/>
                <wp:docPr id="208" name="Rectangle 208"/>
                <wp:cNvGraphicFramePr/>
                <a:graphic xmlns:a="http://schemas.openxmlformats.org/drawingml/2006/main">
                  <a:graphicData uri="http://schemas.microsoft.com/office/word/2010/wordprocessingShape">
                    <wps:wsp>
                      <wps:cNvSpPr/>
                      <wps:spPr>
                        <a:xfrm>
                          <a:off x="0" y="0"/>
                          <a:ext cx="5762625" cy="170688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E7441D" w14:textId="77777777" w:rsidR="007401F4" w:rsidRDefault="007401F4" w:rsidP="00D872FE">
                            <w:pPr>
                              <w:spacing w:after="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96A990" id="Rectangle 208" o:spid="_x0000_s1128" style="position:absolute;left:0;text-align:left;margin-left:0;margin-top:-.15pt;width:453.75pt;height:134.4pt;z-index:2517544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" filled="f" strokecolor="black [3213]" strokeweight="1.5pt">
                <v:textbox>
                  <w:txbxContent>
                    <w:p w14:paraId="39E7441D" w14:textId="77777777" w:rsidR="007401F4" w:rsidRDefault="007401F4" w:rsidP="00D872FE">
                      <w:pPr>
                        <w:spacing w:after="0" w:line="240" w:lineRule="auto"/>
                        <w:jc w:val="center"/>
                      </w:pPr>
                    </w:p>
                  </w:txbxContent>
                </v:textbox>
                <w10:wrap anchorx="margin"/>
              </v:rect>
            </w:pict>
          </mc:Fallback>
        </mc:AlternateContent>
      </w:r>
      <w:r w:rsidR="00394EAB" w:rsidRPr="00400193">
        <w:rPr>
          <w:noProof/>
          <w:lang w:val="en-US"/>
        </w:rPr>
        <mc:AlternateContent>
          <mc:Choice Requires="wps">
            <w:drawing>
              <wp:anchor distT="0" distB="0" distL="114300" distR="114300" simplePos="0" relativeHeight="251659264" behindDoc="0" locked="0" layoutInCell="1" allowOverlap="1" wp14:anchorId="79644437" wp14:editId="26FEED4B">
                <wp:simplePos x="0" y="0"/>
                <wp:positionH relativeFrom="column">
                  <wp:posOffset>950422</wp:posOffset>
                </wp:positionH>
                <wp:positionV relativeFrom="paragraph">
                  <wp:posOffset>262890</wp:posOffset>
                </wp:positionV>
                <wp:extent cx="3888509" cy="276225"/>
                <wp:effectExtent l="0" t="0" r="0" b="0"/>
                <wp:wrapNone/>
                <wp:docPr id="2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8509" cy="276225"/>
                        </a:xfrm>
                        <a:prstGeom prst="rect">
                          <a:avLst/>
                        </a:prstGeom>
                        <a:noFill/>
                        <a:ln w="6350">
                          <a:noFill/>
                        </a:ln>
                      </wps:spPr>
                      <wps:txbx>
                        <w:txbxContent>
                          <w:p w14:paraId="0B9140BC" w14:textId="77777777" w:rsidR="007401F4" w:rsidRDefault="007401F4" w:rsidP="006E3616">
                            <w:r>
                              <w:t>Further Left: Better Resilience       Further Right: Worse Resilience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9644437" id="Text Box 19" o:spid="_x0000_s1129" type="#_x0000_t202" style="position:absolute;left:0;text-align:left;margin-left:74.85pt;margin-top:20.7pt;width:306.2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" filled="f" stroked="f" strokeweight=".5pt">
                <v:path arrowok="t"/>
                <v:textbox>
                  <w:txbxContent>
                    <w:p w14:paraId="0B9140BC" w14:textId="77777777" w:rsidR="007401F4" w:rsidRDefault="007401F4" w:rsidP="006E3616">
                      <w:r>
                        <w:t>Further Left: Better Resilience       Further Right: Worse Resilience</w:t>
                      </w:r>
                    </w:p>
                  </w:txbxContent>
                </v:textbox>
              </v:shape>
            </w:pict>
          </mc:Fallback>
        </mc:AlternateContent>
      </w:r>
      <w:r w:rsidR="006E3616" w:rsidRPr="00400193">
        <w:rPr>
          <w:noProof/>
          <w:lang w:val="en-US"/>
        </w:rPr>
        <mc:AlternateContent>
          <mc:Choice Requires="wps">
            <w:drawing>
              <wp:anchor distT="0" distB="0" distL="114300" distR="114300" simplePos="0" relativeHeight="251660288" behindDoc="0" locked="0" layoutInCell="1" allowOverlap="1" wp14:anchorId="63EE0294" wp14:editId="3CE5DC6E">
                <wp:simplePos x="0" y="0"/>
                <wp:positionH relativeFrom="column">
                  <wp:posOffset>4197350</wp:posOffset>
                </wp:positionH>
                <wp:positionV relativeFrom="paragraph">
                  <wp:posOffset>1072515</wp:posOffset>
                </wp:positionV>
                <wp:extent cx="400050" cy="371475"/>
                <wp:effectExtent l="0" t="0" r="0" b="9525"/>
                <wp:wrapNone/>
                <wp:docPr id="22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71475"/>
                        </a:xfrm>
                        <a:prstGeom prst="ellipse">
                          <a:avLst/>
                        </a:prstGeom>
                        <a:solidFill>
                          <a:srgbClr val="FF0000"/>
                        </a:solidFill>
                        <a:ln w="6350">
                          <a:solidFill>
                            <a:srgbClr val="FF0000"/>
                          </a:solidFill>
                        </a:ln>
                      </wps:spPr>
                      <wps:txbx>
                        <w:txbxContent>
                          <w:p w14:paraId="7E7369DD" w14:textId="77777777" w:rsidR="007401F4" w:rsidRPr="00E25594" w:rsidRDefault="007401F4" w:rsidP="006E3616">
                            <w:pPr>
                              <w:rPr>
                                <w:b/>
                              </w:rPr>
                            </w:pPr>
                            <w:r w:rsidRPr="00E25594">
                              <w:rPr>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EE0294" id="Text Box 18" o:spid="_x0000_s1130" style="position:absolute;left:0;text-align:left;margin-left:330.5pt;margin-top:84.45pt;width:31.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" fillcolor="red" strokecolor="red" strokeweight=".5pt">
                <v:path arrowok="t"/>
                <v:textbox>
                  <w:txbxContent>
                    <w:p w14:paraId="7E7369DD" w14:textId="77777777" w:rsidR="007401F4" w:rsidRPr="00E25594" w:rsidRDefault="007401F4" w:rsidP="006E3616">
                      <w:pPr>
                        <w:rPr>
                          <w:b/>
                        </w:rPr>
                      </w:pPr>
                      <w:r w:rsidRPr="00E25594">
                        <w:rPr>
                          <w:b/>
                        </w:rPr>
                        <w:t>B</w:t>
                      </w:r>
                    </w:p>
                  </w:txbxContent>
                </v:textbox>
              </v:oval>
            </w:pict>
          </mc:Fallback>
        </mc:AlternateContent>
      </w:r>
      <w:r w:rsidR="006E3616" w:rsidRPr="00400193">
        <w:rPr>
          <w:noProof/>
          <w:lang w:val="en-US"/>
        </w:rPr>
        <mc:AlternateContent>
          <mc:Choice Requires="wps">
            <w:drawing>
              <wp:anchor distT="0" distB="0" distL="114300" distR="114300" simplePos="0" relativeHeight="251661312" behindDoc="0" locked="0" layoutInCell="1" allowOverlap="1" wp14:anchorId="59463AAE" wp14:editId="79A54B9B">
                <wp:simplePos x="0" y="0"/>
                <wp:positionH relativeFrom="column">
                  <wp:posOffset>1066165</wp:posOffset>
                </wp:positionH>
                <wp:positionV relativeFrom="paragraph">
                  <wp:posOffset>1056640</wp:posOffset>
                </wp:positionV>
                <wp:extent cx="400050" cy="371475"/>
                <wp:effectExtent l="0" t="0" r="0" b="9525"/>
                <wp:wrapNone/>
                <wp:docPr id="2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71475"/>
                        </a:xfrm>
                        <a:prstGeom prst="ellipse">
                          <a:avLst/>
                        </a:prstGeom>
                        <a:solidFill>
                          <a:srgbClr val="00B050"/>
                        </a:solidFill>
                        <a:ln w="6350">
                          <a:solidFill>
                            <a:srgbClr val="00B050"/>
                          </a:solidFill>
                        </a:ln>
                      </wps:spPr>
                      <wps:txbx>
                        <w:txbxContent>
                          <w:p w14:paraId="27E6FF31" w14:textId="77777777" w:rsidR="007401F4" w:rsidRPr="00E25594" w:rsidRDefault="007401F4" w:rsidP="006E3616">
                            <w:pPr>
                              <w:rPr>
                                <w:b/>
                              </w:rPr>
                            </w:pPr>
                            <w:r>
                              <w:rPr>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463AAE" id="Text Box 17" o:spid="_x0000_s1131" style="position:absolute;left:0;text-align:left;margin-left:83.95pt;margin-top:83.2pt;width:31.5pt;height:2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" fillcolor="#00b050" strokecolor="#00b050" strokeweight=".5pt">
                <v:path arrowok="t"/>
                <v:textbox>
                  <w:txbxContent>
                    <w:p w14:paraId="27E6FF31" w14:textId="77777777" w:rsidR="007401F4" w:rsidRPr="00E25594" w:rsidRDefault="007401F4" w:rsidP="006E3616">
                      <w:pPr>
                        <w:rPr>
                          <w:b/>
                        </w:rPr>
                      </w:pPr>
                      <w:r>
                        <w:rPr>
                          <w:b/>
                        </w:rPr>
                        <w:t>A</w:t>
                      </w:r>
                    </w:p>
                  </w:txbxContent>
                </v:textbox>
              </v:oval>
            </w:pict>
          </mc:Fallback>
        </mc:AlternateContent>
      </w:r>
      <w:r w:rsidR="006E3616" w:rsidRPr="00400193">
        <w:rPr>
          <w:rFonts w:eastAsia="Arial Unicode MS" w:cs="Times New Roman"/>
          <w:noProof/>
          <w:szCs w:val="24"/>
          <w:lang w:val="en-US"/>
        </w:rPr>
        <w:drawing>
          <wp:inline distT="0" distB="0" distL="0" distR="0" wp14:anchorId="299F55D3" wp14:editId="36653FD8">
            <wp:extent cx="5745600" cy="1630800"/>
            <wp:effectExtent l="0" t="57150" r="26670" b="0"/>
            <wp:docPr id="20" name="Diagram 2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06881EEC" w14:textId="3E7BB7FA" w:rsidR="006E3616" w:rsidRPr="00400193" w:rsidRDefault="006E3616" w:rsidP="006E3616">
      <w:pPr>
        <w:pStyle w:val="Caption"/>
        <w:spacing w:after="240"/>
        <w:jc w:val="left"/>
        <w:rPr>
          <w:rFonts w:eastAsia="Arial Unicode MS" w:cs="Times New Roman"/>
          <w:szCs w:val="24"/>
        </w:rPr>
      </w:pPr>
      <w:bookmarkStart w:id="127" w:name="_Ref43136481"/>
      <w:bookmarkStart w:id="128" w:name="_Toc5538756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2</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15</w:t>
      </w:r>
      <w:r w:rsidR="00E35E8C" w:rsidRPr="00400193">
        <w:fldChar w:fldCharType="end"/>
      </w:r>
      <w:bookmarkEnd w:id="127"/>
      <w:r w:rsidRPr="00400193">
        <w:t>: The relationship between the timing of threat detection and the strength of system resilience. Current frameworks are aimed at detection or intervention at point B, but should be aiming at point A.</w:t>
      </w:r>
      <w:bookmarkEnd w:id="128"/>
      <w:r w:rsidRPr="00400193">
        <w:t xml:space="preserve"> </w:t>
      </w:r>
    </w:p>
    <w:p w14:paraId="2F16E72D" w14:textId="2F69A214" w:rsidR="006E3616" w:rsidRPr="00400193" w:rsidRDefault="006E3616" w:rsidP="006E3616">
      <w:pPr>
        <w:rPr>
          <w:lang w:eastAsia="zh-CN" w:bidi="hi-IN"/>
        </w:rPr>
      </w:pPr>
      <w:r w:rsidRPr="00400193">
        <w:rPr>
          <w:lang w:eastAsia="zh-CN" w:bidi="hi-IN"/>
        </w:rPr>
        <w:lastRenderedPageBreak/>
        <w:t>If the new framework is to target detection and intervention at point ‘A’ (</w:t>
      </w:r>
      <w:r w:rsidRPr="00400193">
        <w:rPr>
          <w:lang w:eastAsia="zh-CN" w:bidi="hi-IN"/>
        </w:rPr>
        <w:fldChar w:fldCharType="begin"/>
      </w:r>
      <w:r w:rsidRPr="00400193">
        <w:rPr>
          <w:lang w:eastAsia="zh-CN" w:bidi="hi-IN"/>
        </w:rPr>
        <w:instrText xml:space="preserve"> REF _Ref43136481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15</w:t>
      </w:r>
      <w:r w:rsidRPr="00400193">
        <w:rPr>
          <w:lang w:eastAsia="zh-CN" w:bidi="hi-IN"/>
        </w:rPr>
        <w:fldChar w:fldCharType="end"/>
      </w:r>
      <w:r w:rsidRPr="00400193">
        <w:rPr>
          <w:lang w:eastAsia="zh-CN" w:bidi="hi-IN"/>
        </w:rPr>
        <w:t>) and also to provide a measure of the system’s resilience, it will need to improve on the requirements of ISO/IEC 27039:2015. It will also need to introduce a measurement of resilience, and this needs to consider the theoretical effect of every known type of attack detected in each of the four stages. When measured in this way, the actual resilience R</w:t>
      </w:r>
      <w:r w:rsidRPr="00400193">
        <w:rPr>
          <w:vertAlign w:val="subscript"/>
          <w:lang w:eastAsia="zh-CN" w:bidi="hi-IN"/>
        </w:rPr>
        <w:t>A</w:t>
      </w:r>
      <w:r w:rsidRPr="00400193">
        <w:rPr>
          <w:lang w:eastAsia="zh-CN" w:bidi="hi-IN"/>
        </w:rPr>
        <w:t>, will be equal to the company resilience OR (a quantity not yet measured) minus the result of multiplying the risk factor RF by the effect factor EF and the detection point factor F</w:t>
      </w:r>
      <w:r w:rsidRPr="00400193">
        <w:rPr>
          <w:vertAlign w:val="subscript"/>
          <w:lang w:eastAsia="zh-CN" w:bidi="hi-IN"/>
        </w:rPr>
        <w:t>DP</w:t>
      </w:r>
      <w:r w:rsidRPr="00400193">
        <w:rPr>
          <w:lang w:eastAsia="zh-CN" w:bidi="hi-IN"/>
        </w:rPr>
        <w:t xml:space="preserve">. </w:t>
      </w:r>
    </w:p>
    <w:p w14:paraId="1CAF7FF8" w14:textId="5A13C9B0" w:rsidR="006E3616" w:rsidRPr="00400193" w:rsidRDefault="006E3616" w:rsidP="006E3616">
      <w:pPr>
        <w:pStyle w:val="Caption"/>
        <w:keepNext/>
      </w:pPr>
      <w:r w:rsidRPr="00400193">
        <w:fldChar w:fldCharType="begin"/>
      </w:r>
      <w:r w:rsidRPr="00400193">
        <w:instrText xml:space="preserve"> SEQ Equation \* ARABIC </w:instrText>
      </w:r>
      <w:r w:rsidRPr="00400193">
        <w:fldChar w:fldCharType="separate"/>
      </w:r>
      <w:bookmarkStart w:id="129" w:name="_Toc43897345"/>
      <w:r w:rsidR="00BB7C18">
        <w:rPr>
          <w:noProof/>
        </w:rPr>
        <w:t>3</w:t>
      </w:r>
      <w:r w:rsidRPr="00400193">
        <w:fldChar w:fldCharType="end"/>
      </w:r>
      <w:r w:rsidRPr="00400193">
        <w:t>: Calculation of actual resilience</w:t>
      </w:r>
      <w:bookmarkEnd w:id="129"/>
    </w:p>
    <w:p w14:paraId="13CCFFAC" w14:textId="77777777" w:rsidR="006E3616" w:rsidRPr="00400193" w:rsidRDefault="00724BEE" w:rsidP="006E3616">
      <w:pPr>
        <w:suppressAutoHyphens/>
        <w:spacing w:before="120" w:after="120" w:line="240" w:lineRule="auto"/>
        <w:rPr>
          <w:szCs w:val="24"/>
          <w:lang w:eastAsia="zh-CN" w:bidi="hi-IN"/>
        </w:rPr>
      </w:pPr>
      <m:oMathPara>
        <m:oMath>
          <m:sSub>
            <m:sSubPr>
              <m:ctrlPr>
                <w:rPr>
                  <w:rFonts w:ascii="Cambria Math" w:hAnsi="Cambria Math"/>
                  <w:i/>
                  <w:szCs w:val="24"/>
                  <w:lang w:eastAsia="zh-CN" w:bidi="hi-IN"/>
                </w:rPr>
              </m:ctrlPr>
            </m:sSubPr>
            <m:e>
              <m:r>
                <w:rPr>
                  <w:rFonts w:ascii="Cambria Math" w:hAnsi="Cambria Math"/>
                  <w:szCs w:val="24"/>
                  <w:lang w:eastAsia="zh-CN" w:bidi="hi-IN"/>
                </w:rPr>
                <m:t>R</m:t>
              </m:r>
            </m:e>
            <m:sub>
              <m:r>
                <w:rPr>
                  <w:rFonts w:ascii="Cambria Math" w:hAnsi="Cambria Math"/>
                  <w:szCs w:val="24"/>
                  <w:lang w:eastAsia="zh-CN" w:bidi="hi-IN"/>
                </w:rPr>
                <m:t>A</m:t>
              </m:r>
            </m:sub>
          </m:sSub>
          <m:r>
            <w:rPr>
              <w:rFonts w:ascii="Cambria Math" w:hAnsi="Cambria Math"/>
              <w:szCs w:val="24"/>
              <w:lang w:eastAsia="zh-CN" w:bidi="hi-IN"/>
            </w:rPr>
            <m:t>=OR-</m:t>
          </m:r>
          <m:d>
            <m:dPr>
              <m:ctrlPr>
                <w:rPr>
                  <w:rFonts w:ascii="Cambria Math" w:hAnsi="Cambria Math"/>
                  <w:i/>
                  <w:szCs w:val="24"/>
                  <w:lang w:eastAsia="zh-CN" w:bidi="hi-IN"/>
                </w:rPr>
              </m:ctrlPr>
            </m:dPr>
            <m:e>
              <m:sSub>
                <m:sSubPr>
                  <m:ctrlPr>
                    <w:rPr>
                      <w:rFonts w:ascii="Cambria Math" w:hAnsi="Cambria Math"/>
                      <w:i/>
                      <w:szCs w:val="24"/>
                      <w:lang w:eastAsia="zh-CN" w:bidi="hi-IN"/>
                    </w:rPr>
                  </m:ctrlPr>
                </m:sSubPr>
                <m:e>
                  <m:r>
                    <w:rPr>
                      <w:rFonts w:ascii="Cambria Math" w:hAnsi="Cambria Math"/>
                      <w:szCs w:val="24"/>
                      <w:lang w:eastAsia="zh-CN" w:bidi="hi-IN"/>
                    </w:rPr>
                    <m:t>R</m:t>
                  </m:r>
                </m:e>
                <m:sub>
                  <m:r>
                    <w:rPr>
                      <w:rFonts w:ascii="Cambria Math" w:hAnsi="Cambria Math"/>
                      <w:szCs w:val="24"/>
                      <w:lang w:eastAsia="zh-CN" w:bidi="hi-IN"/>
                    </w:rPr>
                    <m:t>F</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E</m:t>
                  </m:r>
                </m:e>
                <m:sub>
                  <m:r>
                    <w:rPr>
                      <w:rFonts w:ascii="Cambria Math" w:hAnsi="Cambria Math"/>
                      <w:szCs w:val="24"/>
                      <w:lang w:eastAsia="zh-CN" w:bidi="hi-IN"/>
                    </w:rPr>
                    <m:t>F</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F</m:t>
                  </m:r>
                </m:e>
                <m:sub>
                  <m:r>
                    <w:rPr>
                      <w:rFonts w:ascii="Cambria Math" w:hAnsi="Cambria Math"/>
                      <w:szCs w:val="24"/>
                      <w:lang w:eastAsia="zh-CN" w:bidi="hi-IN"/>
                    </w:rPr>
                    <m:t>DP</m:t>
                  </m:r>
                </m:sub>
              </m:sSub>
            </m:e>
          </m:d>
        </m:oMath>
      </m:oMathPara>
    </w:p>
    <w:p w14:paraId="3A793443" w14:textId="795A96DD" w:rsidR="006E3616" w:rsidRPr="00400193" w:rsidRDefault="006E3616" w:rsidP="006E3616">
      <w:pPr>
        <w:rPr>
          <w:lang w:eastAsia="zh-CN" w:bidi="hi-IN"/>
        </w:rPr>
      </w:pPr>
      <w:r w:rsidRPr="00400193">
        <w:rPr>
          <w:lang w:eastAsia="zh-CN" w:bidi="hi-IN"/>
        </w:rPr>
        <w:t xml:space="preserve">The risk factor RF is the likelihood of a particular event. The effect factor EF is based on the financial cost of repairing the damage done by the attack, which will double every time a new </w:t>
      </w:r>
      <w:r w:rsidR="009942CB" w:rsidRPr="00400193">
        <w:rPr>
          <w:lang w:eastAsia="zh-CN" w:bidi="hi-IN"/>
        </w:rPr>
        <w:t xml:space="preserve">phase </w:t>
      </w:r>
      <w:r w:rsidRPr="00400193">
        <w:rPr>
          <w:lang w:eastAsia="zh-CN" w:bidi="hi-IN"/>
        </w:rPr>
        <w:t>is entered or left (</w:t>
      </w:r>
      <w:r w:rsidRPr="00400193">
        <w:rPr>
          <w:i/>
          <w:iCs/>
          <w:lang w:eastAsia="zh-CN" w:bidi="hi-IN"/>
        </w:rPr>
        <w:t>i.e.</w:t>
      </w:r>
      <w:r w:rsidRPr="00400193">
        <w:rPr>
          <w:lang w:eastAsia="zh-CN" w:bidi="hi-IN"/>
        </w:rPr>
        <w:t xml:space="preserve"> in ‘Survey’ F</w:t>
      </w:r>
      <w:r w:rsidRPr="00400193">
        <w:rPr>
          <w:vertAlign w:val="subscript"/>
          <w:lang w:eastAsia="zh-CN" w:bidi="hi-IN"/>
        </w:rPr>
        <w:t xml:space="preserve">DP </w:t>
      </w:r>
      <w:r w:rsidRPr="00400193">
        <w:rPr>
          <w:lang w:eastAsia="zh-CN" w:bidi="hi-IN"/>
        </w:rPr>
        <w:t>= between 0 and 1; in ‘Delivery’ F</w:t>
      </w:r>
      <w:r w:rsidRPr="00400193">
        <w:rPr>
          <w:vertAlign w:val="subscript"/>
          <w:lang w:eastAsia="zh-CN" w:bidi="hi-IN"/>
        </w:rPr>
        <w:t xml:space="preserve">DP </w:t>
      </w:r>
      <w:r w:rsidRPr="00400193">
        <w:rPr>
          <w:lang w:eastAsia="zh-CN" w:bidi="hi-IN"/>
        </w:rPr>
        <w:t>= between 2 and 4; in ‘Breach’ F</w:t>
      </w:r>
      <w:r w:rsidRPr="00400193">
        <w:rPr>
          <w:vertAlign w:val="subscript"/>
          <w:lang w:eastAsia="zh-CN" w:bidi="hi-IN"/>
        </w:rPr>
        <w:t xml:space="preserve">DP </w:t>
      </w:r>
      <w:r w:rsidRPr="00400193">
        <w:rPr>
          <w:lang w:eastAsia="zh-CN" w:bidi="hi-IN"/>
        </w:rPr>
        <w:t>= between 8 and 16; and in ‘Effect’ F</w:t>
      </w:r>
      <w:r w:rsidRPr="00400193">
        <w:rPr>
          <w:vertAlign w:val="subscript"/>
          <w:lang w:eastAsia="zh-CN" w:bidi="hi-IN"/>
        </w:rPr>
        <w:t xml:space="preserve">DP </w:t>
      </w:r>
      <w:r w:rsidRPr="00400193">
        <w:rPr>
          <w:lang w:eastAsia="zh-CN" w:bidi="hi-IN"/>
        </w:rPr>
        <w:t>= between 32 and 64). The company resilience R</w:t>
      </w:r>
      <w:r w:rsidRPr="00400193">
        <w:rPr>
          <w:vertAlign w:val="subscript"/>
          <w:lang w:eastAsia="zh-CN" w:bidi="hi-IN"/>
        </w:rPr>
        <w:t>C</w:t>
      </w:r>
      <w:r w:rsidRPr="00400193">
        <w:rPr>
          <w:lang w:eastAsia="zh-CN" w:bidi="hi-IN"/>
        </w:rPr>
        <w:t xml:space="preserve"> will be dependent on several factors, including the number N</w:t>
      </w:r>
      <w:r w:rsidRPr="00400193">
        <w:rPr>
          <w:vertAlign w:val="subscript"/>
          <w:lang w:eastAsia="zh-CN" w:bidi="hi-IN"/>
        </w:rPr>
        <w:t>AP</w:t>
      </w:r>
      <w:r w:rsidRPr="00400193">
        <w:rPr>
          <w:lang w:eastAsia="zh-CN" w:bidi="hi-IN"/>
        </w:rPr>
        <w:t>, and security S</w:t>
      </w:r>
      <w:r w:rsidRPr="00400193">
        <w:rPr>
          <w:vertAlign w:val="subscript"/>
          <w:lang w:eastAsia="zh-CN" w:bidi="hi-IN"/>
        </w:rPr>
        <w:t>AP</w:t>
      </w:r>
      <w:r w:rsidRPr="00400193">
        <w:rPr>
          <w:lang w:eastAsia="zh-CN" w:bidi="hi-IN"/>
        </w:rPr>
        <w:t>, of its access points, and the ‘divisionalisation’ of the company data C</w:t>
      </w:r>
      <w:r w:rsidRPr="00400193">
        <w:rPr>
          <w:vertAlign w:val="subscript"/>
          <w:lang w:eastAsia="zh-CN" w:bidi="hi-IN"/>
        </w:rPr>
        <w:t>RF</w:t>
      </w:r>
      <w:r w:rsidRPr="00400193">
        <w:rPr>
          <w:lang w:eastAsia="zh-CN" w:bidi="hi-IN"/>
        </w:rPr>
        <w:t>. These factors would also be given points scores to be multiplied together. This would be designed in such a way that a company scoring very strongly in every aspect of detection, protection and recovery would still be able to show some resilience even if it scored the worst possible results for RF, EF, and F</w:t>
      </w:r>
      <w:r w:rsidRPr="00400193">
        <w:rPr>
          <w:vertAlign w:val="subscript"/>
          <w:lang w:eastAsia="zh-CN" w:bidi="hi-IN"/>
        </w:rPr>
        <w:t>DP</w:t>
      </w:r>
      <w:r w:rsidRPr="00400193">
        <w:rPr>
          <w:lang w:eastAsia="zh-CN" w:bidi="hi-IN"/>
        </w:rPr>
        <w:t>. This means that in the theoretical scoring system proposed, a score of zero for resilience factors is poor and 20 is good, and low values for risk ratings are good and high figures bad. The actual finalisation of the scoring or rating of these events or factors will need to be completed after research into resilience measurement is completed. However, a brief visualisation could be calculated as:</w:t>
      </w:r>
    </w:p>
    <w:p w14:paraId="56D6D2D1" w14:textId="23F16635" w:rsidR="006E3616" w:rsidRPr="00400193" w:rsidRDefault="006E3616" w:rsidP="006E3616">
      <w:pPr>
        <w:pStyle w:val="Caption"/>
        <w:keepNext/>
      </w:pPr>
      <w:r w:rsidRPr="00400193">
        <w:fldChar w:fldCharType="begin"/>
      </w:r>
      <w:r w:rsidRPr="00400193">
        <w:instrText xml:space="preserve"> SEQ Equation \* ARABIC </w:instrText>
      </w:r>
      <w:r w:rsidRPr="00400193">
        <w:fldChar w:fldCharType="separate"/>
      </w:r>
      <w:bookmarkStart w:id="130" w:name="_Toc43897346"/>
      <w:r w:rsidR="00BB7C18">
        <w:rPr>
          <w:noProof/>
        </w:rPr>
        <w:t>4</w:t>
      </w:r>
      <w:r w:rsidRPr="00400193">
        <w:fldChar w:fldCharType="end"/>
      </w:r>
      <w:r w:rsidRPr="00400193">
        <w:t>: An example of the calculation of resilience</w:t>
      </w:r>
      <w:bookmarkEnd w:id="130"/>
    </w:p>
    <w:p w14:paraId="0A628C06" w14:textId="77777777" w:rsidR="006E3616" w:rsidRPr="00400193" w:rsidRDefault="00724BEE" w:rsidP="006E3616">
      <w:pPr>
        <w:suppressAutoHyphens/>
        <w:spacing w:before="120" w:after="120" w:line="240" w:lineRule="auto"/>
        <w:rPr>
          <w:szCs w:val="24"/>
          <w:lang w:eastAsia="zh-CN" w:bidi="hi-IN"/>
        </w:rPr>
      </w:pPr>
      <m:oMathPara>
        <m:oMathParaPr>
          <m:jc m:val="center"/>
        </m:oMathParaPr>
        <m:oMath>
          <m:sSub>
            <m:sSubPr>
              <m:ctrlPr>
                <w:rPr>
                  <w:rFonts w:ascii="Cambria Math" w:hAnsi="Cambria Math"/>
                  <w:i/>
                  <w:szCs w:val="24"/>
                  <w:lang w:eastAsia="zh-CN" w:bidi="hi-IN"/>
                </w:rPr>
              </m:ctrlPr>
            </m:sSubPr>
            <m:e>
              <m:r>
                <w:rPr>
                  <w:rFonts w:ascii="Cambria Math" w:hAnsi="Cambria Math"/>
                  <w:szCs w:val="24"/>
                  <w:lang w:eastAsia="zh-CN" w:bidi="hi-IN"/>
                </w:rPr>
                <m:t>R</m:t>
              </m:r>
            </m:e>
            <m:sub>
              <m:r>
                <w:rPr>
                  <w:rFonts w:ascii="Cambria Math" w:hAnsi="Cambria Math"/>
                  <w:szCs w:val="24"/>
                  <w:lang w:eastAsia="zh-CN" w:bidi="hi-IN"/>
                </w:rPr>
                <m:t>A</m:t>
              </m:r>
            </m:sub>
          </m:sSub>
          <m:r>
            <w:rPr>
              <w:rFonts w:ascii="Cambria Math" w:hAnsi="Cambria Math"/>
              <w:szCs w:val="24"/>
              <w:lang w:eastAsia="zh-CN" w:bidi="hi-IN"/>
            </w:rPr>
            <m:t>=ORe-</m:t>
          </m:r>
          <m:d>
            <m:dPr>
              <m:ctrlPr>
                <w:rPr>
                  <w:rFonts w:ascii="Cambria Math" w:hAnsi="Cambria Math"/>
                  <w:i/>
                  <w:szCs w:val="24"/>
                  <w:lang w:eastAsia="zh-CN" w:bidi="hi-IN"/>
                </w:rPr>
              </m:ctrlPr>
            </m:dPr>
            <m:e>
              <m:sSub>
                <m:sSubPr>
                  <m:ctrlPr>
                    <w:rPr>
                      <w:rFonts w:ascii="Cambria Math" w:hAnsi="Cambria Math"/>
                      <w:i/>
                      <w:szCs w:val="24"/>
                      <w:lang w:eastAsia="zh-CN" w:bidi="hi-IN"/>
                    </w:rPr>
                  </m:ctrlPr>
                </m:sSubPr>
                <m:e>
                  <m:r>
                    <w:rPr>
                      <w:rFonts w:ascii="Cambria Math" w:hAnsi="Cambria Math"/>
                      <w:szCs w:val="24"/>
                      <w:lang w:eastAsia="zh-CN" w:bidi="hi-IN"/>
                    </w:rPr>
                    <m:t>R</m:t>
                  </m:r>
                </m:e>
                <m:sub>
                  <m:r>
                    <w:rPr>
                      <w:rFonts w:ascii="Cambria Math" w:hAnsi="Cambria Math"/>
                      <w:szCs w:val="24"/>
                      <w:lang w:eastAsia="zh-CN" w:bidi="hi-IN"/>
                    </w:rPr>
                    <m:t>F</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E</m:t>
                  </m:r>
                </m:e>
                <m:sub>
                  <m:r>
                    <w:rPr>
                      <w:rFonts w:ascii="Cambria Math" w:hAnsi="Cambria Math"/>
                      <w:szCs w:val="24"/>
                      <w:lang w:eastAsia="zh-CN" w:bidi="hi-IN"/>
                    </w:rPr>
                    <m:t>F</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F</m:t>
                  </m:r>
                </m:e>
                <m:sub>
                  <m:r>
                    <w:rPr>
                      <w:rFonts w:ascii="Cambria Math" w:hAnsi="Cambria Math"/>
                      <w:szCs w:val="24"/>
                      <w:lang w:eastAsia="zh-CN" w:bidi="hi-IN"/>
                    </w:rPr>
                    <m:t>DP</m:t>
                  </m:r>
                </m:sub>
              </m:sSub>
            </m:e>
          </m:d>
          <m:r>
            <w:rPr>
              <w:rFonts w:ascii="Cambria Math" w:hAnsi="Cambria Math"/>
              <w:szCs w:val="24"/>
              <w:lang w:eastAsia="zh-CN" w:bidi="hi-IN"/>
            </w:rPr>
            <m:t>=</m:t>
          </m:r>
          <m:d>
            <m:dPr>
              <m:ctrlPr>
                <w:rPr>
                  <w:rFonts w:ascii="Cambria Math" w:hAnsi="Cambria Math"/>
                  <w:i/>
                  <w:szCs w:val="24"/>
                  <w:lang w:eastAsia="zh-CN" w:bidi="hi-IN"/>
                </w:rPr>
              </m:ctrlPr>
            </m:dPr>
            <m:e>
              <m:sSub>
                <m:sSubPr>
                  <m:ctrlPr>
                    <w:rPr>
                      <w:rFonts w:ascii="Cambria Math" w:hAnsi="Cambria Math"/>
                      <w:i/>
                      <w:szCs w:val="24"/>
                      <w:lang w:eastAsia="zh-CN" w:bidi="hi-IN"/>
                    </w:rPr>
                  </m:ctrlPr>
                </m:sSubPr>
                <m:e>
                  <m:r>
                    <w:rPr>
                      <w:rFonts w:ascii="Cambria Math" w:hAnsi="Cambria Math"/>
                      <w:szCs w:val="24"/>
                      <w:lang w:eastAsia="zh-CN" w:bidi="hi-IN"/>
                    </w:rPr>
                    <m:t>N</m:t>
                  </m:r>
                </m:e>
                <m:sub>
                  <m:r>
                    <w:rPr>
                      <w:rFonts w:ascii="Cambria Math" w:hAnsi="Cambria Math"/>
                      <w:szCs w:val="24"/>
                      <w:lang w:eastAsia="zh-CN" w:bidi="hi-IN"/>
                    </w:rPr>
                    <m:t>AP</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S</m:t>
                  </m:r>
                </m:e>
                <m:sub>
                  <m:r>
                    <w:rPr>
                      <w:rFonts w:ascii="Cambria Math" w:hAnsi="Cambria Math"/>
                      <w:szCs w:val="24"/>
                      <w:lang w:eastAsia="zh-CN" w:bidi="hi-IN"/>
                    </w:rPr>
                    <m:t>AP</m:t>
                  </m:r>
                </m:sub>
              </m:sSub>
              <m:r>
                <w:rPr>
                  <w:rFonts w:ascii="Cambria Math" w:hAnsi="Cambria Math"/>
                  <w:szCs w:val="24"/>
                  <w:lang w:eastAsia="zh-CN" w:bidi="hi-IN"/>
                </w:rPr>
                <m:t>×</m:t>
              </m:r>
              <m:sSub>
                <m:sSubPr>
                  <m:ctrlPr>
                    <w:rPr>
                      <w:rFonts w:ascii="Cambria Math" w:hAnsi="Cambria Math"/>
                      <w:i/>
                      <w:szCs w:val="24"/>
                      <w:lang w:eastAsia="zh-CN" w:bidi="hi-IN"/>
                    </w:rPr>
                  </m:ctrlPr>
                </m:sSubPr>
                <m:e>
                  <m:r>
                    <w:rPr>
                      <w:rFonts w:ascii="Cambria Math" w:hAnsi="Cambria Math"/>
                      <w:szCs w:val="24"/>
                      <w:lang w:eastAsia="zh-CN" w:bidi="hi-IN"/>
                    </w:rPr>
                    <m:t>C</m:t>
                  </m:r>
                </m:e>
                <m:sub>
                  <m:r>
                    <w:rPr>
                      <w:rFonts w:ascii="Cambria Math" w:hAnsi="Cambria Math"/>
                      <w:szCs w:val="24"/>
                      <w:lang w:eastAsia="zh-CN" w:bidi="hi-IN"/>
                    </w:rPr>
                    <m:t>RF</m:t>
                  </m:r>
                </m:sub>
              </m:sSub>
            </m:e>
          </m:d>
          <m:r>
            <w:rPr>
              <w:rFonts w:ascii="Cambria Math" w:hAnsi="Cambria Math"/>
              <w:szCs w:val="24"/>
              <w:lang w:eastAsia="zh-CN" w:bidi="hi-IN"/>
            </w:rPr>
            <m:t>-</m:t>
          </m:r>
          <m:d>
            <m:dPr>
              <m:ctrlPr>
                <w:rPr>
                  <w:rFonts w:ascii="Cambria Math" w:hAnsi="Cambria Math"/>
                  <w:i/>
                  <w:szCs w:val="24"/>
                  <w:lang w:eastAsia="zh-CN" w:bidi="hi-IN"/>
                </w:rPr>
              </m:ctrlPr>
            </m:dPr>
            <m:e>
              <m:r>
                <w:rPr>
                  <w:rFonts w:ascii="Cambria Math" w:hAnsi="Cambria Math"/>
                  <w:szCs w:val="24"/>
                  <w:lang w:eastAsia="zh-CN" w:bidi="hi-IN"/>
                </w:rPr>
                <m:t>10×10×64</m:t>
              </m:r>
            </m:e>
          </m:d>
          <m:r>
            <w:rPr>
              <w:rFonts w:ascii="Cambria Math" w:hAnsi="Cambria Math"/>
              <w:szCs w:val="24"/>
              <w:lang w:eastAsia="zh-CN" w:bidi="hi-IN"/>
            </w:rPr>
            <m:t>=</m:t>
          </m:r>
          <m:d>
            <m:dPr>
              <m:ctrlPr>
                <w:rPr>
                  <w:rFonts w:ascii="Cambria Math" w:hAnsi="Cambria Math"/>
                  <w:i/>
                  <w:szCs w:val="24"/>
                  <w:lang w:eastAsia="zh-CN" w:bidi="hi-IN"/>
                </w:rPr>
              </m:ctrlPr>
            </m:dPr>
            <m:e>
              <m:r>
                <w:rPr>
                  <w:rFonts w:ascii="Cambria Math" w:hAnsi="Cambria Math"/>
                  <w:szCs w:val="24"/>
                  <w:lang w:eastAsia="zh-CN" w:bidi="hi-IN"/>
                </w:rPr>
                <m:t>20×20×20</m:t>
              </m:r>
            </m:e>
          </m:d>
          <m:r>
            <w:rPr>
              <w:rFonts w:ascii="Cambria Math" w:hAnsi="Cambria Math"/>
              <w:szCs w:val="24"/>
              <w:lang w:eastAsia="zh-CN" w:bidi="hi-IN"/>
            </w:rPr>
            <m:t>-</m:t>
          </m:r>
          <m:d>
            <m:dPr>
              <m:ctrlPr>
                <w:rPr>
                  <w:rFonts w:ascii="Cambria Math" w:hAnsi="Cambria Math"/>
                  <w:i/>
                  <w:szCs w:val="24"/>
                  <w:lang w:eastAsia="zh-CN" w:bidi="hi-IN"/>
                </w:rPr>
              </m:ctrlPr>
            </m:dPr>
            <m:e>
              <m:r>
                <w:rPr>
                  <w:rFonts w:ascii="Cambria Math" w:hAnsi="Cambria Math"/>
                  <w:szCs w:val="24"/>
                  <w:lang w:eastAsia="zh-CN" w:bidi="hi-IN"/>
                </w:rPr>
                <m:t>6400</m:t>
              </m:r>
            </m:e>
          </m:d>
          <m:r>
            <w:rPr>
              <w:rFonts w:ascii="Cambria Math" w:hAnsi="Cambria Math"/>
              <w:szCs w:val="24"/>
              <w:lang w:eastAsia="zh-CN" w:bidi="hi-IN"/>
            </w:rPr>
            <m:t>=</m:t>
          </m:r>
          <m:d>
            <m:dPr>
              <m:ctrlPr>
                <w:rPr>
                  <w:rFonts w:ascii="Cambria Math" w:hAnsi="Cambria Math"/>
                  <w:i/>
                  <w:szCs w:val="24"/>
                  <w:lang w:eastAsia="zh-CN" w:bidi="hi-IN"/>
                </w:rPr>
              </m:ctrlPr>
            </m:dPr>
            <m:e>
              <m:r>
                <w:rPr>
                  <w:rFonts w:ascii="Cambria Math" w:hAnsi="Cambria Math"/>
                  <w:szCs w:val="24"/>
                  <w:lang w:eastAsia="zh-CN" w:bidi="hi-IN"/>
                </w:rPr>
                <m:t>8000</m:t>
              </m:r>
            </m:e>
          </m:d>
          <m:r>
            <w:rPr>
              <w:rFonts w:ascii="Cambria Math" w:hAnsi="Cambria Math"/>
              <w:szCs w:val="24"/>
              <w:lang w:eastAsia="zh-CN" w:bidi="hi-IN"/>
            </w:rPr>
            <m:t>-</m:t>
          </m:r>
          <m:d>
            <m:dPr>
              <m:ctrlPr>
                <w:rPr>
                  <w:rFonts w:ascii="Cambria Math" w:hAnsi="Cambria Math"/>
                  <w:i/>
                  <w:szCs w:val="24"/>
                  <w:lang w:eastAsia="zh-CN" w:bidi="hi-IN"/>
                </w:rPr>
              </m:ctrlPr>
            </m:dPr>
            <m:e>
              <m:r>
                <w:rPr>
                  <w:rFonts w:ascii="Cambria Math" w:hAnsi="Cambria Math"/>
                  <w:szCs w:val="24"/>
                  <w:lang w:eastAsia="zh-CN" w:bidi="hi-IN"/>
                </w:rPr>
                <m:t>6400</m:t>
              </m:r>
            </m:e>
          </m:d>
          <m:r>
            <w:rPr>
              <w:rFonts w:ascii="Cambria Math" w:hAnsi="Cambria Math"/>
              <w:szCs w:val="24"/>
              <w:lang w:eastAsia="zh-CN" w:bidi="hi-IN"/>
            </w:rPr>
            <m:t>=1600</m:t>
          </m:r>
        </m:oMath>
      </m:oMathPara>
    </w:p>
    <w:p w14:paraId="01A26B78" w14:textId="77777777" w:rsidR="006E3616" w:rsidRPr="00400193" w:rsidRDefault="006E3616" w:rsidP="006E3616">
      <w:pPr>
        <w:rPr>
          <w:lang w:eastAsia="zh-CN" w:bidi="hi-IN"/>
        </w:rPr>
      </w:pPr>
      <w:r w:rsidRPr="00400193">
        <w:rPr>
          <w:lang w:eastAsia="zh-CN" w:bidi="hi-IN"/>
        </w:rPr>
        <w:t xml:space="preserve">The initial review of the literature on cyber-risk and the current standards for resilience frameworks shows that the current standards do not accurately represent the increasing risks of cyber-attack. A new framework is needed that overcomes some of the shortfalls of the existing frameworks by giving companies a way to measure their theoretical resilience to various types of threat and indicates the areas where they are </w:t>
      </w:r>
      <w:r w:rsidRPr="00400193">
        <w:rPr>
          <w:lang w:eastAsia="zh-CN" w:bidi="hi-IN"/>
        </w:rPr>
        <w:lastRenderedPageBreak/>
        <w:t>most threatened. This would allow managers to take a pro-active view of cyber-security and to identify their current strengths and weaknesses.</w:t>
      </w:r>
    </w:p>
    <w:p w14:paraId="4F01914A" w14:textId="77777777" w:rsidR="006E3616" w:rsidRPr="00400193" w:rsidRDefault="006E3616" w:rsidP="006E3616">
      <w:pPr>
        <w:rPr>
          <w:lang w:eastAsia="zh-CN" w:bidi="hi-IN"/>
        </w:rPr>
      </w:pPr>
      <w:r w:rsidRPr="00400193">
        <w:rPr>
          <w:lang w:eastAsia="zh-CN" w:bidi="hi-IN"/>
        </w:rPr>
        <w:t>At this stage, the concept of scoring resilience by using vulnerability to attack, multiplied by opportunities for attack and the detection/intervention method currently in use, has been suggested as one way to measure resilience. A form of measurement is essential to the success of the proposed framework. It has also been suggested that the best definition of resilience is the ability to return to at least the same position after an attack as before. Thus, a company with a very small negative resilience will still be able to operate, but the aim must always be to have a strong positive resilience, allowing recovery to a better position than before the attack. This positive resilience factor also reduces the chance of any future attempt being successful, because of what has been learnt during the process.</w:t>
      </w:r>
    </w:p>
    <w:p w14:paraId="0A2FB4A8" w14:textId="77777777" w:rsidR="006E3616" w:rsidRPr="00400193" w:rsidRDefault="006E3616" w:rsidP="006E3616">
      <w:pPr>
        <w:pStyle w:val="Heading2"/>
        <w:rPr>
          <w:rFonts w:eastAsia="Arial"/>
          <w:lang w:eastAsia="zh-CN" w:bidi="hi-IN"/>
        </w:rPr>
      </w:pPr>
      <w:bookmarkStart w:id="131" w:name="_2zbgiuw"/>
      <w:bookmarkStart w:id="132" w:name="_1egqt2p"/>
      <w:bookmarkStart w:id="133" w:name="_3ygebqi"/>
      <w:bookmarkStart w:id="134" w:name="_2dlolyb"/>
      <w:bookmarkStart w:id="135" w:name="_sqyw64"/>
      <w:bookmarkStart w:id="136" w:name="_3cqmetx"/>
      <w:bookmarkStart w:id="137" w:name="_1rvwp1q"/>
      <w:bookmarkStart w:id="138" w:name="_4bvk7pj"/>
      <w:bookmarkStart w:id="139" w:name="_2r0uhxc"/>
      <w:bookmarkStart w:id="140" w:name="_1664s55"/>
      <w:bookmarkStart w:id="141" w:name="_3q5sasy"/>
      <w:bookmarkStart w:id="142" w:name="_25b2l0r"/>
      <w:bookmarkStart w:id="143" w:name="_kgcv8k"/>
      <w:bookmarkStart w:id="144" w:name="_Toc61894676"/>
      <w:bookmarkEnd w:id="131"/>
      <w:bookmarkEnd w:id="132"/>
      <w:bookmarkEnd w:id="133"/>
      <w:bookmarkEnd w:id="134"/>
      <w:bookmarkEnd w:id="135"/>
      <w:bookmarkEnd w:id="136"/>
      <w:bookmarkEnd w:id="137"/>
      <w:bookmarkEnd w:id="138"/>
      <w:bookmarkEnd w:id="139"/>
      <w:bookmarkEnd w:id="140"/>
      <w:bookmarkEnd w:id="141"/>
      <w:bookmarkEnd w:id="142"/>
      <w:bookmarkEnd w:id="143"/>
      <w:r w:rsidRPr="00400193">
        <w:rPr>
          <w:rFonts w:eastAsia="Arial"/>
          <w:lang w:eastAsia="zh-CN" w:bidi="hi-IN"/>
        </w:rPr>
        <w:t>Summary</w:t>
      </w:r>
      <w:bookmarkEnd w:id="144"/>
    </w:p>
    <w:p w14:paraId="633237C4" w14:textId="77777777" w:rsidR="006E3616" w:rsidRPr="00400193" w:rsidRDefault="006E3616" w:rsidP="006E3616">
      <w:pPr>
        <w:rPr>
          <w:lang w:eastAsia="zh-CN" w:bidi="hi-IN"/>
        </w:rPr>
      </w:pPr>
      <w:r w:rsidRPr="00400193">
        <w:rPr>
          <w:lang w:eastAsia="zh-CN" w:bidi="hi-IN"/>
        </w:rPr>
        <w:t xml:space="preserve">There are a number of elements considered necessary for a workable framework. The next chapter draws on these to describe the development of a conceptual framework. This chapter sets out the main supports required and what is needed to complete and strengthen it. </w:t>
      </w:r>
    </w:p>
    <w:p w14:paraId="189256E3" w14:textId="77777777" w:rsidR="006E3616" w:rsidRPr="00400193" w:rsidRDefault="006E3616" w:rsidP="006E3616">
      <w:pPr>
        <w:rPr>
          <w:lang w:eastAsia="zh-CN" w:bidi="hi-IN"/>
        </w:rPr>
      </w:pPr>
      <w:r w:rsidRPr="00400193">
        <w:rPr>
          <w:lang w:eastAsia="zh-CN" w:bidi="hi-IN"/>
        </w:rPr>
        <w:t xml:space="preserve">Risk management requires the assessor to look at what could possibly happen and consider how likely it is to occur. The consequences of an occurrence combined with the likelihood or frequency will determine the management response (Amoroso, 2011). CRM is slightly more complex in that the possibilities are often unknown until they occur, and the consequences can often be more extensive (for an example of this, it is only necessary to consider the ‘Sony Hack’ described by Boorstin in 2015). The existing guidance and frameworks provide a picture of what the new framework must include if it is to be effective. First, improvements in risk awareness and the introduction of a culture of cyber-risk management must begin at board level and filter down rather than the opposite. However, that approach also requires a Chief Information Security Officer who is extremely knowledgeable about ICT and cyber-risks, and who also has the ability to lead and teach those at executive level and below in the complexities required to combine physical security of hardware, electronic security of company data, internet security at all levels, and accessibility. The last of </w:t>
      </w:r>
      <w:r w:rsidRPr="00400193">
        <w:rPr>
          <w:lang w:eastAsia="zh-CN" w:bidi="hi-IN"/>
        </w:rPr>
        <w:lastRenderedPageBreak/>
        <w:t>these is the hardest to reconcile with cyber-security because customers and staff require easy access to data, but easier access means greater cyber-risk.</w:t>
      </w:r>
    </w:p>
    <w:p w14:paraId="411BFF88" w14:textId="77777777" w:rsidR="006E3616" w:rsidRPr="00400193" w:rsidRDefault="006E3616" w:rsidP="006E3616">
      <w:pPr>
        <w:rPr>
          <w:lang w:eastAsia="zh-CN" w:bidi="hi-IN"/>
        </w:rPr>
      </w:pPr>
      <w:r w:rsidRPr="00400193">
        <w:rPr>
          <w:lang w:eastAsia="zh-CN" w:bidi="hi-IN"/>
        </w:rPr>
        <w:t>The next main supporting arm of the new framework is the necessity to regularly test both the system’s exposure to risk, and its apparent resilience to that exposure. The ideas of resilience and adherence to policy were then discussed, and the need for the “secure printer” and similar ideas were also put forward and explained as part of the necessary procedures for system security.</w:t>
      </w:r>
    </w:p>
    <w:p w14:paraId="6A26DFAB" w14:textId="77777777" w:rsidR="006E3616" w:rsidRPr="00400193" w:rsidRDefault="006E3616" w:rsidP="006E3616">
      <w:pPr>
        <w:rPr>
          <w:lang w:eastAsia="zh-CN" w:bidi="hi-IN"/>
        </w:rPr>
      </w:pPr>
      <w:r w:rsidRPr="00400193">
        <w:rPr>
          <w:lang w:eastAsia="zh-CN" w:bidi="hi-IN"/>
        </w:rPr>
        <w:t xml:space="preserve">These two pillars will support most of the framework. They are both essential and will work together to deliver risk reduction and control. They are not enough to ensure that the company is not at risk from cyber-attack, but by raising awareness and demonstrating that every ‘unusual’ event in the computer system will be immediately investigated, insider risks are controlled. The rest of the CRM framework will consist of documentation of a protocol for every step of the process, and regularly updated risk assessments as new risks emerge. This documentation of the process is an important part of the framework because it allows and encourages the Chief Information Security Officer to test for exposure to existing risk and to consider the possibility of attacks from a new or unexpected direction. </w:t>
      </w:r>
    </w:p>
    <w:p w14:paraId="705F8619" w14:textId="10C87437" w:rsidR="006E3616" w:rsidRPr="00400193" w:rsidRDefault="006E3616" w:rsidP="006E3616">
      <w:pPr>
        <w:rPr>
          <w:lang w:eastAsia="zh-CN" w:bidi="hi-IN"/>
        </w:rPr>
      </w:pPr>
      <w:r w:rsidRPr="00400193">
        <w:rPr>
          <w:lang w:eastAsia="zh-CN" w:bidi="hi-IN"/>
        </w:rPr>
        <w:t>In summary, the process is supported by the framework, but in turn provides information that could demonstrate weaknesses in the framework itself. The two must therefore be compatible and work closely together.</w:t>
      </w:r>
      <w:r w:rsidR="00D04CF3" w:rsidRPr="00400193">
        <w:rPr>
          <w:lang w:eastAsia="zh-CN" w:bidi="hi-IN"/>
        </w:rPr>
        <w:t xml:space="preserve"> Thus, </w:t>
      </w:r>
      <w:r w:rsidR="0078028D" w:rsidRPr="00400193">
        <w:rPr>
          <w:lang w:eastAsia="zh-CN" w:bidi="hi-IN"/>
        </w:rPr>
        <w:t>to create the new conceptual framework, the original problem statement had to be viewed in the light of a critical review of the literature. The first issue presented in the problem statement was the lack of a means of measuring cyber-resilience in the UAE’s public sector. The literature presented several ideas of how this could be provided (e.g. Hubbard and Seiersen, 2016; Renn, 2013; Li</w:t>
      </w:r>
      <w:r w:rsidR="00704A6D" w:rsidRPr="00400193">
        <w:rPr>
          <w:lang w:eastAsia="zh-CN" w:bidi="hi-IN"/>
        </w:rPr>
        <w:t xml:space="preserve"> et al</w:t>
      </w:r>
      <w:r w:rsidR="0078028D" w:rsidRPr="00400193">
        <w:rPr>
          <w:lang w:eastAsia="zh-CN" w:bidi="hi-IN"/>
        </w:rPr>
        <w:t>., 2013)</w:t>
      </w:r>
      <w:r w:rsidR="00FE755B" w:rsidRPr="00400193">
        <w:rPr>
          <w:lang w:eastAsia="zh-CN" w:bidi="hi-IN"/>
        </w:rPr>
        <w:t xml:space="preserve">, but even in the latest articles, questions are raised about how best to measure cyber-resilience (Madni, Erwin, and Sievers, 2020; Mierzejewska and Wdowicka, 2019), or even about the meaning of terminology used (Lewallen, 2020). These questions and differences of opinion have therefore been at the forefront of the design of the conceptual framework, and the importance of the definition (p. </w:t>
      </w:r>
      <w:r w:rsidR="00FE755B" w:rsidRPr="00400193">
        <w:rPr>
          <w:lang w:eastAsia="zh-CN" w:bidi="hi-IN"/>
        </w:rPr>
        <w:fldChar w:fldCharType="begin"/>
      </w:r>
      <w:r w:rsidR="00FE755B" w:rsidRPr="00400193">
        <w:rPr>
          <w:lang w:eastAsia="zh-CN" w:bidi="hi-IN"/>
        </w:rPr>
        <w:instrText xml:space="preserve"> PAGEREF cyberresiliencedefinition \h </w:instrText>
      </w:r>
      <w:r w:rsidR="00FE755B" w:rsidRPr="00400193">
        <w:rPr>
          <w:lang w:eastAsia="zh-CN" w:bidi="hi-IN"/>
        </w:rPr>
      </w:r>
      <w:r w:rsidR="00FE755B" w:rsidRPr="00400193">
        <w:rPr>
          <w:lang w:eastAsia="zh-CN" w:bidi="hi-IN"/>
        </w:rPr>
        <w:fldChar w:fldCharType="separate"/>
      </w:r>
      <w:r w:rsidR="00BB7C18">
        <w:rPr>
          <w:noProof/>
          <w:lang w:eastAsia="zh-CN" w:bidi="hi-IN"/>
        </w:rPr>
        <w:t>12</w:t>
      </w:r>
      <w:r w:rsidR="00FE755B" w:rsidRPr="00400193">
        <w:rPr>
          <w:lang w:eastAsia="zh-CN" w:bidi="hi-IN"/>
        </w:rPr>
        <w:fldChar w:fldCharType="end"/>
      </w:r>
      <w:r w:rsidR="00FE755B" w:rsidRPr="00400193">
        <w:rPr>
          <w:lang w:eastAsia="zh-CN" w:bidi="hi-IN"/>
        </w:rPr>
        <w:t>) was emphasised.</w:t>
      </w:r>
    </w:p>
    <w:p w14:paraId="1665DB33" w14:textId="0559DB2D" w:rsidR="00B416D0" w:rsidRPr="00400193" w:rsidRDefault="00B416D0" w:rsidP="006E3616">
      <w:pPr>
        <w:rPr>
          <w:lang w:eastAsia="zh-CN" w:bidi="hi-IN"/>
        </w:rPr>
      </w:pPr>
      <w:r w:rsidRPr="00400193">
        <w:rPr>
          <w:lang w:eastAsia="zh-CN" w:bidi="hi-IN"/>
        </w:rPr>
        <w:t xml:space="preserve">The next element of the problem statement, human factors, was also </w:t>
      </w:r>
      <w:r w:rsidR="000A223A" w:rsidRPr="00400193">
        <w:rPr>
          <w:lang w:eastAsia="zh-CN" w:bidi="hi-IN"/>
        </w:rPr>
        <w:t>extremely</w:t>
      </w:r>
      <w:r w:rsidRPr="00400193">
        <w:rPr>
          <w:lang w:eastAsia="zh-CN" w:bidi="hi-IN"/>
        </w:rPr>
        <w:t xml:space="preserve"> diverse in the literature, from the simple acceptance that they are a factor (Dutt, Ahn, </w:t>
      </w:r>
      <w:r w:rsidRPr="00400193">
        <w:rPr>
          <w:lang w:eastAsia="zh-CN" w:bidi="hi-IN"/>
        </w:rPr>
        <w:lastRenderedPageBreak/>
        <w:t xml:space="preserve">and Gonzalez, 2013), to the investigation and analysis of personality traits (Hadlington and Chivers, 2020). The former view is insufficient for the new framework, and the latter too complex to be applied to every public sector employee. Therefore, this aspect required special attention in the development of the framework, but making use of </w:t>
      </w:r>
      <w:r w:rsidR="007E4160" w:rsidRPr="00400193">
        <w:rPr>
          <w:lang w:eastAsia="zh-CN" w:bidi="hi-IN"/>
        </w:rPr>
        <w:t>broad, cultural attitudes of the individual employees (Hopkyns, 2017; Sulaymani, Fleer, and Chapman, 2018).</w:t>
      </w:r>
    </w:p>
    <w:p w14:paraId="731CC3FC" w14:textId="3C179D57" w:rsidR="007E4160" w:rsidRPr="00400193" w:rsidRDefault="007E4160" w:rsidP="006E3616">
      <w:pPr>
        <w:rPr>
          <w:lang w:eastAsia="zh-CN" w:bidi="hi-IN"/>
        </w:rPr>
      </w:pPr>
      <w:r w:rsidRPr="00400193">
        <w:rPr>
          <w:lang w:eastAsia="zh-CN" w:bidi="hi-IN"/>
        </w:rPr>
        <w:t xml:space="preserve">The final two problem elements, the </w:t>
      </w:r>
      <w:r w:rsidR="000A223A" w:rsidRPr="00400193">
        <w:rPr>
          <w:lang w:eastAsia="zh-CN" w:bidi="hi-IN"/>
        </w:rPr>
        <w:t>correlations</w:t>
      </w:r>
      <w:r w:rsidRPr="00400193">
        <w:rPr>
          <w:lang w:eastAsia="zh-CN" w:bidi="hi-IN"/>
        </w:rPr>
        <w:t xml:space="preserve"> between the risks, etc., and the moderating effect of organisational resilience, although mainly covered by the new data were also explored in the literature – the latest views on cyber-risks in supply chains (Ghadge, Weiß, Caldwell, and Wilding, 2019), the IoT </w:t>
      </w:r>
      <w:r w:rsidR="00014366" w:rsidRPr="00400193">
        <w:rPr>
          <w:lang w:eastAsia="zh-CN" w:bidi="hi-IN"/>
        </w:rPr>
        <w:t>(Kandasamy, Srinivas, Achuthan, and Rangan, 2020), and Artificial Intelligence (Radanliev</w:t>
      </w:r>
      <w:r w:rsidR="00704A6D" w:rsidRPr="00400193">
        <w:rPr>
          <w:lang w:eastAsia="zh-CN" w:bidi="hi-IN"/>
        </w:rPr>
        <w:t xml:space="preserve"> et al</w:t>
      </w:r>
      <w:r w:rsidR="00014366" w:rsidRPr="00400193">
        <w:rPr>
          <w:lang w:eastAsia="zh-CN" w:bidi="hi-IN"/>
        </w:rPr>
        <w:t xml:space="preserve">., 2020) were of particular importance in the design and development of the new conceptual framework. </w:t>
      </w:r>
    </w:p>
    <w:p w14:paraId="75833FEE" w14:textId="0CA9AEE3" w:rsidR="00014366" w:rsidRPr="00400193" w:rsidRDefault="00014366" w:rsidP="006E3616">
      <w:pPr>
        <w:rPr>
          <w:lang w:eastAsia="zh-CN" w:bidi="hi-IN"/>
        </w:rPr>
      </w:pPr>
      <w:r w:rsidRPr="00400193">
        <w:rPr>
          <w:lang w:eastAsia="zh-CN" w:bidi="hi-IN"/>
        </w:rPr>
        <w:t>From all of these disparate views on resilience, risk, and security in cyber-systems, and the already stated issue that the existing frameworks tend to concentrate on either/or rather than both, the basic starting point for the new framework was laid, and the next chapter expands upon these points.</w:t>
      </w:r>
    </w:p>
    <w:p w14:paraId="67932196" w14:textId="77777777" w:rsidR="00FE755B" w:rsidRPr="00400193" w:rsidRDefault="00FE755B" w:rsidP="006E3616">
      <w:pPr>
        <w:rPr>
          <w:lang w:eastAsia="zh-CN" w:bidi="hi-IN"/>
        </w:rPr>
      </w:pPr>
    </w:p>
    <w:p w14:paraId="1BA86B44" w14:textId="77777777" w:rsidR="006E3616" w:rsidRPr="00400193" w:rsidRDefault="006E3616" w:rsidP="006E3616">
      <w:pPr>
        <w:rPr>
          <w:lang w:eastAsia="zh-CN" w:bidi="hi-IN"/>
        </w:rPr>
      </w:pPr>
    </w:p>
    <w:p w14:paraId="74F7F703" w14:textId="7DF08543" w:rsidR="00532776" w:rsidRPr="00400193" w:rsidRDefault="00532776">
      <w:pPr>
        <w:spacing w:line="259" w:lineRule="auto"/>
        <w:jc w:val="left"/>
        <w:rPr>
          <w:b/>
          <w:sz w:val="32"/>
          <w:szCs w:val="32"/>
          <w:lang w:eastAsia="zh-CN" w:bidi="hi-IN"/>
        </w:rPr>
      </w:pPr>
      <w:bookmarkStart w:id="145" w:name="_Ref43496193"/>
      <w:bookmarkStart w:id="146" w:name="_Hlk43126181"/>
    </w:p>
    <w:p w14:paraId="06E12895" w14:textId="77777777" w:rsidR="00FE755B" w:rsidRPr="00400193" w:rsidRDefault="00FE755B">
      <w:pPr>
        <w:spacing w:line="259" w:lineRule="auto"/>
        <w:jc w:val="left"/>
        <w:rPr>
          <w:b/>
          <w:sz w:val="32"/>
          <w:szCs w:val="32"/>
          <w:lang w:eastAsia="zh-CN" w:bidi="hi-IN"/>
        </w:rPr>
      </w:pPr>
      <w:r w:rsidRPr="00400193">
        <w:rPr>
          <w:lang w:eastAsia="zh-CN" w:bidi="hi-IN"/>
        </w:rPr>
        <w:br w:type="page"/>
      </w:r>
    </w:p>
    <w:p w14:paraId="1BF6F08E" w14:textId="2B128555" w:rsidR="006E3616" w:rsidRPr="00400193" w:rsidRDefault="006E3616" w:rsidP="00BC5829">
      <w:pPr>
        <w:pStyle w:val="Heading1"/>
        <w:ind w:left="0"/>
        <w:rPr>
          <w:rFonts w:eastAsia="Arial"/>
          <w:lang w:eastAsia="zh-CN" w:bidi="hi-IN"/>
        </w:rPr>
      </w:pPr>
      <w:bookmarkStart w:id="147" w:name="_Ref51601880"/>
      <w:bookmarkStart w:id="148" w:name="_Toc61894677"/>
      <w:r w:rsidRPr="00400193">
        <w:rPr>
          <w:rFonts w:eastAsia="Arial"/>
          <w:lang w:eastAsia="zh-CN" w:bidi="hi-IN"/>
        </w:rPr>
        <w:lastRenderedPageBreak/>
        <w:t>Conceptual Framework</w:t>
      </w:r>
      <w:bookmarkEnd w:id="145"/>
      <w:bookmarkEnd w:id="147"/>
      <w:bookmarkEnd w:id="148"/>
    </w:p>
    <w:p w14:paraId="0091DDAF" w14:textId="6CAEDAE8" w:rsidR="00907912" w:rsidRPr="00400193" w:rsidRDefault="00907912" w:rsidP="00907912">
      <w:pPr>
        <w:pStyle w:val="Heading2"/>
        <w:rPr>
          <w:rFonts w:eastAsia="Arial"/>
          <w:lang w:eastAsia="zh-CN" w:bidi="hi-IN"/>
        </w:rPr>
      </w:pPr>
      <w:bookmarkStart w:id="149" w:name="_Toc61894678"/>
      <w:r w:rsidRPr="00400193">
        <w:rPr>
          <w:rFonts w:eastAsia="Arial"/>
          <w:lang w:eastAsia="zh-CN" w:bidi="hi-IN"/>
        </w:rPr>
        <w:t>Introduction</w:t>
      </w:r>
      <w:bookmarkEnd w:id="149"/>
    </w:p>
    <w:p w14:paraId="6F34EC1B" w14:textId="1AFFD29E" w:rsidR="00907912" w:rsidRPr="00400193" w:rsidRDefault="00907912" w:rsidP="00907912">
      <w:pPr>
        <w:rPr>
          <w:lang w:eastAsia="zh-CN" w:bidi="hi-IN"/>
        </w:rPr>
      </w:pPr>
      <w:r w:rsidRPr="00400193">
        <w:rPr>
          <w:lang w:eastAsia="zh-CN" w:bidi="hi-IN"/>
        </w:rPr>
        <w:t xml:space="preserve">Cyber-criminals continue to develop new forms of attack at least as fast as new forms of protection develop (Bendovschi, 2015). It is therefore essential that those at every level of every organisation are aware of the possibility of these attacks </w:t>
      </w:r>
      <w:sdt>
        <w:sdtPr>
          <w:rPr>
            <w:lang w:eastAsia="zh-CN" w:bidi="hi-IN"/>
          </w:rPr>
          <w:id w:val="563532213"/>
          <w:citation/>
        </w:sdtPr>
        <w:sdtEndPr/>
        <w:sdtContent>
          <w:r w:rsidRPr="00400193">
            <w:rPr>
              <w:lang w:eastAsia="zh-CN" w:bidi="hi-IN"/>
            </w:rPr>
            <w:fldChar w:fldCharType="begin"/>
          </w:r>
          <w:r w:rsidRPr="00400193">
            <w:rPr>
              <w:lang w:eastAsia="zh-CN" w:bidi="hi-IN"/>
            </w:rPr>
            <w:instrText xml:space="preserve"> CITATION Kor15 \l 2057 </w:instrText>
          </w:r>
          <w:r w:rsidRPr="00400193">
            <w:rPr>
              <w:lang w:eastAsia="zh-CN" w:bidi="hi-IN"/>
            </w:rPr>
            <w:fldChar w:fldCharType="separate"/>
          </w:r>
          <w:r w:rsidRPr="00400193">
            <w:rPr>
              <w:lang w:eastAsia="zh-CN" w:bidi="hi-IN"/>
            </w:rPr>
            <w:t>(Korpela, 2015)</w:t>
          </w:r>
          <w:r w:rsidRPr="00400193">
            <w:rPr>
              <w:lang w:eastAsia="zh-CN" w:bidi="hi-IN"/>
            </w:rPr>
            <w:fldChar w:fldCharType="end"/>
          </w:r>
        </w:sdtContent>
      </w:sdt>
      <w:r w:rsidRPr="00400193">
        <w:rPr>
          <w:lang w:eastAsia="zh-CN" w:bidi="hi-IN"/>
        </w:rPr>
        <w:t xml:space="preserve">. A truly resilient IT system needs a framework of best practice, not only of ‘information security’ (BSI, 2005) and ‘assessing cyber-risks’ (COSO, 2015a; 2015b), but also of disaster recovery procedures, and disaster prevention considerations </w:t>
      </w:r>
      <w:r w:rsidR="00337F8A" w:rsidRPr="00400193">
        <w:rPr>
          <w:lang w:eastAsia="zh-CN" w:bidi="hi-IN"/>
        </w:rPr>
        <w:t>(Jung and Chung, 2015)</w:t>
      </w:r>
      <w:r w:rsidRPr="00400193">
        <w:rPr>
          <w:lang w:eastAsia="zh-CN" w:bidi="hi-IN"/>
        </w:rPr>
        <w:t>. This could make the difference between recovery and non-recovery for a business or institution. The cost of having the entire IT system shut down, even for a short period, is likely to be significant for any company. It is therefore essential to keep any shutdown as short as possible.</w:t>
      </w:r>
    </w:p>
    <w:p w14:paraId="5C52B6ED" w14:textId="77777777" w:rsidR="00907912" w:rsidRPr="00400193" w:rsidRDefault="00907912" w:rsidP="00907912">
      <w:pPr>
        <w:suppressAutoHyphens/>
        <w:rPr>
          <w:szCs w:val="24"/>
          <w:lang w:eastAsia="zh-CN" w:bidi="hi-IN"/>
        </w:rPr>
      </w:pPr>
      <w:r w:rsidRPr="00400193">
        <w:rPr>
          <w:szCs w:val="24"/>
          <w:lang w:eastAsia="zh-CN" w:bidi="hi-IN"/>
        </w:rPr>
        <w:t>This chapter begins by examining some of the groups, or categories, of cyber-risk threats from inside and outside the system. It then considers the concept of vulnerabilities in a context that fits the proposed framework. Some perceived vulnerabilities may turn out to be trivial, but others that are initially overlooked or dismissed as unimportant may prove to be vital (Schneier, 2000). The chapter then examines the interaction between vulnerabilities and risks.</w:t>
      </w:r>
    </w:p>
    <w:p w14:paraId="37450DF3" w14:textId="6C408A52" w:rsidR="00907912" w:rsidRPr="00400193" w:rsidRDefault="00907912" w:rsidP="00907912">
      <w:pPr>
        <w:rPr>
          <w:lang w:eastAsia="zh-CN" w:bidi="hi-IN"/>
        </w:rPr>
      </w:pPr>
      <w:r w:rsidRPr="00400193">
        <w:rPr>
          <w:lang w:eastAsia="zh-CN" w:bidi="hi-IN"/>
        </w:rPr>
        <w:t>This gives a rationale for the importance of preparing a ‘response’, and explains why this is always necessary, and reliance on prevention and detection can never be sufficient in a real system. In a resilience model, such as this, the response needs to be both proportionate and appropriate.</w:t>
      </w:r>
    </w:p>
    <w:p w14:paraId="3CEDFFF8" w14:textId="03075F08" w:rsidR="00907912" w:rsidRPr="00400193" w:rsidRDefault="00907912" w:rsidP="00907912">
      <w:pPr>
        <w:pStyle w:val="Heading2"/>
        <w:rPr>
          <w:rFonts w:eastAsia="Arial"/>
          <w:lang w:eastAsia="zh-CN" w:bidi="hi-IN"/>
        </w:rPr>
      </w:pPr>
      <w:bookmarkStart w:id="150" w:name="_Toc61894679"/>
      <w:r w:rsidRPr="00400193">
        <w:rPr>
          <w:rFonts w:eastAsia="Arial"/>
          <w:lang w:eastAsia="zh-CN" w:bidi="hi-IN"/>
        </w:rPr>
        <w:t>Theoretical Development</w:t>
      </w:r>
      <w:bookmarkEnd w:id="150"/>
    </w:p>
    <w:p w14:paraId="422DBE7A" w14:textId="7580CC7C" w:rsidR="001C5317" w:rsidRPr="00400193" w:rsidRDefault="001C5317" w:rsidP="001C5317">
      <w:pPr>
        <w:rPr>
          <w:lang w:eastAsia="zh-CN" w:bidi="hi-IN"/>
        </w:rPr>
      </w:pPr>
      <w:bookmarkStart w:id="151" w:name="_Ref50661040"/>
      <w:bookmarkStart w:id="152" w:name="_Ref50662773"/>
      <w:r w:rsidRPr="00400193">
        <w:rPr>
          <w:lang w:eastAsia="zh-CN" w:bidi="hi-IN"/>
        </w:rPr>
        <w:t xml:space="preserve">The theoretical development of the new conceptual framework has two parts. Section </w:t>
      </w:r>
      <w:r w:rsidRPr="00400193">
        <w:rPr>
          <w:lang w:eastAsia="zh-CN" w:bidi="hi-IN"/>
        </w:rPr>
        <w:fldChar w:fldCharType="begin"/>
      </w:r>
      <w:r w:rsidRPr="00400193">
        <w:rPr>
          <w:lang w:eastAsia="zh-CN" w:bidi="hi-IN"/>
        </w:rPr>
        <w:instrText xml:space="preserve"> REF _Ref50661040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0</w:t>
      </w:r>
      <w:r w:rsidRPr="00400193">
        <w:rPr>
          <w:lang w:eastAsia="zh-CN" w:bidi="hi-IN"/>
        </w:rPr>
        <w:fldChar w:fldCharType="end"/>
      </w:r>
      <w:r w:rsidRPr="00400193">
        <w:rPr>
          <w:lang w:eastAsia="zh-CN" w:bidi="hi-IN"/>
        </w:rPr>
        <w:t xml:space="preserve"> is the theoretical perspective drawn from the literature and relating this to the research questions. This, in turn, permits hypotheses to be made which are then incorporated into the framework. If </w:t>
      </w:r>
      <w:r w:rsidR="00E5515B" w:rsidRPr="00400193">
        <w:rPr>
          <w:lang w:eastAsia="zh-CN" w:bidi="hi-IN"/>
        </w:rPr>
        <w:t>a</w:t>
      </w:r>
      <w:r w:rsidRPr="00400193">
        <w:rPr>
          <w:lang w:eastAsia="zh-CN" w:bidi="hi-IN"/>
        </w:rPr>
        <w:t xml:space="preserve"> hypothesis is proven, then the related section of the framework can be considered to be working effectively. The hypotheses are tested, and the testing process explained in </w:t>
      </w:r>
      <w:r w:rsidRPr="00400193">
        <w:rPr>
          <w:lang w:eastAsia="zh-CN" w:bidi="hi-IN"/>
        </w:rPr>
        <w:fldChar w:fldCharType="begin"/>
      </w:r>
      <w:r w:rsidRPr="00400193">
        <w:rPr>
          <w:lang w:eastAsia="zh-CN" w:bidi="hi-IN"/>
        </w:rPr>
        <w:instrText xml:space="preserve"> REF _Ref50662446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Chapter 6</w:t>
      </w:r>
      <w:r w:rsidRPr="00400193">
        <w:rPr>
          <w:lang w:eastAsia="zh-CN" w:bidi="hi-IN"/>
        </w:rPr>
        <w:fldChar w:fldCharType="end"/>
      </w:r>
      <w:r w:rsidRPr="00400193">
        <w:rPr>
          <w:lang w:eastAsia="zh-CN" w:bidi="hi-IN"/>
        </w:rPr>
        <w:t>, but they are developed from the questions and the theory in this chapter.</w:t>
      </w:r>
    </w:p>
    <w:p w14:paraId="6FF11CFE" w14:textId="6E984165" w:rsidR="001C5317" w:rsidRPr="00400193" w:rsidRDefault="001C5317" w:rsidP="001C5317">
      <w:pPr>
        <w:rPr>
          <w:lang w:eastAsia="zh-CN" w:bidi="hi-IN"/>
        </w:rPr>
      </w:pPr>
      <w:r w:rsidRPr="00400193">
        <w:rPr>
          <w:lang w:eastAsia="zh-CN" w:bidi="hi-IN"/>
        </w:rPr>
        <w:lastRenderedPageBreak/>
        <w:t xml:space="preserve">Section </w:t>
      </w:r>
      <w:r w:rsidRPr="00400193">
        <w:rPr>
          <w:lang w:eastAsia="zh-CN" w:bidi="hi-IN"/>
        </w:rPr>
        <w:fldChar w:fldCharType="begin"/>
      </w:r>
      <w:r w:rsidRPr="00400193">
        <w:rPr>
          <w:lang w:eastAsia="zh-CN" w:bidi="hi-IN"/>
        </w:rPr>
        <w:instrText xml:space="preserve"> REF _Ref50662555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3.2.2</w:t>
      </w:r>
      <w:r w:rsidRPr="00400193">
        <w:rPr>
          <w:lang w:eastAsia="zh-CN" w:bidi="hi-IN"/>
        </w:rPr>
        <w:fldChar w:fldCharType="end"/>
      </w:r>
      <w:r w:rsidRPr="00400193">
        <w:rPr>
          <w:lang w:eastAsia="zh-CN" w:bidi="hi-IN"/>
        </w:rPr>
        <w:t xml:space="preserve"> examines the theoretical perspective of each of the variables in the data collection questionnaire and the new conceptual framework. These variables are also linked to the hypotheses developed in section </w:t>
      </w:r>
      <w:r w:rsidRPr="00400193">
        <w:rPr>
          <w:lang w:eastAsia="zh-CN" w:bidi="hi-IN"/>
        </w:rPr>
        <w:fldChar w:fldCharType="begin"/>
      </w:r>
      <w:r w:rsidRPr="00400193">
        <w:rPr>
          <w:lang w:eastAsia="zh-CN" w:bidi="hi-IN"/>
        </w:rPr>
        <w:instrText xml:space="preserve"> REF _Ref50662773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0</w:t>
      </w:r>
      <w:r w:rsidRPr="00400193">
        <w:rPr>
          <w:lang w:eastAsia="zh-CN" w:bidi="hi-IN"/>
        </w:rPr>
        <w:fldChar w:fldCharType="end"/>
      </w:r>
      <w:r w:rsidRPr="00400193">
        <w:rPr>
          <w:lang w:eastAsia="zh-CN" w:bidi="hi-IN"/>
        </w:rPr>
        <w:t xml:space="preserve">, thus closely linking the perspective of the literature to the perspective of the data. When the theoretical development of the new conceptual framework has been particularised in these two sections, the proposed framework itself is presented in section </w:t>
      </w:r>
      <w:r w:rsidRPr="00400193">
        <w:rPr>
          <w:lang w:eastAsia="zh-CN" w:bidi="hi-IN"/>
        </w:rPr>
        <w:fldChar w:fldCharType="begin"/>
      </w:r>
      <w:r w:rsidRPr="00400193">
        <w:rPr>
          <w:lang w:eastAsia="zh-CN" w:bidi="hi-IN"/>
        </w:rPr>
        <w:instrText xml:space="preserve"> REF _Ref50663046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3.2.2.6</w:t>
      </w:r>
      <w:r w:rsidRPr="00400193">
        <w:rPr>
          <w:lang w:eastAsia="zh-CN" w:bidi="hi-IN"/>
        </w:rPr>
        <w:fldChar w:fldCharType="end"/>
      </w:r>
      <w:r w:rsidRPr="00400193">
        <w:rPr>
          <w:lang w:eastAsia="zh-CN" w:bidi="hi-IN"/>
        </w:rPr>
        <w:t>.</w:t>
      </w:r>
    </w:p>
    <w:p w14:paraId="3BB80A0B" w14:textId="77777777" w:rsidR="00153BB4" w:rsidRPr="00400193" w:rsidRDefault="00153BB4" w:rsidP="00153BB4">
      <w:pPr>
        <w:pStyle w:val="Heading3"/>
        <w:rPr>
          <w:rFonts w:eastAsia="Arial Unicode MS"/>
        </w:rPr>
      </w:pPr>
      <w:bookmarkStart w:id="153" w:name="_Toc61894680"/>
      <w:r w:rsidRPr="00400193">
        <w:rPr>
          <w:rFonts w:eastAsia="Arial Unicode MS"/>
        </w:rPr>
        <w:t>Theoretical Perspective</w:t>
      </w:r>
      <w:bookmarkEnd w:id="151"/>
      <w:bookmarkEnd w:id="152"/>
      <w:bookmarkEnd w:id="153"/>
    </w:p>
    <w:p w14:paraId="1E66170C" w14:textId="77777777" w:rsidR="00153BB4" w:rsidRPr="00400193" w:rsidRDefault="00153BB4" w:rsidP="00153BB4">
      <w:r w:rsidRPr="00400193">
        <w:t>This research examined the problem from several different theoretical viewpoints. The sub-sections below consider these theoretical viewpoints. There is no conflict between these viewpoints, so they can be combined easily to give an overall view. However, the framework proposed in this research combines theoretical viewpoints in a new way and should therefore increase knowledge and improve practice.</w:t>
      </w:r>
    </w:p>
    <w:p w14:paraId="4D8EF309" w14:textId="77777777" w:rsidR="00153BB4" w:rsidRPr="00400193" w:rsidRDefault="00153BB4" w:rsidP="00153BB4">
      <w:pPr>
        <w:pStyle w:val="Heading4"/>
      </w:pPr>
      <w:r w:rsidRPr="00400193">
        <w:t xml:space="preserve"> </w:t>
      </w:r>
      <w:bookmarkStart w:id="154" w:name="_Toc61894681"/>
      <w:r w:rsidRPr="00400193">
        <w:t>Cyber-Risk Management (CRM)</w:t>
      </w:r>
      <w:bookmarkEnd w:id="154"/>
    </w:p>
    <w:p w14:paraId="000E8BA5" w14:textId="77777777" w:rsidR="00153BB4" w:rsidRPr="00400193" w:rsidRDefault="00153BB4" w:rsidP="00FC3EFA">
      <w:r w:rsidRPr="00400193">
        <w:t>The research considers the existing theoretical frameworks on CRM and does not reject them. However, it combines the most relevant elements of each into a new, stronger and more effective framework. The existing models do not emphasise increasing organisational cyber-resilience. This puts risk managers at a disadvantage because the literature acknowledges the importance of resilience (e.g. Ayyub, 2014). Applying the proposed framework should therefore lead to improvements in CRM, because it supplies a missing factor.</w:t>
      </w:r>
    </w:p>
    <w:p w14:paraId="490FF795" w14:textId="77777777" w:rsidR="00153BB4" w:rsidRPr="00400193" w:rsidRDefault="00153BB4" w:rsidP="00FC3EFA">
      <w:r w:rsidRPr="00400193">
        <w:t>However, using any CRM framework must be an improvement over not applying one at all. This research therefore improves the existing position by showing managers how to proactively improve cyber-risk awareness and cyber-resilience without losing any aspects of their existing CRM policy.</w:t>
      </w:r>
    </w:p>
    <w:p w14:paraId="2356CB2D" w14:textId="2F575E09" w:rsidR="005B16D1" w:rsidRPr="00400193" w:rsidRDefault="00153BB4" w:rsidP="005B16D1">
      <w:pPr>
        <w:pStyle w:val="Heading4"/>
      </w:pPr>
      <w:bookmarkStart w:id="155" w:name="_Toc61894682"/>
      <w:r w:rsidRPr="00400193">
        <w:t>Vulnerabilities</w:t>
      </w:r>
      <w:r w:rsidR="00DC08A1" w:rsidRPr="00400193">
        <w:t xml:space="preserve"> and Weaknesses</w:t>
      </w:r>
      <w:bookmarkEnd w:id="155"/>
    </w:p>
    <w:p w14:paraId="1EB0DB3C" w14:textId="58B9840C" w:rsidR="00153BB4" w:rsidRPr="00400193" w:rsidRDefault="00153BB4" w:rsidP="00FC3EFA">
      <w:r w:rsidRPr="00400193">
        <w:t>The research examined the existing frameworks and literature by considering weaknesses and vulnerabilities.</w:t>
      </w:r>
      <w:r w:rsidR="005B16D1" w:rsidRPr="00400193">
        <w:t xml:space="preserve"> This is the main area of interest to the research and the examination led to the research hypotheses incorporated in the new framework and introduced at the relevant points</w:t>
      </w:r>
      <w:r w:rsidR="00E93EE0" w:rsidRPr="00400193">
        <w:t xml:space="preserve"> of this section.</w:t>
      </w:r>
      <w:r w:rsidRPr="00400193">
        <w:t xml:space="preserve"> Overall, most of the weaknesses and vulnerabilities of a system relate to human factors (Schneier, 2012). However, system and technological weaknesses are also possible. The new framework aims to reduce the weaknesses and remove some vulnerabilities through a proactive </w:t>
      </w:r>
      <w:r w:rsidRPr="00400193">
        <w:lastRenderedPageBreak/>
        <w:t>educational management approach. If, as proposed by Schlesinger (2016), most people are unaware of the dangers, then education and improved cyber-risk awareness must be one of the keys to future security.</w:t>
      </w:r>
    </w:p>
    <w:p w14:paraId="01D7485E" w14:textId="5ED94AD4" w:rsidR="00153BB4" w:rsidRPr="00400193" w:rsidRDefault="00153BB4" w:rsidP="00D572B5">
      <w:r w:rsidRPr="00400193">
        <w:t xml:space="preserve">Pushing back the boundaries of vulnerability and weakness leads to greater resilience. Encouraging managers to take a more holistic view increases the level of protection (Atoum, Otoom </w:t>
      </w:r>
      <w:r w:rsidR="00337F8A" w:rsidRPr="00400193">
        <w:t>and</w:t>
      </w:r>
      <w:r w:rsidRPr="00400193">
        <w:t xml:space="preserve"> Abu Ali, 2014; Ayyub, 2014). A better understanding of the interaction between weaknesses/vulnerabilities and both threats and response should allow managers to discover any weakness or vulnerability before it becomes an issue.</w:t>
      </w:r>
      <w:r w:rsidR="00E93EE0" w:rsidRPr="00400193">
        <w:t xml:space="preserve"> This </w:t>
      </w:r>
      <w:r w:rsidR="00D572B5" w:rsidRPr="00400193">
        <w:t xml:space="preserve">leads to the first two hypotheses: (H1): Vulnerabilities and weaknesses are associated with external threats, and (H2): Vulnerabilities and weaknesses are associated with internal threats. </w:t>
      </w:r>
    </w:p>
    <w:p w14:paraId="3B000123" w14:textId="77777777" w:rsidR="00153BB4" w:rsidRPr="00400193" w:rsidRDefault="00153BB4" w:rsidP="00153BB4">
      <w:pPr>
        <w:pStyle w:val="Heading4"/>
      </w:pPr>
      <w:bookmarkStart w:id="156" w:name="_Toc61894683"/>
      <w:r w:rsidRPr="00400193">
        <w:t>Response in Place</w:t>
      </w:r>
      <w:bookmarkEnd w:id="156"/>
      <w:r w:rsidRPr="00400193">
        <w:t xml:space="preserve"> </w:t>
      </w:r>
    </w:p>
    <w:p w14:paraId="2039109F" w14:textId="1BFE0BDF" w:rsidR="007E4B0F" w:rsidRPr="00400193" w:rsidRDefault="00153BB4" w:rsidP="007E4B0F">
      <w:r w:rsidRPr="00400193">
        <w:t xml:space="preserve">Responding to any cyber-attack is essential (Andress </w:t>
      </w:r>
      <w:r w:rsidR="00E93EE0" w:rsidRPr="00400193">
        <w:t>and</w:t>
      </w:r>
      <w:r w:rsidRPr="00400193">
        <w:t xml:space="preserve"> Winterfield, 2011; Bendovschi, 2015), but simple logic dictates that it is not possible to respond to an attack until it has been detected. Having a prompt and appropriate response in place is an essential part of any framework, but this research aimed to make earlier detection possible. The argument here is that increased cyber-risk awareness must improve the chances of early detection and therefore early and appropriate response.</w:t>
      </w:r>
      <w:r w:rsidR="00145AF7" w:rsidRPr="00400193">
        <w:t xml:space="preserve"> In this respect, </w:t>
      </w:r>
      <w:r w:rsidR="007E4B0F" w:rsidRPr="00400193">
        <w:t>Hypotheses 3, 4, and 5 were generated: (H3): Vulnerabilities and weaknesses are associated with having responses in place (H4): Having responses in place moderates the association between vulnerabilities and weaknesses and internal threats, and (H5): Having responses in place moderates the association between vulnerabilities and weaknesses and external threats.</w:t>
      </w:r>
    </w:p>
    <w:p w14:paraId="2F7C19DF" w14:textId="68D087D0" w:rsidR="00153BB4" w:rsidRPr="00400193" w:rsidRDefault="00153BB4" w:rsidP="007E4B0F">
      <w:r w:rsidRPr="00400193">
        <w:t>The study considered having a response in place as a moderator between threats and weaknesses/vulnerabilities. It also considered the effect of this on increasing cyber-resilience. It concluded that having a response in place is a vital element of both CRM and improved cyber-resilience.</w:t>
      </w:r>
    </w:p>
    <w:p w14:paraId="22F72B87" w14:textId="56196EF6" w:rsidR="007E4B0F" w:rsidRPr="00400193" w:rsidRDefault="007E4B0F" w:rsidP="007E4B0F">
      <w:pPr>
        <w:pStyle w:val="Heading4"/>
      </w:pPr>
      <w:bookmarkStart w:id="157" w:name="_Toc61894684"/>
      <w:r w:rsidRPr="00400193">
        <w:t>Organisational Resilience</w:t>
      </w:r>
      <w:bookmarkEnd w:id="157"/>
    </w:p>
    <w:p w14:paraId="28C2ADA8" w14:textId="5B2446BB" w:rsidR="007E4B0F" w:rsidRPr="00400193" w:rsidRDefault="00F5345C" w:rsidP="00F5345C">
      <w:r w:rsidRPr="00400193">
        <w:t xml:space="preserve">Cyber-Resilience is defined in section </w:t>
      </w:r>
      <w:r w:rsidRPr="00400193">
        <w:fldChar w:fldCharType="begin"/>
      </w:r>
      <w:r w:rsidRPr="00400193">
        <w:instrText xml:space="preserve"> REF _Ref50733613 \r \h </w:instrText>
      </w:r>
      <w:r w:rsidRPr="00400193">
        <w:fldChar w:fldCharType="separate"/>
      </w:r>
      <w:r w:rsidR="00BB7C18">
        <w:rPr>
          <w:cs/>
        </w:rPr>
        <w:t>‎</w:t>
      </w:r>
      <w:r w:rsidR="00BB7C18">
        <w:t>2.2.1</w:t>
      </w:r>
      <w:r w:rsidRPr="00400193">
        <w:fldChar w:fldCharType="end"/>
      </w:r>
      <w:r w:rsidRPr="00400193">
        <w:t>, and here, that definition is applied to every aspect of the public sector organisations that this research is aimed at</w:t>
      </w:r>
      <w:r w:rsidR="00DC08A1" w:rsidRPr="00400193">
        <w:t xml:space="preserve"> </w:t>
      </w:r>
      <w:r w:rsidR="00DC08A1" w:rsidRPr="00400193">
        <w:rPr>
          <w:noProof/>
        </w:rPr>
        <w:t>(Haimes, 2009)</w:t>
      </w:r>
      <w:r w:rsidRPr="00400193">
        <w:t xml:space="preserve">. The literature and theories of resilience raise the final three hypotheses, 6, 7, and 8, each of which is connected to organisational resilience (ORe): (H6): </w:t>
      </w:r>
      <w:r w:rsidRPr="00400193">
        <w:lastRenderedPageBreak/>
        <w:t>Vulnerabilities and weaknesses are associated with organisational resilience, (H7): Organisational resilience moderates the association between vulnerabilities and weaknesses and internal threats, and (H8): Organisational resilience moderates the association between vulnerabilities and weaknesses and external threats</w:t>
      </w:r>
    </w:p>
    <w:p w14:paraId="21B65A2E" w14:textId="77777777" w:rsidR="00C3651A" w:rsidRPr="00400193" w:rsidRDefault="00C3651A" w:rsidP="00C3651A">
      <w:pPr>
        <w:pStyle w:val="Heading3"/>
        <w:rPr>
          <w:rFonts w:eastAsia="Arial"/>
          <w:lang w:eastAsia="zh-CN" w:bidi="hi-IN"/>
        </w:rPr>
      </w:pPr>
      <w:bookmarkStart w:id="158" w:name="_Ref50662555"/>
      <w:bookmarkStart w:id="159" w:name="_Toc61894685"/>
      <w:r w:rsidRPr="00400193">
        <w:rPr>
          <w:rFonts w:eastAsia="Arial"/>
          <w:lang w:eastAsia="zh-CN" w:bidi="hi-IN"/>
        </w:rPr>
        <w:t>Cyber-Risk and External and Internal Threats</w:t>
      </w:r>
      <w:bookmarkEnd w:id="158"/>
      <w:bookmarkEnd w:id="159"/>
    </w:p>
    <w:p w14:paraId="6BAE6143" w14:textId="77777777" w:rsidR="00C3651A" w:rsidRPr="00400193" w:rsidRDefault="00C3651A" w:rsidP="00C3651A">
      <w:pPr>
        <w:suppressAutoHyphens/>
        <w:rPr>
          <w:szCs w:val="24"/>
          <w:lang w:eastAsia="zh-CN" w:bidi="hi-IN"/>
        </w:rPr>
      </w:pPr>
      <w:r w:rsidRPr="00400193">
        <w:rPr>
          <w:szCs w:val="24"/>
          <w:lang w:eastAsia="zh-CN" w:bidi="hi-IN"/>
        </w:rPr>
        <w:t>The cyber-risks faced by a company may be from both outside (external threats) or inside the company (internal threats). These can also be sub-divided. This section gives examples of each type of risk, and where it has been encountered. A list of this nature must always be incomplete, however, because it is not possible to know about every risk, whether internal or external. Cyber-risks are continually evolving and changing, which is why information sharing and awareness training are so important.</w:t>
      </w:r>
    </w:p>
    <w:p w14:paraId="1BD63D48" w14:textId="4A54DD1B" w:rsidR="00C3651A" w:rsidRPr="00400193" w:rsidRDefault="00C3651A" w:rsidP="00C3651A">
      <w:pPr>
        <w:suppressAutoHyphens/>
        <w:spacing w:after="0"/>
        <w:rPr>
          <w:szCs w:val="24"/>
          <w:lang w:eastAsia="zh-CN" w:bidi="hi-IN"/>
        </w:rPr>
      </w:pPr>
      <w:r w:rsidRPr="00400193">
        <w:rPr>
          <w:szCs w:val="24"/>
          <w:lang w:eastAsia="zh-CN" w:bidi="hi-IN"/>
        </w:rPr>
        <w:t xml:space="preserve">In many cases companies are simply not prepared for cyber-risks (Allianz, 2015), for a range of reasons (see </w:t>
      </w:r>
      <w:r w:rsidRPr="00400193">
        <w:rPr>
          <w:szCs w:val="24"/>
          <w:lang w:eastAsia="zh-CN" w:bidi="hi-IN"/>
        </w:rPr>
        <w:fldChar w:fldCharType="begin"/>
      </w:r>
      <w:r w:rsidRPr="00400193">
        <w:rPr>
          <w:szCs w:val="24"/>
          <w:lang w:eastAsia="zh-CN" w:bidi="hi-IN"/>
        </w:rPr>
        <w:instrText xml:space="preserve"> REF _Ref42540994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1</w:t>
      </w:r>
      <w:r w:rsidRPr="00400193">
        <w:rPr>
          <w:szCs w:val="24"/>
          <w:lang w:eastAsia="zh-CN" w:bidi="hi-IN"/>
        </w:rPr>
        <w:fldChar w:fldCharType="end"/>
      </w:r>
      <w:r w:rsidRPr="00400193">
        <w:rPr>
          <w:szCs w:val="24"/>
          <w:lang w:eastAsia="zh-CN" w:bidi="hi-IN"/>
        </w:rPr>
        <w:t>).These apply to any cyber-risk in any category of threats or vulnerabilities. In the following sections, each of the threats listed in the new framework will be considered individually.</w:t>
      </w:r>
    </w:p>
    <w:p w14:paraId="04F9A30A" w14:textId="77777777" w:rsidR="00C3651A" w:rsidRPr="00400193" w:rsidRDefault="00C3651A" w:rsidP="00C3651A">
      <w:pPr>
        <w:keepNext/>
        <w:suppressAutoHyphens/>
        <w:spacing w:after="0" w:line="240" w:lineRule="auto"/>
      </w:pPr>
      <w:r w:rsidRPr="00400193">
        <w:rPr>
          <w:noProof/>
          <w:szCs w:val="24"/>
          <w:lang w:val="en-US"/>
        </w:rPr>
        <w:drawing>
          <wp:inline distT="0" distB="0" distL="0" distR="0" wp14:anchorId="69839E16" wp14:editId="4C8E3844">
            <wp:extent cx="5727700" cy="3667328"/>
            <wp:effectExtent l="19050" t="19050" r="25400" b="28575"/>
            <wp:docPr id="25"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6.png"/>
                    <pic:cNvPicPr>
                      <a:picLocks noChangeAspect="1" noChangeArrowheads="1"/>
                    </pic:cNvPicPr>
                  </pic:nvPicPr>
                  <pic:blipFill>
                    <a:blip r:embed="rId46">
                      <a:extLst>
                        <a:ext uri="{28A0092B-C50C-407E-A947-70E740481C1C}">
                          <a14:useLocalDpi xmlns:a14="http://schemas.microsoft.com/office/drawing/2010/main" val="0"/>
                        </a:ext>
                      </a:extLst>
                    </a:blip>
                    <a:srcRect l="-14" t="-21" r="-14" b="-21"/>
                    <a:stretch>
                      <a:fillRect/>
                    </a:stretch>
                  </pic:blipFill>
                  <pic:spPr bwMode="auto">
                    <a:xfrm>
                      <a:off x="0" y="0"/>
                      <a:ext cx="5730051" cy="3668833"/>
                    </a:xfrm>
                    <a:prstGeom prst="rect">
                      <a:avLst/>
                    </a:prstGeom>
                    <a:noFill/>
                    <a:ln w="19050">
                      <a:solidFill>
                        <a:schemeClr val="tx1"/>
                      </a:solidFill>
                    </a:ln>
                  </pic:spPr>
                </pic:pic>
              </a:graphicData>
            </a:graphic>
          </wp:inline>
        </w:drawing>
      </w:r>
    </w:p>
    <w:p w14:paraId="77F06CBA" w14:textId="46C830F4" w:rsidR="00C3651A" w:rsidRPr="00400193" w:rsidRDefault="00C3651A" w:rsidP="00C3651A">
      <w:pPr>
        <w:pStyle w:val="Caption"/>
        <w:rPr>
          <w:szCs w:val="24"/>
          <w:lang w:eastAsia="zh-CN" w:bidi="hi-IN"/>
        </w:rPr>
      </w:pPr>
      <w:bookmarkStart w:id="160" w:name="_Ref42540994"/>
      <w:bookmarkStart w:id="161" w:name="_Toc5538756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3</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w:t>
      </w:r>
      <w:r w:rsidR="00E35E8C" w:rsidRPr="00400193">
        <w:fldChar w:fldCharType="end"/>
      </w:r>
      <w:bookmarkEnd w:id="160"/>
      <w:r w:rsidRPr="00400193">
        <w:t>: Cyber-risk preparedness factors. Source: Allianz (2015, p. 28)</w:t>
      </w:r>
      <w:bookmarkEnd w:id="161"/>
    </w:p>
    <w:p w14:paraId="5D882151" w14:textId="55D9B26A" w:rsidR="00C3651A" w:rsidRPr="00400193" w:rsidRDefault="00C3651A" w:rsidP="00C3651A">
      <w:pPr>
        <w:rPr>
          <w:lang w:eastAsia="zh-CN" w:bidi="hi-IN"/>
        </w:rPr>
      </w:pPr>
      <w:bookmarkStart w:id="162" w:name="_4h042r0"/>
      <w:bookmarkEnd w:id="162"/>
      <w:r w:rsidRPr="00400193">
        <w:rPr>
          <w:lang w:eastAsia="zh-CN" w:bidi="hi-IN"/>
        </w:rPr>
        <w:t xml:space="preserve">The percentages shown in </w:t>
      </w:r>
      <w:r w:rsidRPr="00400193">
        <w:rPr>
          <w:lang w:eastAsia="zh-CN" w:bidi="hi-IN"/>
        </w:rPr>
        <w:fldChar w:fldCharType="begin"/>
      </w:r>
      <w:r w:rsidRPr="00400193">
        <w:rPr>
          <w:lang w:eastAsia="zh-CN" w:bidi="hi-IN"/>
        </w:rPr>
        <w:instrText xml:space="preserve"> REF _Ref42540994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1</w:t>
      </w:r>
      <w:r w:rsidRPr="00400193">
        <w:rPr>
          <w:lang w:eastAsia="zh-CN" w:bidi="hi-IN"/>
        </w:rPr>
        <w:fldChar w:fldCharType="end"/>
      </w:r>
      <w:r w:rsidRPr="00400193">
        <w:rPr>
          <w:lang w:eastAsia="zh-CN" w:bidi="hi-IN"/>
        </w:rPr>
        <w:t xml:space="preserve"> are calculated in such a way that the higher the figure, the greater the chance of a successful attack the calculation is:</w:t>
      </w:r>
    </w:p>
    <w:p w14:paraId="4A73031B" w14:textId="77777777" w:rsidR="00C3651A" w:rsidRPr="00400193" w:rsidRDefault="00C3651A" w:rsidP="00C3651A">
      <w:pPr>
        <w:jc w:val="center"/>
        <w:rPr>
          <w:lang w:eastAsia="zh-CN" w:bidi="hi-IN"/>
        </w:rPr>
      </w:pPr>
      <m:oMathPara>
        <m:oMath>
          <m:r>
            <w:rPr>
              <w:rFonts w:ascii="Cambria Math" w:hAnsi="Cambria Math"/>
              <w:lang w:eastAsia="zh-CN" w:bidi="hi-IN"/>
            </w:rPr>
            <w:lastRenderedPageBreak/>
            <m:t>Factor=</m:t>
          </m:r>
          <m:f>
            <m:fPr>
              <m:ctrlPr>
                <w:rPr>
                  <w:rFonts w:ascii="Cambria Math" w:hAnsi="Cambria Math"/>
                  <w:i/>
                  <w:lang w:eastAsia="zh-CN" w:bidi="hi-IN"/>
                </w:rPr>
              </m:ctrlPr>
            </m:fPr>
            <m:num>
              <m:r>
                <w:rPr>
                  <w:rFonts w:ascii="Cambria Math" w:hAnsi="Cambria Math"/>
                  <w:lang w:eastAsia="zh-CN" w:bidi="hi-IN"/>
                </w:rPr>
                <m:t>(likelihood of an attack-readiness for an attack)</m:t>
              </m:r>
            </m:num>
            <m:den>
              <m:r>
                <w:rPr>
                  <w:rFonts w:ascii="Cambria Math" w:hAnsi="Cambria Math"/>
                  <w:lang w:eastAsia="zh-CN" w:bidi="hi-IN"/>
                </w:rPr>
                <m:t>likelihood of an attack</m:t>
              </m:r>
            </m:den>
          </m:f>
        </m:oMath>
      </m:oMathPara>
    </w:p>
    <w:p w14:paraId="394B051E" w14:textId="77777777" w:rsidR="00C3651A" w:rsidRPr="00400193" w:rsidRDefault="00C3651A" w:rsidP="00C3651A">
      <w:pPr>
        <w:rPr>
          <w:lang w:eastAsia="zh-CN" w:bidi="hi-IN"/>
        </w:rPr>
      </w:pPr>
      <w:r w:rsidRPr="00400193">
        <w:rPr>
          <w:lang w:eastAsia="zh-CN" w:bidi="hi-IN"/>
        </w:rPr>
        <w:t>Thus, if a company were 96% likely to be attacked but 88.32% prepared, they would have a factor of 0.08 or 8%, or if they had a 95% likelihood of attack and were 60.8% ready, the factor would 0.36 or 36%. So, in the oil and gas industry there is a high risk of attack, but also a high level of preparedness, whereas the government sector is very slightly less likely to be attacked, but much less prepared for it.</w:t>
      </w:r>
    </w:p>
    <w:p w14:paraId="0E100F5E" w14:textId="313E9C93" w:rsidR="00C3651A" w:rsidRPr="00400193" w:rsidRDefault="00C3651A" w:rsidP="00C3651A">
      <w:pPr>
        <w:rPr>
          <w:lang w:eastAsia="zh-CN" w:bidi="hi-IN"/>
        </w:rPr>
      </w:pPr>
      <w:r w:rsidRPr="00400193">
        <w:rPr>
          <w:lang w:eastAsia="zh-CN" w:bidi="hi-IN"/>
        </w:rPr>
        <w:t xml:space="preserve">This type of risk factor calculation is often used by insurers and risk assessors as a guide to relative risk in different organisations or sectors of industry </w:t>
      </w:r>
      <w:sdt>
        <w:sdtPr>
          <w:rPr>
            <w:lang w:eastAsia="zh-CN" w:bidi="hi-IN"/>
          </w:rPr>
          <w:id w:val="250322444"/>
          <w:citation/>
        </w:sdtPr>
        <w:sdtEndPr/>
        <w:sdtContent>
          <w:r w:rsidRPr="00400193">
            <w:rPr>
              <w:lang w:eastAsia="zh-CN" w:bidi="hi-IN"/>
            </w:rPr>
            <w:fldChar w:fldCharType="begin"/>
          </w:r>
          <w:r w:rsidRPr="00400193">
            <w:rPr>
              <w:lang w:eastAsia="zh-CN" w:bidi="hi-IN"/>
            </w:rPr>
            <w:instrText xml:space="preserve"> CITATION Cha19 \l 2057 </w:instrText>
          </w:r>
          <w:r w:rsidRPr="00400193">
            <w:rPr>
              <w:lang w:eastAsia="zh-CN" w:bidi="hi-IN"/>
            </w:rPr>
            <w:fldChar w:fldCharType="separate"/>
          </w:r>
          <w:r w:rsidR="0040256A" w:rsidRPr="00400193">
            <w:rPr>
              <w:noProof/>
              <w:lang w:eastAsia="zh-CN" w:bidi="hi-IN"/>
            </w:rPr>
            <w:t>(Chatham House, 2019)</w:t>
          </w:r>
          <w:r w:rsidRPr="00400193">
            <w:rPr>
              <w:lang w:eastAsia="zh-CN" w:bidi="hi-IN"/>
            </w:rPr>
            <w:fldChar w:fldCharType="end"/>
          </w:r>
        </w:sdtContent>
      </w:sdt>
      <w:r w:rsidRPr="00400193">
        <w:rPr>
          <w:lang w:eastAsia="zh-CN" w:bidi="hi-IN"/>
        </w:rPr>
        <w:t xml:space="preserve">. Thus, from </w:t>
      </w:r>
      <w:r w:rsidRPr="00400193">
        <w:rPr>
          <w:lang w:eastAsia="zh-CN" w:bidi="hi-IN"/>
        </w:rPr>
        <w:fldChar w:fldCharType="begin"/>
      </w:r>
      <w:r w:rsidRPr="00400193">
        <w:rPr>
          <w:lang w:eastAsia="zh-CN" w:bidi="hi-IN"/>
        </w:rPr>
        <w:instrText xml:space="preserve"> REF _Ref42540994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1</w:t>
      </w:r>
      <w:r w:rsidRPr="00400193">
        <w:rPr>
          <w:lang w:eastAsia="zh-CN" w:bidi="hi-IN"/>
        </w:rPr>
        <w:fldChar w:fldCharType="end"/>
      </w:r>
      <w:r w:rsidRPr="00400193">
        <w:rPr>
          <w:lang w:eastAsia="zh-CN" w:bidi="hi-IN"/>
        </w:rPr>
        <w:t xml:space="preserve"> it is clear that, although the likelihood of an attempted cyber-attack is similar in both cases, the government sector represents a much higher risk to insurers than the oil and gas sector. The sector most likely to be attacked is, in fact, the financial sector </w:t>
      </w:r>
      <w:sdt>
        <w:sdtPr>
          <w:rPr>
            <w:lang w:eastAsia="zh-CN" w:bidi="hi-IN"/>
          </w:rPr>
          <w:id w:val="-928425409"/>
          <w:citation/>
        </w:sdtPr>
        <w:sdtEndPr/>
        <w:sdtContent>
          <w:r w:rsidRPr="00400193">
            <w:rPr>
              <w:lang w:eastAsia="zh-CN" w:bidi="hi-IN"/>
            </w:rPr>
            <w:fldChar w:fldCharType="begin"/>
          </w:r>
          <w:r w:rsidRPr="00400193">
            <w:rPr>
              <w:lang w:eastAsia="zh-CN" w:bidi="hi-IN"/>
            </w:rPr>
            <w:instrText xml:space="preserve"> CITATION All16 \l 2057 </w:instrText>
          </w:r>
          <w:r w:rsidRPr="00400193">
            <w:rPr>
              <w:lang w:eastAsia="zh-CN" w:bidi="hi-IN"/>
            </w:rPr>
            <w:fldChar w:fldCharType="separate"/>
          </w:r>
          <w:r w:rsidR="0040256A" w:rsidRPr="00400193">
            <w:rPr>
              <w:noProof/>
              <w:lang w:eastAsia="zh-CN" w:bidi="hi-IN"/>
            </w:rPr>
            <w:t>(Allianz, 2016)</w:t>
          </w:r>
          <w:r w:rsidRPr="00400193">
            <w:rPr>
              <w:lang w:eastAsia="zh-CN" w:bidi="hi-IN"/>
            </w:rPr>
            <w:fldChar w:fldCharType="end"/>
          </w:r>
        </w:sdtContent>
      </w:sdt>
      <w:r w:rsidRPr="00400193">
        <w:rPr>
          <w:lang w:eastAsia="zh-CN" w:bidi="hi-IN"/>
        </w:rPr>
        <w:t>, but it still presents a lower relative risk than government.</w:t>
      </w:r>
    </w:p>
    <w:p w14:paraId="192A36DB" w14:textId="3E89CFB0" w:rsidR="00C3651A" w:rsidRPr="00400193" w:rsidRDefault="00C3651A" w:rsidP="00C3651A">
      <w:pPr>
        <w:pStyle w:val="Heading4"/>
        <w:rPr>
          <w:rFonts w:eastAsia="Arial"/>
          <w:lang w:eastAsia="zh-CN" w:bidi="hi-IN"/>
        </w:rPr>
      </w:pPr>
      <w:bookmarkStart w:id="163" w:name="_2w5ecyt"/>
      <w:bookmarkStart w:id="164" w:name="_Toc61894686"/>
      <w:bookmarkEnd w:id="163"/>
      <w:r w:rsidRPr="00400193">
        <w:rPr>
          <w:rFonts w:eastAsia="Arial"/>
          <w:lang w:eastAsia="zh-CN" w:bidi="hi-IN"/>
        </w:rPr>
        <w:t>External Factors</w:t>
      </w:r>
      <w:bookmarkEnd w:id="164"/>
    </w:p>
    <w:p w14:paraId="47F15A1F" w14:textId="61629B28" w:rsidR="004F5F4C" w:rsidRPr="00400193" w:rsidRDefault="004F5F4C" w:rsidP="004F5F4C">
      <w:pPr>
        <w:rPr>
          <w:lang w:eastAsia="zh-CN" w:bidi="hi-IN"/>
        </w:rPr>
      </w:pPr>
      <w:r w:rsidRPr="00400193">
        <w:rPr>
          <w:lang w:eastAsia="zh-CN" w:bidi="hi-IN"/>
        </w:rPr>
        <w:t>Hypothesis one (H1):</w:t>
      </w:r>
      <w:r w:rsidRPr="00400193">
        <w:rPr>
          <w:rFonts w:cstheme="minorBidi"/>
          <w:kern w:val="24"/>
          <w:szCs w:val="24"/>
          <w:lang w:eastAsia="en-GB"/>
        </w:rPr>
        <w:t xml:space="preserve"> Vulnerabilities and weaknesses are associated with external threats, was developed from the theories above and the literature in the sections below (</w:t>
      </w:r>
      <w:r w:rsidRPr="00400193">
        <w:rPr>
          <w:rFonts w:cstheme="minorBidi"/>
          <w:kern w:val="24"/>
          <w:szCs w:val="24"/>
          <w:lang w:eastAsia="en-GB"/>
        </w:rPr>
        <w:fldChar w:fldCharType="begin"/>
      </w:r>
      <w:r w:rsidRPr="00400193">
        <w:rPr>
          <w:rFonts w:cstheme="minorBidi"/>
          <w:kern w:val="24"/>
          <w:szCs w:val="24"/>
          <w:lang w:eastAsia="en-GB"/>
        </w:rPr>
        <w:instrText xml:space="preserve"> REF _Ref50748978 \r \h </w:instrText>
      </w:r>
      <w:r w:rsidRPr="00400193">
        <w:rPr>
          <w:rFonts w:cstheme="minorBidi"/>
          <w:kern w:val="24"/>
          <w:szCs w:val="24"/>
          <w:lang w:eastAsia="en-GB"/>
        </w:rPr>
      </w:r>
      <w:r w:rsidRPr="00400193">
        <w:rPr>
          <w:rFonts w:cstheme="minorBidi"/>
          <w:kern w:val="24"/>
          <w:szCs w:val="24"/>
          <w:lang w:eastAsia="en-GB"/>
        </w:rPr>
        <w:fldChar w:fldCharType="separate"/>
      </w:r>
      <w:r w:rsidR="00BB7C18">
        <w:rPr>
          <w:rFonts w:cstheme="minorBidi"/>
          <w:kern w:val="24"/>
          <w:szCs w:val="24"/>
          <w:cs/>
          <w:lang w:eastAsia="en-GB"/>
        </w:rPr>
        <w:t>‎</w:t>
      </w:r>
      <w:r w:rsidR="00BB7C18">
        <w:rPr>
          <w:rFonts w:cstheme="minorBidi"/>
          <w:kern w:val="24"/>
          <w:szCs w:val="24"/>
          <w:lang w:eastAsia="en-GB"/>
        </w:rPr>
        <w:t>3.2.2.1.1</w:t>
      </w:r>
      <w:r w:rsidRPr="00400193">
        <w:rPr>
          <w:rFonts w:cstheme="minorBidi"/>
          <w:kern w:val="24"/>
          <w:szCs w:val="24"/>
          <w:lang w:eastAsia="en-GB"/>
        </w:rPr>
        <w:fldChar w:fldCharType="end"/>
      </w:r>
      <w:r w:rsidRPr="00400193">
        <w:rPr>
          <w:rFonts w:cstheme="minorBidi"/>
          <w:kern w:val="24"/>
          <w:szCs w:val="24"/>
          <w:lang w:eastAsia="en-GB"/>
        </w:rPr>
        <w:t xml:space="preserve"> through to </w:t>
      </w:r>
      <w:r w:rsidRPr="00400193">
        <w:rPr>
          <w:rFonts w:cstheme="minorBidi"/>
          <w:kern w:val="24"/>
          <w:szCs w:val="24"/>
          <w:lang w:eastAsia="en-GB"/>
        </w:rPr>
        <w:fldChar w:fldCharType="begin"/>
      </w:r>
      <w:r w:rsidRPr="00400193">
        <w:rPr>
          <w:rFonts w:cstheme="minorBidi"/>
          <w:kern w:val="24"/>
          <w:szCs w:val="24"/>
          <w:lang w:eastAsia="en-GB"/>
        </w:rPr>
        <w:instrText xml:space="preserve"> REF _Ref50748982 \r \h </w:instrText>
      </w:r>
      <w:r w:rsidRPr="00400193">
        <w:rPr>
          <w:rFonts w:cstheme="minorBidi"/>
          <w:kern w:val="24"/>
          <w:szCs w:val="24"/>
          <w:lang w:eastAsia="en-GB"/>
        </w:rPr>
      </w:r>
      <w:r w:rsidRPr="00400193">
        <w:rPr>
          <w:rFonts w:cstheme="minorBidi"/>
          <w:kern w:val="24"/>
          <w:szCs w:val="24"/>
          <w:lang w:eastAsia="en-GB"/>
        </w:rPr>
        <w:fldChar w:fldCharType="separate"/>
      </w:r>
      <w:r w:rsidR="00BB7C18">
        <w:rPr>
          <w:rFonts w:cstheme="minorBidi"/>
          <w:kern w:val="24"/>
          <w:szCs w:val="24"/>
          <w:cs/>
          <w:lang w:eastAsia="en-GB"/>
        </w:rPr>
        <w:t>‎</w:t>
      </w:r>
      <w:r w:rsidR="00BB7C18">
        <w:rPr>
          <w:rFonts w:cstheme="minorBidi"/>
          <w:kern w:val="24"/>
          <w:szCs w:val="24"/>
          <w:lang w:eastAsia="en-GB"/>
        </w:rPr>
        <w:t>3.2.2.1.5</w:t>
      </w:r>
      <w:r w:rsidRPr="00400193">
        <w:rPr>
          <w:rFonts w:cstheme="minorBidi"/>
          <w:kern w:val="24"/>
          <w:szCs w:val="24"/>
          <w:lang w:eastAsia="en-GB"/>
        </w:rPr>
        <w:fldChar w:fldCharType="end"/>
      </w:r>
      <w:r w:rsidRPr="00400193">
        <w:rPr>
          <w:rFonts w:cstheme="minorBidi"/>
          <w:kern w:val="24"/>
          <w:szCs w:val="24"/>
          <w:lang w:eastAsia="en-GB"/>
        </w:rPr>
        <w:t xml:space="preserve">). It cannot be claimed that this is a definitive list of external cyber threats because new threats could develop at any time. However, </w:t>
      </w:r>
      <w:r w:rsidR="00497A66" w:rsidRPr="00400193">
        <w:rPr>
          <w:rFonts w:cstheme="minorBidi"/>
          <w:kern w:val="24"/>
          <w:szCs w:val="24"/>
          <w:lang w:eastAsia="en-GB"/>
        </w:rPr>
        <w:t>the hypothesis will still be applicable to any new external threat.</w:t>
      </w:r>
    </w:p>
    <w:p w14:paraId="038741C2" w14:textId="77777777" w:rsidR="00C3651A" w:rsidRPr="00400193" w:rsidRDefault="00C3651A" w:rsidP="00C3651A">
      <w:pPr>
        <w:pStyle w:val="Heading5"/>
        <w:rPr>
          <w:rFonts w:eastAsia="Arial"/>
          <w:lang w:eastAsia="zh-CN" w:bidi="hi-IN"/>
        </w:rPr>
      </w:pPr>
      <w:bookmarkStart w:id="165" w:name="_1baon6m"/>
      <w:bookmarkStart w:id="166" w:name="_Ref50748978"/>
      <w:bookmarkStart w:id="167" w:name="_Toc61894687"/>
      <w:bookmarkEnd w:id="165"/>
      <w:r w:rsidRPr="00400193">
        <w:rPr>
          <w:rFonts w:eastAsia="Arial"/>
          <w:lang w:eastAsia="zh-CN" w:bidi="hi-IN"/>
        </w:rPr>
        <w:t xml:space="preserve">Cyber </w:t>
      </w:r>
      <w:r w:rsidRPr="00400193">
        <w:rPr>
          <w:rFonts w:eastAsia="Arial"/>
        </w:rPr>
        <w:t>Terrorism</w:t>
      </w:r>
      <w:bookmarkEnd w:id="166"/>
      <w:bookmarkEnd w:id="167"/>
    </w:p>
    <w:p w14:paraId="76F26CEA" w14:textId="635065E0" w:rsidR="00C3651A" w:rsidRPr="00400193" w:rsidRDefault="00C3651A" w:rsidP="00C3651A">
      <w:pPr>
        <w:suppressAutoHyphens/>
        <w:rPr>
          <w:szCs w:val="24"/>
          <w:lang w:eastAsia="zh-CN" w:bidi="hi-IN"/>
        </w:rPr>
      </w:pPr>
      <w:r w:rsidRPr="00400193">
        <w:rPr>
          <w:szCs w:val="24"/>
          <w:lang w:eastAsia="zh-CN" w:bidi="hi-IN"/>
        </w:rPr>
        <w:t xml:space="preserve">Cyber-terrorism is considered a major problem, particularly for western governments (Weimann, 2004). Whether a cyber-attack is defined as terrorism depends on the intent, rather than the target (Heickerö, 2014). Heickerö (2014) suggested that computer viruses could be distributed by cyber-terrorists, but unless the attack was ‘claimed’, no-one would know. Likewise, information stolen during hacking could be used in terrorist attacks, but that does not necessarily mean that the original hack was terrorism. There is not currently an agreed definition of either cyber-terrorism or cyber-warfare. This is an evolving field so is currently defined on a case-by-case basis by the authorities concerned. Some of the many risks associated with cyber-terrorism are given (with sources) in </w:t>
      </w:r>
      <w:r w:rsidRPr="00400193">
        <w:rPr>
          <w:szCs w:val="24"/>
          <w:lang w:eastAsia="zh-CN" w:bidi="hi-IN"/>
        </w:rPr>
        <w:fldChar w:fldCharType="begin"/>
      </w:r>
      <w:r w:rsidRPr="00400193">
        <w:rPr>
          <w:szCs w:val="24"/>
          <w:lang w:eastAsia="zh-CN" w:bidi="hi-IN"/>
        </w:rPr>
        <w:instrText xml:space="preserve"> REF _Ref42433748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w:t>
      </w:r>
      <w:r w:rsidRPr="00400193">
        <w:rPr>
          <w:szCs w:val="24"/>
          <w:lang w:eastAsia="zh-CN" w:bidi="hi-IN"/>
        </w:rPr>
        <w:fldChar w:fldCharType="end"/>
      </w:r>
      <w:r w:rsidRPr="00400193">
        <w:rPr>
          <w:szCs w:val="24"/>
          <w:lang w:eastAsia="zh-CN" w:bidi="hi-IN"/>
        </w:rPr>
        <w:t>.</w:t>
      </w:r>
    </w:p>
    <w:p w14:paraId="4D494B1D" w14:textId="77777777" w:rsidR="00C3651A" w:rsidRPr="00400193" w:rsidRDefault="00C3651A" w:rsidP="00C3651A">
      <w:pPr>
        <w:spacing w:line="259" w:lineRule="auto"/>
        <w:jc w:val="left"/>
        <w:rPr>
          <w:szCs w:val="24"/>
          <w:lang w:eastAsia="zh-CN" w:bidi="hi-IN"/>
        </w:rPr>
      </w:pPr>
      <w:r w:rsidRPr="00400193">
        <w:rPr>
          <w:szCs w:val="24"/>
          <w:lang w:eastAsia="zh-CN" w:bidi="hi-IN"/>
        </w:rPr>
        <w:br w:type="page"/>
      </w:r>
    </w:p>
    <w:tbl>
      <w:tblPr>
        <w:tblW w:w="9014" w:type="dxa"/>
        <w:tblLook w:val="04A0" w:firstRow="1" w:lastRow="0" w:firstColumn="1" w:lastColumn="0" w:noHBand="0" w:noVBand="1"/>
      </w:tblPr>
      <w:tblGrid>
        <w:gridCol w:w="4508"/>
        <w:gridCol w:w="4506"/>
      </w:tblGrid>
      <w:tr w:rsidR="00A0618E" w:rsidRPr="00400193" w14:paraId="5A5D91DE" w14:textId="77777777" w:rsidTr="00C3651A">
        <w:tc>
          <w:tcPr>
            <w:tcW w:w="4508" w:type="dxa"/>
            <w:tcBorders>
              <w:top w:val="single" w:sz="6" w:space="0" w:color="000000"/>
              <w:left w:val="nil"/>
              <w:bottom w:val="single" w:sz="6" w:space="0" w:color="000000"/>
              <w:right w:val="nil"/>
            </w:tcBorders>
            <w:vAlign w:val="center"/>
            <w:hideMark/>
          </w:tcPr>
          <w:p w14:paraId="0FD365F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lastRenderedPageBreak/>
              <w:t>Cyber-terrorism risks</w:t>
            </w:r>
          </w:p>
        </w:tc>
        <w:tc>
          <w:tcPr>
            <w:tcW w:w="4506" w:type="dxa"/>
            <w:tcBorders>
              <w:top w:val="single" w:sz="6" w:space="0" w:color="000000"/>
              <w:left w:val="nil"/>
              <w:bottom w:val="single" w:sz="6" w:space="0" w:color="000000"/>
              <w:right w:val="nil"/>
            </w:tcBorders>
            <w:vAlign w:val="center"/>
            <w:hideMark/>
          </w:tcPr>
          <w:p w14:paraId="3BFC553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3DE6B11A" w14:textId="77777777" w:rsidTr="00C3651A">
        <w:tc>
          <w:tcPr>
            <w:tcW w:w="4508" w:type="dxa"/>
            <w:vAlign w:val="center"/>
            <w:hideMark/>
          </w:tcPr>
          <w:p w14:paraId="52B1D3A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Complete or partial loss of service in financial systems</w:t>
            </w:r>
          </w:p>
        </w:tc>
        <w:tc>
          <w:tcPr>
            <w:tcW w:w="4506" w:type="dxa"/>
            <w:vAlign w:val="center"/>
            <w:hideMark/>
          </w:tcPr>
          <w:p w14:paraId="0B119DF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Heickerö (2014); Colin (2017)</w:t>
            </w:r>
            <w:r w:rsidRPr="00400193">
              <w:rPr>
                <w:rFonts w:asciiTheme="minorHAnsi" w:eastAsia="Liberation Serif" w:hAnsiTheme="minorHAnsi" w:cstheme="minorHAnsi"/>
                <w:sz w:val="22"/>
                <w:lang w:eastAsia="zh-CN" w:bidi="hi-IN"/>
              </w:rPr>
              <w:t xml:space="preserve"> </w:t>
            </w:r>
          </w:p>
        </w:tc>
      </w:tr>
      <w:tr w:rsidR="00A0618E" w:rsidRPr="00400193" w14:paraId="5CE5A087" w14:textId="77777777" w:rsidTr="00C3651A">
        <w:tc>
          <w:tcPr>
            <w:tcW w:w="4508" w:type="dxa"/>
            <w:vAlign w:val="center"/>
            <w:hideMark/>
          </w:tcPr>
          <w:p w14:paraId="5625032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Attack on ‘next generation’ air-traffic control</w:t>
            </w:r>
          </w:p>
        </w:tc>
        <w:tc>
          <w:tcPr>
            <w:tcW w:w="4506" w:type="dxa"/>
            <w:vAlign w:val="center"/>
            <w:hideMark/>
          </w:tcPr>
          <w:p w14:paraId="64F66DF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Colin (2017)</w:t>
            </w:r>
          </w:p>
        </w:tc>
      </w:tr>
      <w:tr w:rsidR="00A0618E" w:rsidRPr="00400193" w14:paraId="34900E14" w14:textId="77777777" w:rsidTr="00C3651A">
        <w:tc>
          <w:tcPr>
            <w:tcW w:w="4508" w:type="dxa"/>
            <w:vAlign w:val="center"/>
            <w:hideMark/>
          </w:tcPr>
          <w:p w14:paraId="704C484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Access to/theft of sensitive military or commercial data</w:t>
            </w:r>
          </w:p>
        </w:tc>
        <w:tc>
          <w:tcPr>
            <w:tcW w:w="4506" w:type="dxa"/>
            <w:vAlign w:val="center"/>
            <w:hideMark/>
          </w:tcPr>
          <w:p w14:paraId="397E124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Infosec institute (2016)</w:t>
            </w:r>
          </w:p>
        </w:tc>
      </w:tr>
      <w:tr w:rsidR="00A0618E" w:rsidRPr="00400193" w14:paraId="611CE333" w14:textId="77777777" w:rsidTr="00C3651A">
        <w:tc>
          <w:tcPr>
            <w:tcW w:w="4508" w:type="dxa"/>
            <w:vAlign w:val="center"/>
            <w:hideMark/>
          </w:tcPr>
          <w:p w14:paraId="1578D86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Hacking the process of pharmaceutical or other manufacture</w:t>
            </w:r>
          </w:p>
        </w:tc>
        <w:tc>
          <w:tcPr>
            <w:tcW w:w="4506" w:type="dxa"/>
            <w:vAlign w:val="center"/>
            <w:hideMark/>
          </w:tcPr>
          <w:p w14:paraId="5812B7A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Colin (2017)</w:t>
            </w:r>
          </w:p>
        </w:tc>
      </w:tr>
      <w:tr w:rsidR="00A0618E" w:rsidRPr="00400193" w14:paraId="3C39F45A" w14:textId="77777777" w:rsidTr="00C3651A">
        <w:tc>
          <w:tcPr>
            <w:tcW w:w="4508" w:type="dxa"/>
            <w:vAlign w:val="center"/>
            <w:hideMark/>
          </w:tcPr>
          <w:p w14:paraId="2C4511B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Takeover/shutdown of nuclear power plant</w:t>
            </w:r>
          </w:p>
        </w:tc>
        <w:tc>
          <w:tcPr>
            <w:tcW w:w="4506" w:type="dxa"/>
            <w:vAlign w:val="center"/>
            <w:hideMark/>
          </w:tcPr>
          <w:p w14:paraId="70C477E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Heickerö (2014); Colin (2017)</w:t>
            </w:r>
          </w:p>
        </w:tc>
      </w:tr>
      <w:tr w:rsidR="00A0618E" w:rsidRPr="00400193" w14:paraId="768D598D" w14:textId="77777777" w:rsidTr="00C3651A">
        <w:tc>
          <w:tcPr>
            <w:tcW w:w="4508" w:type="dxa"/>
            <w:vAlign w:val="center"/>
            <w:hideMark/>
          </w:tcPr>
          <w:p w14:paraId="165FE32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Attack on hospital life support systems</w:t>
            </w:r>
          </w:p>
        </w:tc>
        <w:tc>
          <w:tcPr>
            <w:tcW w:w="4506" w:type="dxa"/>
            <w:vAlign w:val="center"/>
            <w:hideMark/>
          </w:tcPr>
          <w:p w14:paraId="779A53C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 A. Clarke (2016)</w:t>
            </w:r>
          </w:p>
        </w:tc>
      </w:tr>
      <w:tr w:rsidR="00A0618E" w:rsidRPr="00400193" w14:paraId="53F940CA" w14:textId="77777777" w:rsidTr="00C3651A">
        <w:tc>
          <w:tcPr>
            <w:tcW w:w="4508" w:type="dxa"/>
            <w:vAlign w:val="center"/>
            <w:hideMark/>
          </w:tcPr>
          <w:p w14:paraId="27B1691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Re-targeting of military weapons or civilian UAVs.</w:t>
            </w:r>
          </w:p>
        </w:tc>
        <w:tc>
          <w:tcPr>
            <w:tcW w:w="4506" w:type="dxa"/>
            <w:vAlign w:val="center"/>
            <w:hideMark/>
          </w:tcPr>
          <w:p w14:paraId="5C195C5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Greenberg (2015)</w:t>
            </w:r>
          </w:p>
        </w:tc>
      </w:tr>
      <w:tr w:rsidR="00A0618E" w:rsidRPr="00400193" w14:paraId="4A3AF5F0" w14:textId="77777777" w:rsidTr="00C3651A">
        <w:tc>
          <w:tcPr>
            <w:tcW w:w="4508" w:type="dxa"/>
            <w:vAlign w:val="center"/>
            <w:hideMark/>
          </w:tcPr>
          <w:p w14:paraId="1C37598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Psychological effects of cyber-terrorism.</w:t>
            </w:r>
          </w:p>
        </w:tc>
        <w:tc>
          <w:tcPr>
            <w:tcW w:w="4506" w:type="dxa"/>
            <w:vAlign w:val="center"/>
            <w:hideMark/>
          </w:tcPr>
          <w:p w14:paraId="1272693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Gross, Canetti, and Vashdi (2016)</w:t>
            </w:r>
          </w:p>
        </w:tc>
      </w:tr>
      <w:tr w:rsidR="00A0618E" w:rsidRPr="00400193" w14:paraId="59EF1BE2" w14:textId="77777777" w:rsidTr="00C3651A">
        <w:tc>
          <w:tcPr>
            <w:tcW w:w="4508" w:type="dxa"/>
            <w:vAlign w:val="center"/>
            <w:hideMark/>
          </w:tcPr>
          <w:p w14:paraId="52F9D04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Small- and large-scale attacks.</w:t>
            </w:r>
          </w:p>
        </w:tc>
        <w:tc>
          <w:tcPr>
            <w:tcW w:w="4506" w:type="dxa"/>
            <w:vAlign w:val="center"/>
            <w:hideMark/>
          </w:tcPr>
          <w:p w14:paraId="54B90B3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Al Mazari et al. (2016)</w:t>
            </w:r>
          </w:p>
        </w:tc>
      </w:tr>
      <w:tr w:rsidR="00A0618E" w:rsidRPr="00400193" w14:paraId="2B7286A3" w14:textId="77777777" w:rsidTr="00C3651A">
        <w:tc>
          <w:tcPr>
            <w:tcW w:w="4508" w:type="dxa"/>
            <w:tcBorders>
              <w:top w:val="nil"/>
              <w:left w:val="nil"/>
              <w:bottom w:val="single" w:sz="6" w:space="0" w:color="000000"/>
              <w:right w:val="nil"/>
            </w:tcBorders>
            <w:vAlign w:val="center"/>
            <w:hideMark/>
          </w:tcPr>
          <w:p w14:paraId="450D991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Total cyber-war.</w:t>
            </w:r>
          </w:p>
        </w:tc>
        <w:tc>
          <w:tcPr>
            <w:tcW w:w="4506" w:type="dxa"/>
            <w:tcBorders>
              <w:top w:val="nil"/>
              <w:left w:val="nil"/>
              <w:bottom w:val="single" w:sz="6" w:space="0" w:color="000000"/>
              <w:right w:val="nil"/>
            </w:tcBorders>
            <w:vAlign w:val="center"/>
            <w:hideMark/>
          </w:tcPr>
          <w:p w14:paraId="35B63DED"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 A. Clarke (2016)</w:t>
            </w:r>
          </w:p>
        </w:tc>
      </w:tr>
    </w:tbl>
    <w:p w14:paraId="63A3F760" w14:textId="6BD1A049" w:rsidR="00C3651A" w:rsidRPr="00400193" w:rsidRDefault="00C3651A" w:rsidP="00C3651A">
      <w:pPr>
        <w:pStyle w:val="Caption"/>
        <w:spacing w:after="240"/>
      </w:pPr>
      <w:bookmarkStart w:id="168" w:name="_3vac5uf"/>
      <w:bookmarkStart w:id="169" w:name="_Ref42433748"/>
      <w:bookmarkStart w:id="170" w:name="_Toc52901530"/>
      <w:bookmarkEnd w:id="16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fldChar w:fldCharType="end"/>
      </w:r>
      <w:bookmarkEnd w:id="169"/>
      <w:r w:rsidRPr="00400193">
        <w:t>: Some of the risks associated with cyber-terrorism.</w:t>
      </w:r>
      <w:bookmarkEnd w:id="170"/>
    </w:p>
    <w:p w14:paraId="245607C0" w14:textId="58E36D22" w:rsidR="00C3651A" w:rsidRPr="00400193" w:rsidRDefault="00C3651A" w:rsidP="00C3651A">
      <w:pPr>
        <w:suppressAutoHyphens/>
        <w:rPr>
          <w:szCs w:val="24"/>
          <w:lang w:eastAsia="zh-CN" w:bidi="hi-IN"/>
        </w:rPr>
      </w:pPr>
      <w:r w:rsidRPr="00400193">
        <w:rPr>
          <w:szCs w:val="24"/>
          <w:lang w:eastAsia="zh-CN" w:bidi="hi-IN"/>
        </w:rPr>
        <w:t xml:space="preserve">Even companies who do not use or are not listed on the Stock Exchange would be affected by a cyber-terrorist strike at this or other financial institutions, simply because of the chaos and uncertainty that would be caused </w:t>
      </w:r>
      <w:r w:rsidR="00497A66" w:rsidRPr="00400193">
        <w:rPr>
          <w:szCs w:val="24"/>
          <w:lang w:eastAsia="zh-CN" w:bidi="hi-IN"/>
        </w:rPr>
        <w:t>(Allianz, 2016)</w:t>
      </w:r>
      <w:r w:rsidRPr="00400193">
        <w:rPr>
          <w:szCs w:val="24"/>
          <w:lang w:eastAsia="zh-CN" w:bidi="hi-IN"/>
        </w:rPr>
        <w:t xml:space="preserve">. A loss of service within a company is probably less likely to be defined as ‘terrorism’ than a loss of service at a national or international institution </w:t>
      </w:r>
      <w:r w:rsidR="00497A66" w:rsidRPr="00400193">
        <w:rPr>
          <w:szCs w:val="24"/>
          <w:lang w:eastAsia="zh-CN" w:bidi="hi-IN"/>
        </w:rPr>
        <w:t>(Weimann, 2004)</w:t>
      </w:r>
      <w:r w:rsidRPr="00400193">
        <w:rPr>
          <w:szCs w:val="24"/>
          <w:lang w:eastAsia="zh-CN" w:bidi="hi-IN"/>
        </w:rPr>
        <w:t xml:space="preserve">. Each of the other listed cyber-terrorism risks would probably also have ‘knock-on’ effects for ordinary businesses. The true extent of the damage caused by a cyber-terrorist attack remains, thankfully, unknown, but this is an area worthy of investigation </w:t>
      </w:r>
      <w:r w:rsidR="00497A66" w:rsidRPr="00400193">
        <w:rPr>
          <w:szCs w:val="24"/>
          <w:lang w:eastAsia="zh-CN" w:bidi="hi-IN"/>
        </w:rPr>
        <w:t>(Heickerö, 2014)</w:t>
      </w:r>
      <w:r w:rsidRPr="00400193">
        <w:rPr>
          <w:szCs w:val="24"/>
          <w:lang w:eastAsia="zh-CN" w:bidi="hi-IN"/>
        </w:rPr>
        <w:t>.</w:t>
      </w:r>
    </w:p>
    <w:p w14:paraId="13741D7B" w14:textId="11AA229F" w:rsidR="00C3651A" w:rsidRPr="00400193" w:rsidRDefault="00C3651A" w:rsidP="00C3651A">
      <w:pPr>
        <w:suppressAutoHyphens/>
        <w:rPr>
          <w:szCs w:val="24"/>
          <w:lang w:eastAsia="zh-CN" w:bidi="hi-IN"/>
        </w:rPr>
      </w:pPr>
      <w:r w:rsidRPr="00400193">
        <w:rPr>
          <w:szCs w:val="24"/>
          <w:lang w:eastAsia="zh-CN" w:bidi="hi-IN"/>
        </w:rPr>
        <w:t xml:space="preserve">No cyber-terrorism acts have yet been admitted or claimed, but potential targets (see </w:t>
      </w:r>
      <w:r w:rsidRPr="00400193">
        <w:rPr>
          <w:szCs w:val="24"/>
          <w:lang w:eastAsia="zh-CN" w:bidi="hi-IN"/>
        </w:rPr>
        <w:fldChar w:fldCharType="begin"/>
      </w:r>
      <w:r w:rsidRPr="00400193">
        <w:rPr>
          <w:szCs w:val="24"/>
          <w:lang w:eastAsia="zh-CN" w:bidi="hi-IN"/>
        </w:rPr>
        <w:instrText xml:space="preserve"> REF _Ref42433748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w:t>
      </w:r>
      <w:r w:rsidRPr="00400193">
        <w:rPr>
          <w:szCs w:val="24"/>
          <w:lang w:eastAsia="zh-CN" w:bidi="hi-IN"/>
        </w:rPr>
        <w:fldChar w:fldCharType="end"/>
      </w:r>
      <w:r w:rsidRPr="00400193">
        <w:rPr>
          <w:szCs w:val="24"/>
          <w:lang w:eastAsia="zh-CN" w:bidi="hi-IN"/>
        </w:rPr>
        <w:t>) include:</w:t>
      </w:r>
    </w:p>
    <w:p w14:paraId="689BAB28" w14:textId="77777777" w:rsidR="00C3651A" w:rsidRPr="00400193" w:rsidRDefault="00C3651A" w:rsidP="00C3651A">
      <w:pPr>
        <w:pStyle w:val="Quote"/>
        <w:rPr>
          <w:lang w:eastAsia="zh-CN" w:bidi="hi-IN"/>
        </w:rPr>
      </w:pPr>
      <w:r w:rsidRPr="00400193">
        <w:rPr>
          <w:lang w:eastAsia="zh-CN" w:bidi="hi-IN"/>
        </w:rPr>
        <w:t>financial systems, civilian air traffic, health care, and energy systems such as nuclear power plants … Targets of specific interest for computer and network operations include command and control functions for systems critical to society (Supervisory Control and Data Acquisition [SCADA] systems) (Heickerö, 2014, pp. 556–558).</w:t>
      </w:r>
    </w:p>
    <w:p w14:paraId="37021591" w14:textId="77777777" w:rsidR="00C3651A" w:rsidRPr="00400193" w:rsidRDefault="00C3651A" w:rsidP="00C3651A">
      <w:pPr>
        <w:suppressAutoHyphens/>
        <w:rPr>
          <w:szCs w:val="24"/>
          <w:lang w:eastAsia="zh-CN" w:bidi="hi-IN"/>
        </w:rPr>
      </w:pPr>
      <w:r w:rsidRPr="00400193">
        <w:rPr>
          <w:szCs w:val="24"/>
          <w:lang w:eastAsia="zh-CN" w:bidi="hi-IN"/>
        </w:rPr>
        <w:t xml:space="preserve">One major difficulty is that </w:t>
      </w:r>
      <w:r w:rsidRPr="00400193">
        <w:rPr>
          <w:i/>
          <w:iCs/>
          <w:szCs w:val="24"/>
          <w:lang w:eastAsia="zh-CN" w:bidi="hi-IN"/>
        </w:rPr>
        <w:t>“The line between terrorism and ‘ordinary’ criminality is vague”</w:t>
      </w:r>
      <w:r w:rsidRPr="00400193">
        <w:rPr>
          <w:szCs w:val="24"/>
          <w:lang w:eastAsia="zh-CN" w:bidi="hi-IN"/>
        </w:rPr>
        <w:t xml:space="preserve"> (Heickerö, 2014, p. 563). This point was echoed by Clarke (2016) and Zubrzycki (2016), so in effect, any cyber-attack could be connected with terrorism, organised crime, and/or cyber-terrorism. Researchers on cyber-terrorism agree, however, that there are increasing opportunities for it, and that the technology or cost of carrying out an attack is reducing (Clarke, 2016; Heickerö, 2014; Weimann, 2004).</w:t>
      </w:r>
    </w:p>
    <w:p w14:paraId="66023510" w14:textId="77777777" w:rsidR="00C3651A" w:rsidRPr="00400193" w:rsidRDefault="00C3651A" w:rsidP="00C3651A">
      <w:pPr>
        <w:pStyle w:val="Heading5"/>
        <w:rPr>
          <w:rFonts w:eastAsia="Arial"/>
          <w:lang w:eastAsia="zh-CN" w:bidi="hi-IN"/>
        </w:rPr>
      </w:pPr>
      <w:bookmarkStart w:id="171" w:name="_2afmg28"/>
      <w:bookmarkStart w:id="172" w:name="_Toc61894688"/>
      <w:bookmarkEnd w:id="171"/>
      <w:r w:rsidRPr="00400193">
        <w:rPr>
          <w:rFonts w:eastAsia="Arial"/>
          <w:lang w:eastAsia="zh-CN" w:bidi="hi-IN"/>
        </w:rPr>
        <w:lastRenderedPageBreak/>
        <w:t>Hacktivism</w:t>
      </w:r>
      <w:bookmarkEnd w:id="172"/>
    </w:p>
    <w:p w14:paraId="7DBA9B66" w14:textId="25F9300B" w:rsidR="00C3651A" w:rsidRPr="00400193" w:rsidRDefault="00C3651A" w:rsidP="00C3651A">
      <w:pPr>
        <w:rPr>
          <w:lang w:eastAsia="zh-CN" w:bidi="hi-IN"/>
        </w:rPr>
      </w:pPr>
      <w:r w:rsidRPr="00400193">
        <w:rPr>
          <w:szCs w:val="24"/>
          <w:lang w:eastAsia="zh-CN" w:bidi="hi-IN"/>
        </w:rPr>
        <w:t xml:space="preserve">Hacktivism, combining the words hacking and activism is gaining unauthorised access to and disrupting a computer system for political or socially motivated purposes. It used to be considered the biggest risk, although attacks were </w:t>
      </w:r>
      <w:r w:rsidRPr="00400193">
        <w:rPr>
          <w:i/>
          <w:iCs/>
          <w:szCs w:val="24"/>
          <w:lang w:eastAsia="zh-CN" w:bidi="hi-IN"/>
        </w:rPr>
        <w:t>“fairly rudimentary”</w:t>
      </w:r>
      <w:r w:rsidRPr="00400193">
        <w:rPr>
          <w:szCs w:val="24"/>
          <w:lang w:eastAsia="zh-CN" w:bidi="hi-IN"/>
        </w:rPr>
        <w:t xml:space="preserve"> </w:t>
      </w:r>
      <w:r w:rsidR="00497A66" w:rsidRPr="00400193">
        <w:rPr>
          <w:szCs w:val="24"/>
          <w:lang w:eastAsia="zh-CN" w:bidi="hi-IN"/>
        </w:rPr>
        <w:t>(Allianz, 2015, p. 7)</w:t>
      </w:r>
      <w:r w:rsidRPr="00400193">
        <w:rPr>
          <w:szCs w:val="24"/>
          <w:lang w:eastAsia="zh-CN" w:bidi="hi-IN"/>
        </w:rPr>
        <w:t xml:space="preserve"> as recently as 15 years ago. Although more sophisticated now, the risk is difficult to estimate.</w:t>
      </w:r>
    </w:p>
    <w:p w14:paraId="7AE88A2B" w14:textId="2BC0F8F7" w:rsidR="00C3651A" w:rsidRPr="00400193" w:rsidRDefault="00C3651A" w:rsidP="00C3651A">
      <w:pPr>
        <w:suppressAutoHyphens/>
        <w:rPr>
          <w:szCs w:val="24"/>
          <w:lang w:eastAsia="zh-CN" w:bidi="hi-IN"/>
        </w:rPr>
      </w:pPr>
      <w:r w:rsidRPr="00400193">
        <w:rPr>
          <w:szCs w:val="24"/>
          <w:lang w:eastAsia="zh-CN" w:bidi="hi-IN"/>
        </w:rPr>
        <w:t xml:space="preserve">Attacks on computer or network infrastructure continue to occur, but many are not reported </w:t>
      </w:r>
      <w:r w:rsidRPr="00400193">
        <w:rPr>
          <w:i/>
          <w:szCs w:val="24"/>
          <w:lang w:eastAsia="zh-CN" w:bidi="hi-IN"/>
        </w:rPr>
        <w:t>“due to fears about loss of reputation or lack of legal requirements”</w:t>
      </w:r>
      <w:r w:rsidRPr="00400193">
        <w:rPr>
          <w:szCs w:val="24"/>
          <w:lang w:eastAsia="zh-CN" w:bidi="hi-IN"/>
        </w:rPr>
        <w:t xml:space="preserve"> (Allianz, 2015, p. 7). This lack of reporting makes it very difficult to accurately assess the risk, except that it is probably underestimated. </w:t>
      </w:r>
      <w:r w:rsidRPr="00400193">
        <w:rPr>
          <w:szCs w:val="24"/>
          <w:lang w:eastAsia="zh-CN" w:bidi="hi-IN"/>
        </w:rPr>
        <w:fldChar w:fldCharType="begin"/>
      </w:r>
      <w:r w:rsidRPr="00400193">
        <w:rPr>
          <w:szCs w:val="24"/>
          <w:lang w:eastAsia="zh-CN" w:bidi="hi-IN"/>
        </w:rPr>
        <w:instrText xml:space="preserve"> REF _Ref42540994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1</w:t>
      </w:r>
      <w:r w:rsidRPr="00400193">
        <w:rPr>
          <w:szCs w:val="24"/>
          <w:lang w:eastAsia="zh-CN" w:bidi="hi-IN"/>
        </w:rPr>
        <w:fldChar w:fldCharType="end"/>
      </w:r>
      <w:r w:rsidRPr="00400193">
        <w:rPr>
          <w:szCs w:val="24"/>
          <w:lang w:eastAsia="zh-CN" w:bidi="hi-IN"/>
        </w:rPr>
        <w:t xml:space="preserve"> shows that many companies underestimate cyber-risks even though these risks continue to grow rapidly </w:t>
      </w:r>
      <w:r w:rsidR="00497A66" w:rsidRPr="00400193">
        <w:rPr>
          <w:szCs w:val="24"/>
          <w:lang w:eastAsia="zh-CN" w:bidi="hi-IN"/>
        </w:rPr>
        <w:t>(Allianz, 2015)</w:t>
      </w:r>
      <w:r w:rsidRPr="00400193">
        <w:rPr>
          <w:szCs w:val="24"/>
          <w:lang w:eastAsia="zh-CN" w:bidi="hi-IN"/>
        </w:rPr>
        <w:t>.</w:t>
      </w:r>
    </w:p>
    <w:p w14:paraId="46098609" w14:textId="6A69F8F4" w:rsidR="00C3651A" w:rsidRPr="00400193" w:rsidRDefault="00C3651A" w:rsidP="00C3651A">
      <w:pPr>
        <w:suppressAutoHyphens/>
        <w:rPr>
          <w:szCs w:val="24"/>
          <w:lang w:eastAsia="zh-CN" w:bidi="hi-IN"/>
        </w:rPr>
      </w:pPr>
      <w:r w:rsidRPr="00400193">
        <w:rPr>
          <w:szCs w:val="24"/>
          <w:lang w:eastAsia="zh-CN" w:bidi="hi-IN"/>
        </w:rPr>
        <w:t xml:space="preserve">Within the broad description of ‘hacktivism’ there are certain specific risks. Some of the emergent and common risks are shown in </w:t>
      </w:r>
      <w:r w:rsidRPr="00400193">
        <w:rPr>
          <w:szCs w:val="24"/>
          <w:lang w:eastAsia="zh-CN" w:bidi="hi-IN"/>
        </w:rPr>
        <w:fldChar w:fldCharType="begin"/>
      </w:r>
      <w:r w:rsidRPr="00400193">
        <w:rPr>
          <w:szCs w:val="24"/>
          <w:lang w:eastAsia="zh-CN" w:bidi="hi-IN"/>
        </w:rPr>
        <w:instrText xml:space="preserve"> REF _Ref42433950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2</w:t>
      </w:r>
      <w:r w:rsidRPr="00400193">
        <w:rPr>
          <w:szCs w:val="24"/>
          <w:lang w:eastAsia="zh-CN" w:bidi="hi-IN"/>
        </w:rPr>
        <w:fldChar w:fldCharType="end"/>
      </w:r>
      <w:r w:rsidRPr="00400193">
        <w:rPr>
          <w:szCs w:val="24"/>
          <w:lang w:eastAsia="zh-CN" w:bidi="hi-IN"/>
        </w:rPr>
        <w:t xml:space="preserve">. These probably require a little explanation. ‘Clicktivism’ is a controversial policy of using the internet to take direct, usually militant action for a political or social purpose </w:t>
      </w:r>
      <w:r w:rsidR="00497A66" w:rsidRPr="00400193">
        <w:rPr>
          <w:szCs w:val="24"/>
          <w:lang w:eastAsia="zh-CN" w:bidi="hi-IN"/>
        </w:rPr>
        <w:t>(Halupka, 2014)</w:t>
      </w:r>
      <w:r w:rsidRPr="00400193">
        <w:rPr>
          <w:szCs w:val="24"/>
          <w:lang w:eastAsia="zh-CN" w:bidi="hi-IN"/>
        </w:rPr>
        <w:t xml:space="preserve">. ‘Clicktivism’ is defined as </w:t>
      </w:r>
      <w:r w:rsidRPr="00400193">
        <w:rPr>
          <w:i/>
          <w:iCs/>
          <w:szCs w:val="24"/>
          <w:lang w:eastAsia="zh-CN" w:bidi="hi-IN"/>
        </w:rPr>
        <w:t>“a lazy or overly convenient alternative to the effort and legitimacy of traditional engagement”</w:t>
      </w:r>
      <w:r w:rsidRPr="00400193">
        <w:rPr>
          <w:szCs w:val="24"/>
          <w:lang w:eastAsia="zh-CN" w:bidi="hi-IN"/>
        </w:rPr>
        <w:t xml:space="preserve"> (Halupka, 2014, p. 116), but it is relevant to hacktivism because:</w:t>
      </w:r>
    </w:p>
    <w:p w14:paraId="7667EF31" w14:textId="77777777" w:rsidR="00C3651A" w:rsidRPr="00400193" w:rsidRDefault="00C3651A" w:rsidP="00497A66">
      <w:pPr>
        <w:pStyle w:val="Quote"/>
        <w:rPr>
          <w:lang w:eastAsia="zh-CN" w:bidi="hi-IN"/>
        </w:rPr>
      </w:pPr>
      <w:r w:rsidRPr="00400193">
        <w:rPr>
          <w:lang w:eastAsia="zh-CN" w:bidi="hi-IN"/>
        </w:rPr>
        <w:t>the current derogatory use of the term clicktivism doesn’t do justice to the simultaneous evolution of developing technology and new modes of participation. To this end, the aim here is to better understand clicktivism as a legitimate political act, and in so doing establish a more systematic approach to its identification, and use in future research (Halupka, 2014, p. 116).</w:t>
      </w:r>
    </w:p>
    <w:p w14:paraId="0C502889" w14:textId="77777777" w:rsidR="00C3651A" w:rsidRPr="00400193" w:rsidRDefault="00C3651A" w:rsidP="00C3651A">
      <w:pPr>
        <w:suppressAutoHyphens/>
        <w:rPr>
          <w:szCs w:val="24"/>
          <w:lang w:eastAsia="zh-CN" w:bidi="hi-IN"/>
        </w:rPr>
      </w:pPr>
      <w:r w:rsidRPr="00400193">
        <w:rPr>
          <w:szCs w:val="24"/>
          <w:lang w:eastAsia="zh-CN" w:bidi="hi-IN"/>
        </w:rPr>
        <w:t>Halupka (2014) suggested that clicktivism is a form of ‘legitimate protest’, or non-violent use of digital tools to promote an idea or protest against a new public policy or law. It can, however, lead to unfortunate results for the target. An example of this has recently been seen in ‘popular’ culture, where a member of a band was linked to the female author of a popular book, which immediately began to receive one-star reviews instead of the previous five-star reviews (reported by Amazon, May 2017).</w:t>
      </w:r>
    </w:p>
    <w:p w14:paraId="7A2FBB73" w14:textId="225CBA43" w:rsidR="00C3651A" w:rsidRPr="00400193" w:rsidRDefault="00C3651A" w:rsidP="00C3651A">
      <w:pPr>
        <w:suppressAutoHyphens/>
        <w:rPr>
          <w:szCs w:val="24"/>
          <w:lang w:eastAsia="zh-CN" w:bidi="hi-IN"/>
        </w:rPr>
      </w:pPr>
      <w:r w:rsidRPr="00400193">
        <w:rPr>
          <w:szCs w:val="24"/>
          <w:lang w:eastAsia="zh-CN" w:bidi="hi-IN"/>
        </w:rPr>
        <w:t xml:space="preserve">Overloading a system to cause denial of service (DoS) is well-known, but despite safeguards and increased awareness it still occurs frequently </w:t>
      </w:r>
      <w:r w:rsidR="00E93EE0" w:rsidRPr="00400193">
        <w:rPr>
          <w:szCs w:val="24"/>
          <w:lang w:eastAsia="zh-CN" w:bidi="hi-IN"/>
        </w:rPr>
        <w:t xml:space="preserve">(Bartolacci, LeBlanc, </w:t>
      </w:r>
      <w:r w:rsidR="00E93EE0" w:rsidRPr="00400193">
        <w:rPr>
          <w:szCs w:val="24"/>
          <w:lang w:eastAsia="zh-CN" w:bidi="hi-IN"/>
        </w:rPr>
        <w:lastRenderedPageBreak/>
        <w:t>and Podhradsky, 2014)</w:t>
      </w:r>
      <w:r w:rsidRPr="00400193">
        <w:rPr>
          <w:szCs w:val="24"/>
          <w:lang w:eastAsia="zh-CN" w:bidi="hi-IN"/>
        </w:rPr>
        <w:t xml:space="preserve">. It is especially likely to happen to those using outdated or old IT. ‘Doxing’ is a fairly recent threat, and </w:t>
      </w:r>
    </w:p>
    <w:p w14:paraId="14372703" w14:textId="77777777" w:rsidR="00C3651A" w:rsidRPr="00400193" w:rsidRDefault="00C3651A" w:rsidP="00497A66">
      <w:pPr>
        <w:pStyle w:val="Quote"/>
        <w:rPr>
          <w:lang w:eastAsia="zh-CN" w:bidi="hi-IN"/>
        </w:rPr>
      </w:pPr>
      <w:r w:rsidRPr="00400193">
        <w:rPr>
          <w:lang w:eastAsia="zh-CN" w:bidi="hi-IN"/>
        </w:rPr>
        <w:t>is the intentional public release onto the Internet of personal information about an individual by a third party, often with the intent to humiliate, threaten, intimidate, or punish the identified individual (Douglas, 2016, p. 199).</w:t>
      </w:r>
    </w:p>
    <w:p w14:paraId="22E057DD" w14:textId="77777777" w:rsidR="00C3651A" w:rsidRPr="00400193" w:rsidRDefault="00C3651A" w:rsidP="00C3651A">
      <w:pPr>
        <w:suppressAutoHyphens/>
      </w:pPr>
      <w:r w:rsidRPr="00400193">
        <w:rPr>
          <w:szCs w:val="24"/>
          <w:lang w:eastAsia="zh-CN" w:bidi="hi-IN"/>
        </w:rPr>
        <w:t xml:space="preserve">‘Slacktivism’ is supporting as social or political cause using social media or online petitions that cause disruption but require very little effort or commitment on the part of the instigator, and ‘Slacktivism’ is related to ‘clicktivism’ (Halupka, 2014), and it is also often underestimated, because of the derogatory image that it has been given (Halupka, 2014). Website vandalism is also not new, but in its latest form often causes the breakdown of infrastructure in ‘smart cities’. It involves </w:t>
      </w:r>
      <w:r w:rsidRPr="00400193">
        <w:rPr>
          <w:i/>
          <w:iCs/>
          <w:szCs w:val="24"/>
          <w:lang w:eastAsia="zh-CN" w:bidi="hi-IN"/>
        </w:rPr>
        <w:t>“intentional breakdown, or sabotage, which forms part of the tactics of protest against urban development”</w:t>
      </w:r>
      <w:r w:rsidRPr="00400193">
        <w:rPr>
          <w:i/>
          <w:szCs w:val="24"/>
          <w:lang w:eastAsia="zh-CN" w:bidi="hi-IN"/>
        </w:rPr>
        <w:t xml:space="preserve"> </w:t>
      </w:r>
      <w:r w:rsidRPr="00400193">
        <w:rPr>
          <w:iCs/>
          <w:szCs w:val="24"/>
          <w:lang w:eastAsia="zh-CN" w:bidi="hi-IN"/>
        </w:rPr>
        <w:t xml:space="preserve">(Hoyng, 2016, p. 398). </w:t>
      </w:r>
      <w:r w:rsidRPr="00400193">
        <w:rPr>
          <w:szCs w:val="24"/>
          <w:lang w:eastAsia="zh-CN" w:bidi="hi-IN"/>
        </w:rPr>
        <w:t xml:space="preserve">The link to ‘hacktivism’ is in its association with protest. </w:t>
      </w:r>
    </w:p>
    <w:tbl>
      <w:tblPr>
        <w:tblW w:w="9014" w:type="dxa"/>
        <w:tblLook w:val="04A0" w:firstRow="1" w:lastRow="0" w:firstColumn="1" w:lastColumn="0" w:noHBand="0" w:noVBand="1"/>
      </w:tblPr>
      <w:tblGrid>
        <w:gridCol w:w="4508"/>
        <w:gridCol w:w="4506"/>
      </w:tblGrid>
      <w:tr w:rsidR="00A0618E" w:rsidRPr="00400193" w14:paraId="5FD56C77" w14:textId="77777777" w:rsidTr="00C3651A">
        <w:tc>
          <w:tcPr>
            <w:tcW w:w="4508" w:type="dxa"/>
            <w:tcBorders>
              <w:top w:val="single" w:sz="6" w:space="0" w:color="000000"/>
              <w:left w:val="nil"/>
              <w:bottom w:val="single" w:sz="6" w:space="0" w:color="000000"/>
              <w:right w:val="nil"/>
            </w:tcBorders>
            <w:hideMark/>
          </w:tcPr>
          <w:p w14:paraId="13976E7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Hacktivism risks</w:t>
            </w:r>
          </w:p>
        </w:tc>
        <w:tc>
          <w:tcPr>
            <w:tcW w:w="4506" w:type="dxa"/>
            <w:tcBorders>
              <w:top w:val="single" w:sz="6" w:space="0" w:color="000000"/>
              <w:left w:val="nil"/>
              <w:bottom w:val="single" w:sz="6" w:space="0" w:color="000000"/>
              <w:right w:val="nil"/>
            </w:tcBorders>
            <w:hideMark/>
          </w:tcPr>
          <w:p w14:paraId="3376638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2524DC62" w14:textId="77777777" w:rsidTr="00C3651A">
        <w:tc>
          <w:tcPr>
            <w:tcW w:w="4508" w:type="dxa"/>
            <w:hideMark/>
          </w:tcPr>
          <w:p w14:paraId="19AEE81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Generating support for activism using social media (clicktivism)</w:t>
            </w:r>
          </w:p>
        </w:tc>
        <w:tc>
          <w:tcPr>
            <w:tcW w:w="4506" w:type="dxa"/>
            <w:vAlign w:val="center"/>
            <w:hideMark/>
          </w:tcPr>
          <w:p w14:paraId="6609E86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Halupka (2014)</w:t>
            </w:r>
          </w:p>
        </w:tc>
      </w:tr>
      <w:tr w:rsidR="00A0618E" w:rsidRPr="00400193" w14:paraId="212E586A" w14:textId="77777777" w:rsidTr="00C3651A">
        <w:tc>
          <w:tcPr>
            <w:tcW w:w="4508" w:type="dxa"/>
            <w:hideMark/>
          </w:tcPr>
          <w:p w14:paraId="12275AD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Preventing legitimate users from accessing apps and services (DoSing)</w:t>
            </w:r>
          </w:p>
        </w:tc>
        <w:tc>
          <w:tcPr>
            <w:tcW w:w="4506" w:type="dxa"/>
            <w:vAlign w:val="center"/>
            <w:hideMark/>
          </w:tcPr>
          <w:p w14:paraId="0AD4CFA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 Laat (2015)</w:t>
            </w:r>
          </w:p>
        </w:tc>
      </w:tr>
      <w:tr w:rsidR="00A0618E" w:rsidRPr="00400193" w14:paraId="4421E2D5" w14:textId="77777777" w:rsidTr="00C3651A">
        <w:tc>
          <w:tcPr>
            <w:tcW w:w="4508" w:type="dxa"/>
            <w:hideMark/>
          </w:tcPr>
          <w:p w14:paraId="0A0296D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Publishing private or personal information or documents (dox) (doxing or doxxing)</w:t>
            </w:r>
          </w:p>
        </w:tc>
        <w:tc>
          <w:tcPr>
            <w:tcW w:w="4506" w:type="dxa"/>
            <w:vAlign w:val="center"/>
            <w:hideMark/>
          </w:tcPr>
          <w:p w14:paraId="2060FEF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Douglas (2016)</w:t>
            </w:r>
          </w:p>
        </w:tc>
      </w:tr>
      <w:tr w:rsidR="00A0618E" w:rsidRPr="00400193" w14:paraId="5E694E43" w14:textId="77777777" w:rsidTr="00C3651A">
        <w:tc>
          <w:tcPr>
            <w:tcW w:w="4508" w:type="dxa"/>
            <w:hideMark/>
          </w:tcPr>
          <w:p w14:paraId="6307D97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Encouraging the signing of an online petition or joining a campaign group (slacktivism)</w:t>
            </w:r>
          </w:p>
        </w:tc>
        <w:tc>
          <w:tcPr>
            <w:tcW w:w="4506" w:type="dxa"/>
            <w:vAlign w:val="center"/>
            <w:hideMark/>
          </w:tcPr>
          <w:p w14:paraId="3F2DE2F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Halupka (2014)</w:t>
            </w:r>
          </w:p>
        </w:tc>
      </w:tr>
      <w:tr w:rsidR="00A0618E" w:rsidRPr="00400193" w14:paraId="7CE09C0D" w14:textId="77777777" w:rsidTr="00C3651A">
        <w:tc>
          <w:tcPr>
            <w:tcW w:w="4508" w:type="dxa"/>
            <w:hideMark/>
          </w:tcPr>
          <w:p w14:paraId="08EC381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Website vandalism</w:t>
            </w:r>
          </w:p>
        </w:tc>
        <w:tc>
          <w:tcPr>
            <w:tcW w:w="4506" w:type="dxa"/>
            <w:hideMark/>
          </w:tcPr>
          <w:p w14:paraId="69304C0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 Laat (2015); Hoyng (2016)</w:t>
            </w:r>
          </w:p>
        </w:tc>
      </w:tr>
      <w:tr w:rsidR="00A0618E" w:rsidRPr="00400193" w14:paraId="68DC4835" w14:textId="77777777" w:rsidTr="00C3651A">
        <w:tc>
          <w:tcPr>
            <w:tcW w:w="4508" w:type="dxa"/>
            <w:hideMark/>
          </w:tcPr>
          <w:p w14:paraId="4FCF88D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Document leaks</w:t>
            </w:r>
          </w:p>
        </w:tc>
        <w:tc>
          <w:tcPr>
            <w:tcW w:w="4506" w:type="dxa"/>
            <w:vAlign w:val="center"/>
            <w:hideMark/>
          </w:tcPr>
          <w:p w14:paraId="67C0C1E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Drmola, Bastl, and Mares (2015)</w:t>
            </w:r>
          </w:p>
        </w:tc>
      </w:tr>
      <w:tr w:rsidR="00A0618E" w:rsidRPr="00400193" w14:paraId="7D870903" w14:textId="77777777" w:rsidTr="00C3651A">
        <w:tc>
          <w:tcPr>
            <w:tcW w:w="4508" w:type="dxa"/>
            <w:hideMark/>
          </w:tcPr>
          <w:p w14:paraId="65CB126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Computer-assisted crimes </w:t>
            </w:r>
            <w:r w:rsidRPr="00400193">
              <w:rPr>
                <w:rFonts w:asciiTheme="minorHAnsi" w:eastAsia="Liberation Serif" w:hAnsiTheme="minorHAnsi" w:cstheme="minorHAnsi"/>
                <w:sz w:val="22"/>
                <w:vertAlign w:val="superscript"/>
                <w:lang w:eastAsia="zh-CN" w:bidi="hi-IN"/>
              </w:rPr>
              <w:t>a</w:t>
            </w:r>
          </w:p>
        </w:tc>
        <w:tc>
          <w:tcPr>
            <w:tcW w:w="4506" w:type="dxa"/>
            <w:hideMark/>
          </w:tcPr>
          <w:p w14:paraId="3A8E3B5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Smith and Rupp (2002)</w:t>
            </w:r>
          </w:p>
        </w:tc>
      </w:tr>
      <w:tr w:rsidR="00A0618E" w:rsidRPr="00400193" w14:paraId="2E13A0DC" w14:textId="77777777" w:rsidTr="00C3651A">
        <w:tc>
          <w:tcPr>
            <w:tcW w:w="4508" w:type="dxa"/>
            <w:hideMark/>
          </w:tcPr>
          <w:p w14:paraId="4071AFD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Vengeance, sabotage, and fraud</w:t>
            </w:r>
          </w:p>
        </w:tc>
        <w:tc>
          <w:tcPr>
            <w:tcW w:w="4506" w:type="dxa"/>
            <w:hideMark/>
          </w:tcPr>
          <w:p w14:paraId="647315A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Smith and Rupp (2002)</w:t>
            </w:r>
          </w:p>
        </w:tc>
      </w:tr>
      <w:tr w:rsidR="00A0618E" w:rsidRPr="00400193" w14:paraId="7012CCBF" w14:textId="77777777" w:rsidTr="00C3651A">
        <w:tc>
          <w:tcPr>
            <w:tcW w:w="4508" w:type="dxa"/>
            <w:hideMark/>
          </w:tcPr>
          <w:p w14:paraId="420ED9E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Environmental damage</w:t>
            </w:r>
          </w:p>
        </w:tc>
        <w:tc>
          <w:tcPr>
            <w:tcW w:w="4506" w:type="dxa"/>
            <w:hideMark/>
          </w:tcPr>
          <w:p w14:paraId="4ECB80A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Pawlowski and Jung (2015); Raikov (2009)</w:t>
            </w:r>
          </w:p>
        </w:tc>
      </w:tr>
      <w:tr w:rsidR="00A0618E" w:rsidRPr="00400193" w14:paraId="65459E06" w14:textId="77777777" w:rsidTr="00C3651A">
        <w:tc>
          <w:tcPr>
            <w:tcW w:w="4508" w:type="dxa"/>
            <w:hideMark/>
          </w:tcPr>
          <w:p w14:paraId="1C45ABE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Generating excess traffic that interferes with legitimate computer usage (DDoS attacks)</w:t>
            </w:r>
          </w:p>
        </w:tc>
        <w:tc>
          <w:tcPr>
            <w:tcW w:w="4506" w:type="dxa"/>
            <w:hideMark/>
          </w:tcPr>
          <w:p w14:paraId="37E19CB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 Laat (2015)</w:t>
            </w:r>
          </w:p>
        </w:tc>
      </w:tr>
      <w:tr w:rsidR="00A0618E" w:rsidRPr="00400193" w14:paraId="09149318" w14:textId="77777777" w:rsidTr="00C3651A">
        <w:tc>
          <w:tcPr>
            <w:tcW w:w="4508" w:type="dxa"/>
            <w:hideMark/>
          </w:tcPr>
          <w:p w14:paraId="3ACC36F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Reputational damage</w:t>
            </w:r>
          </w:p>
        </w:tc>
        <w:tc>
          <w:tcPr>
            <w:tcW w:w="4506" w:type="dxa"/>
            <w:hideMark/>
          </w:tcPr>
          <w:p w14:paraId="4765024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Silic and Back (2016); Smith and Rupp (2002)</w:t>
            </w:r>
          </w:p>
        </w:tc>
      </w:tr>
      <w:tr w:rsidR="00A0618E" w:rsidRPr="00400193" w14:paraId="3EF3E491" w14:textId="77777777" w:rsidTr="00C3651A">
        <w:tc>
          <w:tcPr>
            <w:tcW w:w="4508" w:type="dxa"/>
            <w:tcBorders>
              <w:top w:val="nil"/>
              <w:left w:val="nil"/>
              <w:bottom w:val="single" w:sz="6" w:space="0" w:color="000000"/>
              <w:right w:val="nil"/>
            </w:tcBorders>
            <w:hideMark/>
          </w:tcPr>
          <w:p w14:paraId="755BAF8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Cyber-bullying.</w:t>
            </w:r>
          </w:p>
        </w:tc>
        <w:tc>
          <w:tcPr>
            <w:tcW w:w="4506" w:type="dxa"/>
            <w:tcBorders>
              <w:top w:val="nil"/>
              <w:left w:val="nil"/>
              <w:bottom w:val="single" w:sz="6" w:space="0" w:color="000000"/>
              <w:right w:val="nil"/>
            </w:tcBorders>
            <w:hideMark/>
          </w:tcPr>
          <w:p w14:paraId="59697D2C"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 Laat (2015); Halupka (2014)</w:t>
            </w:r>
          </w:p>
        </w:tc>
      </w:tr>
    </w:tbl>
    <w:p w14:paraId="2D945183" w14:textId="138C88B8" w:rsidR="00C3651A" w:rsidRPr="00400193" w:rsidRDefault="00C3651A" w:rsidP="00497A66">
      <w:pPr>
        <w:pStyle w:val="Caption"/>
      </w:pPr>
      <w:bookmarkStart w:id="173" w:name="_pkwqa1"/>
      <w:bookmarkStart w:id="174" w:name="_Ref42433950"/>
      <w:bookmarkStart w:id="175" w:name="_Toc52901531"/>
      <w:bookmarkEnd w:id="17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w:t>
      </w:r>
      <w:r w:rsidRPr="00400193">
        <w:fldChar w:fldCharType="end"/>
      </w:r>
      <w:bookmarkEnd w:id="174"/>
      <w:r w:rsidRPr="00400193">
        <w:t>: Some of the risks associated with hacktivism.</w:t>
      </w:r>
      <w:bookmarkEnd w:id="175"/>
      <w:r w:rsidRPr="00400193">
        <w:t xml:space="preserve"> </w:t>
      </w:r>
    </w:p>
    <w:p w14:paraId="2E07E954" w14:textId="77777777" w:rsidR="00C3651A" w:rsidRPr="00400193" w:rsidRDefault="00C3651A" w:rsidP="00C3651A">
      <w:pPr>
        <w:pStyle w:val="Caption"/>
        <w:spacing w:after="240"/>
        <w:rPr>
          <w:b w:val="0"/>
          <w:bCs/>
          <w:i w:val="0"/>
          <w:sz w:val="20"/>
          <w:szCs w:val="20"/>
          <w:lang w:eastAsia="zh-CN" w:bidi="hi-IN"/>
        </w:rPr>
      </w:pPr>
      <w:r w:rsidRPr="00400193">
        <w:rPr>
          <w:b w:val="0"/>
          <w:bCs/>
          <w:sz w:val="20"/>
          <w:szCs w:val="14"/>
          <w:vertAlign w:val="superscript"/>
        </w:rPr>
        <w:t>a.</w:t>
      </w:r>
      <w:r w:rsidRPr="00400193">
        <w:rPr>
          <w:b w:val="0"/>
          <w:bCs/>
          <w:sz w:val="20"/>
          <w:szCs w:val="14"/>
        </w:rPr>
        <w:t xml:space="preserve"> Very broad but may include such things as downloading pornography to company files and using the computers of one company to attack another.</w:t>
      </w:r>
    </w:p>
    <w:p w14:paraId="008F1416" w14:textId="059DADE5" w:rsidR="00C3651A" w:rsidRPr="00400193" w:rsidRDefault="00C3651A" w:rsidP="00C3651A">
      <w:pPr>
        <w:suppressAutoHyphens/>
        <w:rPr>
          <w:szCs w:val="24"/>
          <w:lang w:eastAsia="zh-CN" w:bidi="hi-IN"/>
        </w:rPr>
      </w:pPr>
      <w:r w:rsidRPr="00400193">
        <w:rPr>
          <w:szCs w:val="24"/>
          <w:lang w:eastAsia="zh-CN" w:bidi="hi-IN"/>
        </w:rPr>
        <w:t xml:space="preserve">There is disagreement among hackers about what ‘hacktivism’ includes. However, like cyber-terrorism, the definition is often linked to the purpose </w:t>
      </w:r>
      <w:r w:rsidR="00497A66" w:rsidRPr="00400193">
        <w:rPr>
          <w:szCs w:val="24"/>
          <w:lang w:eastAsia="zh-CN" w:bidi="hi-IN"/>
        </w:rPr>
        <w:t>(Halupka, 2014)</w:t>
      </w:r>
      <w:r w:rsidRPr="00400193">
        <w:rPr>
          <w:szCs w:val="24"/>
          <w:lang w:eastAsia="zh-CN" w:bidi="hi-IN"/>
        </w:rPr>
        <w:t xml:space="preserve">. Computer-assisted crime is included in </w:t>
      </w:r>
      <w:r w:rsidR="00497A66" w:rsidRPr="00400193">
        <w:rPr>
          <w:szCs w:val="24"/>
          <w:lang w:eastAsia="zh-CN" w:bidi="hi-IN"/>
        </w:rPr>
        <w:fldChar w:fldCharType="begin"/>
      </w:r>
      <w:r w:rsidR="00497A66" w:rsidRPr="00400193">
        <w:rPr>
          <w:szCs w:val="24"/>
          <w:lang w:eastAsia="zh-CN" w:bidi="hi-IN"/>
        </w:rPr>
        <w:instrText xml:space="preserve"> REF _Ref42433950 \h </w:instrText>
      </w:r>
      <w:r w:rsidR="00497A66" w:rsidRPr="00400193">
        <w:rPr>
          <w:szCs w:val="24"/>
          <w:lang w:eastAsia="zh-CN" w:bidi="hi-IN"/>
        </w:rPr>
      </w:r>
      <w:r w:rsidR="00497A66"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2</w:t>
      </w:r>
      <w:r w:rsidR="00497A66" w:rsidRPr="00400193">
        <w:rPr>
          <w:szCs w:val="24"/>
          <w:lang w:eastAsia="zh-CN" w:bidi="hi-IN"/>
        </w:rPr>
        <w:fldChar w:fldCharType="end"/>
      </w:r>
      <w:r w:rsidRPr="00400193">
        <w:rPr>
          <w:szCs w:val="24"/>
          <w:lang w:eastAsia="zh-CN" w:bidi="hi-IN"/>
        </w:rPr>
        <w:t xml:space="preserve"> because it can often be the aim of hacktivists to show that an individual within an organisation is ‘unfit’ or simply hypocritical. If that individual’s log-in or computer is used to access pornography </w:t>
      </w:r>
      <w:r w:rsidRPr="00400193">
        <w:rPr>
          <w:szCs w:val="24"/>
          <w:lang w:eastAsia="zh-CN" w:bidi="hi-IN"/>
        </w:rPr>
        <w:lastRenderedPageBreak/>
        <w:t xml:space="preserve">(Smith </w:t>
      </w:r>
      <w:r w:rsidR="00E93EE0" w:rsidRPr="00400193">
        <w:rPr>
          <w:szCs w:val="24"/>
          <w:lang w:eastAsia="zh-CN" w:bidi="hi-IN"/>
        </w:rPr>
        <w:t>and</w:t>
      </w:r>
      <w:r w:rsidRPr="00400193">
        <w:rPr>
          <w:szCs w:val="24"/>
          <w:lang w:eastAsia="zh-CN" w:bidi="hi-IN"/>
        </w:rPr>
        <w:t xml:space="preserve"> Rupp, 2002) or to disrupt another company, the hacktivist has been successful. This also applies to the ‘vengeance, sabotage or fraud’ category: hacktivism could be motivated by any of these, so the attack may be non-specific. Environmental damage would not usually be hacktivists’ intent, but by hacking processes that they do not understand, they may do considerable harm (Hamelink, 2000). The difficulty is that until an event can be publicly proven to have been the work of a hacktivist, the company reputation is badly harmed.</w:t>
      </w:r>
    </w:p>
    <w:p w14:paraId="0C0237EF" w14:textId="77777777" w:rsidR="00C3651A" w:rsidRPr="00400193" w:rsidRDefault="00C3651A" w:rsidP="00C3651A">
      <w:pPr>
        <w:suppressAutoHyphens/>
        <w:rPr>
          <w:szCs w:val="24"/>
          <w:lang w:eastAsia="zh-CN" w:bidi="hi-IN"/>
        </w:rPr>
      </w:pPr>
      <w:r w:rsidRPr="00400193">
        <w:rPr>
          <w:szCs w:val="24"/>
          <w:lang w:eastAsia="zh-CN" w:bidi="hi-IN"/>
        </w:rPr>
        <w:t>Hacktivism, like any kind of extremist behaviour, may border on terrorist behaviour (de Laat, 2015) and may also involve cyber-bullying. Responding to cyber-bullying needs care, because mishandling can exacerbate the problem and involve an increasing number of people in the cycle (Betts, 2016).</w:t>
      </w:r>
    </w:p>
    <w:p w14:paraId="4C28782F" w14:textId="77777777" w:rsidR="00C3651A" w:rsidRPr="00400193" w:rsidRDefault="00C3651A" w:rsidP="00C3651A">
      <w:pPr>
        <w:pStyle w:val="Heading5"/>
        <w:rPr>
          <w:rFonts w:eastAsia="Arial"/>
          <w:lang w:eastAsia="zh-CN" w:bidi="hi-IN"/>
        </w:rPr>
      </w:pPr>
      <w:bookmarkStart w:id="176" w:name="_39kk8xu"/>
      <w:bookmarkStart w:id="177" w:name="_1opuj5n"/>
      <w:bookmarkStart w:id="178" w:name="_Toc61894689"/>
      <w:bookmarkEnd w:id="176"/>
      <w:bookmarkEnd w:id="177"/>
      <w:r w:rsidRPr="00400193">
        <w:rPr>
          <w:rFonts w:eastAsia="Arial"/>
          <w:lang w:eastAsia="zh-CN" w:bidi="hi-IN"/>
        </w:rPr>
        <w:t>Phishing</w:t>
      </w:r>
      <w:bookmarkEnd w:id="178"/>
    </w:p>
    <w:p w14:paraId="4797766F" w14:textId="435F5D6E" w:rsidR="00C3651A" w:rsidRPr="00400193" w:rsidRDefault="00C3651A" w:rsidP="00C3651A">
      <w:pPr>
        <w:suppressAutoHyphens/>
        <w:rPr>
          <w:szCs w:val="24"/>
          <w:lang w:eastAsia="zh-CN" w:bidi="hi-IN"/>
        </w:rPr>
      </w:pPr>
      <w:r w:rsidRPr="00400193">
        <w:rPr>
          <w:szCs w:val="24"/>
          <w:lang w:eastAsia="zh-CN" w:bidi="hi-IN"/>
        </w:rPr>
        <w:t xml:space="preserve">Phishing is seen by analysts as one of the fastest-growing cyber-risks (Recorded Future, 2015), because it relies on ‘human error’. Phishing is increasingly aimed at senior managers within a company and is intended to take advantage of their busy schedules to trick them into accepting the bona fides of the sender, and inadvertently giving away details that give the attacker an ‘access gateway’. This may do no direct damage to the company but may harm the reputation of the recipient. For example, news outlets recently reported that the managing director of a national company in the UK was fooled into believing an email was from the chairman, and his response was ridiculed on Facebook </w:t>
      </w:r>
      <w:r w:rsidR="00497A66" w:rsidRPr="00400193">
        <w:rPr>
          <w:szCs w:val="24"/>
          <w:lang w:eastAsia="zh-CN" w:bidi="hi-IN"/>
        </w:rPr>
        <w:t>(Rodionova, 2017)</w:t>
      </w:r>
      <w:r w:rsidRPr="00400193">
        <w:rPr>
          <w:szCs w:val="24"/>
          <w:lang w:eastAsia="zh-CN" w:bidi="hi-IN"/>
        </w:rPr>
        <w:t>.</w:t>
      </w:r>
    </w:p>
    <w:p w14:paraId="18A749E8" w14:textId="281AC704" w:rsidR="00C3651A" w:rsidRPr="00400193" w:rsidRDefault="00C3651A" w:rsidP="00C3651A">
      <w:pPr>
        <w:suppressAutoHyphens/>
        <w:rPr>
          <w:szCs w:val="24"/>
          <w:lang w:eastAsia="zh-CN" w:bidi="hi-IN"/>
        </w:rPr>
      </w:pPr>
      <w:r w:rsidRPr="00400193">
        <w:rPr>
          <w:szCs w:val="24"/>
          <w:lang w:eastAsia="zh-CN" w:bidi="hi-IN"/>
        </w:rPr>
        <w:t xml:space="preserve">The increased connectivity of the IoT, and the increase in personal information legally available by ‘data mining’, make it easier for phishing to be targeted at a specific individual. The names and details of individuals can be discovered, and their interests can be estimated from the kind of connected devices they use (see </w:t>
      </w:r>
      <w:r w:rsidRPr="00400193">
        <w:rPr>
          <w:szCs w:val="24"/>
          <w:lang w:eastAsia="zh-CN" w:bidi="hi-IN"/>
        </w:rPr>
        <w:fldChar w:fldCharType="begin"/>
      </w:r>
      <w:r w:rsidRPr="00400193">
        <w:rPr>
          <w:szCs w:val="24"/>
          <w:lang w:eastAsia="zh-CN" w:bidi="hi-IN"/>
        </w:rPr>
        <w:instrText xml:space="preserve"> REF _Ref42434014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3</w:t>
      </w:r>
      <w:r w:rsidRPr="00400193">
        <w:rPr>
          <w:szCs w:val="24"/>
          <w:lang w:eastAsia="zh-CN" w:bidi="hi-IN"/>
        </w:rPr>
        <w:fldChar w:fldCharType="end"/>
      </w:r>
      <w:r w:rsidRPr="00400193">
        <w:rPr>
          <w:szCs w:val="24"/>
          <w:lang w:eastAsia="zh-CN" w:bidi="hi-IN"/>
        </w:rPr>
        <w:t>). There is also a connection here to doxing (Douglas, 2016), because this may be how the personal information was gained by the phisher. Phishing may therefore be the result of a different risk (such as doxing) and may also be used for more than one purpose, including cyber-bullying.</w:t>
      </w:r>
    </w:p>
    <w:p w14:paraId="7DE987F0" w14:textId="42EA030A" w:rsidR="00497A66" w:rsidRPr="00400193" w:rsidRDefault="00497A66" w:rsidP="00C3651A">
      <w:pPr>
        <w:suppressAutoHyphens/>
        <w:rPr>
          <w:lang w:eastAsia="zh-CN" w:bidi="hi-IN"/>
        </w:rPr>
      </w:pPr>
    </w:p>
    <w:p w14:paraId="26836EE6" w14:textId="77777777" w:rsidR="00497A66" w:rsidRPr="00400193" w:rsidRDefault="00497A66" w:rsidP="00C3651A">
      <w:pPr>
        <w:suppressAutoHyphens/>
      </w:pPr>
    </w:p>
    <w:tbl>
      <w:tblPr>
        <w:tblW w:w="9014" w:type="dxa"/>
        <w:tblLook w:val="04A0" w:firstRow="1" w:lastRow="0" w:firstColumn="1" w:lastColumn="0" w:noHBand="0" w:noVBand="1"/>
      </w:tblPr>
      <w:tblGrid>
        <w:gridCol w:w="4508"/>
        <w:gridCol w:w="4506"/>
      </w:tblGrid>
      <w:tr w:rsidR="00A0618E" w:rsidRPr="00400193" w14:paraId="0CD0D26C" w14:textId="77777777" w:rsidTr="00C3651A">
        <w:tc>
          <w:tcPr>
            <w:tcW w:w="4508" w:type="dxa"/>
            <w:tcBorders>
              <w:top w:val="single" w:sz="6" w:space="0" w:color="000000"/>
              <w:left w:val="nil"/>
              <w:bottom w:val="single" w:sz="6" w:space="0" w:color="000000"/>
              <w:right w:val="nil"/>
            </w:tcBorders>
            <w:hideMark/>
          </w:tcPr>
          <w:p w14:paraId="64CB0AF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lastRenderedPageBreak/>
              <w:t xml:space="preserve">Phishing risks </w:t>
            </w:r>
          </w:p>
        </w:tc>
        <w:tc>
          <w:tcPr>
            <w:tcW w:w="4506" w:type="dxa"/>
            <w:tcBorders>
              <w:top w:val="single" w:sz="6" w:space="0" w:color="000000"/>
              <w:left w:val="nil"/>
              <w:bottom w:val="single" w:sz="6" w:space="0" w:color="000000"/>
              <w:right w:val="nil"/>
            </w:tcBorders>
            <w:hideMark/>
          </w:tcPr>
          <w:p w14:paraId="5C71979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08A814D5" w14:textId="77777777" w:rsidTr="00C3651A">
        <w:tc>
          <w:tcPr>
            <w:tcW w:w="4508" w:type="dxa"/>
            <w:hideMark/>
          </w:tcPr>
          <w:p w14:paraId="422541E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Hijack individual identities</w:t>
            </w:r>
          </w:p>
        </w:tc>
        <w:tc>
          <w:tcPr>
            <w:tcW w:w="4506" w:type="dxa"/>
            <w:hideMark/>
          </w:tcPr>
          <w:p w14:paraId="2A5E8F3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Crosman (2016); Schneier (2000)</w:t>
            </w:r>
          </w:p>
        </w:tc>
      </w:tr>
      <w:tr w:rsidR="00A0618E" w:rsidRPr="00400193" w14:paraId="095BF806" w14:textId="77777777" w:rsidTr="00C3651A">
        <w:tc>
          <w:tcPr>
            <w:tcW w:w="4508" w:type="dxa"/>
            <w:hideMark/>
          </w:tcPr>
          <w:p w14:paraId="3333F48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Scam contacts in a user’s personal and business network</w:t>
            </w:r>
          </w:p>
        </w:tc>
        <w:tc>
          <w:tcPr>
            <w:tcW w:w="4506" w:type="dxa"/>
            <w:hideMark/>
          </w:tcPr>
          <w:p w14:paraId="6B391EB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Hoelscher (2017)</w:t>
            </w:r>
          </w:p>
        </w:tc>
      </w:tr>
      <w:tr w:rsidR="00A0618E" w:rsidRPr="00400193" w14:paraId="5763E58F" w14:textId="77777777" w:rsidTr="00C3651A">
        <w:tc>
          <w:tcPr>
            <w:tcW w:w="4508" w:type="dxa"/>
            <w:hideMark/>
          </w:tcPr>
          <w:p w14:paraId="2846B1C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Steal directly from individuals’ accounts</w:t>
            </w:r>
          </w:p>
        </w:tc>
        <w:tc>
          <w:tcPr>
            <w:tcW w:w="4506" w:type="dxa"/>
            <w:hideMark/>
          </w:tcPr>
          <w:p w14:paraId="3B200B7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Hoelscher (2017); Lesjak et al. (2016)</w:t>
            </w:r>
          </w:p>
        </w:tc>
      </w:tr>
      <w:tr w:rsidR="00A0618E" w:rsidRPr="00400193" w14:paraId="0A42535A" w14:textId="77777777" w:rsidTr="00C3651A">
        <w:tc>
          <w:tcPr>
            <w:tcW w:w="4508" w:type="dxa"/>
            <w:hideMark/>
          </w:tcPr>
          <w:p w14:paraId="2E6A944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Diverting traffic/business to a fake website by altering domain name (DNS poisoning)</w:t>
            </w:r>
          </w:p>
        </w:tc>
        <w:tc>
          <w:tcPr>
            <w:tcW w:w="4506" w:type="dxa"/>
            <w:hideMark/>
          </w:tcPr>
          <w:p w14:paraId="49C79F9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Hoelscher (2017)</w:t>
            </w:r>
          </w:p>
        </w:tc>
      </w:tr>
      <w:tr w:rsidR="00A0618E" w:rsidRPr="00400193" w14:paraId="34880AAD" w14:textId="77777777" w:rsidTr="00C3651A">
        <w:tc>
          <w:tcPr>
            <w:tcW w:w="4508" w:type="dxa"/>
            <w:hideMark/>
          </w:tcPr>
          <w:p w14:paraId="2D8461F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Diverting traffic/business to a fake website by modifying ‘host’ files (host file pharming)</w:t>
            </w:r>
          </w:p>
        </w:tc>
        <w:tc>
          <w:tcPr>
            <w:tcW w:w="4506" w:type="dxa"/>
            <w:hideMark/>
          </w:tcPr>
          <w:p w14:paraId="4AAEF20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Hoelscher (2017)</w:t>
            </w:r>
          </w:p>
        </w:tc>
      </w:tr>
      <w:tr w:rsidR="00A0618E" w:rsidRPr="00400193" w14:paraId="56529B44" w14:textId="77777777" w:rsidTr="00C3651A">
        <w:tc>
          <w:tcPr>
            <w:tcW w:w="4508" w:type="dxa"/>
            <w:hideMark/>
          </w:tcPr>
          <w:p w14:paraId="620E6CA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Putting company reputation at risk</w:t>
            </w:r>
          </w:p>
        </w:tc>
        <w:tc>
          <w:tcPr>
            <w:tcW w:w="4506" w:type="dxa"/>
            <w:hideMark/>
          </w:tcPr>
          <w:p w14:paraId="5E6B52C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Silic and Back (2016)</w:t>
            </w:r>
          </w:p>
        </w:tc>
      </w:tr>
      <w:tr w:rsidR="00A0618E" w:rsidRPr="00400193" w14:paraId="0E5FF9FD" w14:textId="77777777" w:rsidTr="00C3651A">
        <w:tc>
          <w:tcPr>
            <w:tcW w:w="4508" w:type="dxa"/>
            <w:hideMark/>
          </w:tcPr>
          <w:p w14:paraId="3A1B61C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Financial losses</w:t>
            </w:r>
          </w:p>
        </w:tc>
        <w:tc>
          <w:tcPr>
            <w:tcW w:w="4506" w:type="dxa"/>
            <w:hideMark/>
          </w:tcPr>
          <w:p w14:paraId="47832CF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Cohen (2013); Hong (2012); Silic and Back (2016)</w:t>
            </w:r>
          </w:p>
        </w:tc>
      </w:tr>
      <w:tr w:rsidR="00A0618E" w:rsidRPr="00400193" w14:paraId="01DAAE67" w14:textId="77777777" w:rsidTr="00C3651A">
        <w:tc>
          <w:tcPr>
            <w:tcW w:w="4508" w:type="dxa"/>
            <w:hideMark/>
          </w:tcPr>
          <w:p w14:paraId="1306099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Corporate and industrial espionage</w:t>
            </w:r>
          </w:p>
        </w:tc>
        <w:tc>
          <w:tcPr>
            <w:tcW w:w="4506" w:type="dxa"/>
            <w:hideMark/>
          </w:tcPr>
          <w:p w14:paraId="69ABE0C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Grow, Epstien, and Tschang (2008)</w:t>
            </w:r>
          </w:p>
        </w:tc>
      </w:tr>
      <w:tr w:rsidR="00A0618E" w:rsidRPr="00400193" w14:paraId="7B09319A" w14:textId="77777777" w:rsidTr="00C3651A">
        <w:tc>
          <w:tcPr>
            <w:tcW w:w="4508" w:type="dxa"/>
            <w:hideMark/>
          </w:tcPr>
          <w:p w14:paraId="3D6147C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Stealing classified or confidential information</w:t>
            </w:r>
          </w:p>
        </w:tc>
        <w:tc>
          <w:tcPr>
            <w:tcW w:w="4506" w:type="dxa"/>
            <w:hideMark/>
          </w:tcPr>
          <w:p w14:paraId="580CB85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Hesseldahl (2011)</w:t>
            </w:r>
          </w:p>
        </w:tc>
      </w:tr>
      <w:tr w:rsidR="00A0618E" w:rsidRPr="00400193" w14:paraId="37DCE476" w14:textId="77777777" w:rsidTr="00C3651A">
        <w:tc>
          <w:tcPr>
            <w:tcW w:w="4508" w:type="dxa"/>
            <w:hideMark/>
          </w:tcPr>
          <w:p w14:paraId="2AC0EA2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Revealing organisational secrets</w:t>
            </w:r>
          </w:p>
        </w:tc>
        <w:tc>
          <w:tcPr>
            <w:tcW w:w="4506" w:type="dxa"/>
            <w:hideMark/>
          </w:tcPr>
          <w:p w14:paraId="45E3310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Healey (2013)</w:t>
            </w:r>
          </w:p>
        </w:tc>
      </w:tr>
      <w:tr w:rsidR="00A0618E" w:rsidRPr="00400193" w14:paraId="3BA88154" w14:textId="77777777" w:rsidTr="00C3651A">
        <w:tc>
          <w:tcPr>
            <w:tcW w:w="4508" w:type="dxa"/>
            <w:tcBorders>
              <w:top w:val="nil"/>
              <w:left w:val="nil"/>
              <w:bottom w:val="single" w:sz="6" w:space="0" w:color="000000"/>
              <w:right w:val="nil"/>
            </w:tcBorders>
            <w:hideMark/>
          </w:tcPr>
          <w:p w14:paraId="3035539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Cyber-bullying</w:t>
            </w:r>
          </w:p>
        </w:tc>
        <w:tc>
          <w:tcPr>
            <w:tcW w:w="4506" w:type="dxa"/>
            <w:tcBorders>
              <w:top w:val="nil"/>
              <w:left w:val="nil"/>
              <w:bottom w:val="single" w:sz="6" w:space="0" w:color="000000"/>
              <w:right w:val="nil"/>
            </w:tcBorders>
            <w:hideMark/>
          </w:tcPr>
          <w:p w14:paraId="08D3AD35"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Betts (2016); de Laat (2015); Halupka (2014)</w:t>
            </w:r>
          </w:p>
        </w:tc>
      </w:tr>
    </w:tbl>
    <w:p w14:paraId="4A763A66" w14:textId="694A8041" w:rsidR="00C3651A" w:rsidRPr="00400193" w:rsidRDefault="00C3651A" w:rsidP="00C3651A">
      <w:pPr>
        <w:pStyle w:val="Caption"/>
        <w:spacing w:after="240"/>
        <w:rPr>
          <w:b w:val="0"/>
          <w:i w:val="0"/>
          <w:szCs w:val="24"/>
          <w:lang w:eastAsia="zh-CN" w:bidi="hi-IN"/>
        </w:rPr>
      </w:pPr>
      <w:bookmarkStart w:id="179" w:name="_48pi1tg"/>
      <w:bookmarkStart w:id="180" w:name="_Ref42434014"/>
      <w:bookmarkStart w:id="181" w:name="_Toc52901532"/>
      <w:bookmarkEnd w:id="17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w:t>
      </w:r>
      <w:r w:rsidRPr="00400193">
        <w:fldChar w:fldCharType="end"/>
      </w:r>
      <w:bookmarkEnd w:id="180"/>
      <w:r w:rsidRPr="00400193">
        <w:t>: Some of the risks associated with phishing</w:t>
      </w:r>
      <w:bookmarkEnd w:id="181"/>
    </w:p>
    <w:p w14:paraId="34AB2E73" w14:textId="3989B594" w:rsidR="00C3651A" w:rsidRPr="00400193" w:rsidRDefault="00C3651A" w:rsidP="00C3651A">
      <w:pPr>
        <w:suppressAutoHyphens/>
        <w:rPr>
          <w:szCs w:val="24"/>
          <w:lang w:eastAsia="zh-CN" w:bidi="hi-IN"/>
        </w:rPr>
      </w:pPr>
      <w:r w:rsidRPr="00400193">
        <w:rPr>
          <w:szCs w:val="24"/>
          <w:lang w:eastAsia="zh-CN" w:bidi="hi-IN"/>
        </w:rPr>
        <w:t>All large companies are vulnerable to this kind of attack (Crosman, 2016). Lesjak</w:t>
      </w:r>
      <w:r w:rsidRPr="00400193">
        <w:rPr>
          <w:i/>
          <w:iCs/>
          <w:szCs w:val="24"/>
          <w:lang w:eastAsia="zh-CN" w:bidi="hi-IN"/>
        </w:rPr>
        <w:t xml:space="preserve"> </w:t>
      </w:r>
      <w:r w:rsidRPr="00400193">
        <w:rPr>
          <w:szCs w:val="24"/>
          <w:lang w:eastAsia="zh-CN" w:bidi="hi-IN"/>
        </w:rPr>
        <w:t>et al. (2016) also warned that industry must tighten security if the IoT is going to reach its potential, and this view was shared by Farooq</w:t>
      </w:r>
      <w:r w:rsidRPr="00400193">
        <w:rPr>
          <w:i/>
          <w:iCs/>
          <w:szCs w:val="24"/>
          <w:lang w:eastAsia="zh-CN" w:bidi="hi-IN"/>
        </w:rPr>
        <w:t xml:space="preserve"> </w:t>
      </w:r>
      <w:r w:rsidRPr="00400193">
        <w:rPr>
          <w:szCs w:val="24"/>
          <w:lang w:eastAsia="zh-CN" w:bidi="hi-IN"/>
        </w:rPr>
        <w:t>et al. (2015). Radio Frequency ID (RFID) technology is increasingly used for physical entry systems, but more importantly, for contactless credit-card transactions (Fan</w:t>
      </w:r>
      <w:r w:rsidRPr="00400193">
        <w:rPr>
          <w:i/>
          <w:iCs/>
          <w:szCs w:val="24"/>
          <w:lang w:eastAsia="zh-CN" w:bidi="hi-IN"/>
        </w:rPr>
        <w:t xml:space="preserve"> </w:t>
      </w:r>
      <w:r w:rsidRPr="00400193">
        <w:rPr>
          <w:szCs w:val="24"/>
          <w:lang w:eastAsia="zh-CN" w:bidi="hi-IN"/>
        </w:rPr>
        <w:t xml:space="preserve">et al., 2017; Fernández-Caramés et al., 2017). Some Man in the Middle (MitM) attacks aim to poison domain name servers (DNS) (Hoelscher, 2017), and the severity depends on the company business area (Shulman </w:t>
      </w:r>
      <w:r w:rsidR="00E93EE0" w:rsidRPr="00400193">
        <w:rPr>
          <w:szCs w:val="24"/>
          <w:lang w:eastAsia="zh-CN" w:bidi="hi-IN"/>
        </w:rPr>
        <w:t>and</w:t>
      </w:r>
      <w:r w:rsidRPr="00400193">
        <w:rPr>
          <w:szCs w:val="24"/>
          <w:lang w:eastAsia="zh-CN" w:bidi="hi-IN"/>
        </w:rPr>
        <w:t xml:space="preserve"> Waidner, 2014).</w:t>
      </w:r>
    </w:p>
    <w:p w14:paraId="2621D1FD" w14:textId="77777777" w:rsidR="00C3651A" w:rsidRPr="00400193" w:rsidRDefault="00C3651A" w:rsidP="00C3651A">
      <w:pPr>
        <w:pStyle w:val="Heading5"/>
        <w:rPr>
          <w:rFonts w:eastAsia="Arial"/>
          <w:lang w:eastAsia="zh-CN" w:bidi="hi-IN"/>
        </w:rPr>
      </w:pPr>
      <w:bookmarkStart w:id="182" w:name="_2nusc19"/>
      <w:bookmarkStart w:id="183" w:name="_Toc61894690"/>
      <w:bookmarkEnd w:id="182"/>
      <w:r w:rsidRPr="00400193">
        <w:rPr>
          <w:rFonts w:eastAsia="Arial"/>
          <w:lang w:eastAsia="zh-CN" w:bidi="hi-IN"/>
        </w:rPr>
        <w:t>Financial Fraud</w:t>
      </w:r>
      <w:bookmarkEnd w:id="183"/>
    </w:p>
    <w:p w14:paraId="7A819313" w14:textId="77777777" w:rsidR="00C3651A" w:rsidRPr="00400193" w:rsidRDefault="00C3651A" w:rsidP="00C3651A">
      <w:pPr>
        <w:suppressAutoHyphens/>
        <w:rPr>
          <w:szCs w:val="24"/>
          <w:lang w:eastAsia="zh-CN" w:bidi="hi-IN"/>
        </w:rPr>
      </w:pPr>
      <w:r w:rsidRPr="00400193">
        <w:rPr>
          <w:szCs w:val="24"/>
          <w:lang w:eastAsia="zh-CN" w:bidi="hi-IN"/>
        </w:rPr>
        <w:t>Increasingly, cyber-criminals are targeting smart devices to obtain details of credit cards and payment cards saved in ‘mobile wallets’ (Allianz, 2015). These are used by both individuals and corporate users. Personal credit and debit cards often have a fairly low limit, and large transactions may stand out sufficiently that they are held for further security checks. However, company credit or debit cards not only have a higher limit, but are also used for large and small transactions, so it is less likely that a transaction will stand out. PWC (2014) identified ‘asset misappropriation’ as the biggest risk, but noted that others exist, and that by the time a risk is realised, it is already too late.</w:t>
      </w:r>
    </w:p>
    <w:p w14:paraId="57F43AA2" w14:textId="6C10BE8E" w:rsidR="00C3651A" w:rsidRPr="00400193" w:rsidRDefault="00C3651A" w:rsidP="00C3651A">
      <w:pPr>
        <w:rPr>
          <w:lang w:eastAsia="zh-CN" w:bidi="hi-IN"/>
        </w:rPr>
      </w:pPr>
      <w:r w:rsidRPr="00400193">
        <w:rPr>
          <w:lang w:eastAsia="zh-CN" w:bidi="hi-IN"/>
        </w:rPr>
        <w:t xml:space="preserve">The scanning and cloning of RFID credit cards and entry passes is, potentially, a serious risk to all businesses, whether manufacturing, banking, or retail </w:t>
      </w:r>
      <w:r w:rsidR="00497A66" w:rsidRPr="00400193">
        <w:rPr>
          <w:lang w:eastAsia="zh-CN" w:bidi="hi-IN"/>
        </w:rPr>
        <w:t xml:space="preserve"> (Fan</w:t>
      </w:r>
      <w:r w:rsidR="00704A6D" w:rsidRPr="00400193">
        <w:rPr>
          <w:lang w:eastAsia="zh-CN" w:bidi="hi-IN"/>
        </w:rPr>
        <w:t xml:space="preserve"> et al</w:t>
      </w:r>
      <w:r w:rsidR="00497A66" w:rsidRPr="00400193">
        <w:rPr>
          <w:lang w:eastAsia="zh-CN" w:bidi="hi-IN"/>
        </w:rPr>
        <w:t>., 2017)</w:t>
      </w:r>
      <w:r w:rsidRPr="00400193">
        <w:rPr>
          <w:lang w:eastAsia="zh-CN" w:bidi="hi-IN"/>
        </w:rPr>
        <w:t xml:space="preserve"> (see </w:t>
      </w:r>
      <w:r w:rsidRPr="00400193">
        <w:rPr>
          <w:lang w:eastAsia="zh-CN" w:bidi="hi-IN"/>
        </w:rPr>
        <w:fldChar w:fldCharType="begin"/>
      </w:r>
      <w:r w:rsidRPr="00400193">
        <w:rPr>
          <w:lang w:eastAsia="zh-CN" w:bidi="hi-IN"/>
        </w:rPr>
        <w:instrText xml:space="preserve"> REF _Ref42434116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4</w:t>
      </w:r>
      <w:r w:rsidRPr="00400193">
        <w:rPr>
          <w:lang w:eastAsia="zh-CN" w:bidi="hi-IN"/>
        </w:rPr>
        <w:fldChar w:fldCharType="end"/>
      </w:r>
      <w:r w:rsidRPr="00400193">
        <w:rPr>
          <w:lang w:eastAsia="zh-CN" w:bidi="hi-IN"/>
        </w:rPr>
        <w:t xml:space="preserve">). Even as new security authentication devices are proposed, </w:t>
      </w:r>
      <w:r w:rsidRPr="00400193">
        <w:rPr>
          <w:lang w:eastAsia="zh-CN" w:bidi="hi-IN"/>
        </w:rPr>
        <w:lastRenderedPageBreak/>
        <w:t>such as by Fan</w:t>
      </w:r>
      <w:r w:rsidRPr="00400193">
        <w:rPr>
          <w:i/>
          <w:iCs/>
          <w:lang w:eastAsia="zh-CN" w:bidi="hi-IN"/>
        </w:rPr>
        <w:t xml:space="preserve"> </w:t>
      </w:r>
      <w:r w:rsidRPr="00400193">
        <w:rPr>
          <w:lang w:eastAsia="zh-CN" w:bidi="hi-IN"/>
        </w:rPr>
        <w:t xml:space="preserve">et al. (2017), the internet becomes awash with ways to subvert the technology, some of which are very effective (Fernández-Caramés et al., 2017). This is an area, however, where simple precautions are often sufficient, and what is essential is awareness. This is a recurrent theme in cyber-risk, that those who are more aware are less likely to be affected </w:t>
      </w:r>
      <w:r w:rsidR="00497A66" w:rsidRPr="00400193">
        <w:rPr>
          <w:lang w:eastAsia="zh-CN" w:bidi="hi-IN"/>
        </w:rPr>
        <w:t>(Korpela, 2015)</w:t>
      </w:r>
      <w:r w:rsidRPr="00400193">
        <w:rPr>
          <w:lang w:eastAsia="zh-CN" w:bidi="hi-IN"/>
        </w:rPr>
        <w:t>.</w:t>
      </w:r>
    </w:p>
    <w:p w14:paraId="4F7A4712" w14:textId="77777777" w:rsidR="00C3651A" w:rsidRPr="00400193" w:rsidRDefault="00C3651A" w:rsidP="00C3651A">
      <w:pPr>
        <w:suppressAutoHyphens/>
        <w:rPr>
          <w:szCs w:val="24"/>
          <w:lang w:eastAsia="zh-CN" w:bidi="hi-IN"/>
        </w:rPr>
      </w:pPr>
      <w:r w:rsidRPr="00400193">
        <w:rPr>
          <w:szCs w:val="24"/>
          <w:lang w:eastAsia="zh-CN" w:bidi="hi-IN"/>
        </w:rPr>
        <w:t>Financial fraud has also appeared as a risk in other tables, but often as a side effect or by-product of the main attack. However, when the attacker specifically sets out to defraud the company or individual, they do not necessarily use hacking or phishing to gain access. Cyber-fraud is more likely to involve an apparently legitimate customer or supplier (PWC, 2014).</w:t>
      </w:r>
    </w:p>
    <w:p w14:paraId="21055ECC" w14:textId="77777777" w:rsidR="00C3651A" w:rsidRPr="00400193" w:rsidRDefault="00C3651A" w:rsidP="00C3651A">
      <w:pPr>
        <w:suppressAutoHyphens/>
        <w:rPr>
          <w:szCs w:val="24"/>
          <w:lang w:eastAsia="zh-CN" w:bidi="hi-IN"/>
        </w:rPr>
      </w:pPr>
      <w:r w:rsidRPr="00400193">
        <w:rPr>
          <w:szCs w:val="24"/>
          <w:lang w:eastAsia="zh-CN" w:bidi="hi-IN"/>
        </w:rPr>
        <w:t>Button and Cross (2017) described many different financial fraud risks but emphasised that there is often a level of gullibility involved, returning once more to the ‘human factor’. Skimming and sniffing are both in the same grouping as RFID cloning, and are, in general fraud of automated teller machines (ATM) (cashpoints), or internal fraud by retail employees. However, they can also be an external risk and are therefore included in both categories. Fraud could also be included in the ‘illegal acts’ category. However, because it is a field in its own right, it is included separately to avoid confusion, even though it is always illegal.</w:t>
      </w:r>
    </w:p>
    <w:tbl>
      <w:tblPr>
        <w:tblW w:w="9014" w:type="dxa"/>
        <w:tblLook w:val="04A0" w:firstRow="1" w:lastRow="0" w:firstColumn="1" w:lastColumn="0" w:noHBand="0" w:noVBand="1"/>
      </w:tblPr>
      <w:tblGrid>
        <w:gridCol w:w="4508"/>
        <w:gridCol w:w="4506"/>
      </w:tblGrid>
      <w:tr w:rsidR="00A0618E" w:rsidRPr="00400193" w14:paraId="7F01BC91" w14:textId="77777777" w:rsidTr="00C3651A">
        <w:tc>
          <w:tcPr>
            <w:tcW w:w="4508" w:type="dxa"/>
            <w:tcBorders>
              <w:top w:val="single" w:sz="6" w:space="0" w:color="000000"/>
              <w:left w:val="nil"/>
              <w:bottom w:val="single" w:sz="6" w:space="0" w:color="000000"/>
              <w:right w:val="nil"/>
            </w:tcBorders>
            <w:hideMark/>
          </w:tcPr>
          <w:p w14:paraId="6612891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bookmarkStart w:id="184" w:name="_1302m92"/>
            <w:bookmarkEnd w:id="184"/>
            <w:r w:rsidRPr="00400193">
              <w:rPr>
                <w:rFonts w:asciiTheme="minorHAnsi" w:eastAsia="Liberation Serif" w:hAnsiTheme="minorHAnsi" w:cstheme="minorHAnsi"/>
                <w:b/>
                <w:sz w:val="22"/>
                <w:lang w:eastAsia="zh-CN" w:bidi="hi-IN"/>
              </w:rPr>
              <w:t xml:space="preserve">Financial fraud risks </w:t>
            </w:r>
          </w:p>
        </w:tc>
        <w:tc>
          <w:tcPr>
            <w:tcW w:w="4506" w:type="dxa"/>
            <w:tcBorders>
              <w:top w:val="single" w:sz="6" w:space="0" w:color="000000"/>
              <w:left w:val="nil"/>
              <w:bottom w:val="single" w:sz="6" w:space="0" w:color="000000"/>
              <w:right w:val="nil"/>
            </w:tcBorders>
            <w:hideMark/>
          </w:tcPr>
          <w:p w14:paraId="7022B83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750BF9C5" w14:textId="77777777" w:rsidTr="00C3651A">
        <w:tc>
          <w:tcPr>
            <w:tcW w:w="4508" w:type="dxa"/>
            <w:hideMark/>
          </w:tcPr>
          <w:p w14:paraId="00ABF58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Cloning or copying of access or payment tags</w:t>
            </w:r>
          </w:p>
        </w:tc>
        <w:tc>
          <w:tcPr>
            <w:tcW w:w="4506" w:type="dxa"/>
            <w:hideMark/>
          </w:tcPr>
          <w:p w14:paraId="5FF5D57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Fan et al. (2017); Fernández-Caramés et al. (2017)</w:t>
            </w:r>
          </w:p>
        </w:tc>
      </w:tr>
      <w:tr w:rsidR="00A0618E" w:rsidRPr="00400193" w14:paraId="71A8CD64" w14:textId="77777777" w:rsidTr="00C3651A">
        <w:tc>
          <w:tcPr>
            <w:tcW w:w="4508" w:type="dxa"/>
            <w:hideMark/>
          </w:tcPr>
          <w:p w14:paraId="6779EC4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Asset misappropriation</w:t>
            </w:r>
          </w:p>
        </w:tc>
        <w:tc>
          <w:tcPr>
            <w:tcW w:w="4506" w:type="dxa"/>
            <w:hideMark/>
          </w:tcPr>
          <w:p w14:paraId="4B6B625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PWC (2014)</w:t>
            </w:r>
          </w:p>
        </w:tc>
      </w:tr>
      <w:tr w:rsidR="00A0618E" w:rsidRPr="00400193" w14:paraId="2C83E720" w14:textId="77777777" w:rsidTr="00C3651A">
        <w:tc>
          <w:tcPr>
            <w:tcW w:w="4508" w:type="dxa"/>
            <w:hideMark/>
          </w:tcPr>
          <w:p w14:paraId="73DC661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Money-laundering</w:t>
            </w:r>
          </w:p>
        </w:tc>
        <w:tc>
          <w:tcPr>
            <w:tcW w:w="4506" w:type="dxa"/>
            <w:hideMark/>
          </w:tcPr>
          <w:p w14:paraId="69458EC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PWC (2014); Schneier (2000)</w:t>
            </w:r>
          </w:p>
        </w:tc>
      </w:tr>
      <w:tr w:rsidR="00A0618E" w:rsidRPr="00400193" w14:paraId="38D7F4C2" w14:textId="77777777" w:rsidTr="00C3651A">
        <w:tc>
          <w:tcPr>
            <w:tcW w:w="4508" w:type="dxa"/>
            <w:hideMark/>
          </w:tcPr>
          <w:p w14:paraId="5B46873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Bribery</w:t>
            </w:r>
          </w:p>
        </w:tc>
        <w:tc>
          <w:tcPr>
            <w:tcW w:w="4506" w:type="dxa"/>
            <w:hideMark/>
          </w:tcPr>
          <w:p w14:paraId="3BBF66C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PWC (2014)</w:t>
            </w:r>
          </w:p>
        </w:tc>
      </w:tr>
      <w:tr w:rsidR="00A0618E" w:rsidRPr="00400193" w14:paraId="4E86F1AE" w14:textId="77777777" w:rsidTr="00C3651A">
        <w:tc>
          <w:tcPr>
            <w:tcW w:w="4508" w:type="dxa"/>
            <w:hideMark/>
          </w:tcPr>
          <w:p w14:paraId="4FD57CF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Other fraud</w:t>
            </w:r>
          </w:p>
        </w:tc>
        <w:tc>
          <w:tcPr>
            <w:tcW w:w="4506" w:type="dxa"/>
            <w:hideMark/>
          </w:tcPr>
          <w:p w14:paraId="4C28A67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PWC (2014)</w:t>
            </w:r>
          </w:p>
        </w:tc>
      </w:tr>
      <w:tr w:rsidR="00A0618E" w:rsidRPr="00400193" w14:paraId="4D0C9E21" w14:textId="77777777" w:rsidTr="00C3651A">
        <w:tc>
          <w:tcPr>
            <w:tcW w:w="4508" w:type="dxa"/>
            <w:hideMark/>
          </w:tcPr>
          <w:p w14:paraId="29F280D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Other theft</w:t>
            </w:r>
          </w:p>
        </w:tc>
        <w:tc>
          <w:tcPr>
            <w:tcW w:w="4506" w:type="dxa"/>
            <w:hideMark/>
          </w:tcPr>
          <w:p w14:paraId="5746AAA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Hesseldahl (2011)</w:t>
            </w:r>
          </w:p>
        </w:tc>
      </w:tr>
      <w:tr w:rsidR="00A0618E" w:rsidRPr="00400193" w14:paraId="42A847AD" w14:textId="77777777" w:rsidTr="00C3651A">
        <w:tc>
          <w:tcPr>
            <w:tcW w:w="4508" w:type="dxa"/>
            <w:hideMark/>
          </w:tcPr>
          <w:p w14:paraId="781B484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Reputational damage</w:t>
            </w:r>
          </w:p>
        </w:tc>
        <w:tc>
          <w:tcPr>
            <w:tcW w:w="4506" w:type="dxa"/>
            <w:hideMark/>
          </w:tcPr>
          <w:p w14:paraId="49B1BCE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Kaul et al. (2015); Raikov (2009); Silic and Back (2016);</w:t>
            </w:r>
            <w:r w:rsidRPr="00400193" w:rsidDel="00D67E8A">
              <w:rPr>
                <w:rFonts w:asciiTheme="minorHAnsi" w:eastAsia="Liberation Serif" w:hAnsiTheme="minorHAnsi" w:cstheme="minorHAnsi"/>
                <w:sz w:val="22"/>
                <w:lang w:eastAsia="zh-CN" w:bidi="hi-IN"/>
              </w:rPr>
              <w:t xml:space="preserve"> </w:t>
            </w:r>
            <w:r w:rsidRPr="00400193">
              <w:rPr>
                <w:rFonts w:asciiTheme="minorHAnsi" w:eastAsia="Liberation Serif" w:hAnsiTheme="minorHAnsi" w:cstheme="minorHAnsi"/>
                <w:sz w:val="22"/>
                <w:lang w:eastAsia="zh-CN" w:bidi="hi-IN"/>
              </w:rPr>
              <w:t xml:space="preserve">Smith and Rupp (2002) </w:t>
            </w:r>
          </w:p>
        </w:tc>
      </w:tr>
      <w:tr w:rsidR="00A0618E" w:rsidRPr="00400193" w14:paraId="17A7CE9C" w14:textId="77777777" w:rsidTr="00C3651A">
        <w:tc>
          <w:tcPr>
            <w:tcW w:w="4508" w:type="dxa"/>
            <w:hideMark/>
          </w:tcPr>
          <w:p w14:paraId="4CD2915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Prosecution of company and/or directors</w:t>
            </w:r>
          </w:p>
        </w:tc>
        <w:tc>
          <w:tcPr>
            <w:tcW w:w="4506" w:type="dxa"/>
            <w:hideMark/>
          </w:tcPr>
          <w:p w14:paraId="451D7F4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Abu</w:t>
            </w:r>
            <w:r w:rsidRPr="00400193">
              <w:rPr>
                <w:rFonts w:ascii="Cambria Math" w:eastAsia="Cambria Math" w:hAnsi="Cambria Math" w:cs="Cambria Math"/>
                <w:sz w:val="22"/>
                <w:lang w:eastAsia="zh-CN" w:bidi="hi-IN"/>
              </w:rPr>
              <w:t>‐</w:t>
            </w:r>
            <w:r w:rsidRPr="00400193">
              <w:rPr>
                <w:rFonts w:asciiTheme="minorHAnsi" w:eastAsia="Liberation Serif" w:hAnsiTheme="minorHAnsi" w:cstheme="minorHAnsi"/>
                <w:sz w:val="22"/>
                <w:lang w:eastAsia="zh-CN" w:bidi="hi-IN"/>
              </w:rPr>
              <w:t>Musa (2010)</w:t>
            </w:r>
          </w:p>
        </w:tc>
      </w:tr>
      <w:tr w:rsidR="00A0618E" w:rsidRPr="00400193" w14:paraId="6AEAC668" w14:textId="77777777" w:rsidTr="00C3651A">
        <w:tc>
          <w:tcPr>
            <w:tcW w:w="4508" w:type="dxa"/>
            <w:hideMark/>
          </w:tcPr>
          <w:p w14:paraId="1BAE030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Consumer investment fraud</w:t>
            </w:r>
          </w:p>
        </w:tc>
        <w:tc>
          <w:tcPr>
            <w:tcW w:w="4506" w:type="dxa"/>
            <w:hideMark/>
          </w:tcPr>
          <w:p w14:paraId="7DB6DA8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540DB0E2" w14:textId="77777777" w:rsidTr="00C3651A">
        <w:tc>
          <w:tcPr>
            <w:tcW w:w="4508" w:type="dxa"/>
            <w:hideMark/>
          </w:tcPr>
          <w:p w14:paraId="4BCA81B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Employment fraud</w:t>
            </w:r>
          </w:p>
        </w:tc>
        <w:tc>
          <w:tcPr>
            <w:tcW w:w="4506" w:type="dxa"/>
            <w:hideMark/>
          </w:tcPr>
          <w:p w14:paraId="32DFF02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7CB23579" w14:textId="77777777" w:rsidTr="00C3651A">
        <w:tc>
          <w:tcPr>
            <w:tcW w:w="4508" w:type="dxa"/>
            <w:hideMark/>
          </w:tcPr>
          <w:p w14:paraId="2C47B35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Phantom debt collection</w:t>
            </w:r>
          </w:p>
        </w:tc>
        <w:tc>
          <w:tcPr>
            <w:tcW w:w="4506" w:type="dxa"/>
            <w:hideMark/>
          </w:tcPr>
          <w:p w14:paraId="55B7869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4E8D24E5" w14:textId="77777777" w:rsidTr="00C3651A">
        <w:tc>
          <w:tcPr>
            <w:tcW w:w="4508" w:type="dxa"/>
            <w:hideMark/>
          </w:tcPr>
          <w:p w14:paraId="5BBA6A2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Charity fraud</w:t>
            </w:r>
          </w:p>
        </w:tc>
        <w:tc>
          <w:tcPr>
            <w:tcW w:w="4506" w:type="dxa"/>
            <w:hideMark/>
          </w:tcPr>
          <w:p w14:paraId="1986418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45C02C43" w14:textId="77777777" w:rsidTr="00C3651A">
        <w:tc>
          <w:tcPr>
            <w:tcW w:w="4508" w:type="dxa"/>
            <w:hideMark/>
          </w:tcPr>
          <w:p w14:paraId="17CD564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“Jackal” fraud</w:t>
            </w:r>
          </w:p>
        </w:tc>
        <w:tc>
          <w:tcPr>
            <w:tcW w:w="4506" w:type="dxa"/>
            <w:hideMark/>
          </w:tcPr>
          <w:p w14:paraId="3B72FF7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2BEE347C" w14:textId="77777777" w:rsidTr="00C3651A">
        <w:tc>
          <w:tcPr>
            <w:tcW w:w="4508" w:type="dxa"/>
            <w:tcBorders>
              <w:top w:val="nil"/>
              <w:left w:val="nil"/>
              <w:bottom w:val="single" w:sz="6" w:space="0" w:color="000000"/>
              <w:right w:val="nil"/>
            </w:tcBorders>
            <w:hideMark/>
          </w:tcPr>
          <w:p w14:paraId="786ED59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Skimming and sniffing</w:t>
            </w:r>
          </w:p>
        </w:tc>
        <w:tc>
          <w:tcPr>
            <w:tcW w:w="4506" w:type="dxa"/>
            <w:tcBorders>
              <w:top w:val="nil"/>
              <w:left w:val="nil"/>
              <w:bottom w:val="single" w:sz="6" w:space="0" w:color="000000"/>
              <w:right w:val="nil"/>
            </w:tcBorders>
            <w:hideMark/>
          </w:tcPr>
          <w:p w14:paraId="4F05C89E"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bl>
    <w:p w14:paraId="437BA11D" w14:textId="170572D1" w:rsidR="00C3651A" w:rsidRPr="00400193" w:rsidRDefault="00C3651A" w:rsidP="00C3651A">
      <w:pPr>
        <w:pStyle w:val="Caption"/>
      </w:pPr>
      <w:bookmarkStart w:id="185" w:name="_3mzq4wv"/>
      <w:bookmarkStart w:id="186" w:name="_Ref42434116"/>
      <w:bookmarkStart w:id="187" w:name="_Toc52901533"/>
      <w:bookmarkEnd w:id="18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w:t>
      </w:r>
      <w:r w:rsidRPr="00400193">
        <w:fldChar w:fldCharType="end"/>
      </w:r>
      <w:bookmarkEnd w:id="186"/>
      <w:r w:rsidRPr="00400193">
        <w:t>: Some possible forms of financial fraud (cyber-risks).</w:t>
      </w:r>
      <w:bookmarkEnd w:id="187"/>
      <w:r w:rsidRPr="00400193">
        <w:t xml:space="preserve"> </w:t>
      </w:r>
    </w:p>
    <w:p w14:paraId="78E0BE0F" w14:textId="77777777" w:rsidR="00C3651A" w:rsidRPr="00400193" w:rsidRDefault="00C3651A" w:rsidP="00C3651A">
      <w:pPr>
        <w:pStyle w:val="Caption"/>
        <w:rPr>
          <w:b w:val="0"/>
          <w:bCs/>
          <w:sz w:val="20"/>
          <w:szCs w:val="14"/>
        </w:rPr>
      </w:pPr>
      <w:r w:rsidRPr="00400193">
        <w:rPr>
          <w:b w:val="0"/>
          <w:bCs/>
          <w:sz w:val="20"/>
          <w:szCs w:val="14"/>
        </w:rPr>
        <w:t>Note: Bribery could either internal or external and is not a unidirectional risk (PWC, 2014). Any financial fraud can also be a cyber-risk and will be a criminal act.</w:t>
      </w:r>
    </w:p>
    <w:p w14:paraId="60E82E33" w14:textId="77777777" w:rsidR="00C3651A" w:rsidRPr="00400193" w:rsidRDefault="00C3651A" w:rsidP="00C3651A">
      <w:pPr>
        <w:rPr>
          <w:b/>
          <w:i/>
        </w:rPr>
      </w:pPr>
    </w:p>
    <w:p w14:paraId="464131F8" w14:textId="77777777" w:rsidR="00C3651A" w:rsidRPr="00400193" w:rsidRDefault="00C3651A" w:rsidP="00C3651A">
      <w:pPr>
        <w:pStyle w:val="Heading5"/>
        <w:rPr>
          <w:rFonts w:eastAsia="Arial"/>
          <w:lang w:eastAsia="zh-CN" w:bidi="hi-IN"/>
        </w:rPr>
      </w:pPr>
      <w:bookmarkStart w:id="188" w:name="_Ref50748982"/>
      <w:bookmarkStart w:id="189" w:name="_Toc61894691"/>
      <w:r w:rsidRPr="00400193">
        <w:rPr>
          <w:rFonts w:eastAsia="Arial"/>
          <w:lang w:eastAsia="zh-CN" w:bidi="hi-IN"/>
        </w:rPr>
        <w:lastRenderedPageBreak/>
        <w:t>Criminal Acts</w:t>
      </w:r>
      <w:bookmarkEnd w:id="188"/>
      <w:bookmarkEnd w:id="189"/>
    </w:p>
    <w:p w14:paraId="4E26CFF5" w14:textId="42AAF36B" w:rsidR="00C3651A" w:rsidRPr="00400193" w:rsidRDefault="00C3651A" w:rsidP="00C3651A">
      <w:pPr>
        <w:suppressAutoHyphens/>
        <w:rPr>
          <w:szCs w:val="24"/>
          <w:lang w:eastAsia="zh-CN" w:bidi="hi-IN"/>
        </w:rPr>
      </w:pPr>
      <w:r w:rsidRPr="00400193">
        <w:rPr>
          <w:szCs w:val="24"/>
          <w:lang w:eastAsia="zh-CN" w:bidi="hi-IN"/>
        </w:rPr>
        <w:t xml:space="preserve">This is a very broad category (see </w:t>
      </w:r>
      <w:r w:rsidRPr="00400193">
        <w:rPr>
          <w:szCs w:val="24"/>
          <w:lang w:eastAsia="zh-CN" w:bidi="hi-IN"/>
        </w:rPr>
        <w:fldChar w:fldCharType="begin"/>
      </w:r>
      <w:r w:rsidRPr="00400193">
        <w:rPr>
          <w:szCs w:val="24"/>
          <w:lang w:eastAsia="zh-CN" w:bidi="hi-IN"/>
        </w:rPr>
        <w:instrText xml:space="preserve"> REF _Ref42434136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5</w:t>
      </w:r>
      <w:r w:rsidRPr="00400193">
        <w:rPr>
          <w:szCs w:val="24"/>
          <w:lang w:eastAsia="zh-CN" w:bidi="hi-IN"/>
        </w:rPr>
        <w:fldChar w:fldCharType="end"/>
      </w:r>
      <w:r w:rsidRPr="00400193">
        <w:rPr>
          <w:szCs w:val="24"/>
          <w:lang w:eastAsia="zh-CN" w:bidi="hi-IN"/>
        </w:rPr>
        <w:t>), and many of the risks already described involve criminality. However, this category includes ‘malware’ and similar products, which provide no financial gain for the criminal, but still cause large losses for the company attacked. Business interruption is likely to be the biggest cost. Even when the company’s own IT is not breached, a supplier may fail to deliver, or a courier may fail to collect. The entire supply chain is at risk from one business being interrupted in this way (Allianz, 2015).</w:t>
      </w:r>
    </w:p>
    <w:tbl>
      <w:tblPr>
        <w:tblW w:w="9014" w:type="dxa"/>
        <w:tblLook w:val="04A0" w:firstRow="1" w:lastRow="0" w:firstColumn="1" w:lastColumn="0" w:noHBand="0" w:noVBand="1"/>
      </w:tblPr>
      <w:tblGrid>
        <w:gridCol w:w="4508"/>
        <w:gridCol w:w="4506"/>
      </w:tblGrid>
      <w:tr w:rsidR="00A0618E" w:rsidRPr="00400193" w14:paraId="6E46F5A1" w14:textId="77777777" w:rsidTr="00C3651A">
        <w:tc>
          <w:tcPr>
            <w:tcW w:w="4508" w:type="dxa"/>
            <w:tcBorders>
              <w:top w:val="single" w:sz="6" w:space="0" w:color="000000"/>
              <w:left w:val="nil"/>
              <w:bottom w:val="single" w:sz="6" w:space="0" w:color="000000"/>
              <w:right w:val="nil"/>
            </w:tcBorders>
            <w:hideMark/>
          </w:tcPr>
          <w:p w14:paraId="4204D42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Criminal Acts risks</w:t>
            </w:r>
          </w:p>
        </w:tc>
        <w:tc>
          <w:tcPr>
            <w:tcW w:w="4506" w:type="dxa"/>
            <w:tcBorders>
              <w:top w:val="single" w:sz="6" w:space="0" w:color="000000"/>
              <w:left w:val="nil"/>
              <w:bottom w:val="single" w:sz="6" w:space="0" w:color="000000"/>
              <w:right w:val="nil"/>
            </w:tcBorders>
            <w:hideMark/>
          </w:tcPr>
          <w:p w14:paraId="4E4CAAF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17829D52" w14:textId="77777777" w:rsidTr="00C3651A">
        <w:tc>
          <w:tcPr>
            <w:tcW w:w="4508" w:type="dxa"/>
            <w:hideMark/>
          </w:tcPr>
          <w:p w14:paraId="334A1B0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Malware</w:t>
            </w:r>
          </w:p>
        </w:tc>
        <w:tc>
          <w:tcPr>
            <w:tcW w:w="4506" w:type="dxa"/>
            <w:hideMark/>
          </w:tcPr>
          <w:p w14:paraId="3CFB80A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Allianz (2015)</w:t>
            </w:r>
          </w:p>
        </w:tc>
      </w:tr>
      <w:tr w:rsidR="00A0618E" w:rsidRPr="00400193" w14:paraId="02BD8DF0" w14:textId="77777777" w:rsidTr="00C3651A">
        <w:tc>
          <w:tcPr>
            <w:tcW w:w="4508" w:type="dxa"/>
            <w:hideMark/>
          </w:tcPr>
          <w:p w14:paraId="08DA1DC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Business interruption</w:t>
            </w:r>
          </w:p>
        </w:tc>
        <w:tc>
          <w:tcPr>
            <w:tcW w:w="4506" w:type="dxa"/>
            <w:hideMark/>
          </w:tcPr>
          <w:p w14:paraId="32B5C7C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Allianz (2015); Control Risks (2016)</w:t>
            </w:r>
          </w:p>
        </w:tc>
      </w:tr>
      <w:tr w:rsidR="00A0618E" w:rsidRPr="00400193" w14:paraId="7F73D994" w14:textId="77777777" w:rsidTr="00C3651A">
        <w:tc>
          <w:tcPr>
            <w:tcW w:w="4508" w:type="dxa"/>
            <w:hideMark/>
          </w:tcPr>
          <w:p w14:paraId="3CFADA9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Supply chain disruption</w:t>
            </w:r>
          </w:p>
        </w:tc>
        <w:tc>
          <w:tcPr>
            <w:tcW w:w="4506" w:type="dxa"/>
            <w:hideMark/>
          </w:tcPr>
          <w:p w14:paraId="7EA0F21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Ciolan (2014); Risk Nexus (2014)</w:t>
            </w:r>
          </w:p>
        </w:tc>
      </w:tr>
      <w:tr w:rsidR="00A0618E" w:rsidRPr="00400193" w14:paraId="22D569B9" w14:textId="77777777" w:rsidTr="00C3651A">
        <w:tc>
          <w:tcPr>
            <w:tcW w:w="4508" w:type="dxa"/>
            <w:hideMark/>
          </w:tcPr>
          <w:p w14:paraId="1A6F0DC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Critical infrastructure attack</w:t>
            </w:r>
          </w:p>
        </w:tc>
        <w:tc>
          <w:tcPr>
            <w:tcW w:w="4506" w:type="dxa"/>
            <w:hideMark/>
          </w:tcPr>
          <w:p w14:paraId="316FA33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Ciolan (2014)</w:t>
            </w:r>
          </w:p>
        </w:tc>
      </w:tr>
      <w:tr w:rsidR="00A0618E" w:rsidRPr="00400193" w14:paraId="19064E7F" w14:textId="77777777" w:rsidTr="00C3651A">
        <w:tc>
          <w:tcPr>
            <w:tcW w:w="4508" w:type="dxa"/>
            <w:hideMark/>
          </w:tcPr>
          <w:p w14:paraId="7045918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Malicious attack</w:t>
            </w:r>
          </w:p>
        </w:tc>
        <w:tc>
          <w:tcPr>
            <w:tcW w:w="4506" w:type="dxa"/>
            <w:hideMark/>
          </w:tcPr>
          <w:p w14:paraId="37ECF88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de Laat (2015)</w:t>
            </w:r>
          </w:p>
        </w:tc>
      </w:tr>
      <w:tr w:rsidR="00A0618E" w:rsidRPr="00400193" w14:paraId="47E5D234" w14:textId="77777777" w:rsidTr="00C3651A">
        <w:tc>
          <w:tcPr>
            <w:tcW w:w="4508" w:type="dxa"/>
            <w:hideMark/>
          </w:tcPr>
          <w:p w14:paraId="21FE2B9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Financial losses</w:t>
            </w:r>
          </w:p>
        </w:tc>
        <w:tc>
          <w:tcPr>
            <w:tcW w:w="4506" w:type="dxa"/>
            <w:hideMark/>
          </w:tcPr>
          <w:p w14:paraId="2EDBF8D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Silic and Back (2016)</w:t>
            </w:r>
          </w:p>
        </w:tc>
      </w:tr>
      <w:tr w:rsidR="00A0618E" w:rsidRPr="00400193" w14:paraId="62D43FE3" w14:textId="77777777" w:rsidTr="00C3651A">
        <w:tc>
          <w:tcPr>
            <w:tcW w:w="4508" w:type="dxa"/>
            <w:hideMark/>
          </w:tcPr>
          <w:p w14:paraId="56BDF20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Skimming</w:t>
            </w:r>
          </w:p>
        </w:tc>
        <w:tc>
          <w:tcPr>
            <w:tcW w:w="4506" w:type="dxa"/>
            <w:hideMark/>
          </w:tcPr>
          <w:p w14:paraId="4FFAC7E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Button and Cross (2017)</w:t>
            </w:r>
          </w:p>
        </w:tc>
      </w:tr>
      <w:tr w:rsidR="00A0618E" w:rsidRPr="00400193" w14:paraId="5630CC02" w14:textId="77777777" w:rsidTr="00C3651A">
        <w:tc>
          <w:tcPr>
            <w:tcW w:w="4508" w:type="dxa"/>
            <w:hideMark/>
          </w:tcPr>
          <w:p w14:paraId="03A3C62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Illegal access to a system</w:t>
            </w:r>
          </w:p>
        </w:tc>
        <w:tc>
          <w:tcPr>
            <w:tcW w:w="4506" w:type="dxa"/>
            <w:hideMark/>
          </w:tcPr>
          <w:p w14:paraId="3CF6769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10E62F23" w14:textId="77777777" w:rsidTr="00C3651A">
        <w:tc>
          <w:tcPr>
            <w:tcW w:w="4508" w:type="dxa"/>
            <w:hideMark/>
          </w:tcPr>
          <w:p w14:paraId="290F4F4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Illegal interception of data</w:t>
            </w:r>
          </w:p>
        </w:tc>
        <w:tc>
          <w:tcPr>
            <w:tcW w:w="4506" w:type="dxa"/>
            <w:hideMark/>
          </w:tcPr>
          <w:p w14:paraId="4B62305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38D57F57" w14:textId="77777777" w:rsidTr="00C3651A">
        <w:tc>
          <w:tcPr>
            <w:tcW w:w="4508" w:type="dxa"/>
            <w:hideMark/>
          </w:tcPr>
          <w:p w14:paraId="69AB12E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Disruption of a computer system</w:t>
            </w:r>
          </w:p>
        </w:tc>
        <w:tc>
          <w:tcPr>
            <w:tcW w:w="4506" w:type="dxa"/>
            <w:hideMark/>
          </w:tcPr>
          <w:p w14:paraId="630102C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01E79367" w14:textId="77777777" w:rsidTr="00C3651A">
        <w:tc>
          <w:tcPr>
            <w:tcW w:w="4508" w:type="dxa"/>
            <w:hideMark/>
          </w:tcPr>
          <w:p w14:paraId="7182F2A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Forgery</w:t>
            </w:r>
          </w:p>
        </w:tc>
        <w:tc>
          <w:tcPr>
            <w:tcW w:w="4506" w:type="dxa"/>
            <w:hideMark/>
          </w:tcPr>
          <w:p w14:paraId="47A4373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5D045CA7" w14:textId="77777777" w:rsidTr="00C3651A">
        <w:tc>
          <w:tcPr>
            <w:tcW w:w="4508" w:type="dxa"/>
            <w:tcBorders>
              <w:top w:val="nil"/>
              <w:left w:val="nil"/>
              <w:bottom w:val="single" w:sz="6" w:space="0" w:color="000000"/>
              <w:right w:val="nil"/>
            </w:tcBorders>
            <w:hideMark/>
          </w:tcPr>
          <w:p w14:paraId="2C0E760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Access to or creation of child pornography</w:t>
            </w:r>
          </w:p>
        </w:tc>
        <w:tc>
          <w:tcPr>
            <w:tcW w:w="4506" w:type="dxa"/>
            <w:tcBorders>
              <w:top w:val="nil"/>
              <w:left w:val="nil"/>
              <w:bottom w:val="single" w:sz="6" w:space="0" w:color="000000"/>
              <w:right w:val="nil"/>
            </w:tcBorders>
            <w:hideMark/>
          </w:tcPr>
          <w:p w14:paraId="41D32A23"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bl>
    <w:p w14:paraId="7AC0114D" w14:textId="2F2332D1" w:rsidR="00C3651A" w:rsidRPr="00400193" w:rsidRDefault="00C3651A" w:rsidP="00C3651A">
      <w:pPr>
        <w:pStyle w:val="Caption"/>
      </w:pPr>
      <w:bookmarkStart w:id="190" w:name="_2250f4o"/>
      <w:bookmarkStart w:id="191" w:name="_Ref42434136"/>
      <w:bookmarkStart w:id="192" w:name="_Toc52901534"/>
      <w:bookmarkEnd w:id="19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w:t>
      </w:r>
      <w:r w:rsidRPr="00400193">
        <w:fldChar w:fldCharType="end"/>
      </w:r>
      <w:bookmarkEnd w:id="191"/>
      <w:r w:rsidRPr="00400193">
        <w:t>: Some possible criminal acts.</w:t>
      </w:r>
      <w:bookmarkEnd w:id="192"/>
      <w:r w:rsidRPr="00400193">
        <w:t xml:space="preserve"> </w:t>
      </w:r>
    </w:p>
    <w:p w14:paraId="3564B60D" w14:textId="77777777" w:rsidR="00C3651A" w:rsidRPr="00400193" w:rsidRDefault="00C3651A" w:rsidP="00C3651A">
      <w:pPr>
        <w:pStyle w:val="Caption"/>
        <w:spacing w:after="240"/>
        <w:rPr>
          <w:b w:val="0"/>
          <w:bCs/>
          <w:i w:val="0"/>
          <w:sz w:val="20"/>
          <w:szCs w:val="20"/>
          <w:lang w:eastAsia="zh-CN" w:bidi="hi-IN"/>
        </w:rPr>
      </w:pPr>
      <w:r w:rsidRPr="00400193">
        <w:rPr>
          <w:b w:val="0"/>
          <w:bCs/>
          <w:sz w:val="20"/>
          <w:szCs w:val="14"/>
        </w:rPr>
        <w:t>Note: Most of the other risks already discussed could also be classified as criminal acts.</w:t>
      </w:r>
    </w:p>
    <w:p w14:paraId="73A8ECF5" w14:textId="2941CD9B" w:rsidR="00C3651A" w:rsidRPr="00400193" w:rsidRDefault="00C3651A" w:rsidP="00C3651A">
      <w:pPr>
        <w:suppressAutoHyphens/>
        <w:rPr>
          <w:szCs w:val="24"/>
          <w:lang w:eastAsia="zh-CN" w:bidi="hi-IN"/>
        </w:rPr>
      </w:pPr>
      <w:r w:rsidRPr="00400193">
        <w:rPr>
          <w:szCs w:val="24"/>
          <w:lang w:eastAsia="zh-CN" w:bidi="hi-IN"/>
        </w:rPr>
        <w:t>These risks are all related and are also being accelerated by the IoT and increased connectivity</w:t>
      </w:r>
      <w:r w:rsidR="00E93EE0" w:rsidRPr="00400193">
        <w:rPr>
          <w:szCs w:val="24"/>
          <w:lang w:eastAsia="zh-CN" w:bidi="hi-IN"/>
        </w:rPr>
        <w:t xml:space="preserve"> (Schatz, Bashroush, and Wall, 2017)</w:t>
      </w:r>
      <w:r w:rsidRPr="00400193">
        <w:rPr>
          <w:szCs w:val="24"/>
          <w:lang w:eastAsia="zh-CN" w:bidi="hi-IN"/>
        </w:rPr>
        <w:t>. Both the framework (</w:t>
      </w:r>
      <w:r w:rsidRPr="00400193">
        <w:rPr>
          <w:szCs w:val="24"/>
          <w:lang w:eastAsia="zh-CN" w:bidi="hi-IN"/>
        </w:rPr>
        <w:fldChar w:fldCharType="begin"/>
      </w:r>
      <w:r w:rsidRPr="00400193">
        <w:rPr>
          <w:szCs w:val="24"/>
          <w:lang w:eastAsia="zh-CN" w:bidi="hi-IN"/>
        </w:rPr>
        <w:instrText xml:space="preserve"> REF _Ref44957419 \h  \* MERGEFORMAT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Pr="00400193">
        <w:rPr>
          <w:szCs w:val="24"/>
          <w:lang w:eastAsia="zh-CN" w:bidi="hi-IN"/>
        </w:rPr>
        <w:fldChar w:fldCharType="end"/>
      </w:r>
      <w:r w:rsidRPr="00400193">
        <w:rPr>
          <w:szCs w:val="24"/>
          <w:lang w:eastAsia="zh-CN" w:bidi="hi-IN"/>
        </w:rPr>
        <w:t>) and the text have considered internal and external risks separately, but risk specialists such as Allianz (2015; 2016), Control Risks (2016), Deloitte (2011), Institute of Risk Management (2014), Recorded Future (2015) and Risk Nexus (2014) have all suggested that there is little difference. Except for insurance purposes, the source of the risk may actually be irrelevant, although resilience is perhaps at slightly greater risk from internal threats.</w:t>
      </w:r>
    </w:p>
    <w:p w14:paraId="329763D9" w14:textId="77777777" w:rsidR="00C3651A" w:rsidRPr="00400193" w:rsidRDefault="00C3651A" w:rsidP="00C3651A">
      <w:pPr>
        <w:suppressAutoHyphens/>
        <w:rPr>
          <w:szCs w:val="24"/>
          <w:lang w:eastAsia="zh-CN" w:bidi="hi-IN"/>
        </w:rPr>
      </w:pPr>
      <w:r w:rsidRPr="00400193">
        <w:rPr>
          <w:szCs w:val="24"/>
          <w:lang w:eastAsia="zh-CN" w:bidi="hi-IN"/>
        </w:rPr>
        <w:t>Gheorghe-Iulian (2011) discussed specific aspects of the Romanian legal code, but as he notes, all of the specific crimes mentioned have now become illegal throughout Europe, and indeed throughout most of the world. In many cases, this has involved the passing of specific laws covering cyber-crime. Even where there was already a prohibition, it often needed re-wording or re-forming to be valid against cyber-crime.</w:t>
      </w:r>
    </w:p>
    <w:p w14:paraId="74DE4496" w14:textId="77777777" w:rsidR="00C3651A" w:rsidRPr="00400193" w:rsidRDefault="00C3651A" w:rsidP="00C3651A">
      <w:pPr>
        <w:suppressAutoHyphens/>
        <w:rPr>
          <w:szCs w:val="24"/>
          <w:lang w:eastAsia="zh-CN" w:bidi="hi-IN"/>
        </w:rPr>
      </w:pPr>
      <w:r w:rsidRPr="00400193">
        <w:rPr>
          <w:szCs w:val="24"/>
          <w:lang w:eastAsia="zh-CN" w:bidi="hi-IN"/>
        </w:rPr>
        <w:lastRenderedPageBreak/>
        <w:t>The other major factor involved is the level to which companies have become dependent on ICT:</w:t>
      </w:r>
    </w:p>
    <w:p w14:paraId="0DFA16A5" w14:textId="77777777" w:rsidR="00C3651A" w:rsidRPr="00400193" w:rsidRDefault="00C3651A" w:rsidP="00C3651A">
      <w:pPr>
        <w:pStyle w:val="Quote"/>
        <w:rPr>
          <w:lang w:eastAsia="zh-CN" w:bidi="hi-IN"/>
        </w:rPr>
      </w:pPr>
      <w:r w:rsidRPr="00400193">
        <w:rPr>
          <w:lang w:eastAsia="zh-CN" w:bidi="hi-IN"/>
        </w:rPr>
        <w:t>The resilience of communication and electronic systems has become indispensable for all critical services in most countries. Telecommunications themselves are vital for the functionality of the present-day society and with the rise of ICT, critical infrastructure protection (CIP) and critical information infrastructure protection (CIIP) have become intertwined with cybersecurity (Ciolan, 2014, p. 123)</w:t>
      </w:r>
    </w:p>
    <w:p w14:paraId="4E437E00" w14:textId="77777777" w:rsidR="00C3651A" w:rsidRPr="00400193" w:rsidRDefault="00C3651A" w:rsidP="00C3651A">
      <w:pPr>
        <w:suppressAutoHyphens/>
        <w:rPr>
          <w:szCs w:val="24"/>
          <w:lang w:eastAsia="zh-CN" w:bidi="hi-IN"/>
        </w:rPr>
      </w:pPr>
      <w:r w:rsidRPr="00400193">
        <w:rPr>
          <w:szCs w:val="24"/>
          <w:lang w:eastAsia="zh-CN" w:bidi="hi-IN"/>
        </w:rPr>
        <w:t>This is an external risk, but at a national or government level, not at a company level. If these infrastructure components are disrupted by criminal acts, or acts of war and insurrection, company resilience could be compromised if there is total reliance on ICT. If there are alternative systems, then this risk is reduced.</w:t>
      </w:r>
    </w:p>
    <w:p w14:paraId="0E459979" w14:textId="311F1C39" w:rsidR="00C3651A" w:rsidRPr="00400193" w:rsidRDefault="00C3651A" w:rsidP="00C3651A">
      <w:pPr>
        <w:pStyle w:val="Heading4"/>
        <w:rPr>
          <w:rFonts w:eastAsia="Arial"/>
          <w:lang w:eastAsia="zh-CN" w:bidi="hi-IN"/>
        </w:rPr>
      </w:pPr>
      <w:bookmarkStart w:id="193" w:name="_haapch"/>
      <w:bookmarkStart w:id="194" w:name="_Toc61894692"/>
      <w:bookmarkEnd w:id="193"/>
      <w:r w:rsidRPr="00400193">
        <w:rPr>
          <w:rFonts w:eastAsia="Arial"/>
          <w:lang w:eastAsia="zh-CN" w:bidi="hi-IN"/>
        </w:rPr>
        <w:t>Internal Threats</w:t>
      </w:r>
      <w:bookmarkEnd w:id="194"/>
    </w:p>
    <w:p w14:paraId="118A792C" w14:textId="405591C8" w:rsidR="00497A66" w:rsidRPr="00400193" w:rsidRDefault="00497A66" w:rsidP="00497A66">
      <w:pPr>
        <w:rPr>
          <w:lang w:eastAsia="zh-CN" w:bidi="hi-IN"/>
        </w:rPr>
      </w:pPr>
      <w:r w:rsidRPr="00400193">
        <w:rPr>
          <w:lang w:eastAsia="zh-CN" w:bidi="hi-IN"/>
        </w:rPr>
        <w:t>Hypothesis two (H2):</w:t>
      </w:r>
      <w:r w:rsidRPr="00400193">
        <w:rPr>
          <w:rFonts w:cstheme="minorBidi"/>
          <w:kern w:val="24"/>
          <w:szCs w:val="24"/>
          <w:lang w:eastAsia="en-GB"/>
        </w:rPr>
        <w:t xml:space="preserve"> Vulnerabilities and weaknesses are associated with internal threats was developed from the theory and literature on internal threats. Again, the list here cannot be considered definitive – the rapid changes and fluid situation in technology prevents that, bu</w:t>
      </w:r>
      <w:r w:rsidR="00043302" w:rsidRPr="00400193">
        <w:rPr>
          <w:rFonts w:cstheme="minorBidi"/>
          <w:kern w:val="24"/>
          <w:szCs w:val="24"/>
          <w:lang w:eastAsia="en-GB"/>
        </w:rPr>
        <w:t>t the following sections are a strong guide to the current situation.</w:t>
      </w:r>
    </w:p>
    <w:p w14:paraId="1F1D77C6" w14:textId="77777777" w:rsidR="00C3651A" w:rsidRPr="00400193" w:rsidRDefault="00C3651A" w:rsidP="00C3651A">
      <w:pPr>
        <w:pStyle w:val="Heading5"/>
        <w:rPr>
          <w:rFonts w:eastAsia="Arial"/>
          <w:lang w:eastAsia="zh-CN" w:bidi="hi-IN"/>
        </w:rPr>
      </w:pPr>
      <w:bookmarkStart w:id="195" w:name="_319y80a"/>
      <w:bookmarkStart w:id="196" w:name="_Toc61894693"/>
      <w:bookmarkEnd w:id="195"/>
      <w:r w:rsidRPr="00400193">
        <w:rPr>
          <w:rFonts w:eastAsia="Arial"/>
          <w:lang w:eastAsia="zh-CN" w:bidi="hi-IN"/>
        </w:rPr>
        <w:t>Threat Awareness</w:t>
      </w:r>
      <w:bookmarkEnd w:id="196"/>
    </w:p>
    <w:p w14:paraId="48889EFA" w14:textId="690411AB" w:rsidR="00C3651A" w:rsidRPr="00400193" w:rsidRDefault="00C3651A" w:rsidP="00C3651A">
      <w:pPr>
        <w:suppressAutoHyphens/>
        <w:rPr>
          <w:szCs w:val="24"/>
          <w:lang w:eastAsia="zh-CN" w:bidi="hi-IN"/>
        </w:rPr>
      </w:pPr>
      <w:r w:rsidRPr="00400193">
        <w:rPr>
          <w:szCs w:val="24"/>
          <w:lang w:eastAsia="zh-CN" w:bidi="hi-IN"/>
        </w:rPr>
        <w:t xml:space="preserve">Threat awareness is another area where ‘human error’ is the biggest ingredient of the risk. Some managers and employees may not even be aware of existing or common risks. Certainly very few are likely to be aware of emerging risks, and none of ‘hidden risks’ (Allianz, 2015), because, by their nature, no-one is aware of them until they emerge (see </w:t>
      </w:r>
      <w:r w:rsidRPr="00400193">
        <w:rPr>
          <w:szCs w:val="24"/>
          <w:lang w:eastAsia="zh-CN" w:bidi="hi-IN"/>
        </w:rPr>
        <w:fldChar w:fldCharType="begin"/>
      </w:r>
      <w:r w:rsidRPr="00400193">
        <w:rPr>
          <w:szCs w:val="24"/>
          <w:lang w:eastAsia="zh-CN" w:bidi="hi-IN"/>
        </w:rPr>
        <w:instrText xml:space="preserve"> REF _Ref42434136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5</w:t>
      </w:r>
      <w:r w:rsidRPr="00400193">
        <w:rPr>
          <w:szCs w:val="24"/>
          <w:lang w:eastAsia="zh-CN" w:bidi="hi-IN"/>
        </w:rPr>
        <w:fldChar w:fldCharType="end"/>
      </w:r>
      <w:r w:rsidRPr="00400193">
        <w:rPr>
          <w:szCs w:val="24"/>
          <w:lang w:eastAsia="zh-CN" w:bidi="hi-IN"/>
        </w:rPr>
        <w:t xml:space="preserve">). One example of a hidden risk is mergers or acquisitions, because it is not possible to know the effect of combining data systems ahead of time. Data could be corrupted or lost, and one system may be more vulnerable to attack than the other. During the merging of data, there is also increased risk of infiltration by hackers. However, </w:t>
      </w:r>
      <w:r w:rsidRPr="00400193">
        <w:rPr>
          <w:i/>
          <w:szCs w:val="24"/>
          <w:lang w:eastAsia="zh-CN" w:bidi="hi-IN"/>
        </w:rPr>
        <w:t>“current or former employees and contractors are the second greatest cybersecurity threat, exceeded only by hackers</w:t>
      </w:r>
      <w:r w:rsidRPr="00400193">
        <w:rPr>
          <w:iCs/>
          <w:szCs w:val="24"/>
          <w:lang w:eastAsia="zh-CN" w:bidi="hi-IN"/>
        </w:rPr>
        <w:t>”</w:t>
      </w:r>
      <w:r w:rsidRPr="00400193">
        <w:rPr>
          <w:i/>
          <w:szCs w:val="24"/>
          <w:lang w:eastAsia="zh-CN" w:bidi="hi-IN"/>
        </w:rPr>
        <w:t xml:space="preserve"> </w:t>
      </w:r>
      <w:r w:rsidRPr="00400193">
        <w:rPr>
          <w:szCs w:val="24"/>
          <w:lang w:eastAsia="zh-CN" w:bidi="hi-IN"/>
        </w:rPr>
        <w:t>(Greitzer et al., 2008, p. 61)</w:t>
      </w:r>
    </w:p>
    <w:p w14:paraId="046A0836" w14:textId="77777777" w:rsidR="00043302" w:rsidRPr="00400193" w:rsidRDefault="00043302" w:rsidP="00043302">
      <w:pPr>
        <w:suppressAutoHyphens/>
        <w:rPr>
          <w:szCs w:val="24"/>
          <w:lang w:eastAsia="zh-CN" w:bidi="hi-IN"/>
        </w:rPr>
      </w:pPr>
      <w:r w:rsidRPr="00400193">
        <w:rPr>
          <w:szCs w:val="24"/>
          <w:lang w:eastAsia="zh-CN" w:bidi="hi-IN"/>
        </w:rPr>
        <w:t xml:space="preserve">Amoroso (2011) emphasised that awareness of risks is the first step to prevention or mitigation. This point has been reiterated by a number of authors: it is only possible to </w:t>
      </w:r>
      <w:r w:rsidRPr="00400193">
        <w:rPr>
          <w:szCs w:val="24"/>
          <w:lang w:eastAsia="zh-CN" w:bidi="hi-IN"/>
        </w:rPr>
        <w:lastRenderedPageBreak/>
        <w:t>avoid known risks (Korpela, 2015). Yildirim (2016) also stressed the importance of information security awareness covering all information, not just digital information:</w:t>
      </w:r>
    </w:p>
    <w:p w14:paraId="4F04C0EC" w14:textId="3F8C4A05" w:rsidR="00043302" w:rsidRPr="00400193" w:rsidRDefault="00043302" w:rsidP="00043302">
      <w:pPr>
        <w:pStyle w:val="Quote"/>
        <w:rPr>
          <w:lang w:eastAsia="zh-CN" w:bidi="hi-IN"/>
        </w:rPr>
      </w:pPr>
      <w:r w:rsidRPr="00400193">
        <w:rPr>
          <w:lang w:eastAsia="zh-CN" w:bidi="hi-IN"/>
        </w:rPr>
        <w:t>“Security awareness, as the term is commonly used in government and industry, is essential security education for members of employee populations that has immediate or practical application to the workplace and beyond. It suggests an awareness of possible risk, danger, or real threats to life, safety, or valued assets” (Yildirim, 2016, pp. 213-214).</w:t>
      </w:r>
    </w:p>
    <w:tbl>
      <w:tblPr>
        <w:tblW w:w="9014" w:type="dxa"/>
        <w:tblLook w:val="04A0" w:firstRow="1" w:lastRow="0" w:firstColumn="1" w:lastColumn="0" w:noHBand="0" w:noVBand="1"/>
      </w:tblPr>
      <w:tblGrid>
        <w:gridCol w:w="4508"/>
        <w:gridCol w:w="4506"/>
      </w:tblGrid>
      <w:tr w:rsidR="00A0618E" w:rsidRPr="00400193" w14:paraId="66609C00" w14:textId="77777777" w:rsidTr="00C3651A">
        <w:tc>
          <w:tcPr>
            <w:tcW w:w="4508" w:type="dxa"/>
            <w:tcBorders>
              <w:top w:val="single" w:sz="6" w:space="0" w:color="000000"/>
              <w:left w:val="nil"/>
              <w:bottom w:val="single" w:sz="6" w:space="0" w:color="000000"/>
              <w:right w:val="nil"/>
            </w:tcBorders>
            <w:hideMark/>
          </w:tcPr>
          <w:p w14:paraId="3C47B19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br w:type="page"/>
            </w:r>
            <w:r w:rsidRPr="00400193">
              <w:rPr>
                <w:rFonts w:asciiTheme="minorHAnsi" w:eastAsia="Liberation Serif" w:hAnsiTheme="minorHAnsi" w:cstheme="minorHAnsi"/>
                <w:b/>
                <w:sz w:val="22"/>
                <w:lang w:eastAsia="zh-CN" w:bidi="hi-IN"/>
              </w:rPr>
              <w:t>Risks of Not Being Threat Aware</w:t>
            </w:r>
          </w:p>
        </w:tc>
        <w:tc>
          <w:tcPr>
            <w:tcW w:w="4506" w:type="dxa"/>
            <w:tcBorders>
              <w:top w:val="single" w:sz="6" w:space="0" w:color="000000"/>
              <w:left w:val="nil"/>
              <w:bottom w:val="single" w:sz="6" w:space="0" w:color="000000"/>
              <w:right w:val="nil"/>
            </w:tcBorders>
            <w:hideMark/>
          </w:tcPr>
          <w:p w14:paraId="2573CBD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2A9865D3" w14:textId="77777777" w:rsidTr="00C3651A">
        <w:tc>
          <w:tcPr>
            <w:tcW w:w="4508" w:type="dxa"/>
            <w:hideMark/>
          </w:tcPr>
          <w:p w14:paraId="234D871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Increased chance of phishing </w:t>
            </w:r>
            <w:r w:rsidRPr="00400193">
              <w:rPr>
                <w:rFonts w:asciiTheme="minorHAnsi" w:eastAsia="Liberation Serif" w:hAnsiTheme="minorHAnsi" w:cstheme="minorHAnsi"/>
                <w:sz w:val="22"/>
                <w:vertAlign w:val="superscript"/>
                <w:lang w:eastAsia="zh-CN" w:bidi="hi-IN"/>
              </w:rPr>
              <w:t>a</w:t>
            </w:r>
          </w:p>
        </w:tc>
        <w:tc>
          <w:tcPr>
            <w:tcW w:w="4506" w:type="dxa"/>
            <w:hideMark/>
          </w:tcPr>
          <w:p w14:paraId="7045389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Hoelscher (2017)</w:t>
            </w:r>
          </w:p>
        </w:tc>
      </w:tr>
      <w:tr w:rsidR="00A0618E" w:rsidRPr="00400193" w14:paraId="34E4063D" w14:textId="77777777" w:rsidTr="00C3651A">
        <w:tc>
          <w:tcPr>
            <w:tcW w:w="4508" w:type="dxa"/>
            <w:hideMark/>
          </w:tcPr>
          <w:p w14:paraId="3387246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‘Laissez faire’ attitude to data security</w:t>
            </w:r>
          </w:p>
        </w:tc>
        <w:tc>
          <w:tcPr>
            <w:tcW w:w="4506" w:type="dxa"/>
            <w:hideMark/>
          </w:tcPr>
          <w:p w14:paraId="628C213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Greitzer et al. (2008)</w:t>
            </w:r>
          </w:p>
        </w:tc>
      </w:tr>
      <w:tr w:rsidR="00A0618E" w:rsidRPr="00400193" w14:paraId="4A702104" w14:textId="77777777" w:rsidTr="00C3651A">
        <w:tc>
          <w:tcPr>
            <w:tcW w:w="4508" w:type="dxa"/>
            <w:hideMark/>
          </w:tcPr>
          <w:p w14:paraId="2AD02D4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More human error</w:t>
            </w:r>
          </w:p>
        </w:tc>
        <w:tc>
          <w:tcPr>
            <w:tcW w:w="4506" w:type="dxa"/>
            <w:hideMark/>
          </w:tcPr>
          <w:p w14:paraId="0F65AB7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Allianz (2016); Dutt, Ahn, and Gonzalez (2013)</w:t>
            </w:r>
          </w:p>
        </w:tc>
      </w:tr>
      <w:tr w:rsidR="00A0618E" w:rsidRPr="00400193" w14:paraId="172F226B" w14:textId="77777777" w:rsidTr="00C3651A">
        <w:tc>
          <w:tcPr>
            <w:tcW w:w="4508" w:type="dxa"/>
            <w:hideMark/>
          </w:tcPr>
          <w:p w14:paraId="4AAF6B0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Business interruption</w:t>
            </w:r>
          </w:p>
        </w:tc>
        <w:tc>
          <w:tcPr>
            <w:tcW w:w="4506" w:type="dxa"/>
            <w:hideMark/>
          </w:tcPr>
          <w:p w14:paraId="46AA87F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Amoroso (2011); Ciolan (2014)</w:t>
            </w:r>
          </w:p>
        </w:tc>
      </w:tr>
      <w:tr w:rsidR="00A0618E" w:rsidRPr="00400193" w14:paraId="6A41B2FC" w14:textId="77777777" w:rsidTr="00C3651A">
        <w:tc>
          <w:tcPr>
            <w:tcW w:w="4508" w:type="dxa"/>
            <w:hideMark/>
          </w:tcPr>
          <w:p w14:paraId="064816E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Inadvertent business information leaks</w:t>
            </w:r>
          </w:p>
        </w:tc>
        <w:tc>
          <w:tcPr>
            <w:tcW w:w="4506" w:type="dxa"/>
            <w:hideMark/>
          </w:tcPr>
          <w:p w14:paraId="16A2451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Yayla and Hu (2014)</w:t>
            </w:r>
          </w:p>
        </w:tc>
      </w:tr>
      <w:tr w:rsidR="00A0618E" w:rsidRPr="00400193" w14:paraId="62CBD5E4" w14:textId="77777777" w:rsidTr="00C3651A">
        <w:tc>
          <w:tcPr>
            <w:tcW w:w="4508" w:type="dxa"/>
            <w:hideMark/>
          </w:tcPr>
          <w:p w14:paraId="757C64C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Belief that data security is ‘built-in’ or someone else’s job</w:t>
            </w:r>
          </w:p>
        </w:tc>
        <w:tc>
          <w:tcPr>
            <w:tcW w:w="4506" w:type="dxa"/>
            <w:hideMark/>
          </w:tcPr>
          <w:p w14:paraId="40323FF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Schlesinger (2016)</w:t>
            </w:r>
          </w:p>
        </w:tc>
      </w:tr>
      <w:tr w:rsidR="00A0618E" w:rsidRPr="00400193" w14:paraId="714FD362" w14:textId="77777777" w:rsidTr="00C3651A">
        <w:tc>
          <w:tcPr>
            <w:tcW w:w="4508" w:type="dxa"/>
            <w:hideMark/>
          </w:tcPr>
          <w:p w14:paraId="40D987C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Connection to personal apps through company computers</w:t>
            </w:r>
          </w:p>
        </w:tc>
        <w:tc>
          <w:tcPr>
            <w:tcW w:w="4506" w:type="dxa"/>
            <w:hideMark/>
          </w:tcPr>
          <w:p w14:paraId="743A07F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Schlesinger (2016)</w:t>
            </w:r>
          </w:p>
        </w:tc>
      </w:tr>
      <w:tr w:rsidR="00A0618E" w:rsidRPr="00400193" w14:paraId="4046729D" w14:textId="77777777" w:rsidTr="00C3651A">
        <w:tc>
          <w:tcPr>
            <w:tcW w:w="4508" w:type="dxa"/>
            <w:hideMark/>
          </w:tcPr>
          <w:p w14:paraId="1E6D5C3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Connection to unsafe sites</w:t>
            </w:r>
          </w:p>
        </w:tc>
        <w:tc>
          <w:tcPr>
            <w:tcW w:w="4506" w:type="dxa"/>
            <w:hideMark/>
          </w:tcPr>
          <w:p w14:paraId="6476E54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Schneier (2017); Silic and Back (2016)</w:t>
            </w:r>
          </w:p>
        </w:tc>
      </w:tr>
      <w:tr w:rsidR="00A0618E" w:rsidRPr="00400193" w14:paraId="05BC425A" w14:textId="77777777" w:rsidTr="00C3651A">
        <w:tc>
          <w:tcPr>
            <w:tcW w:w="4508" w:type="dxa"/>
            <w:hideMark/>
          </w:tcPr>
          <w:p w14:paraId="69A7D61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Use of personal social media for business purposes</w:t>
            </w:r>
          </w:p>
        </w:tc>
        <w:tc>
          <w:tcPr>
            <w:tcW w:w="4506" w:type="dxa"/>
            <w:hideMark/>
          </w:tcPr>
          <w:p w14:paraId="66CDF1A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Silic and Back (2016)</w:t>
            </w:r>
          </w:p>
        </w:tc>
      </w:tr>
      <w:tr w:rsidR="00A0618E" w:rsidRPr="00400193" w14:paraId="16DA7A59" w14:textId="77777777" w:rsidTr="00C3651A">
        <w:tc>
          <w:tcPr>
            <w:tcW w:w="4508" w:type="dxa"/>
            <w:tcBorders>
              <w:top w:val="nil"/>
              <w:left w:val="nil"/>
              <w:bottom w:val="single" w:sz="6" w:space="0" w:color="000000"/>
              <w:right w:val="nil"/>
            </w:tcBorders>
            <w:hideMark/>
          </w:tcPr>
          <w:p w14:paraId="224A306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Increased risk of cyber-bullying</w:t>
            </w:r>
          </w:p>
        </w:tc>
        <w:tc>
          <w:tcPr>
            <w:tcW w:w="4506" w:type="dxa"/>
            <w:tcBorders>
              <w:top w:val="nil"/>
              <w:left w:val="nil"/>
              <w:bottom w:val="single" w:sz="6" w:space="0" w:color="000000"/>
              <w:right w:val="nil"/>
            </w:tcBorders>
            <w:hideMark/>
          </w:tcPr>
          <w:p w14:paraId="132F40ED"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Betts (2016); de Laat (2015;</w:t>
            </w:r>
            <w:r w:rsidRPr="00400193" w:rsidDel="002F20D7">
              <w:rPr>
                <w:rFonts w:asciiTheme="minorHAnsi" w:eastAsia="Liberation Serif" w:hAnsiTheme="minorHAnsi" w:cstheme="minorHAnsi"/>
                <w:sz w:val="22"/>
                <w:lang w:eastAsia="zh-CN" w:bidi="hi-IN"/>
              </w:rPr>
              <w:t xml:space="preserve"> </w:t>
            </w:r>
            <w:r w:rsidRPr="00400193">
              <w:rPr>
                <w:rFonts w:asciiTheme="minorHAnsi" w:eastAsia="Liberation Serif" w:hAnsiTheme="minorHAnsi" w:cstheme="minorHAnsi"/>
                <w:sz w:val="22"/>
                <w:lang w:eastAsia="zh-CN" w:bidi="hi-IN"/>
              </w:rPr>
              <w:t xml:space="preserve">Halupka (2014) </w:t>
            </w:r>
          </w:p>
        </w:tc>
      </w:tr>
    </w:tbl>
    <w:p w14:paraId="56946F4A" w14:textId="015BA32E" w:rsidR="00C3651A" w:rsidRPr="00400193" w:rsidRDefault="00C3651A" w:rsidP="00C3651A">
      <w:pPr>
        <w:pStyle w:val="Caption"/>
        <w:spacing w:after="240"/>
        <w:rPr>
          <w:b w:val="0"/>
          <w:i w:val="0"/>
          <w:szCs w:val="24"/>
          <w:lang w:eastAsia="zh-CN" w:bidi="hi-IN"/>
        </w:rPr>
      </w:pPr>
      <w:bookmarkStart w:id="197" w:name="_1gf8i83"/>
      <w:bookmarkStart w:id="198" w:name="_Ref42434510"/>
      <w:bookmarkStart w:id="199" w:name="_Toc52901535"/>
      <w:bookmarkEnd w:id="19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w:t>
      </w:r>
      <w:r w:rsidRPr="00400193">
        <w:fldChar w:fldCharType="end"/>
      </w:r>
      <w:bookmarkEnd w:id="198"/>
      <w:r w:rsidRPr="00400193">
        <w:t xml:space="preserve">: Some risks arising from not being threat aware. </w:t>
      </w:r>
      <w:r w:rsidRPr="00400193">
        <w:rPr>
          <w:vertAlign w:val="superscript"/>
        </w:rPr>
        <w:t>a</w:t>
      </w:r>
      <w:r w:rsidRPr="00400193">
        <w:t xml:space="preserve"> see </w:t>
      </w:r>
      <w:r w:rsidRPr="00400193">
        <w:fldChar w:fldCharType="begin"/>
      </w:r>
      <w:r w:rsidRPr="00400193">
        <w:instrText xml:space="preserve"> REF _Ref42433950 \h </w:instrText>
      </w:r>
      <w:r w:rsidRPr="00400193">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2</w:t>
      </w:r>
      <w:bookmarkEnd w:id="199"/>
      <w:r w:rsidRPr="00400193">
        <w:fldChar w:fldCharType="end"/>
      </w:r>
    </w:p>
    <w:p w14:paraId="27EB335D" w14:textId="77777777" w:rsidR="00C3651A" w:rsidRPr="00400193" w:rsidRDefault="00C3651A" w:rsidP="00C3651A">
      <w:pPr>
        <w:suppressAutoHyphens/>
        <w:rPr>
          <w:szCs w:val="24"/>
          <w:lang w:eastAsia="zh-CN" w:bidi="hi-IN"/>
        </w:rPr>
      </w:pPr>
      <w:r w:rsidRPr="00400193">
        <w:rPr>
          <w:szCs w:val="24"/>
          <w:lang w:eastAsia="zh-CN" w:bidi="hi-IN"/>
        </w:rPr>
        <w:t>This general threat awareness is the first step towards the next internal factor: developing a risk culture.</w:t>
      </w:r>
    </w:p>
    <w:p w14:paraId="051E47A3" w14:textId="77777777" w:rsidR="00C3651A" w:rsidRPr="00400193" w:rsidRDefault="00C3651A" w:rsidP="00C3651A">
      <w:pPr>
        <w:pStyle w:val="Heading5"/>
        <w:rPr>
          <w:rFonts w:eastAsia="Arial"/>
          <w:lang w:eastAsia="zh-CN" w:bidi="hi-IN"/>
        </w:rPr>
      </w:pPr>
      <w:bookmarkStart w:id="200" w:name="_40ew0vw"/>
      <w:bookmarkStart w:id="201" w:name="_Toc61894694"/>
      <w:bookmarkEnd w:id="200"/>
      <w:r w:rsidRPr="00400193">
        <w:rPr>
          <w:rFonts w:eastAsia="Arial"/>
          <w:lang w:eastAsia="zh-CN" w:bidi="hi-IN"/>
        </w:rPr>
        <w:t>Risk Culture</w:t>
      </w:r>
      <w:bookmarkEnd w:id="201"/>
    </w:p>
    <w:p w14:paraId="75AEEB50" w14:textId="657EAD99" w:rsidR="00C3651A" w:rsidRPr="00400193" w:rsidRDefault="00C3651A" w:rsidP="00C3651A">
      <w:pPr>
        <w:suppressAutoHyphens/>
        <w:rPr>
          <w:szCs w:val="24"/>
          <w:lang w:eastAsia="zh-CN" w:bidi="hi-IN"/>
        </w:rPr>
      </w:pPr>
      <w:r w:rsidRPr="00400193">
        <w:rPr>
          <w:szCs w:val="24"/>
          <w:lang w:eastAsia="zh-CN" w:bidi="hi-IN"/>
        </w:rPr>
        <w:t xml:space="preserve">Overall, it is essential to create a company-wide awareness of cyber-threats (Korpela, 2015), including at board level (Yayla </w:t>
      </w:r>
      <w:r w:rsidR="00E93EE0" w:rsidRPr="00400193">
        <w:rPr>
          <w:szCs w:val="24"/>
          <w:lang w:eastAsia="zh-CN" w:bidi="hi-IN"/>
        </w:rPr>
        <w:t>and</w:t>
      </w:r>
      <w:r w:rsidRPr="00400193">
        <w:rPr>
          <w:szCs w:val="24"/>
          <w:lang w:eastAsia="zh-CN" w:bidi="hi-IN"/>
        </w:rPr>
        <w:t xml:space="preserve"> Hu, 2014). Awareness does not remove the risk, but it makes it easier to control or mitigate (Yildirim, 2016).A ‘risk-awareness culture’ (see </w:t>
      </w:r>
      <w:r w:rsidRPr="00400193">
        <w:rPr>
          <w:szCs w:val="24"/>
          <w:lang w:eastAsia="zh-CN" w:bidi="hi-IN"/>
        </w:rPr>
        <w:fldChar w:fldCharType="begin"/>
      </w:r>
      <w:r w:rsidRPr="00400193">
        <w:rPr>
          <w:szCs w:val="24"/>
          <w:lang w:eastAsia="zh-CN" w:bidi="hi-IN"/>
        </w:rPr>
        <w:instrText xml:space="preserve"> REF _Ref42541282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2</w:t>
      </w:r>
      <w:r w:rsidRPr="00400193">
        <w:rPr>
          <w:szCs w:val="24"/>
          <w:lang w:eastAsia="zh-CN" w:bidi="hi-IN"/>
        </w:rPr>
        <w:fldChar w:fldCharType="end"/>
      </w:r>
      <w:r w:rsidRPr="00400193">
        <w:rPr>
          <w:szCs w:val="24"/>
          <w:lang w:eastAsia="zh-CN" w:bidi="hi-IN"/>
        </w:rPr>
        <w:t xml:space="preserve">) is therefore essential in every company (Amoroso, 2011). </w:t>
      </w:r>
    </w:p>
    <w:p w14:paraId="5286579E" w14:textId="77777777" w:rsidR="00C3651A" w:rsidRPr="00400193" w:rsidRDefault="00C3651A" w:rsidP="00C3651A">
      <w:pPr>
        <w:suppressAutoHyphens/>
        <w:rPr>
          <w:szCs w:val="24"/>
          <w:lang w:eastAsia="zh-CN" w:bidi="hi-IN"/>
        </w:rPr>
      </w:pPr>
      <w:r w:rsidRPr="00400193">
        <w:rPr>
          <w:szCs w:val="24"/>
          <w:lang w:eastAsia="zh-CN" w:bidi="hi-IN"/>
        </w:rPr>
        <w:t xml:space="preserve">In addition to introducing this culture of awareness of both threats and risks, it is also essential to maintain awareness. Annual training will maintain this culture, provided the content is </w:t>
      </w:r>
      <w:r w:rsidRPr="00400193">
        <w:rPr>
          <w:i/>
          <w:iCs/>
          <w:szCs w:val="24"/>
          <w:lang w:eastAsia="zh-CN" w:bidi="hi-IN"/>
        </w:rPr>
        <w:t>“the shortest communication program which has the greatest impact”</w:t>
      </w:r>
      <w:r w:rsidRPr="00400193">
        <w:rPr>
          <w:szCs w:val="24"/>
          <w:lang w:eastAsia="zh-CN" w:bidi="hi-IN"/>
        </w:rPr>
        <w:t xml:space="preserve"> (Yildirim, 2016, p. 215), and is regularly updated with feedback on effectiveness. An annual update also permits the introduction of any new compliance requirements or legal requirements on cyber-security.</w:t>
      </w:r>
    </w:p>
    <w:p w14:paraId="06DC3679" w14:textId="77777777" w:rsidR="00C3651A" w:rsidRPr="00400193" w:rsidRDefault="00C3651A" w:rsidP="00C3651A">
      <w:pPr>
        <w:keepNext/>
        <w:suppressAutoHyphens/>
        <w:spacing w:after="0" w:line="240" w:lineRule="auto"/>
        <w:jc w:val="center"/>
      </w:pPr>
      <w:r w:rsidRPr="00400193">
        <w:rPr>
          <w:noProof/>
          <w:szCs w:val="24"/>
          <w:lang w:val="en-US"/>
        </w:rPr>
        <w:lastRenderedPageBreak/>
        <w:drawing>
          <wp:inline distT="0" distB="0" distL="0" distR="0" wp14:anchorId="3F22D268" wp14:editId="494E62A3">
            <wp:extent cx="3250108" cy="3240000"/>
            <wp:effectExtent l="19050" t="19050" r="26670" b="17780"/>
            <wp:docPr id="26"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0.png"/>
                    <pic:cNvPicPr>
                      <a:picLocks noChangeAspect="1" noChangeArrowheads="1"/>
                    </pic:cNvPicPr>
                  </pic:nvPicPr>
                  <pic:blipFill>
                    <a:blip r:embed="rId47">
                      <a:extLst>
                        <a:ext uri="{28A0092B-C50C-407E-A947-70E740481C1C}">
                          <a14:useLocalDpi xmlns:a14="http://schemas.microsoft.com/office/drawing/2010/main" val="0"/>
                        </a:ext>
                      </a:extLst>
                    </a:blip>
                    <a:srcRect l="-31" t="-31" r="-31" b="-31"/>
                    <a:stretch>
                      <a:fillRect/>
                    </a:stretch>
                  </pic:blipFill>
                  <pic:spPr bwMode="auto">
                    <a:xfrm>
                      <a:off x="0" y="0"/>
                      <a:ext cx="3250108" cy="3240000"/>
                    </a:xfrm>
                    <a:prstGeom prst="rect">
                      <a:avLst/>
                    </a:prstGeom>
                    <a:noFill/>
                    <a:ln w="19050">
                      <a:solidFill>
                        <a:schemeClr val="tx1"/>
                      </a:solidFill>
                    </a:ln>
                  </pic:spPr>
                </pic:pic>
              </a:graphicData>
            </a:graphic>
          </wp:inline>
        </w:drawing>
      </w:r>
    </w:p>
    <w:p w14:paraId="49226CEA" w14:textId="768C4468" w:rsidR="00C3651A" w:rsidRPr="00400193" w:rsidRDefault="00C3651A" w:rsidP="00C3651A">
      <w:pPr>
        <w:pStyle w:val="Caption"/>
        <w:spacing w:after="240"/>
        <w:jc w:val="left"/>
        <w:rPr>
          <w:szCs w:val="24"/>
          <w:lang w:eastAsia="zh-CN" w:bidi="hi-IN"/>
        </w:rPr>
      </w:pPr>
      <w:bookmarkStart w:id="202" w:name="_Ref42541282"/>
      <w:bookmarkStart w:id="203" w:name="_Toc5538756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3</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w:t>
      </w:r>
      <w:r w:rsidR="00E35E8C" w:rsidRPr="00400193">
        <w:fldChar w:fldCharType="end"/>
      </w:r>
      <w:bookmarkEnd w:id="202"/>
      <w:r w:rsidRPr="00400193">
        <w:t>: The Institute of Risk Management’s view of a 'risk culture'. Source: Institute of Risk Management (2014)</w:t>
      </w:r>
      <w:bookmarkEnd w:id="203"/>
    </w:p>
    <w:p w14:paraId="48B9263F" w14:textId="77777777" w:rsidR="00C3651A" w:rsidRPr="00400193" w:rsidRDefault="00C3651A" w:rsidP="00C3651A">
      <w:pPr>
        <w:suppressAutoHyphens/>
        <w:rPr>
          <w:i/>
          <w:szCs w:val="24"/>
          <w:lang w:eastAsia="zh-CN" w:bidi="hi-IN"/>
        </w:rPr>
      </w:pPr>
      <w:bookmarkStart w:id="204" w:name="_2fk6b3p"/>
      <w:bookmarkEnd w:id="204"/>
      <w:r w:rsidRPr="00400193">
        <w:rPr>
          <w:szCs w:val="24"/>
          <w:lang w:eastAsia="zh-CN" w:bidi="hi-IN"/>
        </w:rPr>
        <w:t>In addition to creating a risk culture, and ensuring employees and suppliers are threat aware, it is also essential to create an environment where ‘insider’ threats are specifically considered (Ortiz, Reinerman-Jones, and Matthews, 2016). This is for two main reasons: first, a high percentage of cyber-attacks are from insiders, and second, current cyber-security training often does not deal adequately with this subject. It may be helpful to use a 3D gaming environment, where the ludology of ‘serious games’ (Djaouti</w:t>
      </w:r>
      <w:r w:rsidRPr="00400193">
        <w:rPr>
          <w:i/>
          <w:iCs/>
          <w:szCs w:val="24"/>
          <w:lang w:eastAsia="zh-CN" w:bidi="hi-IN"/>
        </w:rPr>
        <w:t xml:space="preserve"> </w:t>
      </w:r>
      <w:r w:rsidRPr="00400193">
        <w:rPr>
          <w:szCs w:val="24"/>
          <w:lang w:eastAsia="zh-CN" w:bidi="hi-IN"/>
        </w:rPr>
        <w:t xml:space="preserve">et al., 2012) can be used to create endless scenarios. Ortiz, Reinerman-Jones, and Matthews (2016, p. 269) commented </w:t>
      </w:r>
      <w:r w:rsidRPr="00400193">
        <w:rPr>
          <w:i/>
          <w:iCs/>
          <w:szCs w:val="24"/>
          <w:lang w:eastAsia="zh-CN" w:bidi="hi-IN"/>
        </w:rPr>
        <w:t>“Serious games are valuable based upon their capacity to duplicate logistically difficult, dangerous, or elaborate situations in a practical, safe environment”.</w:t>
      </w:r>
    </w:p>
    <w:p w14:paraId="01FD258B" w14:textId="03B9FB83" w:rsidR="00C3651A" w:rsidRPr="00400193" w:rsidRDefault="00C3651A" w:rsidP="00C3651A">
      <w:pPr>
        <w:suppressAutoHyphens/>
        <w:rPr>
          <w:szCs w:val="24"/>
          <w:lang w:eastAsia="zh-CN" w:bidi="hi-IN"/>
        </w:rPr>
      </w:pPr>
      <w:r w:rsidRPr="00400193">
        <w:rPr>
          <w:szCs w:val="24"/>
          <w:lang w:eastAsia="zh-CN" w:bidi="hi-IN"/>
        </w:rPr>
        <w:t xml:space="preserve">The ‘human factor’ of security is the basis for this need, but ideally, cyber-security training should take place in a partitioned virtual environment that will give users the impression that they are dealing with real company applications in real time. This is linked to the first point but goes deeper. In a risk culture, all employees and managers learn to act in a way which reduces all risks, not just cyber-risks (see </w:t>
      </w:r>
      <w:r w:rsidRPr="00400193">
        <w:rPr>
          <w:szCs w:val="24"/>
          <w:lang w:eastAsia="zh-CN" w:bidi="hi-IN"/>
        </w:rPr>
        <w:fldChar w:fldCharType="begin"/>
      </w:r>
      <w:r w:rsidRPr="00400193">
        <w:rPr>
          <w:szCs w:val="24"/>
          <w:lang w:eastAsia="zh-CN" w:bidi="hi-IN"/>
        </w:rPr>
        <w:instrText xml:space="preserve"> REF _Ref42434510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6</w:t>
      </w:r>
      <w:r w:rsidRPr="00400193">
        <w:rPr>
          <w:szCs w:val="24"/>
          <w:lang w:eastAsia="zh-CN" w:bidi="hi-IN"/>
        </w:rPr>
        <w:fldChar w:fldCharType="end"/>
      </w:r>
      <w:r w:rsidRPr="00400193">
        <w:rPr>
          <w:szCs w:val="24"/>
          <w:lang w:eastAsia="zh-CN" w:bidi="hi-IN"/>
        </w:rPr>
        <w:t>). This means that every aspect of the business is less vulnerable to serious risk. It also improves resilience by having staff who know how to react to problems. There is still a risk from staff who leave the company (Lu</w:t>
      </w:r>
      <w:r w:rsidRPr="00400193">
        <w:rPr>
          <w:i/>
          <w:iCs/>
          <w:szCs w:val="24"/>
          <w:lang w:eastAsia="zh-CN" w:bidi="hi-IN"/>
        </w:rPr>
        <w:t xml:space="preserve"> </w:t>
      </w:r>
      <w:r w:rsidRPr="00400193">
        <w:rPr>
          <w:szCs w:val="24"/>
          <w:lang w:eastAsia="zh-CN" w:bidi="hi-IN"/>
        </w:rPr>
        <w:t xml:space="preserve">et al., 2013; Vashisth </w:t>
      </w:r>
      <w:r w:rsidR="00E93EE0" w:rsidRPr="00400193">
        <w:rPr>
          <w:szCs w:val="24"/>
          <w:lang w:eastAsia="zh-CN" w:bidi="hi-IN"/>
        </w:rPr>
        <w:t>and</w:t>
      </w:r>
      <w:r w:rsidRPr="00400193">
        <w:rPr>
          <w:szCs w:val="24"/>
          <w:lang w:eastAsia="zh-CN" w:bidi="hi-IN"/>
        </w:rPr>
        <w:t xml:space="preserve"> Kumar, 2013), but this is largely an area of physical security, and as such is part of the Chief </w:t>
      </w:r>
      <w:r w:rsidRPr="00400193">
        <w:rPr>
          <w:szCs w:val="24"/>
          <w:lang w:eastAsia="zh-CN" w:bidi="hi-IN"/>
        </w:rPr>
        <w:lastRenderedPageBreak/>
        <w:t xml:space="preserve">Information Security Officer’s domain. The risk from former employees remains an insider risk (Ortiz, Reinerman-Jones </w:t>
      </w:r>
      <w:r w:rsidR="00E93EE0" w:rsidRPr="00400193">
        <w:rPr>
          <w:szCs w:val="24"/>
          <w:lang w:eastAsia="zh-CN" w:bidi="hi-IN"/>
        </w:rPr>
        <w:t>and</w:t>
      </w:r>
      <w:r w:rsidRPr="00400193">
        <w:rPr>
          <w:szCs w:val="24"/>
          <w:lang w:eastAsia="zh-CN" w:bidi="hi-IN"/>
        </w:rPr>
        <w:t xml:space="preserve"> Matthews, 2016), however, so the Chief Information Security Officer must also have received training about insider threats. All cyber-security staff and computer users must be aware of the insider risk and should report any behaviour or usage that appears unusual.</w:t>
      </w:r>
    </w:p>
    <w:tbl>
      <w:tblPr>
        <w:tblW w:w="9014" w:type="dxa"/>
        <w:tblLook w:val="04A0" w:firstRow="1" w:lastRow="0" w:firstColumn="1" w:lastColumn="0" w:noHBand="0" w:noVBand="1"/>
      </w:tblPr>
      <w:tblGrid>
        <w:gridCol w:w="4508"/>
        <w:gridCol w:w="4506"/>
      </w:tblGrid>
      <w:tr w:rsidR="00A0618E" w:rsidRPr="00400193" w14:paraId="68B7B0E8" w14:textId="77777777" w:rsidTr="00C3651A">
        <w:tc>
          <w:tcPr>
            <w:tcW w:w="4507" w:type="dxa"/>
            <w:tcBorders>
              <w:top w:val="single" w:sz="6" w:space="0" w:color="000000"/>
              <w:left w:val="nil"/>
              <w:bottom w:val="single" w:sz="6" w:space="0" w:color="000000"/>
              <w:right w:val="nil"/>
            </w:tcBorders>
            <w:hideMark/>
          </w:tcPr>
          <w:p w14:paraId="6795F32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 xml:space="preserve">Risks of not having a ‘risk culture’ </w:t>
            </w:r>
          </w:p>
        </w:tc>
        <w:tc>
          <w:tcPr>
            <w:tcW w:w="4506" w:type="dxa"/>
            <w:tcBorders>
              <w:top w:val="single" w:sz="6" w:space="0" w:color="000000"/>
              <w:left w:val="nil"/>
              <w:bottom w:val="single" w:sz="6" w:space="0" w:color="000000"/>
              <w:right w:val="nil"/>
            </w:tcBorders>
            <w:hideMark/>
          </w:tcPr>
          <w:p w14:paraId="7E9D043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b/>
                <w:sz w:val="22"/>
                <w:lang w:eastAsia="zh-CN" w:bidi="hi-IN"/>
              </w:rPr>
              <w:t>Reference</w:t>
            </w:r>
          </w:p>
        </w:tc>
      </w:tr>
      <w:tr w:rsidR="00A0618E" w:rsidRPr="00400193" w14:paraId="1A30EEDB" w14:textId="77777777" w:rsidTr="00C3651A">
        <w:tc>
          <w:tcPr>
            <w:tcW w:w="4507" w:type="dxa"/>
            <w:hideMark/>
          </w:tcPr>
          <w:p w14:paraId="6A0AA91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Physical and cyber risks</w:t>
            </w:r>
          </w:p>
        </w:tc>
        <w:tc>
          <w:tcPr>
            <w:tcW w:w="4506" w:type="dxa"/>
            <w:hideMark/>
          </w:tcPr>
          <w:p w14:paraId="3605DE6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Atoum, Otoom, and Abu Ali (2014)</w:t>
            </w:r>
          </w:p>
        </w:tc>
      </w:tr>
      <w:tr w:rsidR="00A0618E" w:rsidRPr="00400193" w14:paraId="11606207" w14:textId="77777777" w:rsidTr="00C3651A">
        <w:tc>
          <w:tcPr>
            <w:tcW w:w="4507" w:type="dxa"/>
            <w:hideMark/>
          </w:tcPr>
          <w:p w14:paraId="6248033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DDoS attacks </w:t>
            </w:r>
            <w:r w:rsidRPr="00400193">
              <w:rPr>
                <w:rFonts w:asciiTheme="minorHAnsi" w:eastAsia="Liberation Serif" w:hAnsiTheme="minorHAnsi" w:cstheme="minorHAnsi"/>
                <w:sz w:val="22"/>
                <w:vertAlign w:val="superscript"/>
                <w:lang w:eastAsia="zh-CN" w:bidi="hi-IN"/>
              </w:rPr>
              <w:t>a</w:t>
            </w:r>
          </w:p>
        </w:tc>
        <w:tc>
          <w:tcPr>
            <w:tcW w:w="4506" w:type="dxa"/>
            <w:hideMark/>
          </w:tcPr>
          <w:p w14:paraId="7FAFABD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de Laat (2015)</w:t>
            </w:r>
          </w:p>
        </w:tc>
      </w:tr>
      <w:tr w:rsidR="00A0618E" w:rsidRPr="00400193" w14:paraId="4F8F48EB" w14:textId="77777777" w:rsidTr="00C3651A">
        <w:tc>
          <w:tcPr>
            <w:tcW w:w="4507" w:type="dxa"/>
            <w:hideMark/>
          </w:tcPr>
          <w:p w14:paraId="399D510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Phishing </w:t>
            </w:r>
            <w:r w:rsidRPr="00400193">
              <w:rPr>
                <w:rFonts w:asciiTheme="minorHAnsi" w:eastAsia="Liberation Serif" w:hAnsiTheme="minorHAnsi" w:cstheme="minorHAnsi"/>
                <w:sz w:val="22"/>
                <w:vertAlign w:val="superscript"/>
                <w:lang w:eastAsia="zh-CN" w:bidi="hi-IN"/>
              </w:rPr>
              <w:t>b</w:t>
            </w:r>
            <w:r w:rsidRPr="00400193">
              <w:rPr>
                <w:rFonts w:asciiTheme="minorHAnsi" w:eastAsia="Liberation Serif" w:hAnsiTheme="minorHAnsi" w:cstheme="minorHAnsi"/>
                <w:sz w:val="22"/>
                <w:lang w:eastAsia="zh-CN" w:bidi="hi-IN"/>
              </w:rPr>
              <w:t xml:space="preserve"> attacks</w:t>
            </w:r>
          </w:p>
        </w:tc>
        <w:tc>
          <w:tcPr>
            <w:tcW w:w="4506" w:type="dxa"/>
            <w:hideMark/>
          </w:tcPr>
          <w:p w14:paraId="633A530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Hoelscher (2017)</w:t>
            </w:r>
          </w:p>
        </w:tc>
      </w:tr>
      <w:tr w:rsidR="00A0618E" w:rsidRPr="00400193" w14:paraId="469A9ADC" w14:textId="77777777" w:rsidTr="00C3651A">
        <w:tc>
          <w:tcPr>
            <w:tcW w:w="4507" w:type="dxa"/>
            <w:hideMark/>
          </w:tcPr>
          <w:p w14:paraId="46ED4D5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Loss of “trade secrets”</w:t>
            </w:r>
          </w:p>
        </w:tc>
        <w:tc>
          <w:tcPr>
            <w:tcW w:w="4506" w:type="dxa"/>
            <w:hideMark/>
          </w:tcPr>
          <w:p w14:paraId="18BDDB8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Amoroso (2011)</w:t>
            </w:r>
          </w:p>
        </w:tc>
      </w:tr>
      <w:tr w:rsidR="00A0618E" w:rsidRPr="00400193" w14:paraId="6925E1D4" w14:textId="77777777" w:rsidTr="00C3651A">
        <w:tc>
          <w:tcPr>
            <w:tcW w:w="4507" w:type="dxa"/>
            <w:hideMark/>
          </w:tcPr>
          <w:p w14:paraId="3433D03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Staff loyalty</w:t>
            </w:r>
          </w:p>
        </w:tc>
        <w:tc>
          <w:tcPr>
            <w:tcW w:w="4506" w:type="dxa"/>
            <w:hideMark/>
          </w:tcPr>
          <w:p w14:paraId="42C70C0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Vashisth and Kumar (2013)</w:t>
            </w:r>
          </w:p>
        </w:tc>
      </w:tr>
      <w:tr w:rsidR="00A0618E" w:rsidRPr="00400193" w14:paraId="38E4C714" w14:textId="77777777" w:rsidTr="00C3651A">
        <w:tc>
          <w:tcPr>
            <w:tcW w:w="4507" w:type="dxa"/>
            <w:hideMark/>
          </w:tcPr>
          <w:p w14:paraId="6D55681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Drop in profit level</w:t>
            </w:r>
          </w:p>
        </w:tc>
        <w:tc>
          <w:tcPr>
            <w:tcW w:w="4506" w:type="dxa"/>
            <w:hideMark/>
          </w:tcPr>
          <w:p w14:paraId="00863D2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Djemame</w:t>
            </w:r>
            <w:r w:rsidRPr="00400193">
              <w:rPr>
                <w:rFonts w:asciiTheme="minorHAnsi" w:eastAsia="Liberation Serif" w:hAnsiTheme="minorHAnsi" w:cstheme="minorHAnsi"/>
                <w:i/>
                <w:iCs/>
                <w:sz w:val="22"/>
                <w:lang w:eastAsia="zh-CN" w:bidi="hi-IN"/>
              </w:rPr>
              <w:t xml:space="preserve"> </w:t>
            </w:r>
            <w:r w:rsidRPr="00400193">
              <w:rPr>
                <w:rFonts w:asciiTheme="minorHAnsi" w:eastAsia="Liberation Serif" w:hAnsiTheme="minorHAnsi" w:cstheme="minorHAnsi"/>
                <w:sz w:val="22"/>
                <w:lang w:eastAsia="zh-CN" w:bidi="hi-IN"/>
              </w:rPr>
              <w:t>et al</w:t>
            </w:r>
            <w:r w:rsidRPr="00400193">
              <w:rPr>
                <w:rFonts w:asciiTheme="minorHAnsi" w:eastAsia="Liberation Serif" w:hAnsiTheme="minorHAnsi" w:cstheme="minorHAnsi"/>
                <w:i/>
                <w:iCs/>
                <w:sz w:val="22"/>
                <w:lang w:eastAsia="zh-CN" w:bidi="hi-IN"/>
              </w:rPr>
              <w:t>.</w:t>
            </w:r>
            <w:r w:rsidRPr="00400193">
              <w:rPr>
                <w:rFonts w:asciiTheme="minorHAnsi" w:eastAsia="Liberation Serif" w:hAnsiTheme="minorHAnsi" w:cstheme="minorHAnsi"/>
                <w:sz w:val="22"/>
                <w:lang w:eastAsia="zh-CN" w:bidi="hi-IN"/>
              </w:rPr>
              <w:t xml:space="preserve"> (2011);</w:t>
            </w:r>
            <w:r w:rsidRPr="00400193" w:rsidDel="008B12CF">
              <w:rPr>
                <w:rFonts w:asciiTheme="minorHAnsi" w:eastAsia="Liberation Serif" w:hAnsiTheme="minorHAnsi" w:cstheme="minorHAnsi"/>
                <w:sz w:val="22"/>
                <w:lang w:eastAsia="zh-CN" w:bidi="hi-IN"/>
              </w:rPr>
              <w:t xml:space="preserve"> </w:t>
            </w:r>
            <w:r w:rsidRPr="00400193">
              <w:rPr>
                <w:rFonts w:asciiTheme="minorHAnsi" w:eastAsia="Liberation Serif" w:hAnsiTheme="minorHAnsi" w:cstheme="minorHAnsi"/>
                <w:sz w:val="22"/>
                <w:lang w:eastAsia="zh-CN" w:bidi="hi-IN"/>
              </w:rPr>
              <w:t>Kusic and Kandasamy (2007)</w:t>
            </w:r>
          </w:p>
        </w:tc>
      </w:tr>
      <w:tr w:rsidR="00A0618E" w:rsidRPr="00400193" w14:paraId="6CD188EA" w14:textId="77777777" w:rsidTr="00C3651A">
        <w:tc>
          <w:tcPr>
            <w:tcW w:w="4507" w:type="dxa"/>
            <w:hideMark/>
          </w:tcPr>
          <w:p w14:paraId="3BB60FC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Discrimination and privacy issues.</w:t>
            </w:r>
          </w:p>
        </w:tc>
        <w:tc>
          <w:tcPr>
            <w:tcW w:w="4506" w:type="dxa"/>
            <w:hideMark/>
          </w:tcPr>
          <w:p w14:paraId="5288FFF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Hajian</w:t>
            </w:r>
            <w:r w:rsidRPr="00400193">
              <w:rPr>
                <w:rFonts w:asciiTheme="minorHAnsi" w:eastAsia="Liberation Serif" w:hAnsiTheme="minorHAnsi" w:cstheme="minorHAnsi"/>
                <w:i/>
                <w:iCs/>
                <w:sz w:val="22"/>
                <w:lang w:eastAsia="zh-CN" w:bidi="hi-IN"/>
              </w:rPr>
              <w:t xml:space="preserve"> </w:t>
            </w:r>
            <w:r w:rsidRPr="00400193">
              <w:rPr>
                <w:rFonts w:asciiTheme="minorHAnsi" w:eastAsia="Liberation Serif" w:hAnsiTheme="minorHAnsi" w:cstheme="minorHAnsi"/>
                <w:sz w:val="22"/>
                <w:lang w:eastAsia="zh-CN" w:bidi="hi-IN"/>
              </w:rPr>
              <w:t>et al</w:t>
            </w:r>
            <w:r w:rsidRPr="00400193">
              <w:rPr>
                <w:rFonts w:asciiTheme="minorHAnsi" w:eastAsia="Liberation Serif" w:hAnsiTheme="minorHAnsi" w:cstheme="minorHAnsi"/>
                <w:i/>
                <w:iCs/>
                <w:sz w:val="22"/>
                <w:lang w:eastAsia="zh-CN" w:bidi="hi-IN"/>
              </w:rPr>
              <w:t>.</w:t>
            </w:r>
            <w:r w:rsidRPr="00400193">
              <w:rPr>
                <w:rFonts w:asciiTheme="minorHAnsi" w:eastAsia="Liberation Serif" w:hAnsiTheme="minorHAnsi" w:cstheme="minorHAnsi"/>
                <w:sz w:val="22"/>
                <w:lang w:eastAsia="zh-CN" w:bidi="hi-IN"/>
              </w:rPr>
              <w:t xml:space="preserve"> (2015)</w:t>
            </w:r>
          </w:p>
        </w:tc>
      </w:tr>
      <w:tr w:rsidR="00A0618E" w:rsidRPr="00400193" w14:paraId="1EBED98E" w14:textId="77777777" w:rsidTr="00C3651A">
        <w:tc>
          <w:tcPr>
            <w:tcW w:w="4507" w:type="dxa"/>
            <w:hideMark/>
          </w:tcPr>
          <w:p w14:paraId="3D7E6A7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Lack of suitable access control such as “Context Risk Aware Access Control (CRAAC)”.</w:t>
            </w:r>
          </w:p>
        </w:tc>
        <w:tc>
          <w:tcPr>
            <w:tcW w:w="4506" w:type="dxa"/>
            <w:hideMark/>
          </w:tcPr>
          <w:p w14:paraId="35C697E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Ahmed and Zhang (2010)</w:t>
            </w:r>
          </w:p>
        </w:tc>
      </w:tr>
      <w:tr w:rsidR="00A0618E" w:rsidRPr="00400193" w14:paraId="1BBA062B" w14:textId="77777777" w:rsidTr="00C3651A">
        <w:tc>
          <w:tcPr>
            <w:tcW w:w="4507" w:type="dxa"/>
            <w:hideMark/>
          </w:tcPr>
          <w:p w14:paraId="1AACE57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Alteration of data integrity.</w:t>
            </w:r>
          </w:p>
        </w:tc>
        <w:tc>
          <w:tcPr>
            <w:tcW w:w="4506" w:type="dxa"/>
            <w:hideMark/>
          </w:tcPr>
          <w:p w14:paraId="75ECE27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43897CF3" w14:textId="77777777" w:rsidTr="00C3651A">
        <w:tc>
          <w:tcPr>
            <w:tcW w:w="4507" w:type="dxa"/>
            <w:hideMark/>
          </w:tcPr>
          <w:p w14:paraId="4A8B65F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Forgery</w:t>
            </w:r>
          </w:p>
        </w:tc>
        <w:tc>
          <w:tcPr>
            <w:tcW w:w="4506" w:type="dxa"/>
            <w:hideMark/>
          </w:tcPr>
          <w:p w14:paraId="60D4172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Gheorghe-Iulian (2011)</w:t>
            </w:r>
          </w:p>
        </w:tc>
      </w:tr>
      <w:tr w:rsidR="00A0618E" w:rsidRPr="00400193" w14:paraId="4A061B92" w14:textId="77777777" w:rsidTr="00C3651A">
        <w:tc>
          <w:tcPr>
            <w:tcW w:w="4507" w:type="dxa"/>
            <w:hideMark/>
          </w:tcPr>
          <w:p w14:paraId="0C8B563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Ineffective cyber-security training.</w:t>
            </w:r>
          </w:p>
        </w:tc>
        <w:tc>
          <w:tcPr>
            <w:tcW w:w="4506" w:type="dxa"/>
            <w:hideMark/>
          </w:tcPr>
          <w:p w14:paraId="5876361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Ortiz, Reinerman-Jones, and Matthews (2016); Yildirim (2016)</w:t>
            </w:r>
          </w:p>
        </w:tc>
      </w:tr>
      <w:tr w:rsidR="00A0618E" w:rsidRPr="00400193" w14:paraId="43EA5433" w14:textId="77777777" w:rsidTr="00C3651A">
        <w:tc>
          <w:tcPr>
            <w:tcW w:w="4507" w:type="dxa"/>
            <w:tcBorders>
              <w:top w:val="nil"/>
              <w:left w:val="nil"/>
              <w:bottom w:val="single" w:sz="6" w:space="0" w:color="000000"/>
              <w:right w:val="nil"/>
            </w:tcBorders>
            <w:hideMark/>
          </w:tcPr>
          <w:p w14:paraId="675C9C9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Awareness limited to external threats only.</w:t>
            </w:r>
          </w:p>
        </w:tc>
        <w:tc>
          <w:tcPr>
            <w:tcW w:w="4506" w:type="dxa"/>
            <w:tcBorders>
              <w:top w:val="nil"/>
              <w:left w:val="nil"/>
              <w:bottom w:val="single" w:sz="6" w:space="0" w:color="000000"/>
              <w:right w:val="nil"/>
            </w:tcBorders>
            <w:hideMark/>
          </w:tcPr>
          <w:p w14:paraId="66F0EE14"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Ortiz, Reinerman-Jones, and Matthews (2016); Yildirim (2016)</w:t>
            </w:r>
          </w:p>
        </w:tc>
      </w:tr>
    </w:tbl>
    <w:p w14:paraId="0FAD07B1" w14:textId="2035D7B3" w:rsidR="00C3651A" w:rsidRPr="00400193" w:rsidRDefault="00C3651A" w:rsidP="00C3651A">
      <w:pPr>
        <w:pStyle w:val="Caption"/>
      </w:pPr>
      <w:bookmarkStart w:id="205" w:name="_upglbi"/>
      <w:bookmarkStart w:id="206" w:name="_Ref52724590"/>
      <w:bookmarkStart w:id="207" w:name="_Toc52901536"/>
      <w:bookmarkEnd w:id="20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w:t>
      </w:r>
      <w:r w:rsidRPr="00400193">
        <w:fldChar w:fldCharType="end"/>
      </w:r>
      <w:bookmarkEnd w:id="206"/>
      <w:r w:rsidRPr="00400193">
        <w:t>: Some of the risks involved in not being 'risk aware'.</w:t>
      </w:r>
      <w:bookmarkEnd w:id="207"/>
      <w:r w:rsidRPr="00400193">
        <w:t xml:space="preserve"> </w:t>
      </w:r>
    </w:p>
    <w:p w14:paraId="7C0CB8A3" w14:textId="2AAE4788" w:rsidR="00C3651A" w:rsidRPr="00400193" w:rsidRDefault="00C3651A" w:rsidP="00C3651A">
      <w:pPr>
        <w:pStyle w:val="Caption"/>
        <w:spacing w:after="240"/>
        <w:rPr>
          <w:b w:val="0"/>
          <w:bCs/>
          <w:i w:val="0"/>
          <w:sz w:val="20"/>
          <w:szCs w:val="20"/>
          <w:lang w:eastAsia="zh-CN" w:bidi="hi-IN"/>
        </w:rPr>
      </w:pPr>
      <w:r w:rsidRPr="00400193">
        <w:rPr>
          <w:b w:val="0"/>
          <w:bCs/>
          <w:sz w:val="20"/>
          <w:szCs w:val="20"/>
        </w:rPr>
        <w:t xml:space="preserve">Note: All the risks from </w:t>
      </w:r>
      <w:r w:rsidRPr="00400193">
        <w:rPr>
          <w:b w:val="0"/>
          <w:bCs/>
          <w:sz w:val="20"/>
          <w:szCs w:val="20"/>
        </w:rPr>
        <w:fldChar w:fldCharType="begin"/>
      </w:r>
      <w:r w:rsidRPr="00400193">
        <w:rPr>
          <w:b w:val="0"/>
          <w:bCs/>
          <w:sz w:val="20"/>
          <w:szCs w:val="20"/>
        </w:rPr>
        <w:instrText xml:space="preserve"> REF _Ref42434136 \h  \* MERGEFORMAT </w:instrText>
      </w:r>
      <w:r w:rsidRPr="00400193">
        <w:rPr>
          <w:b w:val="0"/>
          <w:bCs/>
          <w:sz w:val="20"/>
          <w:szCs w:val="20"/>
        </w:rPr>
      </w:r>
      <w:r w:rsidRPr="00400193">
        <w:rPr>
          <w:b w:val="0"/>
          <w:bCs/>
          <w:sz w:val="20"/>
          <w:szCs w:val="20"/>
        </w:rPr>
        <w:fldChar w:fldCharType="separate"/>
      </w:r>
      <w:r w:rsidR="00BB7C18" w:rsidRPr="00BB7C18">
        <w:rPr>
          <w:b w:val="0"/>
          <w:bCs/>
          <w:sz w:val="20"/>
          <w:szCs w:val="20"/>
        </w:rPr>
        <w:t xml:space="preserve">Table </w:t>
      </w:r>
      <w:r w:rsidR="00BB7C18" w:rsidRPr="00BB7C18">
        <w:rPr>
          <w:b w:val="0"/>
          <w:bCs/>
          <w:sz w:val="20"/>
          <w:szCs w:val="20"/>
          <w:cs/>
        </w:rPr>
        <w:t>‎</w:t>
      </w:r>
      <w:r w:rsidR="00BB7C18">
        <w:rPr>
          <w:noProof/>
        </w:rPr>
        <w:t>3</w:t>
      </w:r>
      <w:r w:rsidR="00BB7C18" w:rsidRPr="00400193">
        <w:noBreakHyphen/>
      </w:r>
      <w:r w:rsidR="00BB7C18">
        <w:rPr>
          <w:noProof/>
        </w:rPr>
        <w:t>5</w:t>
      </w:r>
      <w:r w:rsidRPr="00400193">
        <w:rPr>
          <w:b w:val="0"/>
          <w:bCs/>
          <w:sz w:val="20"/>
          <w:szCs w:val="20"/>
        </w:rPr>
        <w:fldChar w:fldCharType="end"/>
      </w:r>
      <w:r w:rsidRPr="00400193">
        <w:rPr>
          <w:b w:val="0"/>
          <w:bCs/>
          <w:sz w:val="20"/>
          <w:szCs w:val="20"/>
        </w:rPr>
        <w:t xml:space="preserve"> also apply. </w:t>
      </w:r>
      <w:r w:rsidRPr="00400193">
        <w:rPr>
          <w:b w:val="0"/>
          <w:bCs/>
          <w:sz w:val="20"/>
          <w:szCs w:val="20"/>
          <w:vertAlign w:val="superscript"/>
        </w:rPr>
        <w:t>a</w:t>
      </w:r>
      <w:r w:rsidRPr="00400193">
        <w:rPr>
          <w:b w:val="0"/>
          <w:bCs/>
          <w:sz w:val="20"/>
          <w:szCs w:val="20"/>
        </w:rPr>
        <w:t xml:space="preserve"> see </w:t>
      </w:r>
      <w:r w:rsidRPr="00400193">
        <w:rPr>
          <w:b w:val="0"/>
          <w:bCs/>
          <w:sz w:val="20"/>
          <w:szCs w:val="20"/>
        </w:rPr>
        <w:fldChar w:fldCharType="begin"/>
      </w:r>
      <w:r w:rsidRPr="00400193">
        <w:rPr>
          <w:b w:val="0"/>
          <w:bCs/>
          <w:sz w:val="20"/>
          <w:szCs w:val="20"/>
        </w:rPr>
        <w:instrText xml:space="preserve"> REF _Ref42433748 \h  \* MERGEFORMAT </w:instrText>
      </w:r>
      <w:r w:rsidRPr="00400193">
        <w:rPr>
          <w:b w:val="0"/>
          <w:bCs/>
          <w:sz w:val="20"/>
          <w:szCs w:val="20"/>
        </w:rPr>
      </w:r>
      <w:r w:rsidRPr="00400193">
        <w:rPr>
          <w:b w:val="0"/>
          <w:bCs/>
          <w:sz w:val="20"/>
          <w:szCs w:val="20"/>
        </w:rPr>
        <w:fldChar w:fldCharType="separate"/>
      </w:r>
      <w:r w:rsidR="00BB7C18" w:rsidRPr="00BB7C18">
        <w:rPr>
          <w:b w:val="0"/>
          <w:bCs/>
          <w:sz w:val="20"/>
          <w:szCs w:val="20"/>
        </w:rPr>
        <w:t xml:space="preserve">Table </w:t>
      </w:r>
      <w:r w:rsidR="00BB7C18" w:rsidRPr="00BB7C18">
        <w:rPr>
          <w:b w:val="0"/>
          <w:bCs/>
          <w:sz w:val="20"/>
          <w:szCs w:val="20"/>
          <w:cs/>
        </w:rPr>
        <w:t>‎</w:t>
      </w:r>
      <w:r w:rsidR="00BB7C18">
        <w:rPr>
          <w:noProof/>
        </w:rPr>
        <w:t>3</w:t>
      </w:r>
      <w:r w:rsidR="00BB7C18" w:rsidRPr="00400193">
        <w:noBreakHyphen/>
      </w:r>
      <w:r w:rsidR="00BB7C18">
        <w:rPr>
          <w:noProof/>
        </w:rPr>
        <w:t>1</w:t>
      </w:r>
      <w:r w:rsidRPr="00400193">
        <w:rPr>
          <w:b w:val="0"/>
          <w:bCs/>
          <w:sz w:val="20"/>
          <w:szCs w:val="20"/>
        </w:rPr>
        <w:fldChar w:fldCharType="end"/>
      </w:r>
      <w:r w:rsidRPr="00400193">
        <w:rPr>
          <w:b w:val="0"/>
          <w:bCs/>
          <w:sz w:val="20"/>
          <w:szCs w:val="20"/>
        </w:rPr>
        <w:t xml:space="preserve">. </w:t>
      </w:r>
      <w:r w:rsidRPr="00400193">
        <w:rPr>
          <w:b w:val="0"/>
          <w:bCs/>
          <w:sz w:val="20"/>
          <w:szCs w:val="20"/>
          <w:vertAlign w:val="superscript"/>
        </w:rPr>
        <w:t>b</w:t>
      </w:r>
      <w:r w:rsidRPr="00400193">
        <w:rPr>
          <w:b w:val="0"/>
          <w:bCs/>
          <w:sz w:val="20"/>
          <w:szCs w:val="20"/>
        </w:rPr>
        <w:t xml:space="preserve"> see </w:t>
      </w:r>
      <w:r w:rsidRPr="00400193">
        <w:rPr>
          <w:b w:val="0"/>
          <w:bCs/>
          <w:sz w:val="20"/>
          <w:szCs w:val="20"/>
        </w:rPr>
        <w:fldChar w:fldCharType="begin"/>
      </w:r>
      <w:r w:rsidRPr="00400193">
        <w:rPr>
          <w:b w:val="0"/>
          <w:bCs/>
          <w:sz w:val="20"/>
          <w:szCs w:val="20"/>
        </w:rPr>
        <w:instrText xml:space="preserve"> REF _Ref42433950 \h  \* MERGEFORMAT </w:instrText>
      </w:r>
      <w:r w:rsidRPr="00400193">
        <w:rPr>
          <w:b w:val="0"/>
          <w:bCs/>
          <w:sz w:val="20"/>
          <w:szCs w:val="20"/>
        </w:rPr>
      </w:r>
      <w:r w:rsidRPr="00400193">
        <w:rPr>
          <w:b w:val="0"/>
          <w:bCs/>
          <w:sz w:val="20"/>
          <w:szCs w:val="20"/>
        </w:rPr>
        <w:fldChar w:fldCharType="separate"/>
      </w:r>
      <w:r w:rsidR="00BB7C18" w:rsidRPr="00BB7C18">
        <w:rPr>
          <w:b w:val="0"/>
          <w:bCs/>
          <w:sz w:val="20"/>
          <w:szCs w:val="20"/>
        </w:rPr>
        <w:t xml:space="preserve">Table </w:t>
      </w:r>
      <w:r w:rsidR="00BB7C18" w:rsidRPr="00BB7C18">
        <w:rPr>
          <w:b w:val="0"/>
          <w:bCs/>
          <w:sz w:val="20"/>
          <w:szCs w:val="20"/>
          <w:cs/>
        </w:rPr>
        <w:t>‎</w:t>
      </w:r>
      <w:r w:rsidR="00BB7C18">
        <w:rPr>
          <w:noProof/>
        </w:rPr>
        <w:t>3</w:t>
      </w:r>
      <w:r w:rsidR="00BB7C18" w:rsidRPr="00400193">
        <w:noBreakHyphen/>
      </w:r>
      <w:r w:rsidR="00BB7C18">
        <w:rPr>
          <w:noProof/>
        </w:rPr>
        <w:t>2</w:t>
      </w:r>
      <w:r w:rsidRPr="00400193">
        <w:rPr>
          <w:b w:val="0"/>
          <w:bCs/>
          <w:sz w:val="20"/>
          <w:szCs w:val="20"/>
        </w:rPr>
        <w:fldChar w:fldCharType="end"/>
      </w:r>
    </w:p>
    <w:p w14:paraId="0F142CEB" w14:textId="3DB5D67D" w:rsidR="00C3651A" w:rsidRPr="00400193" w:rsidRDefault="00C3651A" w:rsidP="00C3651A">
      <w:pPr>
        <w:rPr>
          <w:lang w:eastAsia="zh-CN" w:bidi="hi-IN"/>
        </w:rPr>
      </w:pPr>
      <w:r w:rsidRPr="00400193">
        <w:rPr>
          <w:lang w:eastAsia="zh-CN" w:bidi="hi-IN"/>
        </w:rPr>
        <w:t xml:space="preserve">Ahmed and Zhang (2010) proposed an access control system (Context Risk Aware Access Control, or CRAAC). In conjunction with a ‘risk culture’ within the company, this substantially reduces the risks of staff having inappropriate access or unwittingly revealing company data or secrets. The final two risks in </w:t>
      </w:r>
      <w:r w:rsidR="0040256A" w:rsidRPr="00400193">
        <w:rPr>
          <w:lang w:eastAsia="zh-CN" w:bidi="hi-IN"/>
        </w:rPr>
        <w:fldChar w:fldCharType="begin"/>
      </w:r>
      <w:r w:rsidR="0040256A" w:rsidRPr="00400193">
        <w:rPr>
          <w:lang w:eastAsia="zh-CN" w:bidi="hi-IN"/>
        </w:rPr>
        <w:instrText xml:space="preserve"> REF _Ref52724590 \h </w:instrText>
      </w:r>
      <w:r w:rsidR="0040256A" w:rsidRPr="00400193">
        <w:rPr>
          <w:lang w:eastAsia="zh-CN" w:bidi="hi-IN"/>
        </w:rPr>
      </w:r>
      <w:r w:rsidR="0040256A"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7</w:t>
      </w:r>
      <w:r w:rsidR="0040256A" w:rsidRPr="00400193">
        <w:rPr>
          <w:lang w:eastAsia="zh-CN" w:bidi="hi-IN"/>
        </w:rPr>
        <w:fldChar w:fldCharType="end"/>
      </w:r>
      <w:r w:rsidRPr="00400193">
        <w:rPr>
          <w:lang w:eastAsia="zh-CN" w:bidi="hi-IN"/>
        </w:rPr>
        <w:t xml:space="preserve"> are both criminal acts. However, without a risk culture within the organisation, both are far more likely to occur, and both are potentially damaging for the organisation and its reputation in the business world. Dubai aims to be seen as one of the safest places in the world to carry out e-business and other cyber activity (Dubai Electronic Security Centre, 2017). It intends to achieve this by inculcating a risk culture in companies throughout the country.</w:t>
      </w:r>
    </w:p>
    <w:p w14:paraId="140BF5D6" w14:textId="77777777" w:rsidR="00C3651A" w:rsidRPr="00400193" w:rsidRDefault="00C3651A" w:rsidP="00C3651A">
      <w:pPr>
        <w:pStyle w:val="Heading5"/>
        <w:rPr>
          <w:rFonts w:eastAsia="Arial"/>
          <w:lang w:eastAsia="zh-CN" w:bidi="hi-IN"/>
        </w:rPr>
      </w:pPr>
      <w:bookmarkStart w:id="208" w:name="_3ep43zb"/>
      <w:bookmarkStart w:id="209" w:name="_Toc61894695"/>
      <w:bookmarkEnd w:id="208"/>
      <w:r w:rsidRPr="00400193">
        <w:rPr>
          <w:rFonts w:eastAsia="Arial"/>
          <w:lang w:eastAsia="zh-CN" w:bidi="hi-IN"/>
        </w:rPr>
        <w:t>Laziness</w:t>
      </w:r>
      <w:bookmarkEnd w:id="209"/>
    </w:p>
    <w:p w14:paraId="29E2CAA4" w14:textId="77777777" w:rsidR="00C3651A" w:rsidRPr="00400193" w:rsidRDefault="00C3651A" w:rsidP="00C3651A">
      <w:pPr>
        <w:rPr>
          <w:lang w:eastAsia="zh-CN" w:bidi="hi-IN"/>
        </w:rPr>
      </w:pPr>
      <w:r w:rsidRPr="00400193">
        <w:rPr>
          <w:lang w:eastAsia="zh-CN" w:bidi="hi-IN"/>
        </w:rPr>
        <w:t>Human error is, as discussed previously, a large factor in any cyber-security or resilience framework:</w:t>
      </w:r>
    </w:p>
    <w:p w14:paraId="7C84BC62" w14:textId="2FA7937B" w:rsidR="00C3651A" w:rsidRPr="00400193" w:rsidRDefault="00C3651A" w:rsidP="00C3651A">
      <w:pPr>
        <w:pStyle w:val="Quote"/>
        <w:rPr>
          <w:lang w:eastAsia="zh-CN" w:bidi="hi-IN"/>
        </w:rPr>
      </w:pPr>
      <w:r w:rsidRPr="00400193">
        <w:rPr>
          <w:lang w:eastAsia="zh-CN" w:bidi="hi-IN"/>
        </w:rPr>
        <w:t xml:space="preserve">“Whereas technical problems typically can be fixed with an update, people problems require education and learning, as well as an interest </w:t>
      </w:r>
      <w:r w:rsidRPr="00400193">
        <w:rPr>
          <w:lang w:eastAsia="zh-CN" w:bidi="hi-IN"/>
        </w:rPr>
        <w:lastRenderedPageBreak/>
        <w:t xml:space="preserve">in addressing the issue or problem. In theory, people problems should be the easier of the two to fix. In practice, however, this is rarely the case” (Hypponen </w:t>
      </w:r>
      <w:r w:rsidR="00E93EE0" w:rsidRPr="00400193">
        <w:rPr>
          <w:lang w:eastAsia="zh-CN" w:bidi="hi-IN"/>
        </w:rPr>
        <w:t>and</w:t>
      </w:r>
      <w:r w:rsidRPr="00400193">
        <w:rPr>
          <w:lang w:eastAsia="zh-CN" w:bidi="hi-IN"/>
        </w:rPr>
        <w:t xml:space="preserve"> Nyman, 2017, p. 8).</w:t>
      </w:r>
    </w:p>
    <w:p w14:paraId="0B3BEE65" w14:textId="0D39789C" w:rsidR="00C3651A" w:rsidRPr="00400193" w:rsidRDefault="00C3651A" w:rsidP="00C3651A">
      <w:pPr>
        <w:rPr>
          <w:lang w:eastAsia="zh-CN" w:bidi="hi-IN"/>
        </w:rPr>
      </w:pPr>
      <w:r w:rsidRPr="00400193">
        <w:rPr>
          <w:lang w:eastAsia="zh-CN" w:bidi="hi-IN"/>
        </w:rPr>
        <w:t xml:space="preserve">Hypponen and Nyman (2017) suggested that wherever passwords are used, the software should force the user to change them regularly, not simply allow this. They pointed out that people are inherently lazy, noting that many people’s VCR clock often </w:t>
      </w:r>
      <w:r w:rsidRPr="00400193">
        <w:rPr>
          <w:i/>
          <w:iCs/>
          <w:lang w:eastAsia="zh-CN" w:bidi="hi-IN"/>
        </w:rPr>
        <w:t>“showed a blinking “12:00” rather than the current time”</w:t>
      </w:r>
      <w:r w:rsidRPr="00400193">
        <w:rPr>
          <w:lang w:eastAsia="zh-CN" w:bidi="hi-IN"/>
        </w:rPr>
        <w:t xml:space="preserve"> (Hypponen </w:t>
      </w:r>
      <w:r w:rsidR="00E93EE0" w:rsidRPr="00400193">
        <w:rPr>
          <w:lang w:eastAsia="zh-CN" w:bidi="hi-IN"/>
        </w:rPr>
        <w:t>and</w:t>
      </w:r>
      <w:r w:rsidRPr="00400193">
        <w:rPr>
          <w:lang w:eastAsia="zh-CN" w:bidi="hi-IN"/>
        </w:rPr>
        <w:t xml:space="preserve"> Nyman, 2017, p. 8). This highlights how little people are prepared to interact with technology unless it is essential. They suggested that laziness is one of the greatest dangers of the IoT, with users rarely changing default passwords and seldom applying updates. This is s a ‘people issue’ not a ‘technical issue’, because an update was available but was not applied (</w:t>
      </w:r>
      <w:r w:rsidR="0040256A" w:rsidRPr="00400193">
        <w:rPr>
          <w:lang w:eastAsia="zh-CN" w:bidi="hi-IN"/>
        </w:rPr>
        <w:fldChar w:fldCharType="begin"/>
      </w:r>
      <w:r w:rsidR="0040256A" w:rsidRPr="00400193">
        <w:rPr>
          <w:lang w:eastAsia="zh-CN" w:bidi="hi-IN"/>
        </w:rPr>
        <w:instrText xml:space="preserve"> REF _Ref52724621 \h </w:instrText>
      </w:r>
      <w:r w:rsidR="0040256A" w:rsidRPr="00400193">
        <w:rPr>
          <w:lang w:eastAsia="zh-CN" w:bidi="hi-IN"/>
        </w:rPr>
      </w:r>
      <w:r w:rsidR="0040256A"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8</w:t>
      </w:r>
      <w:r w:rsidR="0040256A" w:rsidRPr="00400193">
        <w:rPr>
          <w:lang w:eastAsia="zh-CN" w:bidi="hi-IN"/>
        </w:rPr>
        <w:fldChar w:fldCharType="end"/>
      </w:r>
      <w:r w:rsidRPr="00400193">
        <w:rPr>
          <w:lang w:eastAsia="zh-CN" w:bidi="hi-IN"/>
        </w:rPr>
        <w:t xml:space="preserve"> shows some of the risks arising from laziness). </w:t>
      </w:r>
    </w:p>
    <w:p w14:paraId="153556A9" w14:textId="77777777" w:rsidR="00C3651A" w:rsidRPr="00400193" w:rsidRDefault="00C3651A" w:rsidP="00C3651A">
      <w:pPr>
        <w:rPr>
          <w:lang w:eastAsia="zh-CN" w:bidi="hi-IN"/>
        </w:rPr>
      </w:pPr>
      <w:r w:rsidRPr="00400193">
        <w:rPr>
          <w:lang w:eastAsia="zh-CN" w:bidi="hi-IN"/>
        </w:rPr>
        <w:t>The largest areas of risk of laziness are those of exposure to other risks, including fraud, criminal acts and phishing. PDoS attacks are likely to be malicious attempts to expose laziness in other employees. Over-the-shoulder attacks (OSA), where passwords are observed by a third party standing near the operator (Cain</w:t>
      </w:r>
      <w:r w:rsidRPr="00400193">
        <w:rPr>
          <w:i/>
          <w:iCs/>
          <w:lang w:eastAsia="zh-CN" w:bidi="hi-IN"/>
        </w:rPr>
        <w:t xml:space="preserve"> </w:t>
      </w:r>
      <w:r w:rsidRPr="00400193">
        <w:rPr>
          <w:lang w:eastAsia="zh-CN" w:bidi="hi-IN"/>
        </w:rPr>
        <w:t>et al., 2016), are also made more likely by laziness. Dedicated and thorough operators are also likely to be more attentive and notice that they are being observed. OSA attacks can be minimised by using ‘gesture passwords’ and ‘swipe passwords’ (Cain et al., 2016), provided that these are also made secure. Laziness can also be overcome to a degree by using biometrics (Griffin, 2016) for system access, because an iris or fingerprint scan can neither be written down nor ‘lent’ to another person. Biometrics also reduce the importance of changing passwords regularly, for the same reason. However, it remains essential to closely manage access control so that former employees do not retain access, and new employees have sufficient access.</w:t>
      </w:r>
    </w:p>
    <w:p w14:paraId="3A4A4D30" w14:textId="77777777" w:rsidR="00C3651A" w:rsidRPr="00400193" w:rsidRDefault="00C3651A" w:rsidP="00C3651A">
      <w:pPr>
        <w:rPr>
          <w:lang w:eastAsia="zh-CN" w:bidi="hi-IN"/>
        </w:rPr>
      </w:pPr>
      <w:r w:rsidRPr="00400193">
        <w:rPr>
          <w:lang w:eastAsia="zh-CN" w:bidi="hi-IN"/>
        </w:rPr>
        <w:t>The final difficulty with laziness as a risk factor is that it appears to be inherent human behaviour. Cross-cultural studies of password complexity vs. utility (Hancock</w:t>
      </w:r>
      <w:r w:rsidRPr="00400193">
        <w:rPr>
          <w:i/>
          <w:iCs/>
          <w:lang w:eastAsia="zh-CN" w:bidi="hi-IN"/>
        </w:rPr>
        <w:t xml:space="preserve"> </w:t>
      </w:r>
      <w:r w:rsidRPr="00400193">
        <w:rPr>
          <w:lang w:eastAsia="zh-CN" w:bidi="hi-IN"/>
        </w:rPr>
        <w:t xml:space="preserve">et al., 2016) showed that </w:t>
      </w:r>
      <w:r w:rsidRPr="00400193">
        <w:rPr>
          <w:i/>
          <w:iCs/>
          <w:szCs w:val="24"/>
          <w:lang w:eastAsia="zh-CN" w:bidi="hi-IN"/>
        </w:rPr>
        <w:t>“[d]emographic factors (gender, age, marital status, number of children, work experience, computer literacy, and handedness) appear to have virtually no influence on the strength or memorability of selected passwords”</w:t>
      </w:r>
      <w:r w:rsidRPr="00400193">
        <w:rPr>
          <w:iCs/>
          <w:szCs w:val="24"/>
          <w:lang w:eastAsia="zh-CN" w:bidi="hi-IN"/>
        </w:rPr>
        <w:t xml:space="preserve"> (Hancock et al., 2016, p. 323). </w:t>
      </w:r>
      <w:r w:rsidRPr="00400193">
        <w:rPr>
          <w:lang w:eastAsia="zh-CN" w:bidi="hi-IN"/>
        </w:rPr>
        <w:t>Cultural differences in writing down or saving passwords were negligible. However, Hancock</w:t>
      </w:r>
      <w:r w:rsidRPr="00400193">
        <w:rPr>
          <w:i/>
          <w:iCs/>
          <w:lang w:eastAsia="zh-CN" w:bidi="hi-IN"/>
        </w:rPr>
        <w:t xml:space="preserve"> </w:t>
      </w:r>
      <w:r w:rsidRPr="00400193">
        <w:rPr>
          <w:lang w:eastAsia="zh-CN" w:bidi="hi-IN"/>
        </w:rPr>
        <w:t>et al. (2016) suggested that training employees in the creation and use of passwords is helpful.</w:t>
      </w:r>
    </w:p>
    <w:p w14:paraId="4F800254" w14:textId="77777777" w:rsidR="00C3651A" w:rsidRPr="00400193" w:rsidRDefault="00C3651A" w:rsidP="00C3651A">
      <w:pPr>
        <w:pStyle w:val="Heading5"/>
        <w:rPr>
          <w:rFonts w:eastAsia="Arial"/>
          <w:lang w:eastAsia="zh-CN" w:bidi="hi-IN"/>
        </w:rPr>
      </w:pPr>
      <w:bookmarkStart w:id="210" w:name="_1tuee74"/>
      <w:bookmarkStart w:id="211" w:name="_Toc61894696"/>
      <w:bookmarkEnd w:id="210"/>
      <w:r w:rsidRPr="00400193">
        <w:rPr>
          <w:rFonts w:eastAsia="Arial"/>
          <w:lang w:eastAsia="zh-CN" w:bidi="hi-IN"/>
        </w:rPr>
        <w:lastRenderedPageBreak/>
        <w:t>Financial Fraud</w:t>
      </w:r>
      <w:bookmarkEnd w:id="211"/>
    </w:p>
    <w:p w14:paraId="7CE62CD3" w14:textId="77777777" w:rsidR="00C3651A" w:rsidRPr="00400193" w:rsidRDefault="00C3651A" w:rsidP="00C3651A">
      <w:pPr>
        <w:rPr>
          <w:lang w:eastAsia="zh-CN" w:bidi="hi-IN"/>
        </w:rPr>
      </w:pPr>
      <w:r w:rsidRPr="00400193">
        <w:rPr>
          <w:lang w:eastAsia="zh-CN" w:bidi="hi-IN"/>
        </w:rPr>
        <w:t>Internal risk of financial fraud can usually be addressed through proper auditing and accounting procedures. However, if staff members are sufficiently computer literate to carry out a fraud, they are probably also sufficiently ‘accounting literate’ to hide it. Using extremely strict criteria differentiating ‘computer misuse’ from ‘computer fraud’, the UK’s Office of National Statistics (2017) has estimated that computer fraud is one of the fastest growing areas of crime.</w:t>
      </w:r>
    </w:p>
    <w:p w14:paraId="25529277" w14:textId="77EBB859" w:rsidR="00C3651A" w:rsidRPr="00400193" w:rsidRDefault="00C3651A" w:rsidP="00C3651A">
      <w:pPr>
        <w:rPr>
          <w:lang w:eastAsia="zh-CN" w:bidi="hi-IN"/>
        </w:rPr>
      </w:pPr>
      <w:r w:rsidRPr="00400193">
        <w:rPr>
          <w:lang w:eastAsia="zh-CN" w:bidi="hi-IN"/>
        </w:rPr>
        <w:t>Smith (2015) mainly considered international cyber-crime, but his analysis of the RBS World Pay fraud (Smith, 2015, pp. 109–110) demonstrates how easily an outsider could use a system weakness. It is therefore logically even easier for an insider to do so. Smith (2015) also indicated that the purpose of cyber-attacks has changed (</w:t>
      </w:r>
      <w:r w:rsidRPr="00400193">
        <w:rPr>
          <w:lang w:eastAsia="zh-CN" w:bidi="hi-IN"/>
        </w:rPr>
        <w:fldChar w:fldCharType="begin"/>
      </w:r>
      <w:r w:rsidRPr="00400193">
        <w:rPr>
          <w:lang w:eastAsia="zh-CN" w:bidi="hi-IN"/>
        </w:rPr>
        <w:instrText xml:space="preserve"> REF _Ref42434756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9</w:t>
      </w:r>
      <w:r w:rsidRPr="00400193">
        <w:rPr>
          <w:lang w:eastAsia="zh-CN" w:bidi="hi-IN"/>
        </w:rPr>
        <w:fldChar w:fldCharType="end"/>
      </w:r>
      <w:r w:rsidRPr="00400193">
        <w:rPr>
          <w:lang w:eastAsia="zh-CN" w:bidi="hi-IN"/>
        </w:rPr>
        <w:t xml:space="preserve">), in line with other findings already discussed. The other financial fraud risks are the same internally as externally and are therefore shown in </w:t>
      </w:r>
      <w:r w:rsidRPr="00400193">
        <w:rPr>
          <w:lang w:eastAsia="zh-CN" w:bidi="hi-IN"/>
        </w:rPr>
        <w:fldChar w:fldCharType="begin"/>
      </w:r>
      <w:r w:rsidRPr="00400193">
        <w:rPr>
          <w:lang w:eastAsia="zh-CN" w:bidi="hi-IN"/>
        </w:rPr>
        <w:instrText xml:space="preserve"> REF _Ref42434014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3</w:t>
      </w:r>
      <w:r w:rsidRPr="00400193">
        <w:rPr>
          <w:lang w:eastAsia="zh-CN" w:bidi="hi-IN"/>
        </w:rPr>
        <w:fldChar w:fldCharType="end"/>
      </w:r>
      <w:r w:rsidRPr="00400193">
        <w:rPr>
          <w:lang w:eastAsia="zh-CN" w:bidi="hi-IN"/>
        </w:rPr>
        <w:t>.</w:t>
      </w:r>
    </w:p>
    <w:p w14:paraId="6BC9A3CA" w14:textId="77777777" w:rsidR="00C3651A" w:rsidRPr="00400193" w:rsidRDefault="00C3651A" w:rsidP="00C3651A">
      <w:pPr>
        <w:rPr>
          <w:lang w:eastAsia="zh-CN" w:bidi="hi-IN"/>
        </w:rPr>
      </w:pPr>
      <w:r w:rsidRPr="00400193">
        <w:rPr>
          <w:lang w:eastAsia="zh-CN" w:bidi="hi-IN"/>
        </w:rPr>
        <w:t>Unfortunately, although internal and external risks are very similar, internal risks are often much harder to detect (Schneier, 2012). However, thorough audit procedures and financial governance should be sufficient in most cases to prevent the risks being realised in practice.</w:t>
      </w:r>
    </w:p>
    <w:tbl>
      <w:tblPr>
        <w:tblW w:w="9024" w:type="dxa"/>
        <w:tblLook w:val="04A0" w:firstRow="1" w:lastRow="0" w:firstColumn="1" w:lastColumn="0" w:noHBand="0" w:noVBand="1"/>
      </w:tblPr>
      <w:tblGrid>
        <w:gridCol w:w="4513"/>
        <w:gridCol w:w="4511"/>
      </w:tblGrid>
      <w:tr w:rsidR="00A0618E" w:rsidRPr="00400193" w14:paraId="42E6AF1C" w14:textId="77777777" w:rsidTr="00C3651A">
        <w:tc>
          <w:tcPr>
            <w:tcW w:w="4512" w:type="dxa"/>
            <w:tcBorders>
              <w:top w:val="single" w:sz="6" w:space="0" w:color="000000"/>
              <w:left w:val="nil"/>
              <w:bottom w:val="single" w:sz="6" w:space="0" w:color="000000"/>
              <w:right w:val="nil"/>
            </w:tcBorders>
            <w:hideMark/>
          </w:tcPr>
          <w:p w14:paraId="319D5DF1" w14:textId="77777777" w:rsidR="00C3651A" w:rsidRPr="00400193" w:rsidRDefault="00C3651A" w:rsidP="00C3651A">
            <w:pPr>
              <w:suppressAutoHyphens/>
              <w:spacing w:after="0" w:line="240" w:lineRule="auto"/>
              <w:jc w:val="left"/>
              <w:rPr>
                <w:sz w:val="22"/>
                <w:lang w:eastAsia="zh-CN" w:bidi="hi-IN"/>
              </w:rPr>
            </w:pPr>
            <w:r w:rsidRPr="00400193">
              <w:rPr>
                <w:b/>
                <w:sz w:val="22"/>
                <w:lang w:eastAsia="zh-CN" w:bidi="hi-IN"/>
              </w:rPr>
              <w:t>Risks of Laziness</w:t>
            </w:r>
          </w:p>
        </w:tc>
        <w:tc>
          <w:tcPr>
            <w:tcW w:w="4511" w:type="dxa"/>
            <w:tcBorders>
              <w:top w:val="single" w:sz="6" w:space="0" w:color="000000"/>
              <w:left w:val="nil"/>
              <w:bottom w:val="single" w:sz="6" w:space="0" w:color="000000"/>
              <w:right w:val="nil"/>
            </w:tcBorders>
            <w:hideMark/>
          </w:tcPr>
          <w:p w14:paraId="7D29AD34" w14:textId="77777777" w:rsidR="00C3651A" w:rsidRPr="00400193" w:rsidRDefault="00C3651A" w:rsidP="00C3651A">
            <w:pPr>
              <w:suppressAutoHyphens/>
              <w:spacing w:after="0" w:line="240" w:lineRule="auto"/>
              <w:jc w:val="left"/>
              <w:rPr>
                <w:sz w:val="22"/>
                <w:lang w:eastAsia="zh-CN" w:bidi="hi-IN"/>
              </w:rPr>
            </w:pPr>
            <w:r w:rsidRPr="00400193">
              <w:rPr>
                <w:b/>
                <w:sz w:val="22"/>
                <w:lang w:eastAsia="zh-CN" w:bidi="hi-IN"/>
              </w:rPr>
              <w:t>Reference</w:t>
            </w:r>
          </w:p>
        </w:tc>
      </w:tr>
      <w:tr w:rsidR="00A0618E" w:rsidRPr="00400193" w14:paraId="760811A7" w14:textId="77777777" w:rsidTr="00C3651A">
        <w:tc>
          <w:tcPr>
            <w:tcW w:w="4512" w:type="dxa"/>
            <w:hideMark/>
          </w:tcPr>
          <w:p w14:paraId="26D88B8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Passwords not changed</w:t>
            </w:r>
          </w:p>
        </w:tc>
        <w:tc>
          <w:tcPr>
            <w:tcW w:w="4511" w:type="dxa"/>
            <w:hideMark/>
          </w:tcPr>
          <w:p w14:paraId="5C6DA96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Hypponen and Nyman (2017)</w:t>
            </w:r>
          </w:p>
        </w:tc>
      </w:tr>
      <w:tr w:rsidR="00A0618E" w:rsidRPr="00400193" w14:paraId="37DB6B1C" w14:textId="77777777" w:rsidTr="00C3651A">
        <w:tc>
          <w:tcPr>
            <w:tcW w:w="4512" w:type="dxa"/>
            <w:hideMark/>
          </w:tcPr>
          <w:p w14:paraId="2E9A39F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Casual snooping undetected</w:t>
            </w:r>
          </w:p>
        </w:tc>
        <w:tc>
          <w:tcPr>
            <w:tcW w:w="4511" w:type="dxa"/>
            <w:hideMark/>
          </w:tcPr>
          <w:p w14:paraId="6DAD993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de Laat (2015)</w:t>
            </w:r>
          </w:p>
        </w:tc>
      </w:tr>
      <w:tr w:rsidR="00A0618E" w:rsidRPr="00400193" w14:paraId="65AFBDCE" w14:textId="77777777" w:rsidTr="00C3651A">
        <w:tc>
          <w:tcPr>
            <w:tcW w:w="4512" w:type="dxa"/>
            <w:hideMark/>
          </w:tcPr>
          <w:p w14:paraId="77A8D78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Business interruption</w:t>
            </w:r>
          </w:p>
        </w:tc>
        <w:tc>
          <w:tcPr>
            <w:tcW w:w="4511" w:type="dxa"/>
            <w:hideMark/>
          </w:tcPr>
          <w:p w14:paraId="2361456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Fowler (2015)</w:t>
            </w:r>
          </w:p>
        </w:tc>
      </w:tr>
      <w:tr w:rsidR="00A0618E" w:rsidRPr="00400193" w14:paraId="2F1A6784" w14:textId="77777777" w:rsidTr="00C3651A">
        <w:tc>
          <w:tcPr>
            <w:tcW w:w="4512" w:type="dxa"/>
            <w:hideMark/>
          </w:tcPr>
          <w:p w14:paraId="221175A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DDoS attacks </w:t>
            </w:r>
            <w:r w:rsidRPr="00400193">
              <w:rPr>
                <w:rFonts w:asciiTheme="minorHAnsi" w:eastAsia="Liberation Serif" w:hAnsiTheme="minorHAnsi" w:cstheme="minorHAnsi"/>
                <w:sz w:val="22"/>
                <w:vertAlign w:val="superscript"/>
                <w:lang w:eastAsia="zh-CN" w:bidi="hi-IN"/>
              </w:rPr>
              <w:t>a</w:t>
            </w:r>
          </w:p>
        </w:tc>
        <w:tc>
          <w:tcPr>
            <w:tcW w:w="4511" w:type="dxa"/>
            <w:hideMark/>
          </w:tcPr>
          <w:p w14:paraId="12DC78F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de Laat (2015)</w:t>
            </w:r>
          </w:p>
        </w:tc>
      </w:tr>
      <w:tr w:rsidR="00A0618E" w:rsidRPr="00400193" w14:paraId="7E6C362E" w14:textId="77777777" w:rsidTr="00C3651A">
        <w:tc>
          <w:tcPr>
            <w:tcW w:w="4512" w:type="dxa"/>
            <w:hideMark/>
          </w:tcPr>
          <w:p w14:paraId="2301F21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Increased fraud</w:t>
            </w:r>
          </w:p>
        </w:tc>
        <w:tc>
          <w:tcPr>
            <w:tcW w:w="4511" w:type="dxa"/>
            <w:hideMark/>
          </w:tcPr>
          <w:p w14:paraId="1CB2477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PWC (2014)</w:t>
            </w:r>
          </w:p>
        </w:tc>
      </w:tr>
      <w:tr w:rsidR="00A0618E" w:rsidRPr="00400193" w14:paraId="566BD63F" w14:textId="77777777" w:rsidTr="00C3651A">
        <w:tc>
          <w:tcPr>
            <w:tcW w:w="4512" w:type="dxa"/>
            <w:hideMark/>
          </w:tcPr>
          <w:p w14:paraId="18678B6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Connection to unauthorised applications and sites</w:t>
            </w:r>
          </w:p>
        </w:tc>
        <w:tc>
          <w:tcPr>
            <w:tcW w:w="4511" w:type="dxa"/>
            <w:hideMark/>
          </w:tcPr>
          <w:p w14:paraId="575AEE1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Schneier (2017); Silic and Back (2016)</w:t>
            </w:r>
          </w:p>
        </w:tc>
      </w:tr>
      <w:tr w:rsidR="00A0618E" w:rsidRPr="00400193" w14:paraId="53838811" w14:textId="77777777" w:rsidTr="00C3651A">
        <w:tc>
          <w:tcPr>
            <w:tcW w:w="4512" w:type="dxa"/>
            <w:hideMark/>
          </w:tcPr>
          <w:p w14:paraId="0207011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Personal Denial of Service (PDoS) attacks</w:t>
            </w:r>
          </w:p>
        </w:tc>
        <w:tc>
          <w:tcPr>
            <w:tcW w:w="4511" w:type="dxa"/>
            <w:hideMark/>
          </w:tcPr>
          <w:p w14:paraId="61C1666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Bartolacci, LeBlanc and Podhradsky (2014)</w:t>
            </w:r>
          </w:p>
        </w:tc>
      </w:tr>
      <w:tr w:rsidR="00A0618E" w:rsidRPr="00400193" w14:paraId="7665F52C" w14:textId="77777777" w:rsidTr="00C3651A">
        <w:tc>
          <w:tcPr>
            <w:tcW w:w="4512" w:type="dxa"/>
            <w:hideMark/>
          </w:tcPr>
          <w:p w14:paraId="7807D98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 xml:space="preserve">Exposure to phishing </w:t>
            </w:r>
            <w:r w:rsidRPr="00400193">
              <w:rPr>
                <w:rFonts w:asciiTheme="minorHAnsi" w:eastAsia="Liberation Serif" w:hAnsiTheme="minorHAnsi" w:cstheme="minorHAnsi"/>
                <w:sz w:val="22"/>
                <w:vertAlign w:val="superscript"/>
                <w:lang w:eastAsia="zh-CN" w:bidi="hi-IN"/>
              </w:rPr>
              <w:t>b</w:t>
            </w:r>
          </w:p>
        </w:tc>
        <w:tc>
          <w:tcPr>
            <w:tcW w:w="4511" w:type="dxa"/>
            <w:hideMark/>
          </w:tcPr>
          <w:p w14:paraId="6031ED3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Halupka (2014);</w:t>
            </w:r>
            <w:r w:rsidRPr="00400193" w:rsidDel="007F3E98">
              <w:rPr>
                <w:rFonts w:asciiTheme="minorHAnsi" w:eastAsia="Liberation Serif" w:hAnsiTheme="minorHAnsi" w:cstheme="minorHAnsi"/>
                <w:sz w:val="22"/>
                <w:lang w:eastAsia="zh-CN" w:bidi="hi-IN"/>
              </w:rPr>
              <w:t xml:space="preserve"> </w:t>
            </w:r>
            <w:r w:rsidRPr="00400193">
              <w:rPr>
                <w:rFonts w:asciiTheme="minorHAnsi" w:eastAsia="Liberation Serif" w:hAnsiTheme="minorHAnsi" w:cstheme="minorHAnsi"/>
                <w:sz w:val="22"/>
                <w:lang w:eastAsia="zh-CN" w:bidi="hi-IN"/>
              </w:rPr>
              <w:t>Healey (2013)</w:t>
            </w:r>
          </w:p>
        </w:tc>
      </w:tr>
      <w:tr w:rsidR="00A0618E" w:rsidRPr="00400193" w14:paraId="50229E0A" w14:textId="77777777" w:rsidTr="00C3651A">
        <w:tc>
          <w:tcPr>
            <w:tcW w:w="4512" w:type="dxa"/>
            <w:hideMark/>
          </w:tcPr>
          <w:p w14:paraId="407BA0E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Exposure to criminal acts</w:t>
            </w:r>
          </w:p>
        </w:tc>
        <w:tc>
          <w:tcPr>
            <w:tcW w:w="4511" w:type="dxa"/>
            <w:hideMark/>
          </w:tcPr>
          <w:p w14:paraId="61D8AAF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Allianz (2015); Button and Cross (2017); Control Risks (2016); Gheorghe-Iulian (2011)</w:t>
            </w:r>
          </w:p>
        </w:tc>
      </w:tr>
      <w:tr w:rsidR="00A0618E" w:rsidRPr="00400193" w14:paraId="514EA08B" w14:textId="77777777" w:rsidTr="00C3651A">
        <w:tc>
          <w:tcPr>
            <w:tcW w:w="4512" w:type="dxa"/>
            <w:hideMark/>
          </w:tcPr>
          <w:p w14:paraId="5B15D23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Exposure to fraud</w:t>
            </w:r>
          </w:p>
        </w:tc>
        <w:tc>
          <w:tcPr>
            <w:tcW w:w="4511" w:type="dxa"/>
            <w:hideMark/>
          </w:tcPr>
          <w:p w14:paraId="6F2DF64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Abu</w:t>
            </w:r>
            <w:r w:rsidRPr="00400193">
              <w:rPr>
                <w:rFonts w:ascii="Cambria Math" w:eastAsia="Cambria Math" w:hAnsi="Cambria Math" w:cs="Cambria Math"/>
                <w:sz w:val="22"/>
                <w:lang w:eastAsia="zh-CN" w:bidi="hi-IN"/>
              </w:rPr>
              <w:t>‐</w:t>
            </w:r>
            <w:r w:rsidRPr="00400193">
              <w:rPr>
                <w:rFonts w:asciiTheme="minorHAnsi" w:eastAsia="Liberation Serif" w:hAnsiTheme="minorHAnsi" w:cstheme="minorHAnsi"/>
                <w:sz w:val="22"/>
                <w:lang w:eastAsia="zh-CN" w:bidi="hi-IN"/>
              </w:rPr>
              <w:t>Musa (2010); Button and Cross (2017)</w:t>
            </w:r>
          </w:p>
        </w:tc>
      </w:tr>
      <w:tr w:rsidR="00A0618E" w:rsidRPr="00400193" w14:paraId="287CD487" w14:textId="77777777" w:rsidTr="00C3651A">
        <w:tc>
          <w:tcPr>
            <w:tcW w:w="4512" w:type="dxa"/>
            <w:tcBorders>
              <w:top w:val="nil"/>
              <w:left w:val="nil"/>
              <w:bottom w:val="single" w:sz="6" w:space="0" w:color="000000"/>
              <w:right w:val="nil"/>
            </w:tcBorders>
            <w:hideMark/>
          </w:tcPr>
          <w:p w14:paraId="5071D3B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Increased risk of ‘over-the-shoulder’ (OSA) attacks</w:t>
            </w:r>
          </w:p>
        </w:tc>
        <w:tc>
          <w:tcPr>
            <w:tcW w:w="4511" w:type="dxa"/>
            <w:tcBorders>
              <w:top w:val="nil"/>
              <w:left w:val="nil"/>
              <w:bottom w:val="single" w:sz="6" w:space="0" w:color="000000"/>
              <w:right w:val="nil"/>
            </w:tcBorders>
            <w:hideMark/>
          </w:tcPr>
          <w:p w14:paraId="39D4819A"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eastAsia="Liberation Serif" w:hAnsiTheme="minorHAnsi" w:cstheme="minorHAnsi"/>
                <w:sz w:val="22"/>
                <w:lang w:eastAsia="zh-CN" w:bidi="hi-IN"/>
              </w:rPr>
              <w:t>Cain</w:t>
            </w:r>
            <w:r w:rsidRPr="00400193">
              <w:rPr>
                <w:rFonts w:asciiTheme="minorHAnsi" w:eastAsia="Liberation Serif" w:hAnsiTheme="minorHAnsi" w:cstheme="minorHAnsi"/>
                <w:i/>
                <w:iCs/>
                <w:sz w:val="22"/>
                <w:lang w:eastAsia="zh-CN" w:bidi="hi-IN"/>
              </w:rPr>
              <w:t xml:space="preserve"> </w:t>
            </w:r>
            <w:r w:rsidRPr="00400193">
              <w:rPr>
                <w:rFonts w:asciiTheme="minorHAnsi" w:eastAsia="Liberation Serif" w:hAnsiTheme="minorHAnsi" w:cstheme="minorHAnsi"/>
                <w:sz w:val="22"/>
                <w:lang w:eastAsia="zh-CN" w:bidi="hi-IN"/>
              </w:rPr>
              <w:t>et al</w:t>
            </w:r>
            <w:r w:rsidRPr="00400193">
              <w:rPr>
                <w:rFonts w:asciiTheme="minorHAnsi" w:eastAsia="Liberation Serif" w:hAnsiTheme="minorHAnsi" w:cstheme="minorHAnsi"/>
                <w:i/>
                <w:iCs/>
                <w:sz w:val="22"/>
                <w:lang w:eastAsia="zh-CN" w:bidi="hi-IN"/>
              </w:rPr>
              <w:t>.</w:t>
            </w:r>
            <w:r w:rsidRPr="00400193">
              <w:rPr>
                <w:rFonts w:asciiTheme="minorHAnsi" w:eastAsia="Liberation Serif" w:hAnsiTheme="minorHAnsi" w:cstheme="minorHAnsi"/>
                <w:sz w:val="22"/>
                <w:lang w:eastAsia="zh-CN" w:bidi="hi-IN"/>
              </w:rPr>
              <w:t xml:space="preserve"> (2016)</w:t>
            </w:r>
          </w:p>
        </w:tc>
      </w:tr>
    </w:tbl>
    <w:p w14:paraId="57F201E1" w14:textId="64E29875" w:rsidR="00C3651A" w:rsidRPr="00400193" w:rsidRDefault="00C3651A" w:rsidP="00C3651A">
      <w:pPr>
        <w:pStyle w:val="Caption"/>
      </w:pPr>
      <w:bookmarkStart w:id="212" w:name="_4du1wux"/>
      <w:bookmarkStart w:id="213" w:name="_Ref52724621"/>
      <w:bookmarkStart w:id="214" w:name="_Toc52901537"/>
      <w:bookmarkEnd w:id="21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w:t>
      </w:r>
      <w:r w:rsidRPr="00400193">
        <w:fldChar w:fldCharType="end"/>
      </w:r>
      <w:bookmarkEnd w:id="213"/>
      <w:r w:rsidRPr="00400193">
        <w:t>: A few of the risks of laziness</w:t>
      </w:r>
      <w:bookmarkEnd w:id="214"/>
      <w:r w:rsidRPr="00400193">
        <w:t xml:space="preserve"> </w:t>
      </w:r>
    </w:p>
    <w:p w14:paraId="7A3EEF79" w14:textId="0013A79E" w:rsidR="00C3651A" w:rsidRPr="00400193" w:rsidRDefault="00C3651A" w:rsidP="00C3651A">
      <w:pPr>
        <w:pStyle w:val="Caption"/>
        <w:rPr>
          <w:b w:val="0"/>
          <w:bCs/>
          <w:sz w:val="20"/>
          <w:szCs w:val="14"/>
        </w:rPr>
      </w:pPr>
      <w:r w:rsidRPr="00400193">
        <w:rPr>
          <w:b w:val="0"/>
          <w:bCs/>
          <w:sz w:val="20"/>
          <w:szCs w:val="14"/>
          <w:vertAlign w:val="superscript"/>
        </w:rPr>
        <w:t>a</w:t>
      </w:r>
      <w:r w:rsidRPr="00400193">
        <w:rPr>
          <w:b w:val="0"/>
          <w:bCs/>
          <w:sz w:val="20"/>
          <w:szCs w:val="14"/>
        </w:rPr>
        <w:t xml:space="preserve"> see </w:t>
      </w:r>
      <w:r w:rsidRPr="00400193">
        <w:rPr>
          <w:b w:val="0"/>
          <w:bCs/>
          <w:sz w:val="20"/>
          <w:szCs w:val="14"/>
        </w:rPr>
        <w:fldChar w:fldCharType="begin"/>
      </w:r>
      <w:r w:rsidRPr="00400193">
        <w:rPr>
          <w:b w:val="0"/>
          <w:bCs/>
          <w:sz w:val="20"/>
          <w:szCs w:val="14"/>
        </w:rPr>
        <w:instrText xml:space="preserve"> REF _Ref42433748 \h  \* MERGEFORMAT </w:instrText>
      </w:r>
      <w:r w:rsidRPr="00400193">
        <w:rPr>
          <w:b w:val="0"/>
          <w:bCs/>
          <w:sz w:val="20"/>
          <w:szCs w:val="14"/>
        </w:rPr>
      </w:r>
      <w:r w:rsidRPr="00400193">
        <w:rPr>
          <w:b w:val="0"/>
          <w:bCs/>
          <w:sz w:val="20"/>
          <w:szCs w:val="14"/>
        </w:rPr>
        <w:fldChar w:fldCharType="separate"/>
      </w:r>
      <w:r w:rsidR="00BB7C18" w:rsidRPr="00BB7C18">
        <w:rPr>
          <w:b w:val="0"/>
          <w:bCs/>
          <w:sz w:val="20"/>
          <w:szCs w:val="14"/>
        </w:rPr>
        <w:t xml:space="preserve">Table </w:t>
      </w:r>
      <w:r w:rsidR="00BB7C18" w:rsidRPr="00BB7C18">
        <w:rPr>
          <w:b w:val="0"/>
          <w:bCs/>
          <w:sz w:val="20"/>
          <w:szCs w:val="14"/>
          <w:cs/>
        </w:rPr>
        <w:t>‎</w:t>
      </w:r>
      <w:r w:rsidR="00BB7C18">
        <w:rPr>
          <w:noProof/>
        </w:rPr>
        <w:t>3</w:t>
      </w:r>
      <w:r w:rsidR="00BB7C18" w:rsidRPr="00400193">
        <w:noBreakHyphen/>
      </w:r>
      <w:r w:rsidR="00BB7C18">
        <w:rPr>
          <w:noProof/>
        </w:rPr>
        <w:t>1</w:t>
      </w:r>
      <w:r w:rsidRPr="00400193">
        <w:rPr>
          <w:b w:val="0"/>
          <w:bCs/>
          <w:sz w:val="20"/>
          <w:szCs w:val="14"/>
        </w:rPr>
        <w:fldChar w:fldCharType="end"/>
      </w:r>
      <w:r w:rsidRPr="00400193">
        <w:rPr>
          <w:b w:val="0"/>
          <w:bCs/>
          <w:sz w:val="20"/>
          <w:szCs w:val="14"/>
        </w:rPr>
        <w:t xml:space="preserve">. </w:t>
      </w:r>
      <w:r w:rsidRPr="00400193">
        <w:rPr>
          <w:b w:val="0"/>
          <w:bCs/>
          <w:sz w:val="20"/>
          <w:szCs w:val="14"/>
          <w:vertAlign w:val="superscript"/>
        </w:rPr>
        <w:t>b</w:t>
      </w:r>
      <w:r w:rsidRPr="00400193">
        <w:rPr>
          <w:b w:val="0"/>
          <w:bCs/>
          <w:sz w:val="20"/>
          <w:szCs w:val="14"/>
        </w:rPr>
        <w:t xml:space="preserve"> </w:t>
      </w:r>
      <w:r w:rsidRPr="00400193">
        <w:rPr>
          <w:b w:val="0"/>
          <w:bCs/>
          <w:sz w:val="20"/>
          <w:szCs w:val="14"/>
        </w:rPr>
        <w:fldChar w:fldCharType="begin"/>
      </w:r>
      <w:r w:rsidRPr="00400193">
        <w:rPr>
          <w:b w:val="0"/>
          <w:bCs/>
          <w:sz w:val="20"/>
          <w:szCs w:val="14"/>
        </w:rPr>
        <w:instrText xml:space="preserve"> REF _Ref42433950 \h  \* MERGEFORMAT </w:instrText>
      </w:r>
      <w:r w:rsidRPr="00400193">
        <w:rPr>
          <w:b w:val="0"/>
          <w:bCs/>
          <w:sz w:val="20"/>
          <w:szCs w:val="14"/>
        </w:rPr>
      </w:r>
      <w:r w:rsidRPr="00400193">
        <w:rPr>
          <w:b w:val="0"/>
          <w:bCs/>
          <w:sz w:val="20"/>
          <w:szCs w:val="14"/>
        </w:rPr>
        <w:fldChar w:fldCharType="separate"/>
      </w:r>
      <w:r w:rsidR="00BB7C18" w:rsidRPr="00BB7C18">
        <w:rPr>
          <w:b w:val="0"/>
          <w:bCs/>
          <w:sz w:val="20"/>
          <w:szCs w:val="14"/>
        </w:rPr>
        <w:t xml:space="preserve">Table </w:t>
      </w:r>
      <w:r w:rsidR="00BB7C18" w:rsidRPr="00BB7C18">
        <w:rPr>
          <w:b w:val="0"/>
          <w:bCs/>
          <w:sz w:val="20"/>
          <w:szCs w:val="14"/>
          <w:cs/>
        </w:rPr>
        <w:t>‎</w:t>
      </w:r>
      <w:r w:rsidR="00BB7C18">
        <w:rPr>
          <w:noProof/>
        </w:rPr>
        <w:t>3</w:t>
      </w:r>
      <w:r w:rsidR="00BB7C18" w:rsidRPr="00400193">
        <w:noBreakHyphen/>
      </w:r>
      <w:r w:rsidR="00BB7C18">
        <w:rPr>
          <w:noProof/>
        </w:rPr>
        <w:t>2</w:t>
      </w:r>
      <w:r w:rsidRPr="00400193">
        <w:rPr>
          <w:b w:val="0"/>
          <w:bCs/>
          <w:sz w:val="20"/>
          <w:szCs w:val="14"/>
        </w:rPr>
        <w:fldChar w:fldCharType="end"/>
      </w:r>
      <w:r w:rsidRPr="00400193">
        <w:rPr>
          <w:b w:val="0"/>
          <w:bCs/>
          <w:sz w:val="20"/>
          <w:szCs w:val="14"/>
        </w:rPr>
        <w:t>.</w:t>
      </w:r>
    </w:p>
    <w:tbl>
      <w:tblPr>
        <w:tblW w:w="9027" w:type="dxa"/>
        <w:tblLook w:val="04A0" w:firstRow="1" w:lastRow="0" w:firstColumn="1" w:lastColumn="0" w:noHBand="0" w:noVBand="1"/>
      </w:tblPr>
      <w:tblGrid>
        <w:gridCol w:w="3006"/>
        <w:gridCol w:w="3012"/>
        <w:gridCol w:w="3009"/>
      </w:tblGrid>
      <w:tr w:rsidR="00A0618E" w:rsidRPr="00400193" w14:paraId="60420C6F" w14:textId="77777777" w:rsidTr="00C3651A">
        <w:tc>
          <w:tcPr>
            <w:tcW w:w="3006" w:type="dxa"/>
            <w:tcBorders>
              <w:top w:val="single" w:sz="6" w:space="0" w:color="000000"/>
              <w:left w:val="nil"/>
              <w:bottom w:val="single" w:sz="6" w:space="0" w:color="000000"/>
              <w:right w:val="nil"/>
            </w:tcBorders>
            <w:hideMark/>
          </w:tcPr>
          <w:p w14:paraId="68498DBC" w14:textId="77777777" w:rsidR="00C3651A" w:rsidRPr="00400193" w:rsidRDefault="00C3651A" w:rsidP="00C3651A">
            <w:pPr>
              <w:suppressAutoHyphens/>
              <w:spacing w:after="0" w:line="240" w:lineRule="auto"/>
              <w:jc w:val="left"/>
              <w:rPr>
                <w:sz w:val="22"/>
                <w:lang w:eastAsia="zh-CN" w:bidi="hi-IN"/>
              </w:rPr>
            </w:pPr>
            <w:r w:rsidRPr="00400193">
              <w:rPr>
                <w:b/>
                <w:sz w:val="22"/>
                <w:lang w:eastAsia="zh-CN" w:bidi="hi-IN"/>
              </w:rPr>
              <w:t xml:space="preserve">Type of attack </w:t>
            </w:r>
          </w:p>
        </w:tc>
        <w:tc>
          <w:tcPr>
            <w:tcW w:w="3012" w:type="dxa"/>
            <w:tcBorders>
              <w:top w:val="single" w:sz="6" w:space="0" w:color="000000"/>
              <w:left w:val="nil"/>
              <w:bottom w:val="single" w:sz="6" w:space="0" w:color="000000"/>
              <w:right w:val="nil"/>
            </w:tcBorders>
            <w:hideMark/>
          </w:tcPr>
          <w:p w14:paraId="68CF474D" w14:textId="77777777" w:rsidR="00C3651A" w:rsidRPr="00400193" w:rsidRDefault="00C3651A" w:rsidP="00C3651A">
            <w:pPr>
              <w:suppressAutoHyphens/>
              <w:spacing w:after="0" w:line="240" w:lineRule="auto"/>
              <w:jc w:val="left"/>
              <w:rPr>
                <w:sz w:val="22"/>
                <w:lang w:eastAsia="zh-CN" w:bidi="hi-IN"/>
              </w:rPr>
            </w:pPr>
            <w:r w:rsidRPr="00400193">
              <w:rPr>
                <w:b/>
                <w:sz w:val="22"/>
                <w:lang w:eastAsia="zh-CN" w:bidi="hi-IN"/>
              </w:rPr>
              <w:t>1990–1999 (%)</w:t>
            </w:r>
          </w:p>
        </w:tc>
        <w:tc>
          <w:tcPr>
            <w:tcW w:w="3009" w:type="dxa"/>
            <w:tcBorders>
              <w:top w:val="single" w:sz="6" w:space="0" w:color="000000"/>
              <w:left w:val="nil"/>
              <w:bottom w:val="single" w:sz="6" w:space="0" w:color="000000"/>
              <w:right w:val="nil"/>
            </w:tcBorders>
            <w:hideMark/>
          </w:tcPr>
          <w:p w14:paraId="72EF454A" w14:textId="77777777" w:rsidR="00C3651A" w:rsidRPr="00400193" w:rsidRDefault="00C3651A" w:rsidP="00C3651A">
            <w:pPr>
              <w:suppressAutoHyphens/>
              <w:spacing w:after="0" w:line="240" w:lineRule="auto"/>
              <w:jc w:val="left"/>
              <w:rPr>
                <w:sz w:val="22"/>
                <w:lang w:eastAsia="zh-CN" w:bidi="hi-IN"/>
              </w:rPr>
            </w:pPr>
            <w:r w:rsidRPr="00400193">
              <w:rPr>
                <w:b/>
                <w:sz w:val="22"/>
                <w:lang w:eastAsia="zh-CN" w:bidi="hi-IN"/>
              </w:rPr>
              <w:t>2000–2009 (%)</w:t>
            </w:r>
          </w:p>
        </w:tc>
      </w:tr>
      <w:tr w:rsidR="00A0618E" w:rsidRPr="00400193" w14:paraId="6AFA13E7" w14:textId="77777777" w:rsidTr="00C3651A">
        <w:tc>
          <w:tcPr>
            <w:tcW w:w="3006" w:type="dxa"/>
            <w:hideMark/>
          </w:tcPr>
          <w:p w14:paraId="60E3F589"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Sport (i.e. for fun)</w:t>
            </w:r>
          </w:p>
        </w:tc>
        <w:tc>
          <w:tcPr>
            <w:tcW w:w="3012" w:type="dxa"/>
            <w:hideMark/>
          </w:tcPr>
          <w:p w14:paraId="244F623C"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75</w:t>
            </w:r>
          </w:p>
        </w:tc>
        <w:tc>
          <w:tcPr>
            <w:tcW w:w="3009" w:type="dxa"/>
            <w:hideMark/>
          </w:tcPr>
          <w:p w14:paraId="14786CFE"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28</w:t>
            </w:r>
          </w:p>
        </w:tc>
      </w:tr>
      <w:tr w:rsidR="00A0618E" w:rsidRPr="00400193" w14:paraId="499D1299" w14:textId="77777777" w:rsidTr="00C3651A">
        <w:tc>
          <w:tcPr>
            <w:tcW w:w="3006" w:type="dxa"/>
            <w:hideMark/>
          </w:tcPr>
          <w:p w14:paraId="16DA77A3"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Monetary gain</w:t>
            </w:r>
          </w:p>
        </w:tc>
        <w:tc>
          <w:tcPr>
            <w:tcW w:w="3012" w:type="dxa"/>
            <w:hideMark/>
          </w:tcPr>
          <w:p w14:paraId="562C5F49"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25</w:t>
            </w:r>
          </w:p>
        </w:tc>
        <w:tc>
          <w:tcPr>
            <w:tcW w:w="3009" w:type="dxa"/>
            <w:hideMark/>
          </w:tcPr>
          <w:p w14:paraId="7F5060C3"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62</w:t>
            </w:r>
          </w:p>
        </w:tc>
      </w:tr>
      <w:tr w:rsidR="00A0618E" w:rsidRPr="00400193" w14:paraId="66CD2438" w14:textId="77777777" w:rsidTr="00C3651A">
        <w:tc>
          <w:tcPr>
            <w:tcW w:w="3006" w:type="dxa"/>
            <w:tcBorders>
              <w:top w:val="nil"/>
              <w:left w:val="nil"/>
              <w:bottom w:val="single" w:sz="6" w:space="0" w:color="000000"/>
              <w:right w:val="nil"/>
            </w:tcBorders>
            <w:hideMark/>
          </w:tcPr>
          <w:p w14:paraId="29DF57DE"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Retaliation</w:t>
            </w:r>
          </w:p>
        </w:tc>
        <w:tc>
          <w:tcPr>
            <w:tcW w:w="3012" w:type="dxa"/>
            <w:tcBorders>
              <w:top w:val="nil"/>
              <w:left w:val="nil"/>
              <w:bottom w:val="single" w:sz="6" w:space="0" w:color="000000"/>
              <w:right w:val="nil"/>
            </w:tcBorders>
            <w:hideMark/>
          </w:tcPr>
          <w:p w14:paraId="783AA2C8" w14:textId="77777777" w:rsidR="00C3651A" w:rsidRPr="00400193" w:rsidRDefault="00C3651A" w:rsidP="00C3651A">
            <w:pPr>
              <w:suppressAutoHyphens/>
              <w:spacing w:after="0" w:line="240" w:lineRule="auto"/>
              <w:jc w:val="left"/>
              <w:rPr>
                <w:sz w:val="22"/>
                <w:lang w:eastAsia="zh-CN" w:bidi="hi-IN"/>
              </w:rPr>
            </w:pPr>
            <w:r w:rsidRPr="00400193">
              <w:rPr>
                <w:sz w:val="22"/>
                <w:lang w:eastAsia="zh-CN" w:bidi="hi-IN"/>
              </w:rPr>
              <w:t xml:space="preserve"> – </w:t>
            </w:r>
          </w:p>
        </w:tc>
        <w:tc>
          <w:tcPr>
            <w:tcW w:w="3009" w:type="dxa"/>
            <w:tcBorders>
              <w:top w:val="nil"/>
              <w:left w:val="nil"/>
              <w:bottom w:val="single" w:sz="6" w:space="0" w:color="000000"/>
              <w:right w:val="nil"/>
            </w:tcBorders>
            <w:hideMark/>
          </w:tcPr>
          <w:p w14:paraId="7C83C944" w14:textId="77777777" w:rsidR="00C3651A" w:rsidRPr="00400193" w:rsidRDefault="00C3651A" w:rsidP="00C3651A">
            <w:pPr>
              <w:keepNext/>
              <w:suppressAutoHyphens/>
              <w:spacing w:after="0" w:line="240" w:lineRule="auto"/>
              <w:jc w:val="left"/>
              <w:rPr>
                <w:sz w:val="22"/>
                <w:lang w:eastAsia="zh-CN" w:bidi="hi-IN"/>
              </w:rPr>
            </w:pPr>
            <w:r w:rsidRPr="00400193">
              <w:rPr>
                <w:sz w:val="22"/>
                <w:lang w:eastAsia="zh-CN" w:bidi="hi-IN"/>
              </w:rPr>
              <w:t>9</w:t>
            </w:r>
          </w:p>
        </w:tc>
      </w:tr>
    </w:tbl>
    <w:p w14:paraId="66F3758C" w14:textId="5814C8A6" w:rsidR="00C3651A" w:rsidRPr="00400193" w:rsidRDefault="00C3651A" w:rsidP="00C3651A">
      <w:pPr>
        <w:pStyle w:val="Caption"/>
        <w:spacing w:after="240"/>
        <w:rPr>
          <w:b w:val="0"/>
          <w:i w:val="0"/>
          <w:szCs w:val="24"/>
          <w:lang w:eastAsia="zh-CN" w:bidi="hi-IN"/>
        </w:rPr>
      </w:pPr>
      <w:bookmarkStart w:id="215" w:name="_2szc72q"/>
      <w:bookmarkStart w:id="216" w:name="_Ref42434756"/>
      <w:bookmarkStart w:id="217" w:name="_Toc52901538"/>
      <w:bookmarkEnd w:id="21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w:t>
      </w:r>
      <w:r w:rsidRPr="00400193">
        <w:fldChar w:fldCharType="end"/>
      </w:r>
      <w:bookmarkEnd w:id="216"/>
      <w:r w:rsidRPr="00400193">
        <w:t>: The changes observed in cyber-attacks over time (Smith, 2015, p. 112)</w:t>
      </w:r>
      <w:bookmarkEnd w:id="217"/>
    </w:p>
    <w:p w14:paraId="24F169B5" w14:textId="77777777" w:rsidR="00C3651A" w:rsidRPr="00400193" w:rsidRDefault="00C3651A" w:rsidP="00153BB4">
      <w:pPr>
        <w:pStyle w:val="Heading5"/>
        <w:rPr>
          <w:lang w:eastAsia="zh-CN" w:bidi="hi-IN"/>
        </w:rPr>
      </w:pPr>
      <w:bookmarkStart w:id="218" w:name="_184mhaj"/>
      <w:bookmarkStart w:id="219" w:name="_Toc61894697"/>
      <w:bookmarkEnd w:id="218"/>
      <w:r w:rsidRPr="00400193">
        <w:rPr>
          <w:lang w:eastAsia="zh-CN" w:bidi="hi-IN"/>
        </w:rPr>
        <w:lastRenderedPageBreak/>
        <w:t>Criminal Acts</w:t>
      </w:r>
      <w:bookmarkEnd w:id="219"/>
    </w:p>
    <w:p w14:paraId="5C71032B" w14:textId="1C1D4EE3" w:rsidR="00C3651A" w:rsidRPr="00400193" w:rsidRDefault="00C3651A" w:rsidP="00C3651A">
      <w:pPr>
        <w:rPr>
          <w:lang w:eastAsia="zh-CN" w:bidi="hi-IN"/>
        </w:rPr>
      </w:pPr>
      <w:r w:rsidRPr="00400193">
        <w:rPr>
          <w:lang w:eastAsia="zh-CN" w:bidi="hi-IN"/>
        </w:rPr>
        <w:t xml:space="preserve">Of the potential internal risks, criminal acts in the form of retaliation or revenge are the fastest-growing concern (see </w:t>
      </w:r>
      <w:r w:rsidRPr="00400193">
        <w:rPr>
          <w:lang w:eastAsia="zh-CN" w:bidi="hi-IN"/>
        </w:rPr>
        <w:fldChar w:fldCharType="begin"/>
      </w:r>
      <w:r w:rsidRPr="00400193">
        <w:rPr>
          <w:lang w:eastAsia="zh-CN" w:bidi="hi-IN"/>
        </w:rPr>
        <w:instrText xml:space="preserve"> REF _Ref42434756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9</w:t>
      </w:r>
      <w:r w:rsidRPr="00400193">
        <w:rPr>
          <w:lang w:eastAsia="zh-CN" w:bidi="hi-IN"/>
        </w:rPr>
        <w:fldChar w:fldCharType="end"/>
      </w:r>
      <w:r w:rsidRPr="00400193">
        <w:rPr>
          <w:lang w:eastAsia="zh-CN" w:bidi="hi-IN"/>
        </w:rPr>
        <w:t xml:space="preserve">). This kind of attack was virtually unknown before the year 2000 (Smith, 2015). The growth of social media may have a connection to this, but it is, essentially, ‘situational’ crime (Hinduja </w:t>
      </w:r>
      <w:r w:rsidR="00E93EE0" w:rsidRPr="00400193">
        <w:rPr>
          <w:lang w:eastAsia="zh-CN" w:bidi="hi-IN"/>
        </w:rPr>
        <w:t>and</w:t>
      </w:r>
      <w:r w:rsidRPr="00400193">
        <w:rPr>
          <w:lang w:eastAsia="zh-CN" w:bidi="hi-IN"/>
        </w:rPr>
        <w:t xml:space="preserve"> Kooi, 2013). It may also be exacerbated by the attitude amongst some students that this does not constitute an illegal or immoral act (PytlikZillig et al., 2015). This is one of the factors that has increased the awareness of cyber-risk in the USA (Morency, 2015). The other risks of criminal acts are identical to the external threats shown in </w:t>
      </w:r>
      <w:r w:rsidRPr="00400193">
        <w:rPr>
          <w:lang w:eastAsia="zh-CN" w:bidi="hi-IN"/>
        </w:rPr>
        <w:fldChar w:fldCharType="begin"/>
      </w:r>
      <w:r w:rsidRPr="00400193">
        <w:rPr>
          <w:lang w:eastAsia="zh-CN" w:bidi="hi-IN"/>
        </w:rPr>
        <w:instrText xml:space="preserve"> REF _Ref42434116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4</w:t>
      </w:r>
      <w:r w:rsidRPr="00400193">
        <w:rPr>
          <w:lang w:eastAsia="zh-CN" w:bidi="hi-IN"/>
        </w:rPr>
        <w:fldChar w:fldCharType="end"/>
      </w:r>
      <w:r w:rsidRPr="00400193">
        <w:rPr>
          <w:lang w:eastAsia="zh-CN" w:bidi="hi-IN"/>
        </w:rPr>
        <w:t>.</w:t>
      </w:r>
    </w:p>
    <w:p w14:paraId="76936E39" w14:textId="77777777" w:rsidR="00C3651A" w:rsidRPr="00400193" w:rsidRDefault="00C3651A" w:rsidP="00C3651A">
      <w:pPr>
        <w:rPr>
          <w:lang w:eastAsia="zh-CN" w:bidi="hi-IN"/>
        </w:rPr>
      </w:pPr>
      <w:r w:rsidRPr="00400193">
        <w:rPr>
          <w:lang w:eastAsia="zh-CN" w:bidi="hi-IN"/>
        </w:rPr>
        <w:t>To avoid criminal acts from within, systems need to be robust enough to prevent financial gain. Human resources management also has a role to ensure that employee grievances are dealt with before they grow too large. It would be difficult, if not impossible, to prevent a retaliation attack from inside, but it can be prevented from ‘coming back’ to the company by having strict rules on the use of social media in the workplace.</w:t>
      </w:r>
    </w:p>
    <w:p w14:paraId="10F8663D" w14:textId="66B22E43" w:rsidR="00C3651A" w:rsidRPr="00400193" w:rsidRDefault="00C3651A" w:rsidP="00153BB4">
      <w:pPr>
        <w:pStyle w:val="Heading4"/>
        <w:rPr>
          <w:rFonts w:eastAsia="Arial"/>
          <w:lang w:eastAsia="zh-CN" w:bidi="hi-IN"/>
        </w:rPr>
      </w:pPr>
      <w:bookmarkStart w:id="220" w:name="_3s49zyc"/>
      <w:bookmarkStart w:id="221" w:name="_Toc61894698"/>
      <w:bookmarkEnd w:id="220"/>
      <w:r w:rsidRPr="00400193">
        <w:rPr>
          <w:rFonts w:eastAsia="Arial"/>
          <w:lang w:eastAsia="zh-CN" w:bidi="hi-IN"/>
        </w:rPr>
        <w:t>Vulnerabilities and Weaknesses</w:t>
      </w:r>
      <w:bookmarkEnd w:id="221"/>
    </w:p>
    <w:p w14:paraId="2476EA6F" w14:textId="55DF7AB3" w:rsidR="00C3651A" w:rsidRPr="00400193" w:rsidRDefault="002E1DF8" w:rsidP="00C3651A">
      <w:pPr>
        <w:rPr>
          <w:lang w:eastAsia="zh-CN" w:bidi="hi-IN"/>
        </w:rPr>
      </w:pPr>
      <w:r w:rsidRPr="00400193">
        <w:rPr>
          <w:lang w:eastAsia="zh-CN" w:bidi="hi-IN"/>
        </w:rPr>
        <w:t xml:space="preserve">Although all eight hypotheses relate to weaknesses and vulnerabilities, the remaining six are connected to response and resilience, so have been added to section </w:t>
      </w:r>
      <w:r w:rsidRPr="00400193">
        <w:rPr>
          <w:lang w:eastAsia="zh-CN" w:bidi="hi-IN"/>
        </w:rPr>
        <w:fldChar w:fldCharType="begin"/>
      </w:r>
      <w:r w:rsidRPr="00400193">
        <w:rPr>
          <w:lang w:eastAsia="zh-CN" w:bidi="hi-IN"/>
        </w:rPr>
        <w:instrText xml:space="preserve"> REF _Ref50750595 \r \h </w:instrText>
      </w:r>
      <w:r w:rsidRPr="00400193">
        <w:rPr>
          <w:lang w:eastAsia="zh-CN" w:bidi="hi-IN"/>
        </w:rPr>
      </w:r>
      <w:r w:rsidRPr="00400193">
        <w:rPr>
          <w:lang w:eastAsia="zh-CN" w:bidi="hi-IN"/>
        </w:rPr>
        <w:fldChar w:fldCharType="separate"/>
      </w:r>
      <w:r w:rsidR="00BB7C18">
        <w:rPr>
          <w:cs/>
          <w:lang w:eastAsia="zh-CN" w:bidi="hi-IN"/>
        </w:rPr>
        <w:t>‎</w:t>
      </w:r>
      <w:r w:rsidR="00BB7C18">
        <w:rPr>
          <w:lang w:eastAsia="zh-CN" w:bidi="hi-IN"/>
        </w:rPr>
        <w:t>3.2.2.5</w:t>
      </w:r>
      <w:r w:rsidRPr="00400193">
        <w:rPr>
          <w:lang w:eastAsia="zh-CN" w:bidi="hi-IN"/>
        </w:rPr>
        <w:fldChar w:fldCharType="end"/>
      </w:r>
      <w:r w:rsidRPr="00400193">
        <w:rPr>
          <w:lang w:eastAsia="zh-CN" w:bidi="hi-IN"/>
        </w:rPr>
        <w:t xml:space="preserve">. </w:t>
      </w:r>
      <w:r w:rsidR="00C3651A" w:rsidRPr="00400193">
        <w:rPr>
          <w:lang w:eastAsia="zh-CN" w:bidi="hi-IN"/>
        </w:rPr>
        <w:t xml:space="preserve">Weaknesses and vulnerabilities are not quite the same thing, in cyber-security: </w:t>
      </w:r>
    </w:p>
    <w:p w14:paraId="010C679D" w14:textId="77777777" w:rsidR="00C3651A" w:rsidRPr="00400193" w:rsidRDefault="00C3651A" w:rsidP="00C3651A">
      <w:pPr>
        <w:pStyle w:val="Quote"/>
        <w:rPr>
          <w:lang w:eastAsia="zh-CN" w:bidi="hi-IN"/>
        </w:rPr>
      </w:pPr>
      <w:r w:rsidRPr="00400193">
        <w:rPr>
          <w:lang w:eastAsia="zh-CN" w:bidi="hi-IN"/>
        </w:rPr>
        <w:t>“a vulnerability is understood as the confluence of three elements that in themselves combine the inward and the outward looking perspective: a system susceptibility or flaw, an attacker’s knowledge of and access to the flaw, and an attacker’s capability to exploit the flaw” (Dunn Cavelty, 2014, p. 704).</w:t>
      </w:r>
    </w:p>
    <w:p w14:paraId="53EFA9DB" w14:textId="2D8862B3" w:rsidR="00C3651A" w:rsidRPr="00400193" w:rsidRDefault="00C3651A" w:rsidP="00C3651A">
      <w:pPr>
        <w:rPr>
          <w:lang w:eastAsia="zh-CN" w:bidi="hi-IN"/>
        </w:rPr>
      </w:pPr>
      <w:r w:rsidRPr="00400193">
        <w:rPr>
          <w:lang w:eastAsia="zh-CN" w:bidi="hi-IN"/>
        </w:rPr>
        <w:t>Weaknesses, or flaws, are therefore only part of a vulnerability. A weakness that is not accessible, or which cannot be exploited does not become a vulnerability. In the framework (</w:t>
      </w:r>
      <w:r w:rsidRPr="00400193">
        <w:rPr>
          <w:lang w:eastAsia="zh-CN" w:bidi="hi-IN"/>
        </w:rPr>
        <w:fldChar w:fldCharType="begin"/>
      </w:r>
      <w:r w:rsidRPr="00400193">
        <w:rPr>
          <w:lang w:eastAsia="zh-CN" w:bidi="hi-IN"/>
        </w:rPr>
        <w:instrText xml:space="preserve"> REF _Ref44957419 \h  \* MERGEFORMAT </w:instrText>
      </w:r>
      <w:r w:rsidRPr="00400193">
        <w:rPr>
          <w:lang w:eastAsia="zh-CN" w:bidi="hi-IN"/>
        </w:rPr>
      </w:r>
      <w:r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Pr="00400193">
        <w:rPr>
          <w:lang w:eastAsia="zh-CN" w:bidi="hi-IN"/>
        </w:rPr>
        <w:fldChar w:fldCharType="end"/>
      </w:r>
      <w:r w:rsidRPr="00400193">
        <w:rPr>
          <w:lang w:eastAsia="zh-CN" w:bidi="hi-IN"/>
        </w:rPr>
        <w:t>), vulnerabilities have been divided into ‘human, asset’, with ‘accidental’ and ‘poor practice’ across all three. There are several ways of assessing vulnerabilities. The recent ‘Common Vulnerabilities and Exposures’ (CVE</w:t>
      </w:r>
      <w:r w:rsidRPr="00400193">
        <w:rPr>
          <w:vertAlign w:val="superscript"/>
          <w:lang w:eastAsia="zh-CN" w:bidi="hi-IN"/>
        </w:rPr>
        <w:t>®</w:t>
      </w:r>
      <w:r w:rsidRPr="00400193">
        <w:rPr>
          <w:lang w:eastAsia="zh-CN" w:bidi="hi-IN"/>
        </w:rPr>
        <w:t xml:space="preserve">) (MITRE, 2017) is a standard for identifying known vulnerabilities, and is a useful resource for checking for an existing </w:t>
      </w:r>
      <w:r w:rsidRPr="00400193">
        <w:rPr>
          <w:i/>
          <w:iCs/>
          <w:lang w:eastAsia="zh-CN" w:bidi="hi-IN"/>
        </w:rPr>
        <w:t>“weakness in the computational logic”</w:t>
      </w:r>
      <w:r w:rsidRPr="00400193">
        <w:rPr>
          <w:lang w:eastAsia="zh-CN" w:bidi="hi-IN"/>
        </w:rPr>
        <w:t xml:space="preserve"> (MITRE, 2017, p. 3). The difficulty, however, is that a ‘patch’ may be issued (and implemented) to fix a </w:t>
      </w:r>
      <w:r w:rsidRPr="00400193">
        <w:rPr>
          <w:lang w:eastAsia="zh-CN" w:bidi="hi-IN"/>
        </w:rPr>
        <w:lastRenderedPageBreak/>
        <w:t>process or a piece of technology but cannot be used to overcome ‘people’ vulnerabilities (Schneier, 2000).</w:t>
      </w:r>
    </w:p>
    <w:p w14:paraId="2C541CC3" w14:textId="58117FFC" w:rsidR="00C3651A" w:rsidRPr="00400193" w:rsidRDefault="00C3651A" w:rsidP="00C3651A">
      <w:pPr>
        <w:rPr>
          <w:lang w:eastAsia="zh-CN" w:bidi="hi-IN"/>
        </w:rPr>
      </w:pPr>
      <w:r w:rsidRPr="00400193">
        <w:rPr>
          <w:lang w:eastAsia="zh-CN" w:bidi="hi-IN"/>
        </w:rPr>
        <w:t xml:space="preserve">Cyber-security can be viewed as a process or chain, and there is an old saying that “a chain is as strong as its weakest link” (Schneier, 2000). The weakest link is almost always the people. ‘Social engineering’ (Heartfield </w:t>
      </w:r>
      <w:r w:rsidR="00E93EE0" w:rsidRPr="00400193">
        <w:rPr>
          <w:lang w:eastAsia="zh-CN" w:bidi="hi-IN"/>
        </w:rPr>
        <w:t>and</w:t>
      </w:r>
      <w:r w:rsidRPr="00400193">
        <w:rPr>
          <w:lang w:eastAsia="zh-CN" w:bidi="hi-IN"/>
        </w:rPr>
        <w:t xml:space="preserve"> Loukas, 2016) has been the underlying method of many cyber-attacks. It makes sense to emphasise this aspect of cyber-security, with improved practices and better control of accidental issues:</w:t>
      </w:r>
    </w:p>
    <w:p w14:paraId="31E040DA" w14:textId="53CA8AED" w:rsidR="00C3651A" w:rsidRPr="00400193" w:rsidRDefault="00C3651A" w:rsidP="00C3651A">
      <w:pPr>
        <w:pStyle w:val="Quote"/>
        <w:rPr>
          <w:lang w:eastAsia="zh-CN" w:bidi="hi-IN"/>
        </w:rPr>
      </w:pPr>
      <w:r w:rsidRPr="00400193">
        <w:rPr>
          <w:lang w:eastAsia="zh-CN" w:bidi="hi-IN"/>
        </w:rPr>
        <w:t xml:space="preserve">“because even the strongest technical protection systems can be bypassed if the attacker successfully manipulates the user into divulging a password, opening a malicious email attachment or visiting a compromised website” (Heartfield </w:t>
      </w:r>
      <w:r w:rsidR="00E93EE0" w:rsidRPr="00400193">
        <w:rPr>
          <w:lang w:eastAsia="zh-CN" w:bidi="hi-IN"/>
        </w:rPr>
        <w:t>and</w:t>
      </w:r>
      <w:r w:rsidRPr="00400193">
        <w:rPr>
          <w:lang w:eastAsia="zh-CN" w:bidi="hi-IN"/>
        </w:rPr>
        <w:t xml:space="preserve"> Loukas, 2016, p. 37).</w:t>
      </w:r>
    </w:p>
    <w:p w14:paraId="0324C723" w14:textId="3831B9D0" w:rsidR="00C3651A" w:rsidRPr="00400193" w:rsidRDefault="00C3651A" w:rsidP="00C3651A">
      <w:pPr>
        <w:rPr>
          <w:lang w:eastAsia="zh-CN" w:bidi="hi-IN"/>
        </w:rPr>
      </w:pPr>
      <w:r w:rsidRPr="00400193">
        <w:rPr>
          <w:lang w:eastAsia="zh-CN" w:bidi="hi-IN"/>
        </w:rPr>
        <w:t xml:space="preserve">Technology and procedures remain very important, because where safeguards are stronger, it is less likely that ‘social engineering’ will be used. The next few sections examine weaknesses and vulnerabilities across human factors, process factors, and technology factors. This makes the situation much clearer than trying to put these all together, although there is a level of interaction between the three. The growth of the IoT is an example of this. Many users may not even realise that their device is connected, and therefore cannot be expected to know the risks involved </w:t>
      </w:r>
      <w:r w:rsidR="005C1B0F" w:rsidRPr="00400193">
        <w:rPr>
          <w:lang w:eastAsia="zh-CN" w:bidi="hi-IN"/>
        </w:rPr>
        <w:t>(Schlesinger, 2016)</w:t>
      </w:r>
      <w:r w:rsidRPr="00400193">
        <w:rPr>
          <w:lang w:eastAsia="zh-CN" w:bidi="hi-IN"/>
        </w:rPr>
        <w:t>.</w:t>
      </w:r>
    </w:p>
    <w:p w14:paraId="34F83852" w14:textId="77777777" w:rsidR="00C3651A" w:rsidRPr="00400193" w:rsidRDefault="00C3651A" w:rsidP="00C3651A">
      <w:pPr>
        <w:rPr>
          <w:lang w:eastAsia="zh-CN" w:bidi="hi-IN"/>
        </w:rPr>
      </w:pPr>
      <w:r w:rsidRPr="00400193">
        <w:rPr>
          <w:lang w:eastAsia="zh-CN" w:bidi="hi-IN"/>
        </w:rPr>
        <w:t>The major difficulty, noted by Schneier (2000; 2015), is that when a system is more complex, it is less secure. In effect, this means that society increasingly relies on the security of systems that are too complex to be truly secure. A secure system is not easy to use, and an easy-to-use system is not secure. Cyber-security is about balancing these two (Schneier, 2012), and resilience is about recovering from the inevitable unpreventable attacks (Sano</w:t>
      </w:r>
      <w:r w:rsidRPr="00400193">
        <w:rPr>
          <w:i/>
          <w:iCs/>
          <w:lang w:eastAsia="zh-CN" w:bidi="hi-IN"/>
        </w:rPr>
        <w:t xml:space="preserve"> </w:t>
      </w:r>
      <w:r w:rsidRPr="00400193">
        <w:rPr>
          <w:lang w:eastAsia="zh-CN" w:bidi="hi-IN"/>
        </w:rPr>
        <w:t>et al., 2016). Both vulnerabilities and weaknesses must therefore be assessed on a case-by-case basis. Every company will have different weaknesses and vulnerabilities, some of which may be mitigated through proper audited procedures and practices, and others reduced by technology, but they will always be present.</w:t>
      </w:r>
    </w:p>
    <w:p w14:paraId="31957AE2" w14:textId="489C8D27" w:rsidR="00C3651A" w:rsidRPr="00400193" w:rsidRDefault="00C3651A" w:rsidP="00C3651A">
      <w:pPr>
        <w:rPr>
          <w:lang w:eastAsia="zh-CN" w:bidi="hi-IN"/>
        </w:rPr>
      </w:pPr>
      <w:r w:rsidRPr="00400193">
        <w:rPr>
          <w:lang w:eastAsia="zh-CN" w:bidi="hi-IN"/>
        </w:rPr>
        <w:fldChar w:fldCharType="begin"/>
      </w:r>
      <w:r w:rsidRPr="00400193">
        <w:rPr>
          <w:lang w:eastAsia="zh-CN" w:bidi="hi-IN"/>
        </w:rPr>
        <w:instrText xml:space="preserve"> REF _Ref42542211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10</w:t>
      </w:r>
      <w:r w:rsidRPr="00400193">
        <w:rPr>
          <w:lang w:eastAsia="zh-CN" w:bidi="hi-IN"/>
        </w:rPr>
        <w:fldChar w:fldCharType="end"/>
      </w:r>
      <w:r w:rsidRPr="00400193">
        <w:rPr>
          <w:lang w:eastAsia="zh-CN" w:bidi="hi-IN"/>
        </w:rPr>
        <w:t xml:space="preserve"> lists some vulnerabilities, and also indicates part of the difficulty: there are so many connected or ‘smart’ devices in use, and every one of them is potentially a vulnerable point in the network. It is essential to conduct an audit of connected devices </w:t>
      </w:r>
      <w:r w:rsidRPr="00400193">
        <w:rPr>
          <w:lang w:eastAsia="zh-CN" w:bidi="hi-IN"/>
        </w:rPr>
        <w:lastRenderedPageBreak/>
        <w:t>within the company before assessing whether there are weaknesses or vulnerabilities. This exercise must be repeated regularly because new smart devices are constantly being introduced. Other aspects of vulnerability that require regular auditing are the authentication methods, whether passwords are changed regularly, and whether they are being written down by employees instead of being remembered.</w:t>
      </w:r>
    </w:p>
    <w:p w14:paraId="4E97F975" w14:textId="77777777" w:rsidR="00C3651A" w:rsidRPr="00400193" w:rsidRDefault="00C3651A" w:rsidP="00C3651A">
      <w:pPr>
        <w:rPr>
          <w:lang w:eastAsia="zh-CN" w:bidi="hi-IN"/>
        </w:rPr>
      </w:pPr>
      <w:r w:rsidRPr="00400193">
        <w:rPr>
          <w:lang w:eastAsia="zh-CN" w:bidi="hi-IN"/>
        </w:rPr>
        <w:t>One suggestion by Eich</w:t>
      </w:r>
      <w:r w:rsidRPr="00400193">
        <w:rPr>
          <w:i/>
          <w:iCs/>
          <w:lang w:eastAsia="zh-CN" w:bidi="hi-IN"/>
        </w:rPr>
        <w:t xml:space="preserve"> </w:t>
      </w:r>
      <w:r w:rsidRPr="00400193">
        <w:rPr>
          <w:lang w:eastAsia="zh-CN" w:bidi="hi-IN"/>
        </w:rPr>
        <w:t xml:space="preserve">et al. (2016), for secure management of passwords using cloud services may reduce the vulnerability, but still requires regular password changes, and does not prevent employees writing down their ‘master’ password to the drop box. It is a secure system for password management but suffers from the same weakness as all password management systems: once the user is authenticated, they have access to all their services and passwords (Schneier, 2000). An alternative that may overcome the inherent insecurity of the IoT (Schneier, 2017) is the use of biometrics (Griffin, 2016). Biometrics are one of the most secure access systems, hence their use for passports, but fail to address the lack of experience of IT security among many of the companies developing connected technology via the IoT (Schneier, 2017). Biometrics can therefore reduce the vulnerability, but do not address the weakness. </w:t>
      </w:r>
    </w:p>
    <w:p w14:paraId="3749D0AD" w14:textId="1A500570" w:rsidR="00C3651A" w:rsidRPr="00400193" w:rsidRDefault="00C3651A" w:rsidP="00C3651A">
      <w:pPr>
        <w:rPr>
          <w:lang w:eastAsia="zh-CN" w:bidi="hi-IN"/>
        </w:rPr>
      </w:pPr>
      <w:r w:rsidRPr="00400193">
        <w:rPr>
          <w:lang w:eastAsia="zh-CN" w:bidi="hi-IN"/>
        </w:rPr>
        <w:fldChar w:fldCharType="begin"/>
      </w:r>
      <w:r w:rsidRPr="00400193">
        <w:rPr>
          <w:lang w:eastAsia="zh-CN" w:bidi="hi-IN"/>
        </w:rPr>
        <w:instrText xml:space="preserve"> REF _Ref42542211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10</w:t>
      </w:r>
      <w:r w:rsidRPr="00400193">
        <w:rPr>
          <w:lang w:eastAsia="zh-CN" w:bidi="hi-IN"/>
        </w:rPr>
        <w:fldChar w:fldCharType="end"/>
      </w:r>
      <w:r w:rsidRPr="00400193">
        <w:rPr>
          <w:lang w:eastAsia="zh-CN" w:bidi="hi-IN"/>
        </w:rPr>
        <w:t xml:space="preserve"> can only show known vulnerabilities. However, the IoT is highlighting previously unknown vulnerabilities (Jing et al., 2014; Schneier, 2017). This is partly because of the technical inexperience of the manufacturers and their haste to become connected (Schneier, 2017). This specific area of vulnerability will therefore continue to grow at the same rate as the IoT itself. </w:t>
      </w:r>
    </w:p>
    <w:p w14:paraId="25D74827" w14:textId="77777777" w:rsidR="00C3651A" w:rsidRPr="00400193" w:rsidRDefault="00C3651A" w:rsidP="00153BB4">
      <w:pPr>
        <w:pStyle w:val="Heading5"/>
        <w:rPr>
          <w:lang w:eastAsia="zh-CN" w:bidi="hi-IN"/>
        </w:rPr>
      </w:pPr>
      <w:bookmarkStart w:id="222" w:name="_Toc61894699"/>
      <w:r w:rsidRPr="00400193">
        <w:rPr>
          <w:lang w:eastAsia="zh-CN" w:bidi="hi-IN"/>
        </w:rPr>
        <w:t>Human Factors as a Vulnerability or Weakness</w:t>
      </w:r>
      <w:bookmarkEnd w:id="222"/>
    </w:p>
    <w:p w14:paraId="4EF7C8B3" w14:textId="77777777" w:rsidR="00C3651A" w:rsidRPr="00400193" w:rsidRDefault="00C3651A" w:rsidP="00C3651A">
      <w:pPr>
        <w:rPr>
          <w:szCs w:val="24"/>
          <w:lang w:eastAsia="zh-CN" w:bidi="hi-IN"/>
        </w:rPr>
      </w:pPr>
      <w:r w:rsidRPr="00400193">
        <w:rPr>
          <w:lang w:eastAsia="zh-CN" w:bidi="hi-IN"/>
        </w:rPr>
        <w:t xml:space="preserve">It has been repeatedly stressed that the biggest weakness in cyber-security tends to be human behaviour. The difficulty is that systems must be usable as well as secure, but the requirements of these two are incompatible. As Hancock et al. (2016, p.315) commented, </w:t>
      </w:r>
      <w:r w:rsidRPr="00400193">
        <w:rPr>
          <w:i/>
          <w:iCs/>
          <w:szCs w:val="24"/>
          <w:lang w:eastAsia="zh-CN" w:bidi="hi-IN"/>
        </w:rPr>
        <w:t>“Requirement 1: Passwords must be impossible to remember. Requirement 2: Memorize all passwords”</w:t>
      </w:r>
      <w:r w:rsidRPr="00400193">
        <w:rPr>
          <w:szCs w:val="24"/>
          <w:lang w:eastAsia="zh-CN" w:bidi="hi-IN"/>
        </w:rPr>
        <w:t>.</w:t>
      </w:r>
    </w:p>
    <w:p w14:paraId="12DB4E47" w14:textId="7247E28C" w:rsidR="00C3651A" w:rsidRPr="00400193" w:rsidRDefault="00C3651A" w:rsidP="00C3651A">
      <w:pPr>
        <w:rPr>
          <w:lang w:eastAsia="zh-CN" w:bidi="hi-IN"/>
        </w:rPr>
      </w:pPr>
      <w:r w:rsidRPr="00400193">
        <w:rPr>
          <w:lang w:eastAsia="zh-CN" w:bidi="hi-IN"/>
        </w:rPr>
        <w:t xml:space="preserve">There has also been such an emphasis on the technology that the purpose has been almost forgotten. Designers need to focus on what the product is for, rather than incorporating technology because it is available (Lathrop, Trent </w:t>
      </w:r>
      <w:r w:rsidR="00E93EE0" w:rsidRPr="00400193">
        <w:rPr>
          <w:lang w:eastAsia="zh-CN" w:bidi="hi-IN"/>
        </w:rPr>
        <w:t>and</w:t>
      </w:r>
      <w:r w:rsidRPr="00400193">
        <w:rPr>
          <w:lang w:eastAsia="zh-CN" w:bidi="hi-IN"/>
        </w:rPr>
        <w:t xml:space="preserve"> Hoffman, 2016). This would also alter the security focus. Designers of technology and programmers </w:t>
      </w:r>
      <w:r w:rsidRPr="00400193">
        <w:rPr>
          <w:lang w:eastAsia="zh-CN" w:bidi="hi-IN"/>
        </w:rPr>
        <w:lastRenderedPageBreak/>
        <w:t>need to consider what ‘real world’ users will do, rather than what a security consultant would do.</w:t>
      </w:r>
    </w:p>
    <w:p w14:paraId="0256A5B4" w14:textId="67A9C9F6" w:rsidR="00C3651A" w:rsidRPr="00400193" w:rsidRDefault="00C3651A" w:rsidP="00C3651A">
      <w:pPr>
        <w:rPr>
          <w:lang w:eastAsia="zh-CN" w:bidi="hi-IN"/>
        </w:rPr>
      </w:pPr>
      <w:r w:rsidRPr="00400193">
        <w:rPr>
          <w:lang w:eastAsia="zh-CN" w:bidi="hi-IN"/>
        </w:rPr>
        <w:t xml:space="preserve">In areas where automation or computerisation can realistically be used to replace human interaction, such as network intrusion detection (Dutt, Moisan </w:t>
      </w:r>
      <w:r w:rsidR="00E93EE0" w:rsidRPr="00400193">
        <w:rPr>
          <w:lang w:eastAsia="zh-CN" w:bidi="hi-IN"/>
        </w:rPr>
        <w:t>and</w:t>
      </w:r>
      <w:r w:rsidRPr="00400193">
        <w:rPr>
          <w:lang w:eastAsia="zh-CN" w:bidi="hi-IN"/>
        </w:rPr>
        <w:t xml:space="preserve"> Gonzalez, 2016), human error can be almost eliminated. However, in most systems and processes, the human element still represents both the weakness and the vulnerability of the system. Richards and Norcio (2016, p.305) noted that </w:t>
      </w:r>
      <w:r w:rsidRPr="00400193">
        <w:rPr>
          <w:i/>
          <w:iCs/>
          <w:lang w:eastAsia="zh-CN" w:bidi="hi-IN"/>
        </w:rPr>
        <w:t>“considering usability and security in tandem creates an intractable problem”</w:t>
      </w:r>
      <w:r w:rsidRPr="00400193">
        <w:rPr>
          <w:lang w:eastAsia="zh-CN" w:bidi="hi-IN"/>
        </w:rPr>
        <w:t>. The requirements of human-centred computing and human–computer interaction do not fully overcome that problem.</w:t>
      </w:r>
    </w:p>
    <w:p w14:paraId="511FAECD" w14:textId="132FE159" w:rsidR="00C3651A" w:rsidRPr="00400193" w:rsidRDefault="00C3651A" w:rsidP="00C3651A">
      <w:pPr>
        <w:rPr>
          <w:lang w:eastAsia="zh-CN" w:bidi="hi-IN"/>
        </w:rPr>
      </w:pPr>
      <w:r w:rsidRPr="00400193">
        <w:rPr>
          <w:lang w:eastAsia="zh-CN" w:bidi="hi-IN"/>
        </w:rPr>
        <w:t xml:space="preserve">Often in cyber-security, a solution is suggested to overcome a specific security issue, such as contextualising mnemonics for passwords (McEvoy </w:t>
      </w:r>
      <w:r w:rsidR="00E93EE0" w:rsidRPr="00400193">
        <w:rPr>
          <w:lang w:eastAsia="zh-CN" w:bidi="hi-IN"/>
        </w:rPr>
        <w:t>and</w:t>
      </w:r>
      <w:r w:rsidRPr="00400193">
        <w:rPr>
          <w:lang w:eastAsia="zh-CN" w:bidi="hi-IN"/>
        </w:rPr>
        <w:t xml:space="preserve"> Still, 2016). However, this is actually a human failing rather than a computer problem.</w:t>
      </w:r>
    </w:p>
    <w:p w14:paraId="4781C218" w14:textId="77777777" w:rsidR="00C3651A" w:rsidRPr="00400193" w:rsidRDefault="00C3651A" w:rsidP="00153BB4">
      <w:pPr>
        <w:pStyle w:val="Heading5"/>
        <w:rPr>
          <w:rFonts w:eastAsia="Arial"/>
          <w:lang w:eastAsia="zh-CN" w:bidi="hi-IN"/>
        </w:rPr>
      </w:pPr>
      <w:bookmarkStart w:id="223" w:name="_Toc61894700"/>
      <w:r w:rsidRPr="00400193">
        <w:rPr>
          <w:rFonts w:eastAsia="Arial"/>
          <w:lang w:eastAsia="zh-CN" w:bidi="hi-IN"/>
        </w:rPr>
        <w:t>Process as a Vulnerability or Weakness</w:t>
      </w:r>
      <w:bookmarkEnd w:id="223"/>
    </w:p>
    <w:p w14:paraId="57FFF878" w14:textId="04B9F1B1" w:rsidR="00C3651A" w:rsidRPr="00400193" w:rsidRDefault="00C3651A" w:rsidP="00C3651A">
      <w:pPr>
        <w:rPr>
          <w:lang w:eastAsia="zh-CN" w:bidi="hi-IN"/>
        </w:rPr>
      </w:pPr>
      <w:r w:rsidRPr="00400193">
        <w:rPr>
          <w:lang w:eastAsia="zh-CN" w:bidi="hi-IN"/>
        </w:rPr>
        <w:t>A quick examination of any computer that is switched on and connected will show that it is running many processes (i.e. programmes that are currently running). Most of these in a company or organisation will have been legitimately purchased from a trusted vendor or created ‘in house’. However, that does not mean that they are automatically reliable or secure. Schneier (2000) set out two linked but separate facts; first, that world-wide research reveals that it is reasonable to expect 5 to 15 errors per thousand lines of code (after testing and issue to the public), and second, that Windows 2000™, at that time the latest version, had 35–50 million lines of code. Any error in the code has the potential to be exploited, and updates and patches are often not applied, giving a range of 175,000 to 500,000 possible weaknesses just in the operating system.</w:t>
      </w:r>
    </w:p>
    <w:p w14:paraId="6C79B5D7" w14:textId="40820ED5" w:rsidR="0044794E" w:rsidRPr="00400193" w:rsidRDefault="0044794E" w:rsidP="00C3651A">
      <w:pPr>
        <w:rPr>
          <w:lang w:eastAsia="zh-CN" w:bidi="hi-IN"/>
        </w:rPr>
      </w:pPr>
      <w:r w:rsidRPr="00400193">
        <w:rPr>
          <w:lang w:eastAsia="zh-CN" w:bidi="hi-IN"/>
        </w:rPr>
        <w:t>The figures have not changed in the intervening years, but the number of lines of code has continued to grow. To put this into even better perspective, in 2017, whilst encouraging users to update to Windows 10™, Microsoft revealed newly discovered vulnerabilities on Windows 2003 and Windows NT (Microsoft, 2017). Support for NT ended in 2015, but two years later, new vulnerabilities were still being discovered. NT was introduced in 1992, and ‘only’ had 4,000,000 lines of code (Schneier, 2000).</w:t>
      </w:r>
    </w:p>
    <w:p w14:paraId="587FC7A9" w14:textId="77777777" w:rsidR="0044794E" w:rsidRPr="00400193" w:rsidRDefault="0044794E" w:rsidP="00C3651A">
      <w:pPr>
        <w:rPr>
          <w:lang w:eastAsia="zh-CN" w:bidi="hi-IN"/>
        </w:rPr>
      </w:pPr>
    </w:p>
    <w:tbl>
      <w:tblPr>
        <w:tblW w:w="9024" w:type="dxa"/>
        <w:tblLook w:val="04A0" w:firstRow="1" w:lastRow="0" w:firstColumn="1" w:lastColumn="0" w:noHBand="0" w:noVBand="1"/>
      </w:tblPr>
      <w:tblGrid>
        <w:gridCol w:w="4513"/>
        <w:gridCol w:w="4511"/>
      </w:tblGrid>
      <w:tr w:rsidR="00A0618E" w:rsidRPr="00400193" w14:paraId="393F62A2" w14:textId="77777777" w:rsidTr="00C3651A">
        <w:tc>
          <w:tcPr>
            <w:tcW w:w="4513" w:type="dxa"/>
            <w:tcBorders>
              <w:top w:val="single" w:sz="6" w:space="0" w:color="000000"/>
              <w:left w:val="nil"/>
              <w:bottom w:val="single" w:sz="6" w:space="0" w:color="000000"/>
              <w:right w:val="nil"/>
            </w:tcBorders>
            <w:hideMark/>
          </w:tcPr>
          <w:p w14:paraId="11EC0710"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lastRenderedPageBreak/>
              <w:t>Vulnerability or Weakness</w:t>
            </w:r>
          </w:p>
        </w:tc>
        <w:tc>
          <w:tcPr>
            <w:tcW w:w="4511" w:type="dxa"/>
            <w:tcBorders>
              <w:top w:val="single" w:sz="6" w:space="0" w:color="000000"/>
              <w:left w:val="nil"/>
              <w:bottom w:val="single" w:sz="6" w:space="0" w:color="000000"/>
              <w:right w:val="nil"/>
            </w:tcBorders>
            <w:hideMark/>
          </w:tcPr>
          <w:p w14:paraId="26D7A0C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Reference</w:t>
            </w:r>
          </w:p>
        </w:tc>
      </w:tr>
      <w:tr w:rsidR="00A0618E" w:rsidRPr="00400193" w14:paraId="0033AAC6" w14:textId="77777777" w:rsidTr="00C3651A">
        <w:tc>
          <w:tcPr>
            <w:tcW w:w="4513" w:type="dxa"/>
            <w:hideMark/>
          </w:tcPr>
          <w:p w14:paraId="4FB7BC1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Any computer or device connected to a network is vulnerable</w:t>
            </w:r>
          </w:p>
        </w:tc>
        <w:tc>
          <w:tcPr>
            <w:tcW w:w="4511" w:type="dxa"/>
            <w:hideMark/>
          </w:tcPr>
          <w:p w14:paraId="56B8878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Hypponen and Nyman (2017)</w:t>
            </w:r>
          </w:p>
        </w:tc>
      </w:tr>
      <w:tr w:rsidR="00A0618E" w:rsidRPr="00400193" w14:paraId="4C72CC7A" w14:textId="77777777" w:rsidTr="00C3651A">
        <w:tc>
          <w:tcPr>
            <w:tcW w:w="4513" w:type="dxa"/>
            <w:hideMark/>
          </w:tcPr>
          <w:p w14:paraId="592B1CE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IoT </w:t>
            </w:r>
            <w:r w:rsidRPr="00400193">
              <w:rPr>
                <w:rFonts w:asciiTheme="minorHAnsi" w:hAnsiTheme="minorHAnsi" w:cstheme="minorHAnsi"/>
                <w:sz w:val="22"/>
                <w:vertAlign w:val="superscript"/>
                <w:lang w:eastAsia="zh-CN" w:bidi="hi-IN"/>
              </w:rPr>
              <w:t>a</w:t>
            </w:r>
            <w:r w:rsidRPr="00400193">
              <w:rPr>
                <w:rFonts w:asciiTheme="minorHAnsi" w:hAnsiTheme="minorHAnsi" w:cstheme="minorHAnsi"/>
                <w:sz w:val="22"/>
                <w:lang w:eastAsia="zh-CN" w:bidi="hi-IN"/>
              </w:rPr>
              <w:t xml:space="preserve"> devices</w:t>
            </w:r>
          </w:p>
        </w:tc>
        <w:tc>
          <w:tcPr>
            <w:tcW w:w="4511" w:type="dxa"/>
            <w:hideMark/>
          </w:tcPr>
          <w:p w14:paraId="6600EC3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Bode (2015); Corfield (2017); Greenberg (2015; 2016);</w:t>
            </w:r>
            <w:r w:rsidRPr="00400193" w:rsidDel="000C6A61">
              <w:rPr>
                <w:rFonts w:asciiTheme="minorHAnsi" w:hAnsiTheme="minorHAnsi" w:cstheme="minorHAnsi"/>
                <w:sz w:val="22"/>
                <w:lang w:eastAsia="zh-CN" w:bidi="hi-IN"/>
              </w:rPr>
              <w:t xml:space="preserve"> </w:t>
            </w:r>
            <w:r w:rsidRPr="00400193">
              <w:rPr>
                <w:rFonts w:asciiTheme="minorHAnsi" w:hAnsiTheme="minorHAnsi" w:cstheme="minorHAnsi"/>
                <w:sz w:val="22"/>
                <w:lang w:eastAsia="zh-CN" w:bidi="hi-IN"/>
              </w:rPr>
              <w:t xml:space="preserve">Hypponen and Nyman (2017) </w:t>
            </w:r>
          </w:p>
        </w:tc>
      </w:tr>
      <w:tr w:rsidR="00A0618E" w:rsidRPr="00400193" w14:paraId="34C6BAE8" w14:textId="77777777" w:rsidTr="00C3651A">
        <w:tc>
          <w:tcPr>
            <w:tcW w:w="4513" w:type="dxa"/>
            <w:hideMark/>
          </w:tcPr>
          <w:p w14:paraId="6B1B3DA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The lack of experience in security engineering among new software companies</w:t>
            </w:r>
          </w:p>
        </w:tc>
        <w:tc>
          <w:tcPr>
            <w:tcW w:w="4511" w:type="dxa"/>
            <w:hideMark/>
          </w:tcPr>
          <w:p w14:paraId="0F185D7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Hypponen and Nyman (2017)</w:t>
            </w:r>
          </w:p>
        </w:tc>
      </w:tr>
      <w:tr w:rsidR="00A0618E" w:rsidRPr="00400193" w14:paraId="389918D2" w14:textId="77777777" w:rsidTr="00C3651A">
        <w:tc>
          <w:tcPr>
            <w:tcW w:w="4513" w:type="dxa"/>
            <w:hideMark/>
          </w:tcPr>
          <w:p w14:paraId="46FD28D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IoT vulnerabilities have been shown to affect the stability of the Internet itself</w:t>
            </w:r>
          </w:p>
        </w:tc>
        <w:tc>
          <w:tcPr>
            <w:tcW w:w="4511" w:type="dxa"/>
            <w:hideMark/>
          </w:tcPr>
          <w:p w14:paraId="7915137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Hypponen and Nyman (2017); Schneier (2017)</w:t>
            </w:r>
          </w:p>
        </w:tc>
      </w:tr>
      <w:tr w:rsidR="00A0618E" w:rsidRPr="00400193" w14:paraId="2A6AEBC8" w14:textId="77777777" w:rsidTr="00C3651A">
        <w:tc>
          <w:tcPr>
            <w:tcW w:w="4513" w:type="dxa"/>
            <w:hideMark/>
          </w:tcPr>
          <w:p w14:paraId="645A008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 vulnerable IoT device can become a bridge between private and public networks</w:t>
            </w:r>
          </w:p>
        </w:tc>
        <w:tc>
          <w:tcPr>
            <w:tcW w:w="4511" w:type="dxa"/>
            <w:hideMark/>
          </w:tcPr>
          <w:p w14:paraId="6BD3763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Hypponen and Nyman (2017); Schneier (2017)</w:t>
            </w:r>
          </w:p>
        </w:tc>
      </w:tr>
      <w:tr w:rsidR="00A0618E" w:rsidRPr="00400193" w14:paraId="62BA876B" w14:textId="77777777" w:rsidTr="00C3651A">
        <w:tc>
          <w:tcPr>
            <w:tcW w:w="4513" w:type="dxa"/>
            <w:hideMark/>
          </w:tcPr>
          <w:p w14:paraId="62E41C5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Probing IP ports for vulnerabilities</w:t>
            </w:r>
          </w:p>
        </w:tc>
        <w:tc>
          <w:tcPr>
            <w:tcW w:w="4511" w:type="dxa"/>
            <w:hideMark/>
          </w:tcPr>
          <w:p w14:paraId="64210B4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Hinduja and Kooi (2013)</w:t>
            </w:r>
          </w:p>
        </w:tc>
      </w:tr>
      <w:tr w:rsidR="00A0618E" w:rsidRPr="00400193" w14:paraId="21A357F7" w14:textId="77777777" w:rsidTr="00C3651A">
        <w:tc>
          <w:tcPr>
            <w:tcW w:w="4513" w:type="dxa"/>
            <w:hideMark/>
          </w:tcPr>
          <w:p w14:paraId="28EA11E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Strategies to reduce vulnerability include authentication, encryption, intrusion detection and access control systems</w:t>
            </w:r>
          </w:p>
        </w:tc>
        <w:tc>
          <w:tcPr>
            <w:tcW w:w="4511" w:type="dxa"/>
            <w:hideMark/>
          </w:tcPr>
          <w:p w14:paraId="36BD925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Hinduja and Kooi (2013)</w:t>
            </w:r>
          </w:p>
        </w:tc>
      </w:tr>
      <w:tr w:rsidR="00A0618E" w:rsidRPr="00400193" w14:paraId="6922EA4E" w14:textId="77777777" w:rsidTr="00C3651A">
        <w:tc>
          <w:tcPr>
            <w:tcW w:w="4513" w:type="dxa"/>
            <w:hideMark/>
          </w:tcPr>
          <w:p w14:paraId="1272621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Situational crime prevention as a tool to reduce vulnerability</w:t>
            </w:r>
          </w:p>
        </w:tc>
        <w:tc>
          <w:tcPr>
            <w:tcW w:w="4511" w:type="dxa"/>
            <w:hideMark/>
          </w:tcPr>
          <w:p w14:paraId="4929F18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Hinduja and Kooi (2013)</w:t>
            </w:r>
          </w:p>
        </w:tc>
      </w:tr>
      <w:tr w:rsidR="00A0618E" w:rsidRPr="00400193" w14:paraId="2F466450" w14:textId="77777777" w:rsidTr="00C3651A">
        <w:tc>
          <w:tcPr>
            <w:tcW w:w="4513" w:type="dxa"/>
            <w:hideMark/>
          </w:tcPr>
          <w:p w14:paraId="7B83A99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Timing of attacks – vulnerability “out of hours”</w:t>
            </w:r>
          </w:p>
        </w:tc>
        <w:tc>
          <w:tcPr>
            <w:tcW w:w="4511" w:type="dxa"/>
            <w:hideMark/>
          </w:tcPr>
          <w:p w14:paraId="050F193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Hinduja and Kooi (2013)</w:t>
            </w:r>
          </w:p>
        </w:tc>
      </w:tr>
      <w:tr w:rsidR="00A0618E" w:rsidRPr="00400193" w14:paraId="2CF4CD1A" w14:textId="77777777" w:rsidTr="00C3651A">
        <w:tc>
          <w:tcPr>
            <w:tcW w:w="4513" w:type="dxa"/>
            <w:hideMark/>
          </w:tcPr>
          <w:p w14:paraId="3A83200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 cyber-security policy that is anti-vulnerability and also with strong considerations for privacy and data protection</w:t>
            </w:r>
          </w:p>
        </w:tc>
        <w:tc>
          <w:tcPr>
            <w:tcW w:w="4511" w:type="dxa"/>
            <w:hideMark/>
          </w:tcPr>
          <w:p w14:paraId="5370E45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Dunn Cavelty (2014)</w:t>
            </w:r>
          </w:p>
        </w:tc>
      </w:tr>
      <w:tr w:rsidR="00A0618E" w:rsidRPr="00400193" w14:paraId="2A626B6E" w14:textId="77777777" w:rsidTr="00C3651A">
        <w:tc>
          <w:tcPr>
            <w:tcW w:w="4513" w:type="dxa"/>
            <w:hideMark/>
          </w:tcPr>
          <w:p w14:paraId="466D1CB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Unsuitable access levels for users</w:t>
            </w:r>
          </w:p>
        </w:tc>
        <w:tc>
          <w:tcPr>
            <w:tcW w:w="4511" w:type="dxa"/>
            <w:hideMark/>
          </w:tcPr>
          <w:p w14:paraId="62F349C8"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Silic and Back (2016)</w:t>
            </w:r>
          </w:p>
        </w:tc>
      </w:tr>
      <w:tr w:rsidR="00A0618E" w:rsidRPr="00400193" w14:paraId="7D6C7F03" w14:textId="77777777" w:rsidTr="00C3651A">
        <w:tc>
          <w:tcPr>
            <w:tcW w:w="4513" w:type="dxa"/>
            <w:hideMark/>
          </w:tcPr>
          <w:p w14:paraId="1CC0126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Openness to social engineering or other phishing</w:t>
            </w:r>
          </w:p>
        </w:tc>
        <w:tc>
          <w:tcPr>
            <w:tcW w:w="4511" w:type="dxa"/>
            <w:hideMark/>
          </w:tcPr>
          <w:p w14:paraId="0F8F098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Grow, Epstien, and Tschang (2008)</w:t>
            </w:r>
          </w:p>
        </w:tc>
      </w:tr>
      <w:tr w:rsidR="00A0618E" w:rsidRPr="00400193" w14:paraId="43124C9B" w14:textId="77777777" w:rsidTr="00C3651A">
        <w:tc>
          <w:tcPr>
            <w:tcW w:w="4513" w:type="dxa"/>
            <w:hideMark/>
          </w:tcPr>
          <w:p w14:paraId="46519E8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Private/public cloud connections</w:t>
            </w:r>
          </w:p>
        </w:tc>
        <w:tc>
          <w:tcPr>
            <w:tcW w:w="4511" w:type="dxa"/>
            <w:hideMark/>
          </w:tcPr>
          <w:p w14:paraId="443BBEC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Sharma and Bohra (2015); Subashini and Kavitha (2011); Velte, Velte, and Elsenpeter (2010)</w:t>
            </w:r>
          </w:p>
        </w:tc>
      </w:tr>
      <w:tr w:rsidR="00A0618E" w:rsidRPr="00400193" w14:paraId="35CEC384" w14:textId="77777777" w:rsidTr="00C3651A">
        <w:tc>
          <w:tcPr>
            <w:tcW w:w="4513" w:type="dxa"/>
            <w:hideMark/>
          </w:tcPr>
          <w:p w14:paraId="3011A34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Misuse or non-application of CRAAC </w:t>
            </w:r>
            <w:r w:rsidRPr="00400193">
              <w:rPr>
                <w:rFonts w:asciiTheme="minorHAnsi" w:hAnsiTheme="minorHAnsi" w:cstheme="minorHAnsi"/>
                <w:sz w:val="22"/>
                <w:vertAlign w:val="superscript"/>
                <w:lang w:eastAsia="zh-CN" w:bidi="hi-IN"/>
              </w:rPr>
              <w:t>b</w:t>
            </w:r>
          </w:p>
        </w:tc>
        <w:tc>
          <w:tcPr>
            <w:tcW w:w="4511" w:type="dxa"/>
            <w:hideMark/>
          </w:tcPr>
          <w:p w14:paraId="2FB109B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Ahmed and Zhang (2010)</w:t>
            </w:r>
          </w:p>
        </w:tc>
      </w:tr>
      <w:tr w:rsidR="00A0618E" w:rsidRPr="00400193" w14:paraId="1636FC48" w14:textId="77777777" w:rsidTr="00C3651A">
        <w:tc>
          <w:tcPr>
            <w:tcW w:w="4513" w:type="dxa"/>
            <w:hideMark/>
          </w:tcPr>
          <w:p w14:paraId="582F797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Continued use of personal web-based email sites (Gmail, Yahoo etc.)</w:t>
            </w:r>
          </w:p>
        </w:tc>
        <w:tc>
          <w:tcPr>
            <w:tcW w:w="4511" w:type="dxa"/>
            <w:hideMark/>
          </w:tcPr>
          <w:p w14:paraId="3053B44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Schneier (2017); Silic and Back (2016)</w:t>
            </w:r>
          </w:p>
        </w:tc>
      </w:tr>
      <w:tr w:rsidR="00A0618E" w:rsidRPr="00400193" w14:paraId="0E963719" w14:textId="77777777" w:rsidTr="00C3651A">
        <w:tc>
          <w:tcPr>
            <w:tcW w:w="4513" w:type="dxa"/>
            <w:tcBorders>
              <w:top w:val="nil"/>
              <w:left w:val="nil"/>
              <w:bottom w:val="single" w:sz="6" w:space="0" w:color="000000"/>
              <w:right w:val="nil"/>
            </w:tcBorders>
            <w:hideMark/>
          </w:tcPr>
          <w:p w14:paraId="5679016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Discrimination and privacy issues</w:t>
            </w:r>
          </w:p>
        </w:tc>
        <w:tc>
          <w:tcPr>
            <w:tcW w:w="4511" w:type="dxa"/>
            <w:tcBorders>
              <w:top w:val="nil"/>
              <w:left w:val="nil"/>
              <w:bottom w:val="single" w:sz="6" w:space="0" w:color="000000"/>
              <w:right w:val="nil"/>
            </w:tcBorders>
            <w:hideMark/>
          </w:tcPr>
          <w:p w14:paraId="7B372BBF"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Hajian et al. (2015)</w:t>
            </w:r>
          </w:p>
        </w:tc>
      </w:tr>
    </w:tbl>
    <w:p w14:paraId="33CC8589" w14:textId="177F6544" w:rsidR="00C3651A" w:rsidRPr="00400193" w:rsidRDefault="00C3651A" w:rsidP="00C3651A">
      <w:pPr>
        <w:pStyle w:val="Caption"/>
      </w:pPr>
      <w:bookmarkStart w:id="224" w:name="_279ka65"/>
      <w:bookmarkStart w:id="225" w:name="_meukdy"/>
      <w:bookmarkStart w:id="226" w:name="_36ei31r"/>
      <w:bookmarkStart w:id="227" w:name="_Ref42542211"/>
      <w:bookmarkStart w:id="228" w:name="_Toc52901539"/>
      <w:bookmarkEnd w:id="224"/>
      <w:bookmarkEnd w:id="225"/>
      <w:bookmarkEnd w:id="22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w:t>
      </w:r>
      <w:r w:rsidRPr="00400193">
        <w:fldChar w:fldCharType="end"/>
      </w:r>
      <w:bookmarkEnd w:id="227"/>
      <w:r w:rsidRPr="00400193">
        <w:t>: Some of the vulnerabilities caused by being connected to a network.</w:t>
      </w:r>
      <w:bookmarkEnd w:id="228"/>
      <w:r w:rsidRPr="00400193">
        <w:t xml:space="preserve"> </w:t>
      </w:r>
    </w:p>
    <w:p w14:paraId="4EEE822A" w14:textId="3A136AF0" w:rsidR="00C3651A" w:rsidRPr="00400193" w:rsidRDefault="00C3651A" w:rsidP="0044794E">
      <w:pPr>
        <w:pStyle w:val="Caption"/>
        <w:spacing w:after="240"/>
        <w:rPr>
          <w:b w:val="0"/>
          <w:bCs/>
          <w:sz w:val="20"/>
          <w:szCs w:val="20"/>
          <w:lang w:eastAsia="zh-CN" w:bidi="hi-IN"/>
        </w:rPr>
      </w:pPr>
      <w:r w:rsidRPr="00400193">
        <w:rPr>
          <w:b w:val="0"/>
          <w:bCs/>
          <w:sz w:val="20"/>
          <w:szCs w:val="14"/>
        </w:rPr>
        <w:t xml:space="preserve">Note: </w:t>
      </w:r>
      <w:r w:rsidRPr="00400193">
        <w:rPr>
          <w:b w:val="0"/>
          <w:bCs/>
          <w:sz w:val="20"/>
          <w:szCs w:val="14"/>
          <w:vertAlign w:val="superscript"/>
        </w:rPr>
        <w:t>a.</w:t>
      </w:r>
      <w:r w:rsidRPr="00400193">
        <w:rPr>
          <w:b w:val="0"/>
          <w:bCs/>
          <w:sz w:val="20"/>
          <w:szCs w:val="14"/>
        </w:rPr>
        <w:t xml:space="preserve"> Internet of Things. </w:t>
      </w:r>
      <w:r w:rsidRPr="00400193">
        <w:rPr>
          <w:b w:val="0"/>
          <w:bCs/>
          <w:sz w:val="20"/>
          <w:szCs w:val="14"/>
          <w:vertAlign w:val="superscript"/>
        </w:rPr>
        <w:t>b</w:t>
      </w:r>
      <w:r w:rsidRPr="00400193">
        <w:rPr>
          <w:b w:val="0"/>
          <w:bCs/>
          <w:sz w:val="20"/>
          <w:szCs w:val="14"/>
        </w:rPr>
        <w:t xml:space="preserve"> see </w:t>
      </w:r>
      <w:r w:rsidRPr="00400193">
        <w:rPr>
          <w:b w:val="0"/>
          <w:bCs/>
          <w:sz w:val="20"/>
          <w:szCs w:val="14"/>
        </w:rPr>
        <w:fldChar w:fldCharType="begin"/>
      </w:r>
      <w:r w:rsidRPr="00400193">
        <w:rPr>
          <w:b w:val="0"/>
          <w:bCs/>
          <w:sz w:val="20"/>
          <w:szCs w:val="14"/>
        </w:rPr>
        <w:instrText xml:space="preserve"> REF _Ref42434756 \h  \* MERGEFORMAT </w:instrText>
      </w:r>
      <w:r w:rsidRPr="00400193">
        <w:rPr>
          <w:b w:val="0"/>
          <w:bCs/>
          <w:sz w:val="20"/>
          <w:szCs w:val="14"/>
        </w:rPr>
      </w:r>
      <w:r w:rsidRPr="00400193">
        <w:rPr>
          <w:b w:val="0"/>
          <w:bCs/>
          <w:sz w:val="20"/>
          <w:szCs w:val="14"/>
        </w:rPr>
        <w:fldChar w:fldCharType="separate"/>
      </w:r>
      <w:r w:rsidR="00BB7C18" w:rsidRPr="00BB7C18">
        <w:rPr>
          <w:b w:val="0"/>
          <w:bCs/>
          <w:sz w:val="20"/>
          <w:szCs w:val="14"/>
        </w:rPr>
        <w:t xml:space="preserve">Table </w:t>
      </w:r>
      <w:r w:rsidR="00BB7C18" w:rsidRPr="00BB7C18">
        <w:rPr>
          <w:b w:val="0"/>
          <w:bCs/>
          <w:sz w:val="20"/>
          <w:szCs w:val="14"/>
          <w:cs/>
        </w:rPr>
        <w:t>‎</w:t>
      </w:r>
      <w:r w:rsidR="00BB7C18">
        <w:rPr>
          <w:noProof/>
        </w:rPr>
        <w:t>3</w:t>
      </w:r>
      <w:r w:rsidR="00BB7C18" w:rsidRPr="00400193">
        <w:noBreakHyphen/>
      </w:r>
      <w:r w:rsidR="00BB7C18">
        <w:rPr>
          <w:noProof/>
        </w:rPr>
        <w:t>9</w:t>
      </w:r>
      <w:r w:rsidRPr="00400193">
        <w:rPr>
          <w:b w:val="0"/>
          <w:bCs/>
          <w:sz w:val="20"/>
          <w:szCs w:val="14"/>
        </w:rPr>
        <w:fldChar w:fldCharType="end"/>
      </w:r>
    </w:p>
    <w:p w14:paraId="2F045848" w14:textId="1DC215CD" w:rsidR="00C3651A" w:rsidRPr="00400193" w:rsidRDefault="00C3651A" w:rsidP="00C3651A">
      <w:pPr>
        <w:rPr>
          <w:lang w:eastAsia="zh-CN" w:bidi="hi-IN"/>
        </w:rPr>
      </w:pPr>
      <w:r w:rsidRPr="00400193">
        <w:rPr>
          <w:lang w:eastAsia="zh-CN" w:bidi="hi-IN"/>
        </w:rPr>
        <w:t xml:space="preserve">It follows that all applications, programmes and processes on a connected computer may have unknown weaknesses and vulnerabilities. This is why security data sharing (Skopik, Settanni </w:t>
      </w:r>
      <w:r w:rsidR="00E93EE0" w:rsidRPr="00400193">
        <w:rPr>
          <w:lang w:eastAsia="zh-CN" w:bidi="hi-IN"/>
        </w:rPr>
        <w:t>and</w:t>
      </w:r>
      <w:r w:rsidRPr="00400193">
        <w:rPr>
          <w:lang w:eastAsia="zh-CN" w:bidi="hi-IN"/>
        </w:rPr>
        <w:t xml:space="preserve"> Fiedler, 2016) is more important than ever. It is harder to secure more complex code and processes (Schneier, 2000; 2012; 2015; 2017), which makes it more likely that an attacker will find the weak spot. </w:t>
      </w:r>
    </w:p>
    <w:p w14:paraId="54BB7F86" w14:textId="77777777" w:rsidR="00C3651A" w:rsidRPr="00400193" w:rsidRDefault="00C3651A" w:rsidP="00153BB4">
      <w:pPr>
        <w:pStyle w:val="Heading5"/>
        <w:rPr>
          <w:rFonts w:eastAsia="Arial"/>
          <w:lang w:eastAsia="zh-CN" w:bidi="hi-IN"/>
        </w:rPr>
      </w:pPr>
      <w:bookmarkStart w:id="229" w:name="_1ljsd9k"/>
      <w:bookmarkStart w:id="230" w:name="_Toc61894701"/>
      <w:bookmarkEnd w:id="229"/>
      <w:r w:rsidRPr="00400193">
        <w:rPr>
          <w:rFonts w:eastAsia="Arial"/>
          <w:lang w:eastAsia="zh-CN" w:bidi="hi-IN"/>
        </w:rPr>
        <w:t>Technology as a Vulnerability or Weakness</w:t>
      </w:r>
      <w:bookmarkEnd w:id="230"/>
    </w:p>
    <w:p w14:paraId="38180874" w14:textId="3D15DF73" w:rsidR="00C3651A" w:rsidRPr="00400193" w:rsidRDefault="00C3651A" w:rsidP="00C3651A">
      <w:pPr>
        <w:rPr>
          <w:lang w:eastAsia="zh-CN" w:bidi="hi-IN"/>
        </w:rPr>
      </w:pPr>
      <w:r w:rsidRPr="00400193">
        <w:rPr>
          <w:lang w:eastAsia="zh-CN" w:bidi="hi-IN"/>
        </w:rPr>
        <w:t xml:space="preserve">Technology is currently the worst area for both weaknesses and vulnerabilities because new technology allows unsuitable, or potentially unsuitable, devices to connect to otherwise secure systems. Even as weaknesses and vulnerabilities are discovered and corrected in the IoT, new devices with new vulnerabilities are connected (Bode, 2015; Corfield, 2017; Greenberg, 2015; 2016; Hypponen </w:t>
      </w:r>
      <w:r w:rsidR="00E93EE0" w:rsidRPr="00400193">
        <w:rPr>
          <w:lang w:eastAsia="zh-CN" w:bidi="hi-IN"/>
        </w:rPr>
        <w:t>and</w:t>
      </w:r>
      <w:r w:rsidRPr="00400193">
        <w:rPr>
          <w:lang w:eastAsia="zh-CN" w:bidi="hi-IN"/>
        </w:rPr>
        <w:t xml:space="preserve"> </w:t>
      </w:r>
      <w:r w:rsidRPr="00400193">
        <w:rPr>
          <w:lang w:eastAsia="zh-CN" w:bidi="hi-IN"/>
        </w:rPr>
        <w:lastRenderedPageBreak/>
        <w:t>Nyman, 2017; Schneier, 2017). Reliance on technology has become essential, but it is necessary to understand that connecting new devices will have previously unseen effects, because the new devices work in ways that legacy systems cannot expect or foresee.</w:t>
      </w:r>
    </w:p>
    <w:p w14:paraId="0D091CA4" w14:textId="77777777" w:rsidR="00C3651A" w:rsidRPr="00400193" w:rsidRDefault="00C3651A" w:rsidP="00153BB4">
      <w:pPr>
        <w:pStyle w:val="Heading4"/>
        <w:rPr>
          <w:rFonts w:eastAsia="Arial"/>
          <w:lang w:eastAsia="zh-CN" w:bidi="hi-IN"/>
        </w:rPr>
      </w:pPr>
      <w:bookmarkStart w:id="231" w:name="_45jfvxd"/>
      <w:bookmarkStart w:id="232" w:name="_Toc61894702"/>
      <w:bookmarkEnd w:id="231"/>
      <w:r w:rsidRPr="00400193">
        <w:rPr>
          <w:rFonts w:eastAsia="Arial"/>
          <w:lang w:eastAsia="zh-CN" w:bidi="hi-IN"/>
        </w:rPr>
        <w:t>Values at Risk</w:t>
      </w:r>
      <w:bookmarkEnd w:id="232"/>
    </w:p>
    <w:p w14:paraId="319C7288" w14:textId="77777777" w:rsidR="00C3651A" w:rsidRPr="00400193" w:rsidRDefault="00C3651A" w:rsidP="00C3651A">
      <w:pPr>
        <w:rPr>
          <w:lang w:eastAsia="zh-CN" w:bidi="hi-IN"/>
        </w:rPr>
      </w:pPr>
      <w:r w:rsidRPr="00400193">
        <w:rPr>
          <w:lang w:eastAsia="zh-CN" w:bidi="hi-IN"/>
        </w:rPr>
        <w:t>The term ‘values at risk’ in the framework has no connection or correlation with ‘Value at Risk accounting’. This is a statistical method for comparing the risk of investments. This section, however, will deal with the individual assets and values (such as the reputation, or ‘good name’ of the company) which may be placed at risk if cyber-security is breached, or cyber-resilience fails.</w:t>
      </w:r>
    </w:p>
    <w:p w14:paraId="59E292A9" w14:textId="77777777" w:rsidR="00C3651A" w:rsidRPr="00400193" w:rsidRDefault="00C3651A" w:rsidP="00153BB4">
      <w:pPr>
        <w:pStyle w:val="Heading5"/>
        <w:rPr>
          <w:rFonts w:eastAsia="Arial"/>
          <w:lang w:eastAsia="zh-CN" w:bidi="hi-IN"/>
        </w:rPr>
      </w:pPr>
      <w:bookmarkStart w:id="233" w:name="_2koq656"/>
      <w:bookmarkStart w:id="234" w:name="_Toc61894703"/>
      <w:bookmarkEnd w:id="233"/>
      <w:r w:rsidRPr="00400193">
        <w:rPr>
          <w:rFonts w:eastAsia="Arial"/>
          <w:lang w:eastAsia="zh-CN" w:bidi="hi-IN"/>
        </w:rPr>
        <w:t>Assets</w:t>
      </w:r>
      <w:bookmarkEnd w:id="234"/>
    </w:p>
    <w:p w14:paraId="642153A1" w14:textId="16E1A1F2" w:rsidR="00C3651A" w:rsidRPr="00400193" w:rsidRDefault="00C3651A" w:rsidP="00C3651A">
      <w:pPr>
        <w:rPr>
          <w:lang w:eastAsia="zh-CN" w:bidi="hi-IN"/>
        </w:rPr>
      </w:pPr>
      <w:r w:rsidRPr="00400193">
        <w:rPr>
          <w:lang w:eastAsia="zh-CN" w:bidi="hi-IN"/>
        </w:rPr>
        <w:t xml:space="preserve">Not all company assets are tangible items that could be stolen or used for personal gain. ‘Goodwill’ is a good example of an intangible asset. However, all company assets need to be protected as far as possible. Assets that could be affected by exposure to cyber-crime must be protected especially well. Each of the threats discussed earlier can also lead to the devaluation of company assets, or to them being appropriated for the personal benefit of the attacker. However, cyber-attacks may also be used to destroy or compromise the non-financial assets of the company. These are just as important as the financial assets, because the company cannot operate with no workers or succeed with a poor reputation. This means that if a cyber-attack cannot be prevented, detected before damage has occurred, or mitigated after damage has occurred, the result could be disastrous. In many cases (Dunn Cavelty, 2014; Schneier, 2000; Warner </w:t>
      </w:r>
      <w:r w:rsidR="00E93EE0" w:rsidRPr="00400193">
        <w:rPr>
          <w:lang w:eastAsia="zh-CN" w:bidi="hi-IN"/>
        </w:rPr>
        <w:t>and</w:t>
      </w:r>
      <w:r w:rsidRPr="00400193">
        <w:rPr>
          <w:lang w:eastAsia="zh-CN" w:bidi="hi-IN"/>
        </w:rPr>
        <w:t xml:space="preserve"> Sloan, 2016), prevention is not possible, so it follows that detection and action (mitigation) are essential. The assets most at risk are listed in </w:t>
      </w:r>
      <w:r w:rsidRPr="00400193">
        <w:rPr>
          <w:lang w:eastAsia="zh-CN" w:bidi="hi-IN"/>
        </w:rPr>
        <w:fldChar w:fldCharType="begin"/>
      </w:r>
      <w:r w:rsidRPr="00400193">
        <w:rPr>
          <w:lang w:eastAsia="zh-CN" w:bidi="hi-IN"/>
        </w:rPr>
        <w:instrText xml:space="preserve"> REF _Ref42542365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11</w:t>
      </w:r>
      <w:r w:rsidRPr="00400193">
        <w:rPr>
          <w:lang w:eastAsia="zh-CN" w:bidi="hi-IN"/>
        </w:rPr>
        <w:fldChar w:fldCharType="end"/>
      </w:r>
      <w:r w:rsidRPr="00400193">
        <w:rPr>
          <w:lang w:eastAsia="zh-CN" w:bidi="hi-IN"/>
        </w:rPr>
        <w:t>.</w:t>
      </w:r>
    </w:p>
    <w:p w14:paraId="6D923974" w14:textId="65B8E9A6" w:rsidR="00C3651A" w:rsidRPr="00400193" w:rsidRDefault="00C3651A" w:rsidP="00C3651A">
      <w:pPr>
        <w:rPr>
          <w:szCs w:val="24"/>
          <w:lang w:eastAsia="zh-CN" w:bidi="hi-IN"/>
        </w:rPr>
      </w:pPr>
      <w:r w:rsidRPr="00400193">
        <w:rPr>
          <w:lang w:eastAsia="zh-CN" w:bidi="hi-IN"/>
        </w:rPr>
        <w:t>Although ‘zero-day attacks’ (van Schaik</w:t>
      </w:r>
      <w:r w:rsidRPr="00400193">
        <w:rPr>
          <w:i/>
          <w:iCs/>
          <w:lang w:eastAsia="zh-CN" w:bidi="hi-IN"/>
        </w:rPr>
        <w:t xml:space="preserve"> </w:t>
      </w:r>
      <w:r w:rsidRPr="00400193">
        <w:rPr>
          <w:lang w:eastAsia="zh-CN" w:bidi="hi-IN"/>
        </w:rPr>
        <w:t xml:space="preserve">et al., 2017) are not, in themselves, asset attacks, they are included in this table because they are potentially disruptive to all assets of the company, both real and virtual. Ruan (2017) suggested the importance of setting up two international classification bodies, one to identify digital assets (International Digital Asset Classification, IDAC) and the other to classify different types of cyber-attack (International Classification of Cyber Incidents, ICCI). Both these would be helpful in identifying what assets are at risk, and for the metrics and statistics </w:t>
      </w:r>
      <w:r w:rsidRPr="00400193">
        <w:rPr>
          <w:lang w:eastAsia="zh-CN" w:bidi="hi-IN"/>
        </w:rPr>
        <w:lastRenderedPageBreak/>
        <w:t xml:space="preserve">on cyber-attacks, which may be used to reduce risks. Digital assets are currently often assumed to be hardware and software, but also include data and other abstract concepts (Ruan, 2017). Without a proper taxonomy, it is virtually impossible to estimate their value, but </w:t>
      </w:r>
      <w:r w:rsidRPr="00400193">
        <w:rPr>
          <w:i/>
          <w:iCs/>
          <w:szCs w:val="24"/>
          <w:lang w:eastAsia="zh-CN" w:bidi="hi-IN"/>
        </w:rPr>
        <w:t>“[d]igital assets include Intellectual Property (IP), Personally Identifiable Information (PII), Mergers and Acquisitions (M</w:t>
      </w:r>
      <w:r w:rsidR="00CD01A0" w:rsidRPr="00400193">
        <w:rPr>
          <w:i/>
          <w:iCs/>
          <w:szCs w:val="24"/>
          <w:lang w:eastAsia="zh-CN" w:bidi="hi-IN"/>
        </w:rPr>
        <w:t>&amp;</w:t>
      </w:r>
      <w:r w:rsidRPr="00400193">
        <w:rPr>
          <w:i/>
          <w:iCs/>
          <w:szCs w:val="24"/>
          <w:lang w:eastAsia="zh-CN" w:bidi="hi-IN"/>
        </w:rPr>
        <w:t>A) data, customer records, access credentials, encryption keys, business critical IT services, [and] cloud services”</w:t>
      </w:r>
      <w:r w:rsidRPr="00400193">
        <w:rPr>
          <w:szCs w:val="24"/>
          <w:lang w:eastAsia="zh-CN" w:bidi="hi-IN"/>
        </w:rPr>
        <w:t xml:space="preserve"> (Ruan, 2017, p. 81).</w:t>
      </w:r>
    </w:p>
    <w:p w14:paraId="1DB2FB8C" w14:textId="320E3EDC" w:rsidR="00C3651A" w:rsidRPr="00400193" w:rsidRDefault="00C3651A" w:rsidP="00C3651A">
      <w:pPr>
        <w:rPr>
          <w:lang w:eastAsia="zh-CN" w:bidi="hi-IN"/>
        </w:rPr>
      </w:pPr>
      <w:r w:rsidRPr="00400193">
        <w:rPr>
          <w:lang w:eastAsia="zh-CN" w:bidi="hi-IN"/>
        </w:rPr>
        <w:t xml:space="preserve">All these assets are difficult to quantify in terms of value, and their loss could have serious consequences beyond the financial impact. All digital assets have potentially three different forms of value: Intrinsic, market, and subjective value. Ruan (2017) suggested that this is why the IDAC is essential. The other items in </w:t>
      </w:r>
      <w:r w:rsidR="0040256A" w:rsidRPr="00400193">
        <w:rPr>
          <w:lang w:eastAsia="zh-CN" w:bidi="hi-IN"/>
        </w:rPr>
        <w:fldChar w:fldCharType="begin"/>
      </w:r>
      <w:r w:rsidR="0040256A" w:rsidRPr="00400193">
        <w:rPr>
          <w:lang w:eastAsia="zh-CN" w:bidi="hi-IN"/>
        </w:rPr>
        <w:instrText xml:space="preserve"> REF _Ref42542365 \h </w:instrText>
      </w:r>
      <w:r w:rsidR="0040256A" w:rsidRPr="00400193">
        <w:rPr>
          <w:lang w:eastAsia="zh-CN" w:bidi="hi-IN"/>
        </w:rPr>
      </w:r>
      <w:r w:rsidR="0040256A"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11</w:t>
      </w:r>
      <w:r w:rsidR="0040256A" w:rsidRPr="00400193">
        <w:rPr>
          <w:lang w:eastAsia="zh-CN" w:bidi="hi-IN"/>
        </w:rPr>
        <w:fldChar w:fldCharType="end"/>
      </w:r>
      <w:r w:rsidRPr="00400193">
        <w:rPr>
          <w:lang w:eastAsia="zh-CN" w:bidi="hi-IN"/>
        </w:rPr>
        <w:t xml:space="preserve"> reflect some of Ruan’s (2017) areas of concern that may have been overlooked by those assessing risk. This widened range of digital assets will indicate the importance of</w:t>
      </w:r>
      <w:r w:rsidR="00CD01A0" w:rsidRPr="00400193">
        <w:rPr>
          <w:lang w:eastAsia="zh-CN" w:bidi="hi-IN"/>
        </w:rPr>
        <w:t xml:space="preserve"> </w:t>
      </w:r>
      <w:r w:rsidRPr="00400193">
        <w:rPr>
          <w:lang w:eastAsia="zh-CN" w:bidi="hi-IN"/>
        </w:rPr>
        <w:t xml:space="preserve">PRA and risk assessment, because it is very easy to overlook the value of items that have no price. Risk assessment can consider the simple fact that price and value are not necessarily related, and that priceless is actually the opposite of valueless. </w:t>
      </w:r>
    </w:p>
    <w:p w14:paraId="7668EC9E" w14:textId="658A9FDA" w:rsidR="00C3651A" w:rsidRPr="00400193" w:rsidRDefault="00C3651A" w:rsidP="00C3651A">
      <w:pPr>
        <w:rPr>
          <w:lang w:eastAsia="zh-CN" w:bidi="hi-IN"/>
        </w:rPr>
      </w:pPr>
      <w:r w:rsidRPr="00400193">
        <w:rPr>
          <w:lang w:eastAsia="zh-CN" w:bidi="hi-IN"/>
        </w:rPr>
        <w:t xml:space="preserve">Many of the items in </w:t>
      </w:r>
      <w:r w:rsidRPr="00400193">
        <w:rPr>
          <w:lang w:eastAsia="zh-CN" w:bidi="hi-IN"/>
        </w:rPr>
        <w:fldChar w:fldCharType="begin"/>
      </w:r>
      <w:r w:rsidRPr="00400193">
        <w:rPr>
          <w:lang w:eastAsia="zh-CN" w:bidi="hi-IN"/>
        </w:rPr>
        <w:instrText xml:space="preserve"> REF _Ref42542365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11</w:t>
      </w:r>
      <w:r w:rsidRPr="00400193">
        <w:rPr>
          <w:lang w:eastAsia="zh-CN" w:bidi="hi-IN"/>
        </w:rPr>
        <w:fldChar w:fldCharType="end"/>
      </w:r>
      <w:r w:rsidRPr="00400193">
        <w:rPr>
          <w:lang w:eastAsia="zh-CN" w:bidi="hi-IN"/>
        </w:rPr>
        <w:t xml:space="preserve"> may either have been overlooked as assets or require further definition in a specific situation. The table is intended to show the broad categories of ‘assets’ rather than list every item that has been defined as an asset in the literature. The breadth of the categories is also why an IDAC is important because it will make it possible to categorise and price digital assets. This is also a difficulty with ‘intangible assets’ because it is hard to put a real value on these assets. In either case, users may easily underestimate their value unless they have been informed and educated by the organisation. There are many assets that may be at risk, but the concentration or focus of this work will be on government communication computer networks.</w:t>
      </w:r>
    </w:p>
    <w:p w14:paraId="324A6388" w14:textId="77777777" w:rsidR="00C3651A" w:rsidRPr="00400193" w:rsidRDefault="00C3651A" w:rsidP="00153BB4">
      <w:pPr>
        <w:pStyle w:val="Heading5"/>
        <w:rPr>
          <w:rFonts w:eastAsia="Arial"/>
          <w:lang w:eastAsia="zh-CN" w:bidi="hi-IN"/>
        </w:rPr>
      </w:pPr>
      <w:bookmarkStart w:id="235" w:name="_zu0gcz"/>
      <w:bookmarkStart w:id="236" w:name="_Toc61894704"/>
      <w:bookmarkEnd w:id="235"/>
      <w:r w:rsidRPr="00400193">
        <w:rPr>
          <w:rFonts w:eastAsia="Arial"/>
          <w:lang w:eastAsia="zh-CN" w:bidi="hi-IN"/>
        </w:rPr>
        <w:t>Public Safety</w:t>
      </w:r>
      <w:bookmarkEnd w:id="236"/>
    </w:p>
    <w:p w14:paraId="6AD9353D" w14:textId="77777777" w:rsidR="00C3651A" w:rsidRPr="00400193" w:rsidRDefault="00C3651A" w:rsidP="00C3651A">
      <w:pPr>
        <w:rPr>
          <w:lang w:eastAsia="zh-CN" w:bidi="hi-IN"/>
        </w:rPr>
      </w:pPr>
      <w:r w:rsidRPr="00400193">
        <w:rPr>
          <w:lang w:eastAsia="zh-CN" w:bidi="hi-IN"/>
        </w:rPr>
        <w:t xml:space="preserve">Public safety is both vague and specific at the same time. The security of ‘public safety communications’ (Uncapher, 2016) is one example. Government agencies (police, fire service, ambulance and similar) are specifically advised how to protect data relating to the public, but databases of supposedly private information are also bought and </w:t>
      </w:r>
      <w:r w:rsidRPr="00400193">
        <w:rPr>
          <w:lang w:eastAsia="zh-CN" w:bidi="hi-IN"/>
        </w:rPr>
        <w:lastRenderedPageBreak/>
        <w:t>sold daily (Schneier, 2000) (although new European data protection laws have reduced this substantially).</w:t>
      </w:r>
    </w:p>
    <w:tbl>
      <w:tblPr>
        <w:tblW w:w="9024" w:type="dxa"/>
        <w:tblLook w:val="04A0" w:firstRow="1" w:lastRow="0" w:firstColumn="1" w:lastColumn="0" w:noHBand="0" w:noVBand="1"/>
      </w:tblPr>
      <w:tblGrid>
        <w:gridCol w:w="4513"/>
        <w:gridCol w:w="4511"/>
      </w:tblGrid>
      <w:tr w:rsidR="00A0618E" w:rsidRPr="00400193" w14:paraId="7D8BB6AE" w14:textId="77777777" w:rsidTr="00C3651A">
        <w:tc>
          <w:tcPr>
            <w:tcW w:w="4513" w:type="dxa"/>
            <w:tcBorders>
              <w:top w:val="single" w:sz="6" w:space="0" w:color="000000"/>
              <w:left w:val="nil"/>
              <w:bottom w:val="single" w:sz="6" w:space="0" w:color="000000"/>
              <w:right w:val="nil"/>
            </w:tcBorders>
            <w:hideMark/>
          </w:tcPr>
          <w:p w14:paraId="29DC6763"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 xml:space="preserve">Assets at Risk </w:t>
            </w:r>
          </w:p>
        </w:tc>
        <w:tc>
          <w:tcPr>
            <w:tcW w:w="4511" w:type="dxa"/>
            <w:tcBorders>
              <w:top w:val="single" w:sz="6" w:space="0" w:color="000000"/>
              <w:left w:val="nil"/>
              <w:bottom w:val="single" w:sz="6" w:space="0" w:color="000000"/>
              <w:right w:val="nil"/>
            </w:tcBorders>
            <w:hideMark/>
          </w:tcPr>
          <w:p w14:paraId="07770F1E"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Reference</w:t>
            </w:r>
          </w:p>
        </w:tc>
      </w:tr>
      <w:tr w:rsidR="00A0618E" w:rsidRPr="00400193" w14:paraId="2B19B543" w14:textId="77777777" w:rsidTr="00C3651A">
        <w:tc>
          <w:tcPr>
            <w:tcW w:w="4513" w:type="dxa"/>
            <w:hideMark/>
          </w:tcPr>
          <w:p w14:paraId="73EC27AB"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Financial assets. These may include company credit card details including CVV</w:t>
            </w:r>
            <w:r w:rsidRPr="00400193">
              <w:rPr>
                <w:rFonts w:asciiTheme="minorHAnsi" w:hAnsiTheme="minorHAnsi" w:cstheme="minorHAnsi"/>
                <w:sz w:val="22"/>
                <w:vertAlign w:val="superscript"/>
                <w:lang w:eastAsia="zh-CN" w:bidi="hi-IN"/>
              </w:rPr>
              <w:t>a,</w:t>
            </w:r>
            <w:r w:rsidRPr="00400193">
              <w:rPr>
                <w:rFonts w:asciiTheme="minorHAnsi" w:hAnsiTheme="minorHAnsi" w:cstheme="minorHAnsi"/>
                <w:sz w:val="22"/>
                <w:lang w:eastAsia="zh-CN" w:bidi="hi-IN"/>
              </w:rPr>
              <w:t xml:space="preserve"> intellectual property (IP), customer financial details, company bank accounts.</w:t>
            </w:r>
          </w:p>
        </w:tc>
        <w:tc>
          <w:tcPr>
            <w:tcW w:w="4511" w:type="dxa"/>
            <w:hideMark/>
          </w:tcPr>
          <w:p w14:paraId="45BAD211"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Ashrafi and Ng (2009); Oliver (2015); Philippsohn and Thomas (2003); Ruan (2017); Shakarian, Shakarian, and Ruef (2013); Tsigkritis and Spanoudakis (2013)</w:t>
            </w:r>
          </w:p>
        </w:tc>
      </w:tr>
      <w:tr w:rsidR="00A0618E" w:rsidRPr="00400193" w14:paraId="695AB9DF" w14:textId="77777777" w:rsidTr="00C3651A">
        <w:tc>
          <w:tcPr>
            <w:tcW w:w="4513" w:type="dxa"/>
            <w:hideMark/>
          </w:tcPr>
          <w:p w14:paraId="144B9213"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Physical assets. These may include computer hardware, company property, deeds for real estate, inventory, vehicles.</w:t>
            </w:r>
          </w:p>
        </w:tc>
        <w:tc>
          <w:tcPr>
            <w:tcW w:w="4511" w:type="dxa"/>
            <w:hideMark/>
          </w:tcPr>
          <w:p w14:paraId="322FA85D"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Rubio-Hernan, De Cicco, and Garcia-Alfaro (2017)</w:t>
            </w:r>
          </w:p>
        </w:tc>
      </w:tr>
      <w:tr w:rsidR="00A0618E" w:rsidRPr="00400193" w14:paraId="0A190374" w14:textId="77777777" w:rsidTr="00C3651A">
        <w:tc>
          <w:tcPr>
            <w:tcW w:w="4513" w:type="dxa"/>
            <w:hideMark/>
          </w:tcPr>
          <w:p w14:paraId="589981CB"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Intangible assets. These may include: </w:t>
            </w:r>
          </w:p>
        </w:tc>
        <w:tc>
          <w:tcPr>
            <w:tcW w:w="4511" w:type="dxa"/>
          </w:tcPr>
          <w:p w14:paraId="14152429"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p>
        </w:tc>
      </w:tr>
      <w:tr w:rsidR="00A0618E" w:rsidRPr="00400193" w14:paraId="3F718FFC" w14:textId="77777777" w:rsidTr="00C3651A">
        <w:tc>
          <w:tcPr>
            <w:tcW w:w="4513" w:type="dxa"/>
            <w:hideMark/>
          </w:tcPr>
          <w:p w14:paraId="7CA62259"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Customer confidence/goodwill, IP, programmes, and applications.</w:t>
            </w:r>
          </w:p>
        </w:tc>
        <w:tc>
          <w:tcPr>
            <w:tcW w:w="4511" w:type="dxa"/>
            <w:hideMark/>
          </w:tcPr>
          <w:p w14:paraId="0C80ACCB"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Fowler (2015); Kaplan</w:t>
            </w:r>
            <w:r w:rsidRPr="00400193">
              <w:rPr>
                <w:rFonts w:asciiTheme="minorHAnsi" w:hAnsiTheme="minorHAnsi" w:cstheme="minorHAnsi"/>
                <w:i/>
                <w:iCs/>
                <w:sz w:val="22"/>
                <w:lang w:eastAsia="zh-CN" w:bidi="hi-IN"/>
              </w:rPr>
              <w:t xml:space="preserve"> </w:t>
            </w:r>
            <w:r w:rsidRPr="00400193">
              <w:rPr>
                <w:rFonts w:asciiTheme="minorHAnsi" w:hAnsiTheme="minorHAnsi" w:cstheme="minorHAnsi"/>
                <w:sz w:val="22"/>
                <w:lang w:eastAsia="zh-CN" w:bidi="hi-IN"/>
              </w:rPr>
              <w:t>et al. (2015); Ross (2000); Shields (2015); Turkyilmaz et al. (2011)</w:t>
            </w:r>
          </w:p>
        </w:tc>
      </w:tr>
      <w:tr w:rsidR="00A0618E" w:rsidRPr="00400193" w14:paraId="01EDCD4E" w14:textId="77777777" w:rsidTr="00C3651A">
        <w:tc>
          <w:tcPr>
            <w:tcW w:w="4513" w:type="dxa"/>
            <w:hideMark/>
          </w:tcPr>
          <w:p w14:paraId="02AD7EC8"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Digital assets. These should be defined by an International Digital Asset Classification (IDAC).</w:t>
            </w:r>
          </w:p>
        </w:tc>
        <w:tc>
          <w:tcPr>
            <w:tcW w:w="4511" w:type="dxa"/>
            <w:hideMark/>
          </w:tcPr>
          <w:p w14:paraId="54E57607"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Ruan (2017)</w:t>
            </w:r>
          </w:p>
        </w:tc>
      </w:tr>
      <w:tr w:rsidR="00A0618E" w:rsidRPr="00400193" w14:paraId="5CEEFD14" w14:textId="77777777" w:rsidTr="00C3651A">
        <w:tc>
          <w:tcPr>
            <w:tcW w:w="4513" w:type="dxa"/>
            <w:hideMark/>
          </w:tcPr>
          <w:p w14:paraId="1AE9DCE4"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Knowledge as an asset. </w:t>
            </w:r>
          </w:p>
        </w:tc>
        <w:tc>
          <w:tcPr>
            <w:tcW w:w="4511" w:type="dxa"/>
          </w:tcPr>
          <w:p w14:paraId="18CBC91C"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p>
        </w:tc>
      </w:tr>
      <w:tr w:rsidR="00A0618E" w:rsidRPr="00400193" w14:paraId="285092BA" w14:textId="77777777" w:rsidTr="00C3651A">
        <w:tc>
          <w:tcPr>
            <w:tcW w:w="4513" w:type="dxa"/>
            <w:hideMark/>
          </w:tcPr>
          <w:p w14:paraId="576FD429"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The knowledge held by engineers is an asset, and it is at risk through several cyber-attack routes.</w:t>
            </w:r>
          </w:p>
        </w:tc>
        <w:tc>
          <w:tcPr>
            <w:tcW w:w="4511" w:type="dxa"/>
            <w:hideMark/>
          </w:tcPr>
          <w:p w14:paraId="782B184F"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Ross (2000); Turkyilmaz</w:t>
            </w:r>
            <w:r w:rsidRPr="00400193">
              <w:rPr>
                <w:rFonts w:asciiTheme="minorHAnsi" w:hAnsiTheme="minorHAnsi" w:cstheme="minorHAnsi"/>
                <w:i/>
                <w:iCs/>
                <w:sz w:val="22"/>
                <w:lang w:eastAsia="zh-CN" w:bidi="hi-IN"/>
              </w:rPr>
              <w:t xml:space="preserve"> </w:t>
            </w:r>
            <w:r w:rsidRPr="00400193">
              <w:rPr>
                <w:rFonts w:asciiTheme="minorHAnsi" w:hAnsiTheme="minorHAnsi" w:cstheme="minorHAnsi"/>
                <w:sz w:val="22"/>
                <w:lang w:eastAsia="zh-CN" w:bidi="hi-IN"/>
              </w:rPr>
              <w:t>et al. (2011)</w:t>
            </w:r>
          </w:p>
        </w:tc>
      </w:tr>
      <w:tr w:rsidR="00A0618E" w:rsidRPr="00400193" w14:paraId="308A4C3C" w14:textId="77777777" w:rsidTr="00C3651A">
        <w:tc>
          <w:tcPr>
            <w:tcW w:w="4513" w:type="dxa"/>
            <w:hideMark/>
          </w:tcPr>
          <w:p w14:paraId="36199F25"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Other items that affect the valuation of the company, including:</w:t>
            </w:r>
          </w:p>
        </w:tc>
        <w:tc>
          <w:tcPr>
            <w:tcW w:w="4511" w:type="dxa"/>
          </w:tcPr>
          <w:p w14:paraId="0FFB236A"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p>
        </w:tc>
      </w:tr>
      <w:tr w:rsidR="00A0618E" w:rsidRPr="00400193" w14:paraId="77BE7A7E" w14:textId="77777777" w:rsidTr="00C3651A">
        <w:tc>
          <w:tcPr>
            <w:tcW w:w="4513" w:type="dxa"/>
            <w:tcBorders>
              <w:top w:val="nil"/>
              <w:left w:val="nil"/>
              <w:bottom w:val="single" w:sz="6" w:space="0" w:color="000000"/>
              <w:right w:val="nil"/>
            </w:tcBorders>
            <w:hideMark/>
          </w:tcPr>
          <w:p w14:paraId="449B7283"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Productivity/sales, staff confidence/morale leading to high staff turn-over, data integrity, 3D printing data, bitcoins, cyber-physical systems (e.g. drones), critical business applications, communications equipment.</w:t>
            </w:r>
          </w:p>
        </w:tc>
        <w:tc>
          <w:tcPr>
            <w:tcW w:w="4511" w:type="dxa"/>
            <w:tcBorders>
              <w:top w:val="nil"/>
              <w:left w:val="nil"/>
              <w:bottom w:val="single" w:sz="6" w:space="0" w:color="000000"/>
              <w:right w:val="nil"/>
            </w:tcBorders>
            <w:hideMark/>
          </w:tcPr>
          <w:p w14:paraId="1A84E7D4" w14:textId="77777777" w:rsidR="00C3651A" w:rsidRPr="00400193" w:rsidRDefault="00C3651A" w:rsidP="00C3651A">
            <w:pPr>
              <w:keepNext/>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Awan, Burnap, and Rana (2015); Fowler (2015); Hinde (2003); Kaplan et al. (2015); Ruan (2017); van Schaik</w:t>
            </w:r>
            <w:r w:rsidRPr="00400193">
              <w:rPr>
                <w:rFonts w:asciiTheme="minorHAnsi" w:hAnsiTheme="minorHAnsi" w:cstheme="minorHAnsi"/>
                <w:i/>
                <w:iCs/>
                <w:sz w:val="22"/>
                <w:lang w:eastAsia="zh-CN" w:bidi="hi-IN"/>
              </w:rPr>
              <w:t xml:space="preserve"> </w:t>
            </w:r>
            <w:r w:rsidRPr="00400193">
              <w:rPr>
                <w:rFonts w:asciiTheme="minorHAnsi" w:hAnsiTheme="minorHAnsi" w:cstheme="minorHAnsi"/>
                <w:sz w:val="22"/>
                <w:lang w:eastAsia="zh-CN" w:bidi="hi-IN"/>
              </w:rPr>
              <w:t>et al</w:t>
            </w:r>
            <w:r w:rsidRPr="00400193">
              <w:rPr>
                <w:rFonts w:asciiTheme="minorHAnsi" w:hAnsiTheme="minorHAnsi" w:cstheme="minorHAnsi"/>
                <w:i/>
                <w:iCs/>
                <w:sz w:val="22"/>
                <w:lang w:eastAsia="zh-CN" w:bidi="hi-IN"/>
              </w:rPr>
              <w:t>.</w:t>
            </w:r>
            <w:r w:rsidRPr="00400193">
              <w:rPr>
                <w:rFonts w:asciiTheme="minorHAnsi" w:hAnsiTheme="minorHAnsi" w:cstheme="minorHAnsi"/>
                <w:sz w:val="22"/>
                <w:lang w:eastAsia="zh-CN" w:bidi="hi-IN"/>
              </w:rPr>
              <w:t xml:space="preserve"> (2017)</w:t>
            </w:r>
          </w:p>
        </w:tc>
      </w:tr>
    </w:tbl>
    <w:p w14:paraId="616E22BE" w14:textId="509ED763" w:rsidR="00C3651A" w:rsidRPr="00400193" w:rsidRDefault="00C3651A" w:rsidP="00C3651A">
      <w:pPr>
        <w:pStyle w:val="Caption"/>
      </w:pPr>
      <w:bookmarkStart w:id="237" w:name="_3jtnz0s"/>
      <w:bookmarkStart w:id="238" w:name="_Ref42542365"/>
      <w:bookmarkStart w:id="239" w:name="_Toc52901540"/>
      <w:bookmarkEnd w:id="23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w:t>
      </w:r>
      <w:r w:rsidRPr="00400193">
        <w:fldChar w:fldCharType="end"/>
      </w:r>
      <w:bookmarkEnd w:id="238"/>
      <w:r w:rsidRPr="00400193">
        <w:t>: Some of the assets that may be put at risk by cyber-attack.</w:t>
      </w:r>
      <w:bookmarkEnd w:id="239"/>
    </w:p>
    <w:p w14:paraId="5937AD50" w14:textId="77777777" w:rsidR="00C3651A" w:rsidRPr="00400193" w:rsidRDefault="00C3651A" w:rsidP="00C3651A">
      <w:pPr>
        <w:pStyle w:val="Caption"/>
        <w:rPr>
          <w:b w:val="0"/>
          <w:bCs/>
          <w:sz w:val="20"/>
          <w:szCs w:val="14"/>
        </w:rPr>
      </w:pPr>
      <w:r w:rsidRPr="00400193">
        <w:rPr>
          <w:b w:val="0"/>
          <w:bCs/>
          <w:sz w:val="20"/>
          <w:szCs w:val="14"/>
        </w:rPr>
        <w:t xml:space="preserve">Note </w:t>
      </w:r>
      <w:r w:rsidRPr="00400193">
        <w:rPr>
          <w:b w:val="0"/>
          <w:bCs/>
          <w:sz w:val="20"/>
          <w:szCs w:val="14"/>
          <w:vertAlign w:val="superscript"/>
        </w:rPr>
        <w:t>a.</w:t>
      </w:r>
      <w:r w:rsidRPr="00400193">
        <w:rPr>
          <w:b w:val="0"/>
          <w:bCs/>
          <w:sz w:val="20"/>
          <w:szCs w:val="14"/>
        </w:rPr>
        <w:t xml:space="preserve"> the CVV is the security code of three digits on the back of the card.</w:t>
      </w:r>
    </w:p>
    <w:p w14:paraId="4800AB2E" w14:textId="77777777" w:rsidR="00C3651A" w:rsidRPr="00400193" w:rsidRDefault="00C3651A" w:rsidP="00C3651A">
      <w:pPr>
        <w:suppressAutoHyphens/>
        <w:spacing w:after="0" w:line="240" w:lineRule="auto"/>
        <w:rPr>
          <w:b/>
          <w:i/>
          <w:szCs w:val="24"/>
          <w:lang w:eastAsia="zh-CN" w:bidi="hi-IN"/>
        </w:rPr>
      </w:pPr>
    </w:p>
    <w:p w14:paraId="5CB3EABC" w14:textId="77777777" w:rsidR="00C3651A" w:rsidRPr="00400193" w:rsidRDefault="00C3651A" w:rsidP="00C3651A">
      <w:pPr>
        <w:rPr>
          <w:lang w:eastAsia="zh-CN" w:bidi="hi-IN"/>
        </w:rPr>
      </w:pPr>
      <w:r w:rsidRPr="00400193">
        <w:rPr>
          <w:lang w:eastAsia="zh-CN" w:bidi="hi-IN"/>
        </w:rPr>
        <w:t>European data protection laws mean that a company handling data about any European citizen is required to keep customers’ personal data safe and secure. This means that an event like the ‘Sony hack’ (Boorstin, 2015) would not be survivable by an SME operating in Europe. Sony only survived by being big enough to carry the cost, not through system-built resilience. The difficulty is that customers (the public) want a system that is easy to use, and that does not continually ask for passwords or verification (Schneier, 2000; 2012), but such a system cannot, by definition, be secure.</w:t>
      </w:r>
    </w:p>
    <w:p w14:paraId="7D412521" w14:textId="2F1AE99E" w:rsidR="00C3651A" w:rsidRPr="00400193" w:rsidRDefault="00C3651A" w:rsidP="00C3651A">
      <w:pPr>
        <w:rPr>
          <w:lang w:eastAsia="zh-CN" w:bidi="hi-IN"/>
        </w:rPr>
      </w:pPr>
      <w:r w:rsidRPr="00400193">
        <w:rPr>
          <w:lang w:eastAsia="zh-CN" w:bidi="hi-IN"/>
        </w:rPr>
        <w:t xml:space="preserve">The increase in smart cities, smart meters, smart transport and similar technology-based public facilities will inevitably lead to increased opportunities for cyber-attack </w:t>
      </w:r>
      <w:r w:rsidR="00E93EE0" w:rsidRPr="00400193">
        <w:rPr>
          <w:lang w:eastAsia="zh-CN" w:bidi="hi-IN"/>
        </w:rPr>
        <w:t>(Schatz, Bashroush, and Wall, 2017)</w:t>
      </w:r>
      <w:r w:rsidRPr="00400193">
        <w:rPr>
          <w:lang w:eastAsia="zh-CN" w:bidi="hi-IN"/>
        </w:rPr>
        <w:t xml:space="preserve">. The list in </w:t>
      </w:r>
      <w:r w:rsidRPr="00400193">
        <w:rPr>
          <w:lang w:eastAsia="zh-CN" w:bidi="hi-IN"/>
        </w:rPr>
        <w:fldChar w:fldCharType="begin"/>
      </w:r>
      <w:r w:rsidRPr="00400193">
        <w:rPr>
          <w:lang w:eastAsia="zh-CN" w:bidi="hi-IN"/>
        </w:rPr>
        <w:instrText xml:space="preserve"> REF _Ref42542552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12</w:t>
      </w:r>
      <w:r w:rsidRPr="00400193">
        <w:rPr>
          <w:lang w:eastAsia="zh-CN" w:bidi="hi-IN"/>
        </w:rPr>
        <w:fldChar w:fldCharType="end"/>
      </w:r>
      <w:r w:rsidRPr="00400193">
        <w:rPr>
          <w:lang w:eastAsia="zh-CN" w:bidi="hi-IN"/>
        </w:rPr>
        <w:t xml:space="preserve"> covers many public safety issues, but there will be more in the future, as cities become increasingly automated. </w:t>
      </w:r>
      <w:r w:rsidRPr="00400193">
        <w:rPr>
          <w:lang w:eastAsia="zh-CN" w:bidi="hi-IN"/>
        </w:rPr>
        <w:lastRenderedPageBreak/>
        <w:t>Already, newspapers often carry stories about loss of sensitive data by the police and courts, or the release of prisoners because of ‘computer error’ (Khomami, 2017). As prison services become increasingly computerised (Baumer, O'Donnell, and Hughes, 2009), incidents of this type may increase, or be brought about by a cyber-attack on prison service computer systems. The same situation could also apply to the police and courts, and the risk from identity fraud could also extend into this area, even with the increased use of biometric identification methods.</w:t>
      </w:r>
    </w:p>
    <w:p w14:paraId="473A6656" w14:textId="6F194347" w:rsidR="00C3651A" w:rsidRPr="00400193" w:rsidRDefault="00C3651A" w:rsidP="00C3651A">
      <w:pPr>
        <w:rPr>
          <w:lang w:eastAsia="zh-CN" w:bidi="hi-IN"/>
        </w:rPr>
      </w:pPr>
      <w:r w:rsidRPr="00400193">
        <w:rPr>
          <w:lang w:eastAsia="zh-CN" w:bidi="hi-IN"/>
        </w:rPr>
        <w:t xml:space="preserve">Some of the issues in </w:t>
      </w:r>
      <w:r w:rsidRPr="00400193">
        <w:rPr>
          <w:lang w:eastAsia="zh-CN" w:bidi="hi-IN"/>
        </w:rPr>
        <w:fldChar w:fldCharType="begin"/>
      </w:r>
      <w:r w:rsidRPr="00400193">
        <w:rPr>
          <w:lang w:eastAsia="zh-CN" w:bidi="hi-IN"/>
        </w:rPr>
        <w:instrText xml:space="preserve"> REF _Ref42542552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12</w:t>
      </w:r>
      <w:r w:rsidRPr="00400193">
        <w:rPr>
          <w:lang w:eastAsia="zh-CN" w:bidi="hi-IN"/>
        </w:rPr>
        <w:fldChar w:fldCharType="end"/>
      </w:r>
      <w:r w:rsidRPr="00400193">
        <w:rPr>
          <w:lang w:eastAsia="zh-CN" w:bidi="hi-IN"/>
        </w:rPr>
        <w:t>, such as predictive policing (Mantello, 2016), are potentially public safety issues even without a cyber-attack. However, where such systems are used, the potential damage to public safety and confidence in the company (or government) involved border on the catastrophic. Where there is greater automation, there is also greater potential for damage.</w:t>
      </w:r>
    </w:p>
    <w:tbl>
      <w:tblPr>
        <w:tblW w:w="9024" w:type="dxa"/>
        <w:tblLook w:val="04A0" w:firstRow="1" w:lastRow="0" w:firstColumn="1" w:lastColumn="0" w:noHBand="0" w:noVBand="1"/>
      </w:tblPr>
      <w:tblGrid>
        <w:gridCol w:w="4513"/>
        <w:gridCol w:w="4511"/>
      </w:tblGrid>
      <w:tr w:rsidR="00A0618E" w:rsidRPr="00400193" w14:paraId="5DFE05F6" w14:textId="77777777" w:rsidTr="00C3651A">
        <w:tc>
          <w:tcPr>
            <w:tcW w:w="4513" w:type="dxa"/>
            <w:tcBorders>
              <w:top w:val="single" w:sz="6" w:space="0" w:color="000000"/>
              <w:left w:val="nil"/>
              <w:bottom w:val="single" w:sz="6" w:space="0" w:color="000000"/>
              <w:right w:val="nil"/>
            </w:tcBorders>
            <w:hideMark/>
          </w:tcPr>
          <w:p w14:paraId="2674DB1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 xml:space="preserve">Public Safety Issues </w:t>
            </w:r>
          </w:p>
        </w:tc>
        <w:tc>
          <w:tcPr>
            <w:tcW w:w="4511" w:type="dxa"/>
            <w:tcBorders>
              <w:top w:val="single" w:sz="6" w:space="0" w:color="000000"/>
              <w:left w:val="nil"/>
              <w:bottom w:val="single" w:sz="6" w:space="0" w:color="000000"/>
              <w:right w:val="nil"/>
            </w:tcBorders>
            <w:hideMark/>
          </w:tcPr>
          <w:p w14:paraId="6C06DA9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Reference</w:t>
            </w:r>
          </w:p>
        </w:tc>
      </w:tr>
      <w:tr w:rsidR="00A0618E" w:rsidRPr="00400193" w14:paraId="0DA7BB78" w14:textId="77777777" w:rsidTr="00C3651A">
        <w:tc>
          <w:tcPr>
            <w:tcW w:w="4513" w:type="dxa"/>
            <w:hideMark/>
          </w:tcPr>
          <w:p w14:paraId="7537A67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Revealing personal details of security forces members. </w:t>
            </w:r>
          </w:p>
        </w:tc>
        <w:tc>
          <w:tcPr>
            <w:tcW w:w="4511" w:type="dxa"/>
            <w:hideMark/>
          </w:tcPr>
          <w:p w14:paraId="72FA76A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DeRose (2017), and a non-academic reference Police1 (2017)</w:t>
            </w:r>
          </w:p>
        </w:tc>
      </w:tr>
      <w:tr w:rsidR="00A0618E" w:rsidRPr="00400193" w14:paraId="69129AB8" w14:textId="77777777" w:rsidTr="00C3651A">
        <w:tc>
          <w:tcPr>
            <w:tcW w:w="4513" w:type="dxa"/>
            <w:hideMark/>
          </w:tcPr>
          <w:p w14:paraId="76CF9E5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Public transportation attacks</w:t>
            </w:r>
          </w:p>
        </w:tc>
        <w:tc>
          <w:tcPr>
            <w:tcW w:w="4511" w:type="dxa"/>
            <w:hideMark/>
          </w:tcPr>
          <w:p w14:paraId="15FB69B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Hashem et al. (2016); Jung and Chung (2015); </w:t>
            </w:r>
            <w:r w:rsidRPr="00400193" w:rsidDel="00604EA2">
              <w:rPr>
                <w:rFonts w:asciiTheme="minorHAnsi" w:hAnsiTheme="minorHAnsi" w:cstheme="minorHAnsi"/>
                <w:sz w:val="22"/>
                <w:lang w:eastAsia="zh-CN" w:bidi="hi-IN"/>
              </w:rPr>
              <w:t xml:space="preserve"> </w:t>
            </w:r>
            <w:r w:rsidRPr="00400193">
              <w:rPr>
                <w:rFonts w:asciiTheme="minorHAnsi" w:hAnsiTheme="minorHAnsi" w:cstheme="minorHAnsi"/>
                <w:sz w:val="22"/>
                <w:lang w:eastAsia="zh-CN" w:bidi="hi-IN"/>
              </w:rPr>
              <w:t xml:space="preserve">Kim and Lee (2015) </w:t>
            </w:r>
          </w:p>
        </w:tc>
      </w:tr>
      <w:tr w:rsidR="00A0618E" w:rsidRPr="00400193" w14:paraId="7E142FB2" w14:textId="77777777" w:rsidTr="00C3651A">
        <w:tc>
          <w:tcPr>
            <w:tcW w:w="4513" w:type="dxa"/>
            <w:hideMark/>
          </w:tcPr>
          <w:p w14:paraId="09C6628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Car hacking</w:t>
            </w:r>
          </w:p>
        </w:tc>
        <w:tc>
          <w:tcPr>
            <w:tcW w:w="4511" w:type="dxa"/>
            <w:hideMark/>
          </w:tcPr>
          <w:p w14:paraId="1ABDCAA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Greenberg (2016);</w:t>
            </w:r>
            <w:r w:rsidRPr="00400193" w:rsidDel="00604EA2">
              <w:rPr>
                <w:rFonts w:asciiTheme="minorHAnsi" w:hAnsiTheme="minorHAnsi" w:cstheme="minorHAnsi"/>
                <w:sz w:val="22"/>
                <w:lang w:eastAsia="zh-CN" w:bidi="hi-IN"/>
              </w:rPr>
              <w:t xml:space="preserve"> </w:t>
            </w:r>
            <w:r w:rsidRPr="00400193">
              <w:rPr>
                <w:rFonts w:asciiTheme="minorHAnsi" w:hAnsiTheme="minorHAnsi" w:cstheme="minorHAnsi"/>
                <w:sz w:val="22"/>
                <w:lang w:eastAsia="zh-CN" w:bidi="hi-IN"/>
              </w:rPr>
              <w:t>Kim and Lee (2015)</w:t>
            </w:r>
          </w:p>
        </w:tc>
      </w:tr>
      <w:tr w:rsidR="00A0618E" w:rsidRPr="00400193" w14:paraId="4DDE551D" w14:textId="77777777" w:rsidTr="00C3651A">
        <w:tc>
          <w:tcPr>
            <w:tcW w:w="4513" w:type="dxa"/>
            <w:hideMark/>
          </w:tcPr>
          <w:p w14:paraId="6776C75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Healthcare attacks</w:t>
            </w:r>
          </w:p>
        </w:tc>
        <w:tc>
          <w:tcPr>
            <w:tcW w:w="4511" w:type="dxa"/>
            <w:hideMark/>
          </w:tcPr>
          <w:p w14:paraId="52CAEC76"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Awan, Burnap, and Rana (2015); Seifert and Reza (2016)</w:t>
            </w:r>
          </w:p>
        </w:tc>
      </w:tr>
      <w:tr w:rsidR="00A0618E" w:rsidRPr="00400193" w14:paraId="70A9978A" w14:textId="77777777" w:rsidTr="00C3651A">
        <w:tc>
          <w:tcPr>
            <w:tcW w:w="4513" w:type="dxa"/>
            <w:hideMark/>
          </w:tcPr>
          <w:p w14:paraId="6574291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Interception of sensitive data (Man in the Middle (MitM) (or Sinkhole) attacks)</w:t>
            </w:r>
          </w:p>
        </w:tc>
        <w:tc>
          <w:tcPr>
            <w:tcW w:w="4511" w:type="dxa"/>
            <w:hideMark/>
          </w:tcPr>
          <w:p w14:paraId="3459B60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Huang et al. (2017)</w:t>
            </w:r>
          </w:p>
        </w:tc>
      </w:tr>
      <w:tr w:rsidR="00A0618E" w:rsidRPr="00400193" w14:paraId="1729EF7E" w14:textId="77777777" w:rsidTr="00C3651A">
        <w:tc>
          <w:tcPr>
            <w:tcW w:w="4513" w:type="dxa"/>
            <w:hideMark/>
          </w:tcPr>
          <w:p w14:paraId="3527774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Security response hacking</w:t>
            </w:r>
          </w:p>
        </w:tc>
        <w:tc>
          <w:tcPr>
            <w:tcW w:w="4511" w:type="dxa"/>
            <w:hideMark/>
          </w:tcPr>
          <w:p w14:paraId="4617B93B"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Raths (2016)</w:t>
            </w:r>
          </w:p>
        </w:tc>
      </w:tr>
      <w:tr w:rsidR="00A0618E" w:rsidRPr="00400193" w14:paraId="2F41F3E9" w14:textId="77777777" w:rsidTr="00C3651A">
        <w:tc>
          <w:tcPr>
            <w:tcW w:w="4513" w:type="dxa"/>
            <w:hideMark/>
          </w:tcPr>
          <w:p w14:paraId="3ED56D32"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IoT </w:t>
            </w:r>
            <w:r w:rsidRPr="00400193">
              <w:rPr>
                <w:rFonts w:asciiTheme="minorHAnsi" w:hAnsiTheme="minorHAnsi" w:cstheme="minorHAnsi"/>
                <w:sz w:val="22"/>
                <w:vertAlign w:val="superscript"/>
                <w:lang w:eastAsia="zh-CN" w:bidi="hi-IN"/>
              </w:rPr>
              <w:t>a</w:t>
            </w:r>
            <w:r w:rsidRPr="00400193">
              <w:rPr>
                <w:rFonts w:asciiTheme="minorHAnsi" w:hAnsiTheme="minorHAnsi" w:cstheme="minorHAnsi"/>
                <w:sz w:val="22"/>
                <w:lang w:eastAsia="zh-CN" w:bidi="hi-IN"/>
              </w:rPr>
              <w:t xml:space="preserve"> product hacking</w:t>
            </w:r>
          </w:p>
        </w:tc>
        <w:tc>
          <w:tcPr>
            <w:tcW w:w="4511" w:type="dxa"/>
            <w:hideMark/>
          </w:tcPr>
          <w:p w14:paraId="1CCAE864"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Greenberg (2016); Kaul et al. (2015)</w:t>
            </w:r>
          </w:p>
        </w:tc>
      </w:tr>
      <w:tr w:rsidR="00A0618E" w:rsidRPr="00400193" w14:paraId="0759B815" w14:textId="77777777" w:rsidTr="00C3651A">
        <w:tc>
          <w:tcPr>
            <w:tcW w:w="4513" w:type="dxa"/>
            <w:hideMark/>
          </w:tcPr>
          <w:p w14:paraId="1036F23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Product recall spoofing</w:t>
            </w:r>
          </w:p>
        </w:tc>
        <w:tc>
          <w:tcPr>
            <w:tcW w:w="4511" w:type="dxa"/>
            <w:hideMark/>
          </w:tcPr>
          <w:p w14:paraId="26F7B14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Mackalski and Belisle (2015)</w:t>
            </w:r>
          </w:p>
        </w:tc>
      </w:tr>
      <w:tr w:rsidR="00A0618E" w:rsidRPr="00400193" w14:paraId="486A9355" w14:textId="77777777" w:rsidTr="00C3651A">
        <w:tc>
          <w:tcPr>
            <w:tcW w:w="4513" w:type="dxa"/>
            <w:hideMark/>
          </w:tcPr>
          <w:p w14:paraId="17F7C0B1"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Product recall hacking/blocking</w:t>
            </w:r>
          </w:p>
        </w:tc>
        <w:tc>
          <w:tcPr>
            <w:tcW w:w="4511" w:type="dxa"/>
            <w:hideMark/>
          </w:tcPr>
          <w:p w14:paraId="16A80F95"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Mackalski and Belisle (2015)</w:t>
            </w:r>
          </w:p>
        </w:tc>
      </w:tr>
      <w:tr w:rsidR="00A0618E" w:rsidRPr="00400193" w14:paraId="022B1B8B" w14:textId="77777777" w:rsidTr="00C3651A">
        <w:tc>
          <w:tcPr>
            <w:tcW w:w="4513" w:type="dxa"/>
            <w:hideMark/>
          </w:tcPr>
          <w:p w14:paraId="3BA2F34E"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Hacking of student qualifications</w:t>
            </w:r>
          </w:p>
        </w:tc>
        <w:tc>
          <w:tcPr>
            <w:tcW w:w="4511" w:type="dxa"/>
            <w:hideMark/>
          </w:tcPr>
          <w:p w14:paraId="755CBF7D"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Varella (2016)</w:t>
            </w:r>
          </w:p>
        </w:tc>
      </w:tr>
      <w:tr w:rsidR="00A0618E" w:rsidRPr="00400193" w14:paraId="7DAA8F22" w14:textId="77777777" w:rsidTr="00C3651A">
        <w:tc>
          <w:tcPr>
            <w:tcW w:w="4513" w:type="dxa"/>
            <w:hideMark/>
          </w:tcPr>
          <w:p w14:paraId="4ACC6429"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‘Prescient’ crime prevention (predictive policing)</w:t>
            </w:r>
          </w:p>
        </w:tc>
        <w:tc>
          <w:tcPr>
            <w:tcW w:w="4511" w:type="dxa"/>
            <w:hideMark/>
          </w:tcPr>
          <w:p w14:paraId="1E2B495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Mantello (2016)</w:t>
            </w:r>
          </w:p>
        </w:tc>
      </w:tr>
      <w:tr w:rsidR="00A0618E" w:rsidRPr="00400193" w14:paraId="3D7A632E" w14:textId="77777777" w:rsidTr="00C3651A">
        <w:tc>
          <w:tcPr>
            <w:tcW w:w="4513" w:type="dxa"/>
            <w:hideMark/>
          </w:tcPr>
          <w:p w14:paraId="13421273"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Heritage protection</w:t>
            </w:r>
          </w:p>
        </w:tc>
        <w:tc>
          <w:tcPr>
            <w:tcW w:w="4511" w:type="dxa"/>
            <w:hideMark/>
          </w:tcPr>
          <w:p w14:paraId="68CA8C6F"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Gribaudo, Iacono, and Levis (2017)</w:t>
            </w:r>
          </w:p>
        </w:tc>
      </w:tr>
      <w:tr w:rsidR="00A0618E" w:rsidRPr="00400193" w14:paraId="25E1D23B" w14:textId="77777777" w:rsidTr="00C3651A">
        <w:tc>
          <w:tcPr>
            <w:tcW w:w="4513" w:type="dxa"/>
            <w:hideMark/>
          </w:tcPr>
          <w:p w14:paraId="1B3BA1EC"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Attacks on water and wastewater systems</w:t>
            </w:r>
          </w:p>
        </w:tc>
        <w:tc>
          <w:tcPr>
            <w:tcW w:w="4511" w:type="dxa"/>
            <w:hideMark/>
          </w:tcPr>
          <w:p w14:paraId="59BF95C7"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Panguluri, Phillips, and Cusimano (2011)</w:t>
            </w:r>
          </w:p>
        </w:tc>
      </w:tr>
      <w:tr w:rsidR="00A0618E" w:rsidRPr="00400193" w14:paraId="07241B0E" w14:textId="77777777" w:rsidTr="00C3651A">
        <w:tc>
          <w:tcPr>
            <w:tcW w:w="4513" w:type="dxa"/>
            <w:tcBorders>
              <w:top w:val="nil"/>
              <w:left w:val="nil"/>
              <w:bottom w:val="single" w:sz="6" w:space="0" w:color="000000"/>
              <w:right w:val="nil"/>
            </w:tcBorders>
            <w:hideMark/>
          </w:tcPr>
          <w:p w14:paraId="634ADA3A" w14:textId="77777777" w:rsidR="00C3651A" w:rsidRPr="00400193" w:rsidRDefault="00C3651A" w:rsidP="00C3651A">
            <w:pPr>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Incorrect release of offenders from prison</w:t>
            </w:r>
          </w:p>
        </w:tc>
        <w:tc>
          <w:tcPr>
            <w:tcW w:w="4511" w:type="dxa"/>
            <w:tcBorders>
              <w:top w:val="nil"/>
              <w:left w:val="nil"/>
              <w:bottom w:val="single" w:sz="6" w:space="0" w:color="000000"/>
              <w:right w:val="nil"/>
            </w:tcBorders>
            <w:hideMark/>
          </w:tcPr>
          <w:p w14:paraId="49A2D722" w14:textId="77777777" w:rsidR="00C3651A" w:rsidRPr="00400193" w:rsidRDefault="00C3651A" w:rsidP="00C3651A">
            <w:pPr>
              <w:keepNext/>
              <w:suppressAutoHyphens/>
              <w:spacing w:after="0"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Baumer, O'Donnell, and Hughes (2009)</w:t>
            </w:r>
          </w:p>
        </w:tc>
      </w:tr>
    </w:tbl>
    <w:p w14:paraId="0F2EAA8D" w14:textId="5D5D5337" w:rsidR="00C3651A" w:rsidRPr="00400193" w:rsidRDefault="00C3651A" w:rsidP="00C3651A">
      <w:pPr>
        <w:pStyle w:val="Caption"/>
      </w:pPr>
      <w:bookmarkStart w:id="240" w:name="_4iylrwe"/>
      <w:bookmarkStart w:id="241" w:name="_Ref42542552"/>
      <w:bookmarkStart w:id="242" w:name="_Toc52901541"/>
      <w:bookmarkEnd w:id="24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12</w:t>
      </w:r>
      <w:r w:rsidRPr="00400193">
        <w:fldChar w:fldCharType="end"/>
      </w:r>
      <w:bookmarkEnd w:id="241"/>
      <w:r w:rsidRPr="00400193">
        <w:t>: Some of the public safety issues which may be put at risk by cyber-attack.</w:t>
      </w:r>
      <w:bookmarkEnd w:id="242"/>
    </w:p>
    <w:p w14:paraId="0C519B1F" w14:textId="6B7037E2" w:rsidR="00C3651A" w:rsidRPr="00400193" w:rsidRDefault="00C3651A" w:rsidP="00C3651A">
      <w:pPr>
        <w:pStyle w:val="Caption"/>
        <w:rPr>
          <w:lang w:eastAsia="zh-CN" w:bidi="hi-IN"/>
        </w:rPr>
      </w:pPr>
      <w:r w:rsidRPr="00400193">
        <w:rPr>
          <w:b w:val="0"/>
          <w:bCs/>
          <w:i w:val="0"/>
          <w:iCs w:val="0"/>
          <w:sz w:val="20"/>
          <w:szCs w:val="14"/>
          <w:vertAlign w:val="superscript"/>
        </w:rPr>
        <w:t>a</w:t>
      </w:r>
      <w:r w:rsidRPr="00400193">
        <w:rPr>
          <w:b w:val="0"/>
          <w:bCs/>
          <w:i w:val="0"/>
          <w:iCs w:val="0"/>
          <w:sz w:val="20"/>
          <w:szCs w:val="14"/>
        </w:rPr>
        <w:t xml:space="preserve"> see </w:t>
      </w:r>
      <w:r w:rsidRPr="00400193">
        <w:rPr>
          <w:b w:val="0"/>
          <w:bCs/>
          <w:i w:val="0"/>
          <w:iCs w:val="0"/>
          <w:sz w:val="20"/>
          <w:szCs w:val="14"/>
        </w:rPr>
        <w:fldChar w:fldCharType="begin"/>
      </w:r>
      <w:r w:rsidRPr="00400193">
        <w:rPr>
          <w:b w:val="0"/>
          <w:bCs/>
          <w:i w:val="0"/>
          <w:iCs w:val="0"/>
          <w:sz w:val="20"/>
          <w:szCs w:val="14"/>
        </w:rPr>
        <w:instrText xml:space="preserve"> REF _Ref42542211 \h </w:instrText>
      </w:r>
      <w:r w:rsidRPr="00400193">
        <w:rPr>
          <w:bCs/>
          <w:i w:val="0"/>
          <w:iCs w:val="0"/>
          <w:sz w:val="20"/>
          <w:szCs w:val="14"/>
        </w:rPr>
        <w:instrText xml:space="preserve"> \* MERGEFORMAT </w:instrText>
      </w:r>
      <w:r w:rsidRPr="00400193">
        <w:rPr>
          <w:b w:val="0"/>
          <w:bCs/>
          <w:i w:val="0"/>
          <w:iCs w:val="0"/>
          <w:sz w:val="20"/>
          <w:szCs w:val="14"/>
        </w:rPr>
      </w:r>
      <w:r w:rsidRPr="00400193">
        <w:rPr>
          <w:b w:val="0"/>
          <w:bCs/>
          <w:i w:val="0"/>
          <w:iCs w:val="0"/>
          <w:sz w:val="20"/>
          <w:szCs w:val="14"/>
        </w:rPr>
        <w:fldChar w:fldCharType="separate"/>
      </w:r>
      <w:r w:rsidR="00BB7C18" w:rsidRPr="00BB7C18">
        <w:rPr>
          <w:b w:val="0"/>
          <w:bCs/>
          <w:i w:val="0"/>
          <w:iCs w:val="0"/>
          <w:sz w:val="20"/>
          <w:szCs w:val="14"/>
        </w:rPr>
        <w:t xml:space="preserve">Table </w:t>
      </w:r>
      <w:r w:rsidR="00BB7C18" w:rsidRPr="00BB7C18">
        <w:rPr>
          <w:b w:val="0"/>
          <w:bCs/>
          <w:i w:val="0"/>
          <w:iCs w:val="0"/>
          <w:sz w:val="20"/>
          <w:szCs w:val="14"/>
          <w:cs/>
        </w:rPr>
        <w:t>‎</w:t>
      </w:r>
      <w:r w:rsidR="00BB7C18">
        <w:rPr>
          <w:noProof/>
        </w:rPr>
        <w:t>3</w:t>
      </w:r>
      <w:r w:rsidR="00BB7C18" w:rsidRPr="00400193">
        <w:noBreakHyphen/>
      </w:r>
      <w:r w:rsidR="00BB7C18">
        <w:rPr>
          <w:noProof/>
        </w:rPr>
        <w:t>10</w:t>
      </w:r>
      <w:r w:rsidRPr="00400193">
        <w:rPr>
          <w:b w:val="0"/>
          <w:bCs/>
          <w:i w:val="0"/>
          <w:iCs w:val="0"/>
          <w:sz w:val="20"/>
          <w:szCs w:val="14"/>
        </w:rPr>
        <w:fldChar w:fldCharType="end"/>
      </w:r>
      <w:r w:rsidRPr="00400193">
        <w:rPr>
          <w:b w:val="0"/>
          <w:bCs/>
          <w:i w:val="0"/>
          <w:iCs w:val="0"/>
          <w:sz w:val="20"/>
          <w:szCs w:val="14"/>
        </w:rPr>
        <w:t>.</w:t>
      </w:r>
    </w:p>
    <w:p w14:paraId="16ED6DF8" w14:textId="77777777" w:rsidR="00C3651A" w:rsidRPr="00400193" w:rsidRDefault="00C3651A" w:rsidP="00153BB4">
      <w:pPr>
        <w:pStyle w:val="Heading4"/>
        <w:rPr>
          <w:rFonts w:eastAsia="Arial"/>
          <w:lang w:eastAsia="zh-CN" w:bidi="hi-IN"/>
        </w:rPr>
      </w:pPr>
      <w:bookmarkStart w:id="243" w:name="_1yyy98l"/>
      <w:bookmarkStart w:id="244" w:name="_Ref50750595"/>
      <w:bookmarkStart w:id="245" w:name="_Toc61894705"/>
      <w:bookmarkEnd w:id="243"/>
      <w:r w:rsidRPr="00400193">
        <w:rPr>
          <w:rFonts w:eastAsia="Arial"/>
          <w:lang w:eastAsia="zh-CN" w:bidi="hi-IN"/>
        </w:rPr>
        <w:t>The Response</w:t>
      </w:r>
      <w:bookmarkEnd w:id="244"/>
      <w:bookmarkEnd w:id="245"/>
    </w:p>
    <w:p w14:paraId="37F8AEAE" w14:textId="3402DB3F" w:rsidR="0044794E" w:rsidRPr="00400193" w:rsidRDefault="00C3651A" w:rsidP="0044794E">
      <w:pPr>
        <w:suppressAutoHyphens/>
        <w:rPr>
          <w:rFonts w:cstheme="minorBidi"/>
          <w:kern w:val="24"/>
          <w:szCs w:val="24"/>
          <w:lang w:eastAsia="en-GB"/>
        </w:rPr>
      </w:pPr>
      <w:r w:rsidRPr="00400193">
        <w:rPr>
          <w:lang w:eastAsia="zh-CN" w:bidi="hi-IN"/>
        </w:rPr>
        <w:t>The new framework for resilience (</w:t>
      </w:r>
      <w:r w:rsidRPr="00400193">
        <w:rPr>
          <w:lang w:eastAsia="zh-CN" w:bidi="hi-IN"/>
        </w:rPr>
        <w:fldChar w:fldCharType="begin"/>
      </w:r>
      <w:r w:rsidRPr="00400193">
        <w:rPr>
          <w:lang w:eastAsia="zh-CN" w:bidi="hi-IN"/>
        </w:rPr>
        <w:instrText xml:space="preserve"> REF _Ref44957419 \h  \* MERGEFORMAT </w:instrText>
      </w:r>
      <w:r w:rsidRPr="00400193">
        <w:rPr>
          <w:lang w:eastAsia="zh-CN" w:bidi="hi-IN"/>
        </w:rPr>
      </w:r>
      <w:r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Pr="00400193">
        <w:rPr>
          <w:lang w:eastAsia="zh-CN" w:bidi="hi-IN"/>
        </w:rPr>
        <w:fldChar w:fldCharType="end"/>
      </w:r>
      <w:r w:rsidRPr="00400193">
        <w:rPr>
          <w:lang w:eastAsia="zh-CN" w:bidi="hi-IN"/>
        </w:rPr>
        <w:t>) emphasises detection and response. Security (Schneier, 2000; 2012) keeps most attacks from penetrating to the point where damage may be done, including internal audit procedures to deter or catch threats from inside the company, but some attacks will still occur. Even the idea of using more than one operating system (OS) (Sano</w:t>
      </w:r>
      <w:r w:rsidRPr="00400193">
        <w:rPr>
          <w:i/>
          <w:iCs/>
          <w:lang w:eastAsia="zh-CN" w:bidi="hi-IN"/>
        </w:rPr>
        <w:t xml:space="preserve"> </w:t>
      </w:r>
      <w:r w:rsidRPr="00400193">
        <w:rPr>
          <w:lang w:eastAsia="zh-CN" w:bidi="hi-IN"/>
        </w:rPr>
        <w:t xml:space="preserve">et al., 2016), although inspired, </w:t>
      </w:r>
      <w:r w:rsidRPr="00400193">
        <w:rPr>
          <w:lang w:eastAsia="zh-CN" w:bidi="hi-IN"/>
        </w:rPr>
        <w:lastRenderedPageBreak/>
        <w:t>does not in itself prevent attacks.</w:t>
      </w:r>
      <w:r w:rsidR="0044794E" w:rsidRPr="00400193">
        <w:rPr>
          <w:lang w:eastAsia="zh-CN" w:bidi="hi-IN"/>
        </w:rPr>
        <w:t xml:space="preserve"> Thus, it is the response and the resilience which are the two factors that are most important, and the remaining hypotheses were developed with this in mind from the theory above and the literature below. These remaining hypotheses are: (</w:t>
      </w:r>
      <w:r w:rsidR="0044794E" w:rsidRPr="00400193">
        <w:rPr>
          <w:rFonts w:cstheme="minorBidi"/>
          <w:kern w:val="24"/>
          <w:szCs w:val="24"/>
          <w:lang w:eastAsia="en-GB"/>
        </w:rPr>
        <w:t xml:space="preserve">H3): Vulnerabilities and weaknesses are associated with having responses in place, (H4): Having responses in place moderates the association between vulnerabilities and weaknesses and internal threats, (H5): Having responses in place moderates the association between vulnerabilities and weaknesses and external threats, (H6): Vulnerabilities and weaknesses are associated with organisational resilience, (H7): Organisational resilience moderates the association between vulnerabilities and weaknesses and internal threats, and (H8): Organisational resilience moderates the association between vulnerabilities and weaknesses and external threats. </w:t>
      </w:r>
    </w:p>
    <w:p w14:paraId="0183FE9C" w14:textId="612F3E9F" w:rsidR="00C3651A" w:rsidRPr="00400193" w:rsidRDefault="00C3651A" w:rsidP="00C3651A">
      <w:pPr>
        <w:rPr>
          <w:lang w:eastAsia="zh-CN" w:bidi="hi-IN"/>
        </w:rPr>
      </w:pPr>
      <w:r w:rsidRPr="00400193">
        <w:rPr>
          <w:lang w:eastAsia="zh-CN" w:bidi="hi-IN"/>
        </w:rPr>
        <w:t xml:space="preserve">Detection without response is also useless, and response without detection is illogical </w:t>
      </w:r>
      <w:r w:rsidR="003A01A2" w:rsidRPr="00400193">
        <w:rPr>
          <w:lang w:eastAsia="zh-CN" w:bidi="hi-IN"/>
        </w:rPr>
        <w:t>(Schneier, 2000)</w:t>
      </w:r>
      <w:r w:rsidRPr="00400193">
        <w:rPr>
          <w:lang w:eastAsia="zh-CN" w:bidi="hi-IN"/>
        </w:rPr>
        <w:t xml:space="preserve">. This means that cyber-security must assume that an attack will occur, detect the attack at the earliest possible point, respond to the attack in an appropriate manner, and prevent any damage from spreading </w:t>
      </w:r>
      <w:sdt>
        <w:sdtPr>
          <w:rPr>
            <w:lang w:eastAsia="zh-CN" w:bidi="hi-IN"/>
          </w:rPr>
          <w:id w:val="150336651"/>
          <w:citation/>
        </w:sdtPr>
        <w:sdtEndPr/>
        <w:sdtContent>
          <w:r w:rsidRPr="00400193">
            <w:rPr>
              <w:lang w:eastAsia="zh-CN" w:bidi="hi-IN"/>
            </w:rPr>
            <w:fldChar w:fldCharType="begin"/>
          </w:r>
          <w:r w:rsidRPr="00400193">
            <w:rPr>
              <w:lang w:eastAsia="zh-CN" w:bidi="hi-IN"/>
            </w:rPr>
            <w:instrText xml:space="preserve"> CITATION GCH15 \l 2057 </w:instrText>
          </w:r>
          <w:r w:rsidRPr="00400193">
            <w:rPr>
              <w:lang w:eastAsia="zh-CN" w:bidi="hi-IN"/>
            </w:rPr>
            <w:fldChar w:fldCharType="separate"/>
          </w:r>
          <w:r w:rsidRPr="00400193">
            <w:rPr>
              <w:lang w:eastAsia="zh-CN" w:bidi="hi-IN"/>
            </w:rPr>
            <w:t>(GCHQ, 2015)</w:t>
          </w:r>
          <w:r w:rsidRPr="00400193">
            <w:rPr>
              <w:lang w:eastAsia="zh-CN" w:bidi="hi-IN"/>
            </w:rPr>
            <w:fldChar w:fldCharType="end"/>
          </w:r>
        </w:sdtContent>
      </w:sdt>
      <w:r w:rsidRPr="00400193">
        <w:rPr>
          <w:lang w:eastAsia="zh-CN" w:bidi="hi-IN"/>
        </w:rPr>
        <w:t xml:space="preserve">. These are simple aims, but the difficulty is in the execution, which is why detection and research into detection (Vasudevan </w:t>
      </w:r>
      <w:r w:rsidR="00E93EE0" w:rsidRPr="00400193">
        <w:rPr>
          <w:lang w:eastAsia="zh-CN" w:bidi="hi-IN"/>
        </w:rPr>
        <w:t>and</w:t>
      </w:r>
      <w:r w:rsidRPr="00400193">
        <w:rPr>
          <w:lang w:eastAsia="zh-CN" w:bidi="hi-IN"/>
        </w:rPr>
        <w:t xml:space="preserve"> Selvakumar, 2016) are important. It is also why security information sharing (Skopik, Settanni </w:t>
      </w:r>
      <w:r w:rsidR="00E93EE0" w:rsidRPr="00400193">
        <w:rPr>
          <w:lang w:eastAsia="zh-CN" w:bidi="hi-IN"/>
        </w:rPr>
        <w:t>and</w:t>
      </w:r>
      <w:r w:rsidRPr="00400193">
        <w:rPr>
          <w:lang w:eastAsia="zh-CN" w:bidi="hi-IN"/>
        </w:rPr>
        <w:t xml:space="preserve"> Fiedler, 2016) is also important: when companies know more about the kind of attack that may take place, it is easier to defend against that attack. Advanced persistent threats (Rass, König </w:t>
      </w:r>
      <w:r w:rsidR="00E93EE0" w:rsidRPr="00400193">
        <w:rPr>
          <w:lang w:eastAsia="zh-CN" w:bidi="hi-IN"/>
        </w:rPr>
        <w:t>and</w:t>
      </w:r>
      <w:r w:rsidRPr="00400193">
        <w:rPr>
          <w:lang w:eastAsia="zh-CN" w:bidi="hi-IN"/>
        </w:rPr>
        <w:t xml:space="preserve"> Schauer, 2017) are only known to be advanced and persistent because knowledge of them has been shared. </w:t>
      </w:r>
    </w:p>
    <w:p w14:paraId="3FCB5833" w14:textId="7D22BC77" w:rsidR="00C3651A" w:rsidRPr="00400193" w:rsidRDefault="00C3651A" w:rsidP="00C3651A">
      <w:pPr>
        <w:rPr>
          <w:lang w:eastAsia="zh-CN" w:bidi="hi-IN"/>
        </w:rPr>
      </w:pPr>
      <w:r w:rsidRPr="00400193">
        <w:rPr>
          <w:lang w:eastAsia="zh-CN" w:bidi="hi-IN"/>
        </w:rPr>
        <w:t xml:space="preserve">This is the premise behind outsourcing data security (Schneier, 2000; 2012; 2015). It is an important consideration, because any real security costs money, but it is possible for an ‘outsider’ to monitor more than one system. Detection requires the system to be monitored 24 hours per day, 365 days per year. Some of the existing responses to cyber-attack are set out in </w:t>
      </w:r>
      <w:r w:rsidRPr="00400193">
        <w:rPr>
          <w:lang w:eastAsia="zh-CN" w:bidi="hi-IN"/>
        </w:rPr>
        <w:fldChar w:fldCharType="begin"/>
      </w:r>
      <w:r w:rsidRPr="00400193">
        <w:rPr>
          <w:lang w:eastAsia="zh-CN" w:bidi="hi-IN"/>
        </w:rPr>
        <w:instrText xml:space="preserve"> REF _Ref43046361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13</w:t>
      </w:r>
      <w:r w:rsidRPr="00400193">
        <w:rPr>
          <w:lang w:eastAsia="zh-CN" w:bidi="hi-IN"/>
        </w:rPr>
        <w:fldChar w:fldCharType="end"/>
      </w:r>
      <w:r w:rsidRPr="00400193">
        <w:rPr>
          <w:lang w:eastAsia="zh-CN" w:bidi="hi-IN"/>
        </w:rPr>
        <w:t xml:space="preserve">. They include legal responses, because laws may need to be amended to cover new attacks (Hathaway et al., 2012). They also include military responses, because both the USA and the UK have legally recognised that a cyber-attack may be against their defensive or offensive capabilities (Payne </w:t>
      </w:r>
      <w:r w:rsidR="00E93EE0" w:rsidRPr="00400193">
        <w:rPr>
          <w:lang w:eastAsia="zh-CN" w:bidi="hi-IN"/>
        </w:rPr>
        <w:t>and</w:t>
      </w:r>
      <w:r w:rsidRPr="00400193">
        <w:rPr>
          <w:lang w:eastAsia="zh-CN" w:bidi="hi-IN"/>
        </w:rPr>
        <w:t xml:space="preserve"> Finlay, 2017). There is still much debate about what constitutes the ‘use of force’ (Dev, 2015; Herzog, 2011). Legal and military responses, however, are little use in terms of </w:t>
      </w:r>
      <w:r w:rsidRPr="00400193">
        <w:rPr>
          <w:lang w:eastAsia="zh-CN" w:bidi="hi-IN"/>
        </w:rPr>
        <w:lastRenderedPageBreak/>
        <w:t xml:space="preserve">resilience. Knowing that the attack was illegal, or that it constituted an act of war does not help the end-user to recover </w:t>
      </w:r>
      <w:sdt>
        <w:sdtPr>
          <w:rPr>
            <w:lang w:eastAsia="zh-CN" w:bidi="hi-IN"/>
          </w:rPr>
          <w:id w:val="-2098698834"/>
          <w:citation/>
        </w:sdtPr>
        <w:sdtEndPr/>
        <w:sdtContent>
          <w:r w:rsidRPr="00400193">
            <w:rPr>
              <w:lang w:eastAsia="zh-CN" w:bidi="hi-IN"/>
            </w:rPr>
            <w:fldChar w:fldCharType="begin"/>
          </w:r>
          <w:r w:rsidRPr="00400193">
            <w:rPr>
              <w:lang w:eastAsia="zh-CN" w:bidi="hi-IN"/>
            </w:rPr>
            <w:instrText xml:space="preserve"> CITATION Dev15 \l 2057 </w:instrText>
          </w:r>
          <w:r w:rsidRPr="00400193">
            <w:rPr>
              <w:lang w:eastAsia="zh-CN" w:bidi="hi-IN"/>
            </w:rPr>
            <w:fldChar w:fldCharType="separate"/>
          </w:r>
          <w:r w:rsidRPr="00400193">
            <w:rPr>
              <w:lang w:eastAsia="zh-CN" w:bidi="hi-IN"/>
            </w:rPr>
            <w:t>(Dev, 2015)</w:t>
          </w:r>
          <w:r w:rsidRPr="00400193">
            <w:rPr>
              <w:lang w:eastAsia="zh-CN" w:bidi="hi-IN"/>
            </w:rPr>
            <w:fldChar w:fldCharType="end"/>
          </w:r>
        </w:sdtContent>
      </w:sdt>
      <w:r w:rsidRPr="00400193">
        <w:rPr>
          <w:lang w:eastAsia="zh-CN" w:bidi="hi-IN"/>
        </w:rPr>
        <w:t xml:space="preserve">. An act of war could even, in a worst-case scenario, render resilience obsolete, which emphasises the need to define such simple concepts as ‘the use of force’ </w:t>
      </w:r>
      <w:sdt>
        <w:sdtPr>
          <w:rPr>
            <w:lang w:eastAsia="zh-CN" w:bidi="hi-IN"/>
          </w:rPr>
          <w:id w:val="-935049747"/>
          <w:citation/>
        </w:sdtPr>
        <w:sdtEndPr/>
        <w:sdtContent>
          <w:r w:rsidRPr="00400193">
            <w:rPr>
              <w:lang w:eastAsia="zh-CN" w:bidi="hi-IN"/>
            </w:rPr>
            <w:fldChar w:fldCharType="begin"/>
          </w:r>
          <w:r w:rsidRPr="00400193">
            <w:rPr>
              <w:lang w:eastAsia="zh-CN" w:bidi="hi-IN"/>
            </w:rPr>
            <w:instrText xml:space="preserve"> CITATION Cla161 \l 2057 </w:instrText>
          </w:r>
          <w:r w:rsidRPr="00400193">
            <w:rPr>
              <w:lang w:eastAsia="zh-CN" w:bidi="hi-IN"/>
            </w:rPr>
            <w:fldChar w:fldCharType="separate"/>
          </w:r>
          <w:r w:rsidRPr="00400193">
            <w:rPr>
              <w:lang w:eastAsia="zh-CN" w:bidi="hi-IN"/>
            </w:rPr>
            <w:t>(Clarke R. A., 2016)</w:t>
          </w:r>
          <w:r w:rsidRPr="00400193">
            <w:rPr>
              <w:lang w:eastAsia="zh-CN" w:bidi="hi-IN"/>
            </w:rPr>
            <w:fldChar w:fldCharType="end"/>
          </w:r>
        </w:sdtContent>
      </w:sdt>
      <w:r w:rsidRPr="00400193">
        <w:rPr>
          <w:lang w:eastAsia="zh-CN" w:bidi="hi-IN"/>
        </w:rPr>
        <w:t>.</w:t>
      </w:r>
    </w:p>
    <w:p w14:paraId="770378D6" w14:textId="0DC0D8FE" w:rsidR="00C3651A" w:rsidRPr="00400193" w:rsidRDefault="00E62357" w:rsidP="00C3651A">
      <w:pPr>
        <w:rPr>
          <w:lang w:eastAsia="zh-CN" w:bidi="hi-IN"/>
        </w:rPr>
      </w:pPr>
      <w:r w:rsidRPr="00400193">
        <w:rPr>
          <w:lang w:eastAsia="zh-CN" w:bidi="hi-IN"/>
        </w:rPr>
        <w:fldChar w:fldCharType="begin"/>
      </w:r>
      <w:r w:rsidRPr="00400193">
        <w:rPr>
          <w:lang w:eastAsia="zh-CN" w:bidi="hi-IN"/>
        </w:rPr>
        <w:instrText xml:space="preserve"> REF _Ref43046361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13</w:t>
      </w:r>
      <w:r w:rsidRPr="00400193">
        <w:rPr>
          <w:lang w:eastAsia="zh-CN" w:bidi="hi-IN"/>
        </w:rPr>
        <w:fldChar w:fldCharType="end"/>
      </w:r>
      <w:r w:rsidR="00C3651A" w:rsidRPr="00400193">
        <w:rPr>
          <w:lang w:eastAsia="zh-CN" w:bidi="hi-IN"/>
        </w:rPr>
        <w:t xml:space="preserve"> includes some proposed response options, accurate risk impact tolerance (ARITO) (Shameli-Sendi </w:t>
      </w:r>
      <w:r w:rsidR="00E93EE0" w:rsidRPr="00400193">
        <w:rPr>
          <w:lang w:eastAsia="zh-CN" w:bidi="hi-IN"/>
        </w:rPr>
        <w:t>and</w:t>
      </w:r>
      <w:r w:rsidR="00C3651A" w:rsidRPr="00400193">
        <w:rPr>
          <w:lang w:eastAsia="zh-CN" w:bidi="hi-IN"/>
        </w:rPr>
        <w:t xml:space="preserve"> Dagenais, 2014) and a cyber-risk resilience model (Tran et al., 2016). The first works with adaptive intelligence (as opposed to artificial intelligence) and automatic intrusion detection systems to decide on the likely impact of a cyber-attack and respond accordingly. The second is also adaptive, but the emphasis at every stage of its process is the recovery and resilience of individual nodes within the network. This is briefly shown below in </w:t>
      </w:r>
      <w:r w:rsidR="00C3651A" w:rsidRPr="00400193">
        <w:rPr>
          <w:lang w:eastAsia="zh-CN" w:bidi="hi-IN"/>
        </w:rPr>
        <w:fldChar w:fldCharType="begin"/>
      </w:r>
      <w:r w:rsidR="00C3651A" w:rsidRPr="00400193">
        <w:rPr>
          <w:lang w:eastAsia="zh-CN" w:bidi="hi-IN"/>
        </w:rPr>
        <w:instrText xml:space="preserve"> REF _Ref43046231 \h </w:instrText>
      </w:r>
      <w:r w:rsidR="00C3651A" w:rsidRPr="00400193">
        <w:rPr>
          <w:lang w:eastAsia="zh-CN" w:bidi="hi-IN"/>
        </w:rPr>
      </w:r>
      <w:r w:rsidR="00C3651A"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3</w:t>
      </w:r>
      <w:r w:rsidR="00C3651A" w:rsidRPr="00400193">
        <w:rPr>
          <w:lang w:eastAsia="zh-CN" w:bidi="hi-IN"/>
        </w:rPr>
        <w:fldChar w:fldCharType="end"/>
      </w:r>
      <w:r w:rsidR="00C3651A" w:rsidRPr="00400193">
        <w:rPr>
          <w:lang w:eastAsia="zh-CN" w:bidi="hi-IN"/>
        </w:rPr>
        <w:t>.</w:t>
      </w:r>
    </w:p>
    <w:p w14:paraId="5B3FAD04" w14:textId="77777777" w:rsidR="00C3651A" w:rsidRPr="00400193" w:rsidRDefault="00C3651A" w:rsidP="00C3651A">
      <w:pPr>
        <w:rPr>
          <w:lang w:eastAsia="zh-CN" w:bidi="hi-IN"/>
        </w:rPr>
      </w:pPr>
      <w:r w:rsidRPr="00400193">
        <w:rPr>
          <w:lang w:eastAsia="zh-CN" w:bidi="hi-IN"/>
        </w:rPr>
        <w:t>The response process remains the same throughout identify, quantify, assess and respond. It is not possible to quantify a threat or risk that has not been identified, nor to assess one that has not been quantified. Response without detection is an impossible concept, so the order must remain constant. This means that resilience is a function of response but needs to be tested in the same way as protective measures.</w:t>
      </w:r>
    </w:p>
    <w:p w14:paraId="34DD5549" w14:textId="77777777" w:rsidR="00C3651A" w:rsidRPr="00400193" w:rsidRDefault="00C3651A" w:rsidP="00C3651A">
      <w:pPr>
        <w:keepNext/>
        <w:suppressAutoHyphens/>
        <w:spacing w:after="0" w:line="240" w:lineRule="auto"/>
        <w:rPr>
          <w:szCs w:val="24"/>
          <w:lang w:eastAsia="zh-CN" w:bidi="hi-IN"/>
        </w:rPr>
      </w:pPr>
      <w:r w:rsidRPr="00400193">
        <w:rPr>
          <w:noProof/>
          <w:szCs w:val="24"/>
          <w:lang w:val="en-US"/>
        </w:rPr>
        <w:drawing>
          <wp:inline distT="0" distB="0" distL="0" distR="0" wp14:anchorId="249E400E" wp14:editId="3435B569">
            <wp:extent cx="5760000" cy="3586493"/>
            <wp:effectExtent l="19050" t="19050" r="12700" b="13970"/>
            <wp:docPr id="27"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9.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60000" cy="3586493"/>
                    </a:xfrm>
                    <a:prstGeom prst="rect">
                      <a:avLst/>
                    </a:prstGeom>
                    <a:noFill/>
                    <a:ln w="19050">
                      <a:solidFill>
                        <a:schemeClr val="tx1"/>
                      </a:solidFill>
                    </a:ln>
                  </pic:spPr>
                </pic:pic>
              </a:graphicData>
            </a:graphic>
          </wp:inline>
        </w:drawing>
      </w:r>
      <w:bookmarkStart w:id="246" w:name="_2y3w247"/>
      <w:bookmarkEnd w:id="246"/>
    </w:p>
    <w:p w14:paraId="2A1D9B67" w14:textId="42018D3B" w:rsidR="00C3651A" w:rsidRPr="00400193" w:rsidRDefault="00C3651A" w:rsidP="00C3651A">
      <w:pPr>
        <w:pStyle w:val="Caption"/>
        <w:spacing w:after="240"/>
      </w:pPr>
      <w:bookmarkStart w:id="247" w:name="_Ref43046231"/>
      <w:bookmarkStart w:id="248" w:name="_Toc5538756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3</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w:t>
      </w:r>
      <w:r w:rsidR="00E35E8C" w:rsidRPr="00400193">
        <w:fldChar w:fldCharType="end"/>
      </w:r>
      <w:bookmarkEnd w:id="247"/>
      <w:r w:rsidRPr="00400193">
        <w:t>: Tran et al.'s Resilience Model. Source: adapted from Tran et al. (2016, p. 22)</w:t>
      </w:r>
      <w:bookmarkEnd w:id="248"/>
    </w:p>
    <w:p w14:paraId="4CDF75A4" w14:textId="77777777" w:rsidR="00C3651A" w:rsidRPr="00400193" w:rsidRDefault="00C3651A" w:rsidP="00C3651A">
      <w:pPr>
        <w:rPr>
          <w:lang w:eastAsia="zh-CN" w:bidi="hi-IN"/>
        </w:rPr>
      </w:pPr>
      <w:r w:rsidRPr="00400193">
        <w:rPr>
          <w:lang w:eastAsia="zh-CN" w:bidi="hi-IN"/>
        </w:rPr>
        <w:lastRenderedPageBreak/>
        <w:t>Response to a cyber-attack must be a ‘whole business’ response (Rossi, 2015; Schneier, 2000). Every division or department must be involved. This is partly because of the interconnectedness of departments within a company, but also because, directly or indirectly, every department will be affected by the attack. The first response may remedy the situation, but there also needs to be a secondary response: an enquiry. For resilience, it is essential to know as much as possible about how, where, when, and why the attack took place, but this is less important than avoiding business interruption.</w:t>
      </w:r>
    </w:p>
    <w:tbl>
      <w:tblPr>
        <w:tblW w:w="9024" w:type="dxa"/>
        <w:tblLook w:val="04A0" w:firstRow="1" w:lastRow="0" w:firstColumn="1" w:lastColumn="0" w:noHBand="0" w:noVBand="1"/>
      </w:tblPr>
      <w:tblGrid>
        <w:gridCol w:w="4513"/>
        <w:gridCol w:w="4511"/>
      </w:tblGrid>
      <w:tr w:rsidR="00A0618E" w:rsidRPr="00400193" w14:paraId="282C0737" w14:textId="77777777" w:rsidTr="00C3651A">
        <w:tc>
          <w:tcPr>
            <w:tcW w:w="4513" w:type="dxa"/>
            <w:tcBorders>
              <w:top w:val="single" w:sz="6" w:space="0" w:color="000000"/>
              <w:left w:val="nil"/>
              <w:bottom w:val="single" w:sz="6" w:space="0" w:color="000000"/>
              <w:right w:val="nil"/>
            </w:tcBorders>
            <w:hideMark/>
          </w:tcPr>
          <w:p w14:paraId="33B0E966" w14:textId="77777777" w:rsidR="00C3651A" w:rsidRPr="00400193" w:rsidRDefault="00C3651A" w:rsidP="00C3651A">
            <w:pPr>
              <w:suppressAutoHyphens/>
              <w:spacing w:after="103" w:line="240" w:lineRule="auto"/>
              <w:jc w:val="left"/>
              <w:rPr>
                <w:sz w:val="22"/>
                <w:lang w:eastAsia="zh-CN" w:bidi="hi-IN"/>
              </w:rPr>
            </w:pPr>
            <w:r w:rsidRPr="00400193">
              <w:rPr>
                <w:b/>
                <w:sz w:val="22"/>
                <w:lang w:eastAsia="zh-CN" w:bidi="hi-IN"/>
              </w:rPr>
              <w:t xml:space="preserve">Response </w:t>
            </w:r>
          </w:p>
        </w:tc>
        <w:tc>
          <w:tcPr>
            <w:tcW w:w="4511" w:type="dxa"/>
            <w:tcBorders>
              <w:top w:val="single" w:sz="6" w:space="0" w:color="000000"/>
              <w:left w:val="nil"/>
              <w:bottom w:val="single" w:sz="6" w:space="0" w:color="000000"/>
              <w:right w:val="nil"/>
            </w:tcBorders>
            <w:hideMark/>
          </w:tcPr>
          <w:p w14:paraId="24F6B936" w14:textId="77777777" w:rsidR="00C3651A" w:rsidRPr="00400193" w:rsidRDefault="00C3651A" w:rsidP="00C3651A">
            <w:pPr>
              <w:suppressAutoHyphens/>
              <w:spacing w:after="103" w:line="240" w:lineRule="auto"/>
              <w:jc w:val="left"/>
              <w:rPr>
                <w:sz w:val="22"/>
                <w:lang w:eastAsia="zh-CN" w:bidi="hi-IN"/>
              </w:rPr>
            </w:pPr>
            <w:r w:rsidRPr="00400193">
              <w:rPr>
                <w:b/>
                <w:sz w:val="22"/>
                <w:lang w:eastAsia="zh-CN" w:bidi="hi-IN"/>
              </w:rPr>
              <w:t>Reference</w:t>
            </w:r>
          </w:p>
        </w:tc>
      </w:tr>
      <w:tr w:rsidR="00A0618E" w:rsidRPr="00400193" w14:paraId="6C35BF54" w14:textId="77777777" w:rsidTr="00C3651A">
        <w:tc>
          <w:tcPr>
            <w:tcW w:w="4513" w:type="dxa"/>
            <w:hideMark/>
          </w:tcPr>
          <w:p w14:paraId="3C1D7E1B"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Legal </w:t>
            </w:r>
            <w:r w:rsidRPr="00400193">
              <w:rPr>
                <w:rFonts w:asciiTheme="minorHAnsi" w:hAnsiTheme="minorHAnsi" w:cstheme="minorHAnsi"/>
                <w:sz w:val="22"/>
                <w:vertAlign w:val="superscript"/>
                <w:lang w:eastAsia="zh-CN" w:bidi="hi-IN"/>
              </w:rPr>
              <w:t>a</w:t>
            </w:r>
          </w:p>
        </w:tc>
        <w:tc>
          <w:tcPr>
            <w:tcW w:w="4511" w:type="dxa"/>
            <w:hideMark/>
          </w:tcPr>
          <w:p w14:paraId="527BA354"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Dev (2015); Hathaway et al. (2012); Payne and Finlay (2017); Peng et al. (2006)</w:t>
            </w:r>
          </w:p>
        </w:tc>
      </w:tr>
      <w:tr w:rsidR="00A0618E" w:rsidRPr="00400193" w14:paraId="31639901" w14:textId="77777777" w:rsidTr="00C3651A">
        <w:tc>
          <w:tcPr>
            <w:tcW w:w="4513" w:type="dxa"/>
            <w:hideMark/>
          </w:tcPr>
          <w:p w14:paraId="64F9F658"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 xml:space="preserve">Military </w:t>
            </w:r>
            <w:r w:rsidRPr="00400193">
              <w:rPr>
                <w:rFonts w:asciiTheme="minorHAnsi" w:hAnsiTheme="minorHAnsi" w:cstheme="minorHAnsi"/>
                <w:sz w:val="22"/>
                <w:vertAlign w:val="superscript"/>
                <w:lang w:eastAsia="zh-CN" w:bidi="hi-IN"/>
              </w:rPr>
              <w:t>b</w:t>
            </w:r>
          </w:p>
        </w:tc>
        <w:tc>
          <w:tcPr>
            <w:tcW w:w="4511" w:type="dxa"/>
            <w:hideMark/>
          </w:tcPr>
          <w:p w14:paraId="646C7F7C"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Dev (2015); Herzog (2011); Payne and Finlay (2017)</w:t>
            </w:r>
          </w:p>
        </w:tc>
      </w:tr>
      <w:tr w:rsidR="00A0618E" w:rsidRPr="00400193" w14:paraId="3283304C" w14:textId="77777777" w:rsidTr="00C3651A">
        <w:tc>
          <w:tcPr>
            <w:tcW w:w="4513" w:type="dxa"/>
            <w:hideMark/>
          </w:tcPr>
          <w:p w14:paraId="54F196DA"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Accurate Risk Impact Tolerance (ARITO)</w:t>
            </w:r>
            <w:r w:rsidRPr="00400193">
              <w:rPr>
                <w:rFonts w:asciiTheme="minorHAnsi" w:hAnsiTheme="minorHAnsi" w:cstheme="minorHAnsi"/>
                <w:sz w:val="22"/>
                <w:vertAlign w:val="superscript"/>
                <w:lang w:eastAsia="zh-CN" w:bidi="hi-IN"/>
              </w:rPr>
              <w:t>c</w:t>
            </w:r>
          </w:p>
        </w:tc>
        <w:tc>
          <w:tcPr>
            <w:tcW w:w="4511" w:type="dxa"/>
            <w:hideMark/>
          </w:tcPr>
          <w:p w14:paraId="5334FAB7"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Shameli-Sendi and Dagenais (2014)</w:t>
            </w:r>
          </w:p>
        </w:tc>
      </w:tr>
      <w:tr w:rsidR="00A0618E" w:rsidRPr="00400193" w14:paraId="40B7062A" w14:textId="77777777" w:rsidTr="00C3651A">
        <w:tc>
          <w:tcPr>
            <w:tcW w:w="4513" w:type="dxa"/>
            <w:hideMark/>
          </w:tcPr>
          <w:p w14:paraId="6DE0AA13"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Cyber Risk Resilience Model (CRRM)</w:t>
            </w:r>
            <w:r w:rsidRPr="00400193">
              <w:rPr>
                <w:rFonts w:asciiTheme="minorHAnsi" w:hAnsiTheme="minorHAnsi" w:cstheme="minorHAnsi"/>
                <w:sz w:val="22"/>
                <w:vertAlign w:val="superscript"/>
                <w:lang w:eastAsia="zh-CN" w:bidi="hi-IN"/>
              </w:rPr>
              <w:t>d</w:t>
            </w:r>
          </w:p>
        </w:tc>
        <w:tc>
          <w:tcPr>
            <w:tcW w:w="4511" w:type="dxa"/>
            <w:hideMark/>
          </w:tcPr>
          <w:p w14:paraId="5EE98C44"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Tran et al. (2016)</w:t>
            </w:r>
          </w:p>
        </w:tc>
      </w:tr>
      <w:tr w:rsidR="00A0618E" w:rsidRPr="00400193" w14:paraId="763989E1" w14:textId="77777777" w:rsidTr="00C3651A">
        <w:tc>
          <w:tcPr>
            <w:tcW w:w="4513" w:type="dxa"/>
            <w:hideMark/>
          </w:tcPr>
          <w:p w14:paraId="48743D98"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Pull compromised system ‘offline’</w:t>
            </w:r>
          </w:p>
        </w:tc>
        <w:tc>
          <w:tcPr>
            <w:tcW w:w="4511" w:type="dxa"/>
            <w:hideMark/>
          </w:tcPr>
          <w:p w14:paraId="2E6BBCDF"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Caldwell (2016)</w:t>
            </w:r>
          </w:p>
        </w:tc>
      </w:tr>
      <w:tr w:rsidR="00A0618E" w:rsidRPr="00400193" w14:paraId="076F1CE0" w14:textId="77777777" w:rsidTr="00C3651A">
        <w:tc>
          <w:tcPr>
            <w:tcW w:w="4513" w:type="dxa"/>
            <w:hideMark/>
          </w:tcPr>
          <w:p w14:paraId="186B78E6"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Load backup data (if not compromised)</w:t>
            </w:r>
          </w:p>
        </w:tc>
        <w:tc>
          <w:tcPr>
            <w:tcW w:w="4511" w:type="dxa"/>
            <w:hideMark/>
          </w:tcPr>
          <w:p w14:paraId="6E09C247"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Andress and Winterfield (2011)</w:t>
            </w:r>
          </w:p>
        </w:tc>
      </w:tr>
      <w:tr w:rsidR="00A0618E" w:rsidRPr="00400193" w14:paraId="467C568A" w14:textId="77777777" w:rsidTr="00C3651A">
        <w:tc>
          <w:tcPr>
            <w:tcW w:w="4513" w:type="dxa"/>
            <w:hideMark/>
          </w:tcPr>
          <w:p w14:paraId="4CB3733F"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System shutdown (total or partial)</w:t>
            </w:r>
          </w:p>
        </w:tc>
        <w:tc>
          <w:tcPr>
            <w:tcW w:w="4511" w:type="dxa"/>
            <w:hideMark/>
          </w:tcPr>
          <w:p w14:paraId="1B5928BB"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Caldwell (2016)</w:t>
            </w:r>
          </w:p>
        </w:tc>
      </w:tr>
      <w:tr w:rsidR="00A0618E" w:rsidRPr="00400193" w14:paraId="414FE3D5" w14:textId="77777777" w:rsidTr="00C3651A">
        <w:tc>
          <w:tcPr>
            <w:tcW w:w="4513" w:type="dxa"/>
            <w:tcBorders>
              <w:top w:val="nil"/>
              <w:left w:val="nil"/>
              <w:bottom w:val="single" w:sz="6" w:space="0" w:color="000000"/>
              <w:right w:val="nil"/>
            </w:tcBorders>
            <w:hideMark/>
          </w:tcPr>
          <w:p w14:paraId="2B10C659" w14:textId="77777777" w:rsidR="00C3651A" w:rsidRPr="00400193" w:rsidRDefault="00C3651A" w:rsidP="00C3651A">
            <w:pPr>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Incorporation of an Information Security Governance (ISG) Framework</w:t>
            </w:r>
          </w:p>
        </w:tc>
        <w:tc>
          <w:tcPr>
            <w:tcW w:w="4511" w:type="dxa"/>
            <w:tcBorders>
              <w:top w:val="nil"/>
              <w:left w:val="nil"/>
              <w:bottom w:val="single" w:sz="6" w:space="0" w:color="000000"/>
              <w:right w:val="nil"/>
            </w:tcBorders>
            <w:hideMark/>
          </w:tcPr>
          <w:p w14:paraId="3D96127C" w14:textId="77777777" w:rsidR="00C3651A" w:rsidRPr="00400193" w:rsidRDefault="00C3651A" w:rsidP="00C3651A">
            <w:pPr>
              <w:keepNext/>
              <w:suppressAutoHyphens/>
              <w:spacing w:after="103"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Abu</w:t>
            </w:r>
            <w:r w:rsidRPr="00400193">
              <w:rPr>
                <w:rFonts w:ascii="Cambria Math" w:eastAsia="Cambria Math" w:hAnsi="Cambria Math" w:cs="Cambria Math"/>
                <w:sz w:val="22"/>
                <w:lang w:eastAsia="zh-CN" w:bidi="hi-IN"/>
              </w:rPr>
              <w:t>‐</w:t>
            </w:r>
            <w:r w:rsidRPr="00400193">
              <w:rPr>
                <w:rFonts w:asciiTheme="minorHAnsi" w:hAnsiTheme="minorHAnsi" w:cstheme="minorHAnsi"/>
                <w:sz w:val="22"/>
                <w:lang w:eastAsia="zh-CN" w:bidi="hi-IN"/>
              </w:rPr>
              <w:t>Musa (2010)</w:t>
            </w:r>
          </w:p>
        </w:tc>
      </w:tr>
    </w:tbl>
    <w:p w14:paraId="30E4327A" w14:textId="6BF68CFE" w:rsidR="00C3651A" w:rsidRPr="00400193" w:rsidRDefault="00C3651A" w:rsidP="00037F29">
      <w:pPr>
        <w:pStyle w:val="Caption"/>
      </w:pPr>
      <w:bookmarkStart w:id="249" w:name="_1d96cc0"/>
      <w:bookmarkStart w:id="250" w:name="_Ref43046361"/>
      <w:bookmarkStart w:id="251" w:name="_Toc52901542"/>
      <w:bookmarkEnd w:id="24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13</w:t>
      </w:r>
      <w:r w:rsidRPr="00400193">
        <w:fldChar w:fldCharType="end"/>
      </w:r>
      <w:bookmarkEnd w:id="250"/>
      <w:r w:rsidRPr="00400193">
        <w:t>: Possible first responses to cyber-attack.</w:t>
      </w:r>
      <w:bookmarkEnd w:id="251"/>
      <w:r w:rsidRPr="00400193">
        <w:t xml:space="preserve"> </w:t>
      </w:r>
    </w:p>
    <w:p w14:paraId="3D7152D4" w14:textId="77777777" w:rsidR="00C3651A" w:rsidRPr="00400193" w:rsidRDefault="00C3651A" w:rsidP="00C3651A">
      <w:pPr>
        <w:pStyle w:val="Caption"/>
        <w:spacing w:after="240"/>
        <w:rPr>
          <w:b w:val="0"/>
          <w:bCs/>
          <w:i w:val="0"/>
          <w:sz w:val="20"/>
          <w:szCs w:val="20"/>
          <w:lang w:eastAsia="zh-CN" w:bidi="hi-IN"/>
        </w:rPr>
      </w:pPr>
      <w:r w:rsidRPr="00400193">
        <w:rPr>
          <w:b w:val="0"/>
          <w:bCs/>
          <w:sz w:val="20"/>
          <w:szCs w:val="14"/>
        </w:rPr>
        <w:t xml:space="preserve">Notes: </w:t>
      </w:r>
      <w:r w:rsidRPr="00400193">
        <w:rPr>
          <w:b w:val="0"/>
          <w:bCs/>
          <w:sz w:val="20"/>
          <w:szCs w:val="14"/>
          <w:vertAlign w:val="superscript"/>
        </w:rPr>
        <w:t>a</w:t>
      </w:r>
      <w:r w:rsidRPr="00400193">
        <w:rPr>
          <w:b w:val="0"/>
          <w:bCs/>
          <w:sz w:val="20"/>
          <w:szCs w:val="14"/>
        </w:rPr>
        <w:t xml:space="preserve"> Necessary, but too late for resilience. </w:t>
      </w:r>
      <w:r w:rsidRPr="00400193">
        <w:rPr>
          <w:b w:val="0"/>
          <w:bCs/>
          <w:sz w:val="20"/>
          <w:szCs w:val="14"/>
          <w:vertAlign w:val="superscript"/>
        </w:rPr>
        <w:t>b</w:t>
      </w:r>
      <w:r w:rsidRPr="00400193">
        <w:rPr>
          <w:b w:val="0"/>
          <w:bCs/>
          <w:sz w:val="20"/>
          <w:szCs w:val="14"/>
        </w:rPr>
        <w:t xml:space="preserve"> Although extreme, ‘cyber war’ presumes a military response, but further definition of thresholds of ‘use of force’ are required. </w:t>
      </w:r>
      <w:r w:rsidRPr="00400193">
        <w:rPr>
          <w:b w:val="0"/>
          <w:bCs/>
          <w:sz w:val="20"/>
          <w:szCs w:val="14"/>
          <w:vertAlign w:val="superscript"/>
        </w:rPr>
        <w:t>c</w:t>
      </w:r>
      <w:r w:rsidRPr="00400193">
        <w:rPr>
          <w:b w:val="0"/>
          <w:bCs/>
          <w:sz w:val="20"/>
          <w:szCs w:val="14"/>
        </w:rPr>
        <w:t xml:space="preserve"> A proposed response model.</w:t>
      </w:r>
    </w:p>
    <w:p w14:paraId="3F83670F" w14:textId="77777777" w:rsidR="00C3651A" w:rsidRPr="00400193" w:rsidRDefault="00C3651A" w:rsidP="00C3651A">
      <w:pPr>
        <w:rPr>
          <w:lang w:eastAsia="zh-CN" w:bidi="hi-IN"/>
        </w:rPr>
      </w:pPr>
      <w:r w:rsidRPr="00400193">
        <w:rPr>
          <w:lang w:eastAsia="zh-CN" w:bidi="hi-IN"/>
        </w:rPr>
        <w:t>Abu-Musa (2010) stressed the importance of an information security governance (ISG) framework because:</w:t>
      </w:r>
    </w:p>
    <w:p w14:paraId="2F156E56" w14:textId="77777777" w:rsidR="00C3651A" w:rsidRPr="00400193" w:rsidRDefault="00C3651A" w:rsidP="003A01A2">
      <w:pPr>
        <w:pStyle w:val="Quote"/>
        <w:rPr>
          <w:lang w:eastAsia="zh-CN" w:bidi="hi-IN"/>
        </w:rPr>
      </w:pPr>
      <w:r w:rsidRPr="00400193">
        <w:rPr>
          <w:lang w:eastAsia="zh-CN" w:bidi="hi-IN"/>
        </w:rPr>
        <w:t>a governance approach to information security could provide a better framework to meet new requirements and to manage risks within the enterprise. It could help to communicate more effectively within the enterprise as well as with external parties, including regulators. Furthermore, it could help to further the security profession by clearly establishing governance and protection roles and responsibilities” (Abu</w:t>
      </w:r>
      <w:r w:rsidRPr="00400193">
        <w:rPr>
          <w:rFonts w:ascii="Cambria Math" w:eastAsia="Cambria Math" w:hAnsi="Cambria Math" w:cs="Cambria Math"/>
          <w:lang w:eastAsia="zh-CN" w:bidi="hi-IN"/>
        </w:rPr>
        <w:t>‐</w:t>
      </w:r>
      <w:r w:rsidRPr="00400193">
        <w:rPr>
          <w:lang w:eastAsia="zh-CN" w:bidi="hi-IN"/>
        </w:rPr>
        <w:t>Musa, 2010, p. 230).</w:t>
      </w:r>
    </w:p>
    <w:p w14:paraId="6436A272" w14:textId="77777777" w:rsidR="00C3651A" w:rsidRPr="00400193" w:rsidRDefault="00C3651A" w:rsidP="00C3651A">
      <w:pPr>
        <w:rPr>
          <w:lang w:eastAsia="zh-CN" w:bidi="hi-IN"/>
        </w:rPr>
      </w:pPr>
      <w:r w:rsidRPr="00400193">
        <w:rPr>
          <w:lang w:eastAsia="zh-CN" w:bidi="hi-IN"/>
        </w:rPr>
        <w:t>This is consistent with the new resilience framework; in that it must be a governance issue. It is as important as any existing governance, and realistically all cyber-security within a company should be treated as though it were a statutory requirement.</w:t>
      </w:r>
    </w:p>
    <w:p w14:paraId="1F02DB03" w14:textId="7B0596FA" w:rsidR="00C3651A" w:rsidRPr="00400193" w:rsidRDefault="00C3651A" w:rsidP="00C3651A">
      <w:pPr>
        <w:rPr>
          <w:lang w:eastAsia="zh-CN" w:bidi="hi-IN"/>
        </w:rPr>
      </w:pPr>
      <w:r w:rsidRPr="00400193">
        <w:rPr>
          <w:lang w:eastAsia="zh-CN" w:bidi="hi-IN"/>
        </w:rPr>
        <w:lastRenderedPageBreak/>
        <w:t>From the beginning of a cyber-attack, the first automatic response of the system must be to stop the attack from spreading (Baldwin</w:t>
      </w:r>
      <w:r w:rsidRPr="00400193">
        <w:rPr>
          <w:i/>
          <w:iCs/>
          <w:lang w:eastAsia="zh-CN" w:bidi="hi-IN"/>
        </w:rPr>
        <w:t xml:space="preserve"> </w:t>
      </w:r>
      <w:r w:rsidRPr="00400193">
        <w:rPr>
          <w:lang w:eastAsia="zh-CN" w:bidi="hi-IN"/>
        </w:rPr>
        <w:t xml:space="preserve">et al., 2017). This must also be the goal of the Computer Security Incident Response Team (CSIRT) (Steinke et al., 2015). This team must coordinate the response and have a strategy that does not include counterattack. This is often the ‘knee-jerk’ reaction to any attack, but it is unlikely to be legal, and may do further harm to the company reputation. Cyber-attacks are growing more sophisticated year-on-year (Niblett, 2016). Coupled with the proposed use of unmanned aerial vehicles (drones) for business delivery systems, the potential harm from the attack is also increased. A thief taking control of a delivery drone would cost money, but a terrorist doing so could have much more serious consequences (Sedjelmaci, Senouci </w:t>
      </w:r>
      <w:r w:rsidR="00E93EE0" w:rsidRPr="00400193">
        <w:rPr>
          <w:lang w:eastAsia="zh-CN" w:bidi="hi-IN"/>
        </w:rPr>
        <w:t>and</w:t>
      </w:r>
      <w:r w:rsidRPr="00400193">
        <w:rPr>
          <w:lang w:eastAsia="zh-CN" w:bidi="hi-IN"/>
        </w:rPr>
        <w:t xml:space="preserve"> Ansari, 2017).</w:t>
      </w:r>
    </w:p>
    <w:p w14:paraId="4B98D5A2" w14:textId="70BDF533" w:rsidR="00C3651A" w:rsidRPr="00400193" w:rsidRDefault="00C3651A" w:rsidP="00C3651A">
      <w:pPr>
        <w:rPr>
          <w:lang w:eastAsia="zh-CN" w:bidi="hi-IN"/>
        </w:rPr>
      </w:pPr>
      <w:r w:rsidRPr="00400193">
        <w:rPr>
          <w:lang w:eastAsia="zh-CN" w:bidi="hi-IN"/>
        </w:rPr>
        <w:t xml:space="preserve">The response sequence shown in </w:t>
      </w:r>
      <w:r w:rsidRPr="00400193">
        <w:rPr>
          <w:lang w:eastAsia="zh-CN" w:bidi="hi-IN"/>
        </w:rPr>
        <w:fldChar w:fldCharType="begin"/>
      </w:r>
      <w:r w:rsidRPr="00400193">
        <w:rPr>
          <w:lang w:eastAsia="zh-CN" w:bidi="hi-IN"/>
        </w:rPr>
        <w:instrText xml:space="preserve"> REF _Ref43046677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3</w:t>
      </w:r>
      <w:r w:rsidR="00BB7C18" w:rsidRPr="00400193">
        <w:noBreakHyphen/>
      </w:r>
      <w:r w:rsidR="00BB7C18">
        <w:rPr>
          <w:noProof/>
        </w:rPr>
        <w:t>14</w:t>
      </w:r>
      <w:r w:rsidRPr="00400193">
        <w:rPr>
          <w:lang w:eastAsia="zh-CN" w:bidi="hi-IN"/>
        </w:rPr>
        <w:fldChar w:fldCharType="end"/>
      </w:r>
      <w:r w:rsidRPr="00400193">
        <w:rPr>
          <w:lang w:eastAsia="zh-CN" w:bidi="hi-IN"/>
        </w:rPr>
        <w:t xml:space="preserve"> has been developed to build on this. The framework is intended to improve resilience and reduce the effect of attacks, and this sequence is a prioritisation of actions within the framework. The main difficulty with resilience and response is the changeable nature of cyber-attacks. For example, DNS poisoning (Shulman </w:t>
      </w:r>
      <w:r w:rsidR="00E93EE0" w:rsidRPr="00400193">
        <w:rPr>
          <w:lang w:eastAsia="zh-CN" w:bidi="hi-IN"/>
        </w:rPr>
        <w:t>and</w:t>
      </w:r>
      <w:r w:rsidRPr="00400193">
        <w:rPr>
          <w:lang w:eastAsia="zh-CN" w:bidi="hi-IN"/>
        </w:rPr>
        <w:t xml:space="preserve"> Waidner, 2014) requires a different response strategy from a DDoS attack via an internet-connected appliance (Jing et al., 2014), or hackers taking control of building automation (Fisk, 2012). However, the sequence of response remains the same, and the potential damage or severity of the attack does not affect the order of response. The ideal ‘adaptive response’ outlined in the literature review, which is the core of resilience, is also not directly dependent on the severity of the attack or its potential effect. The actual effect must be controlled, which requires a flexible and adaptive strategy for every attack, and a regular assessment of vulnerabilities and weaknesses. Of course, it is not possible to predict previously unknown attacks, but resilience requires detection and response before there is excessive damage. </w:t>
      </w:r>
    </w:p>
    <w:p w14:paraId="7AC2AA86" w14:textId="77777777" w:rsidR="003A01A2" w:rsidRPr="00400193" w:rsidRDefault="003A01A2" w:rsidP="003A01A2">
      <w:pPr>
        <w:pStyle w:val="Heading5"/>
        <w:rPr>
          <w:rFonts w:eastAsia="Arial"/>
          <w:lang w:eastAsia="zh-CN" w:bidi="hi-IN"/>
        </w:rPr>
      </w:pPr>
      <w:bookmarkStart w:id="252" w:name="_Toc61894706"/>
      <w:r w:rsidRPr="00400193">
        <w:rPr>
          <w:rFonts w:eastAsia="Arial"/>
          <w:lang w:eastAsia="zh-CN" w:bidi="hi-IN"/>
        </w:rPr>
        <w:t>OPSEC Training</w:t>
      </w:r>
      <w:bookmarkEnd w:id="252"/>
    </w:p>
    <w:p w14:paraId="1914D8FC" w14:textId="77777777" w:rsidR="003A01A2" w:rsidRPr="00400193" w:rsidRDefault="003A01A2" w:rsidP="003A01A2">
      <w:pPr>
        <w:suppressAutoHyphens/>
        <w:rPr>
          <w:szCs w:val="24"/>
          <w:lang w:eastAsia="zh-CN" w:bidi="hi-IN"/>
        </w:rPr>
      </w:pPr>
      <w:r w:rsidRPr="00400193">
        <w:rPr>
          <w:szCs w:val="24"/>
          <w:lang w:eastAsia="zh-CN" w:bidi="hi-IN"/>
        </w:rPr>
        <w:t xml:space="preserve">In Operational Security (OPSEC), recent training has begun to include ‘online operations’, with specific emphasis on hacktivism and cyber-terrorism (de Laat, 2015; Weimann, 2004). This may be a positive step for the future, but it is still too early to judge. </w:t>
      </w:r>
    </w:p>
    <w:p w14:paraId="4BB006CF" w14:textId="77777777" w:rsidR="003A01A2" w:rsidRPr="00400193" w:rsidRDefault="003A01A2" w:rsidP="00C3651A">
      <w:pPr>
        <w:rPr>
          <w:lang w:eastAsia="zh-CN" w:bidi="hi-IN"/>
        </w:rPr>
      </w:pPr>
    </w:p>
    <w:tbl>
      <w:tblPr>
        <w:tblW w:w="9019" w:type="dxa"/>
        <w:tblLook w:val="04A0" w:firstRow="1" w:lastRow="0" w:firstColumn="1" w:lastColumn="0" w:noHBand="0" w:noVBand="1"/>
      </w:tblPr>
      <w:tblGrid>
        <w:gridCol w:w="384"/>
        <w:gridCol w:w="3815"/>
        <w:gridCol w:w="2595"/>
        <w:gridCol w:w="2225"/>
      </w:tblGrid>
      <w:tr w:rsidR="00A0618E" w:rsidRPr="00400193" w14:paraId="7095F301" w14:textId="77777777" w:rsidTr="00C3651A">
        <w:tc>
          <w:tcPr>
            <w:tcW w:w="4134" w:type="dxa"/>
            <w:gridSpan w:val="2"/>
            <w:tcBorders>
              <w:top w:val="single" w:sz="6" w:space="0" w:color="000000"/>
              <w:left w:val="nil"/>
              <w:bottom w:val="single" w:sz="6" w:space="0" w:color="000000"/>
              <w:right w:val="nil"/>
            </w:tcBorders>
            <w:hideMark/>
          </w:tcPr>
          <w:p w14:paraId="414895FF"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lastRenderedPageBreak/>
              <w:t xml:space="preserve">Response Sequence </w:t>
            </w:r>
          </w:p>
        </w:tc>
        <w:tc>
          <w:tcPr>
            <w:tcW w:w="2633" w:type="dxa"/>
            <w:tcBorders>
              <w:top w:val="single" w:sz="6" w:space="0" w:color="000000"/>
              <w:left w:val="nil"/>
              <w:bottom w:val="single" w:sz="6" w:space="0" w:color="000000"/>
              <w:right w:val="nil"/>
            </w:tcBorders>
            <w:hideMark/>
          </w:tcPr>
          <w:p w14:paraId="18AF31EE"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Effect on Resilience</w:t>
            </w:r>
          </w:p>
        </w:tc>
        <w:tc>
          <w:tcPr>
            <w:tcW w:w="2251" w:type="dxa"/>
            <w:tcBorders>
              <w:top w:val="single" w:sz="6" w:space="0" w:color="000000"/>
              <w:left w:val="nil"/>
              <w:bottom w:val="single" w:sz="6" w:space="0" w:color="000000"/>
              <w:right w:val="nil"/>
            </w:tcBorders>
            <w:hideMark/>
          </w:tcPr>
          <w:p w14:paraId="141B2638"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b/>
                <w:sz w:val="22"/>
                <w:lang w:eastAsia="zh-CN" w:bidi="hi-IN"/>
              </w:rPr>
              <w:t>Reference</w:t>
            </w:r>
          </w:p>
        </w:tc>
      </w:tr>
      <w:tr w:rsidR="00A0618E" w:rsidRPr="00400193" w14:paraId="008A905D" w14:textId="77777777" w:rsidTr="00C3651A">
        <w:tc>
          <w:tcPr>
            <w:tcW w:w="266" w:type="dxa"/>
            <w:hideMark/>
          </w:tcPr>
          <w:p w14:paraId="43986433"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1.</w:t>
            </w:r>
          </w:p>
        </w:tc>
        <w:tc>
          <w:tcPr>
            <w:tcW w:w="3868" w:type="dxa"/>
            <w:hideMark/>
          </w:tcPr>
          <w:p w14:paraId="4848D5AA"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Alert CSIRT at first detection</w:t>
            </w:r>
          </w:p>
        </w:tc>
        <w:tc>
          <w:tcPr>
            <w:tcW w:w="2633" w:type="dxa"/>
            <w:hideMark/>
          </w:tcPr>
          <w:p w14:paraId="2D39AC22"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Necessary, but neutral</w:t>
            </w:r>
          </w:p>
        </w:tc>
        <w:tc>
          <w:tcPr>
            <w:tcW w:w="2251" w:type="dxa"/>
            <w:hideMark/>
          </w:tcPr>
          <w:p w14:paraId="188D51DF"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Sedjelmaci, Senouci, and Ansari (2017); Steinke et al. (2015); Yoon et al. (2016)</w:t>
            </w:r>
          </w:p>
        </w:tc>
      </w:tr>
      <w:tr w:rsidR="00A0618E" w:rsidRPr="00400193" w14:paraId="721129EA" w14:textId="77777777" w:rsidTr="00C3651A">
        <w:tc>
          <w:tcPr>
            <w:tcW w:w="266" w:type="dxa"/>
            <w:hideMark/>
          </w:tcPr>
          <w:p w14:paraId="5ED0E3AD"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2.</w:t>
            </w:r>
          </w:p>
        </w:tc>
        <w:tc>
          <w:tcPr>
            <w:tcW w:w="3868" w:type="dxa"/>
            <w:hideMark/>
          </w:tcPr>
          <w:p w14:paraId="0EBB3DEA"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Isolate affected system/computer</w:t>
            </w:r>
          </w:p>
        </w:tc>
        <w:tc>
          <w:tcPr>
            <w:tcW w:w="2633" w:type="dxa"/>
            <w:hideMark/>
          </w:tcPr>
          <w:p w14:paraId="404305B0"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Essential, positive</w:t>
            </w:r>
          </w:p>
        </w:tc>
        <w:tc>
          <w:tcPr>
            <w:tcW w:w="2251" w:type="dxa"/>
            <w:hideMark/>
          </w:tcPr>
          <w:p w14:paraId="663DF5F2"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Tran et al. (2016)</w:t>
            </w:r>
          </w:p>
        </w:tc>
      </w:tr>
      <w:tr w:rsidR="00A0618E" w:rsidRPr="00400193" w14:paraId="18D02AB0" w14:textId="77777777" w:rsidTr="00C3651A">
        <w:tc>
          <w:tcPr>
            <w:tcW w:w="266" w:type="dxa"/>
            <w:hideMark/>
          </w:tcPr>
          <w:p w14:paraId="1781F085"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3.</w:t>
            </w:r>
          </w:p>
        </w:tc>
        <w:tc>
          <w:tcPr>
            <w:tcW w:w="3868" w:type="dxa"/>
            <w:hideMark/>
          </w:tcPr>
          <w:p w14:paraId="6EF4D131"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Ensure business continuity through other media or systems</w:t>
            </w:r>
          </w:p>
        </w:tc>
        <w:tc>
          <w:tcPr>
            <w:tcW w:w="2633" w:type="dxa"/>
            <w:hideMark/>
          </w:tcPr>
          <w:p w14:paraId="410A2B74"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Essential, positive</w:t>
            </w:r>
          </w:p>
        </w:tc>
        <w:tc>
          <w:tcPr>
            <w:tcW w:w="2251" w:type="dxa"/>
            <w:hideMark/>
          </w:tcPr>
          <w:p w14:paraId="3E31D549"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Rossi (2015); Schneier (2000)</w:t>
            </w:r>
          </w:p>
        </w:tc>
      </w:tr>
      <w:tr w:rsidR="00A0618E" w:rsidRPr="00400193" w14:paraId="7EDB4F04" w14:textId="77777777" w:rsidTr="00C3651A">
        <w:tc>
          <w:tcPr>
            <w:tcW w:w="266" w:type="dxa"/>
            <w:hideMark/>
          </w:tcPr>
          <w:p w14:paraId="05025B43"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4.</w:t>
            </w:r>
          </w:p>
        </w:tc>
        <w:tc>
          <w:tcPr>
            <w:tcW w:w="3868" w:type="dxa"/>
            <w:hideMark/>
          </w:tcPr>
          <w:p w14:paraId="4673CB18"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Use selected form of CRRM to begin recovery</w:t>
            </w:r>
          </w:p>
        </w:tc>
        <w:tc>
          <w:tcPr>
            <w:tcW w:w="2633" w:type="dxa"/>
            <w:hideMark/>
          </w:tcPr>
          <w:p w14:paraId="63432292"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Essential, positive</w:t>
            </w:r>
          </w:p>
        </w:tc>
        <w:tc>
          <w:tcPr>
            <w:tcW w:w="2251" w:type="dxa"/>
            <w:hideMark/>
          </w:tcPr>
          <w:p w14:paraId="2192267D"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Tran et al. (2016)</w:t>
            </w:r>
          </w:p>
        </w:tc>
      </w:tr>
      <w:tr w:rsidR="00A0618E" w:rsidRPr="00400193" w14:paraId="44FF4684" w14:textId="77777777" w:rsidTr="00C3651A">
        <w:tc>
          <w:tcPr>
            <w:tcW w:w="266" w:type="dxa"/>
            <w:hideMark/>
          </w:tcPr>
          <w:p w14:paraId="3E7342D7"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5.</w:t>
            </w:r>
          </w:p>
        </w:tc>
        <w:tc>
          <w:tcPr>
            <w:tcW w:w="3868" w:type="dxa"/>
            <w:hideMark/>
          </w:tcPr>
          <w:p w14:paraId="66D80BA5"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Find legal position</w:t>
            </w:r>
          </w:p>
        </w:tc>
        <w:tc>
          <w:tcPr>
            <w:tcW w:w="2633" w:type="dxa"/>
            <w:hideMark/>
          </w:tcPr>
          <w:p w14:paraId="0943951B"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Neutral, but can affect liability and cost</w:t>
            </w:r>
          </w:p>
        </w:tc>
        <w:tc>
          <w:tcPr>
            <w:tcW w:w="2251" w:type="dxa"/>
            <w:hideMark/>
          </w:tcPr>
          <w:p w14:paraId="00BBF053"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Dev (2015); Hathaway et al. (2012)</w:t>
            </w:r>
          </w:p>
        </w:tc>
      </w:tr>
      <w:tr w:rsidR="00A0618E" w:rsidRPr="00400193" w14:paraId="7248CF73" w14:textId="77777777" w:rsidTr="00C3651A">
        <w:tc>
          <w:tcPr>
            <w:tcW w:w="266" w:type="dxa"/>
            <w:tcBorders>
              <w:top w:val="nil"/>
              <w:left w:val="nil"/>
              <w:bottom w:val="single" w:sz="6" w:space="0" w:color="000000"/>
              <w:right w:val="nil"/>
            </w:tcBorders>
            <w:hideMark/>
          </w:tcPr>
          <w:p w14:paraId="10410FCC"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6.</w:t>
            </w:r>
          </w:p>
        </w:tc>
        <w:tc>
          <w:tcPr>
            <w:tcW w:w="3868" w:type="dxa"/>
            <w:tcBorders>
              <w:top w:val="nil"/>
              <w:left w:val="nil"/>
              <w:bottom w:val="single" w:sz="6" w:space="0" w:color="000000"/>
              <w:right w:val="nil"/>
            </w:tcBorders>
            <w:hideMark/>
          </w:tcPr>
          <w:p w14:paraId="2B07BBE2"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Enquiry</w:t>
            </w:r>
          </w:p>
        </w:tc>
        <w:tc>
          <w:tcPr>
            <w:tcW w:w="2633" w:type="dxa"/>
            <w:tcBorders>
              <w:top w:val="nil"/>
              <w:left w:val="nil"/>
              <w:bottom w:val="single" w:sz="6" w:space="0" w:color="000000"/>
              <w:right w:val="nil"/>
            </w:tcBorders>
            <w:hideMark/>
          </w:tcPr>
          <w:p w14:paraId="62BF9E79" w14:textId="77777777" w:rsidR="00C3651A" w:rsidRPr="00400193" w:rsidRDefault="00C3651A" w:rsidP="00C3651A">
            <w:pPr>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Neutral now, but essential to prevent future events.</w:t>
            </w:r>
          </w:p>
        </w:tc>
        <w:tc>
          <w:tcPr>
            <w:tcW w:w="2251" w:type="dxa"/>
            <w:tcBorders>
              <w:top w:val="nil"/>
              <w:left w:val="nil"/>
              <w:bottom w:val="single" w:sz="6" w:space="0" w:color="000000"/>
              <w:right w:val="nil"/>
            </w:tcBorders>
            <w:hideMark/>
          </w:tcPr>
          <w:p w14:paraId="6C2F6BD6" w14:textId="77777777" w:rsidR="00C3651A" w:rsidRPr="00400193" w:rsidRDefault="00C3651A" w:rsidP="00C3651A">
            <w:pPr>
              <w:keepNext/>
              <w:suppressAutoHyphens/>
              <w:spacing w:after="46" w:line="240" w:lineRule="auto"/>
              <w:jc w:val="left"/>
              <w:rPr>
                <w:rFonts w:asciiTheme="minorHAnsi" w:hAnsiTheme="minorHAnsi" w:cstheme="minorHAnsi"/>
                <w:sz w:val="22"/>
                <w:lang w:eastAsia="zh-CN" w:bidi="hi-IN"/>
              </w:rPr>
            </w:pPr>
            <w:r w:rsidRPr="00400193">
              <w:rPr>
                <w:rFonts w:asciiTheme="minorHAnsi" w:hAnsiTheme="minorHAnsi" w:cstheme="minorHAnsi"/>
                <w:sz w:val="22"/>
                <w:lang w:eastAsia="zh-CN" w:bidi="hi-IN"/>
              </w:rPr>
              <w:t>Baldwin et al. (2017)</w:t>
            </w:r>
          </w:p>
        </w:tc>
      </w:tr>
    </w:tbl>
    <w:p w14:paraId="6E4B5F64" w14:textId="461C6E67" w:rsidR="00C3651A" w:rsidRPr="00400193" w:rsidRDefault="00C3651A" w:rsidP="00C3651A">
      <w:pPr>
        <w:pStyle w:val="Caption"/>
        <w:rPr>
          <w:b w:val="0"/>
          <w:i w:val="0"/>
          <w:szCs w:val="24"/>
          <w:lang w:eastAsia="zh-CN" w:bidi="hi-IN"/>
        </w:rPr>
      </w:pPr>
      <w:bookmarkStart w:id="253" w:name="_3x8tuzt"/>
      <w:bookmarkStart w:id="254" w:name="_Ref43046677"/>
      <w:bookmarkStart w:id="255" w:name="_Toc52901543"/>
      <w:bookmarkEnd w:id="25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3</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14</w:t>
      </w:r>
      <w:r w:rsidRPr="00400193">
        <w:fldChar w:fldCharType="end"/>
      </w:r>
      <w:bookmarkEnd w:id="254"/>
      <w:r w:rsidRPr="00400193">
        <w:t>: The response sequence</w:t>
      </w:r>
      <w:bookmarkEnd w:id="255"/>
    </w:p>
    <w:p w14:paraId="60F4B358" w14:textId="77777777" w:rsidR="00FD732F" w:rsidRPr="00400193" w:rsidRDefault="00FD732F" w:rsidP="00FD732F">
      <w:pPr>
        <w:pStyle w:val="Heading4"/>
      </w:pPr>
      <w:bookmarkStart w:id="256" w:name="_2ce457m"/>
      <w:bookmarkStart w:id="257" w:name="_Toc61894707"/>
      <w:bookmarkStart w:id="258" w:name="_Ref50663046"/>
      <w:bookmarkEnd w:id="256"/>
      <w:r w:rsidRPr="00400193">
        <w:t>A Summary of the Theoretical Perspectives</w:t>
      </w:r>
      <w:bookmarkEnd w:id="257"/>
    </w:p>
    <w:p w14:paraId="26912591" w14:textId="479BCF04" w:rsidR="00FD732F" w:rsidRPr="00400193" w:rsidRDefault="00FD732F" w:rsidP="00FD732F">
      <w:r w:rsidRPr="00400193">
        <w:t xml:space="preserve">These theoretical perspectives </w:t>
      </w:r>
      <w:r w:rsidR="003A01A2" w:rsidRPr="00400193">
        <w:t xml:space="preserve">and additional literature regarding risks </w:t>
      </w:r>
      <w:r w:rsidRPr="00400193">
        <w:t xml:space="preserve">provide a better understanding of the possible connections and associations in cyber-security and resilience. </w:t>
      </w:r>
      <w:r w:rsidR="003A01A2" w:rsidRPr="00400193">
        <w:t xml:space="preserve">They have permitted the creation of eight hypotheses, and these can be tested to validate the framework. </w:t>
      </w:r>
      <w:r w:rsidRPr="00400193">
        <w:t>By combining theories of risk management, vulnerabilities/weaknesses, and response, it has been possible to create a framework to improve cyber-resilience in the critical infrastructure and public sector of the UAE.</w:t>
      </w:r>
    </w:p>
    <w:p w14:paraId="53802B56" w14:textId="37278DF5" w:rsidR="00907912" w:rsidRPr="00400193" w:rsidRDefault="00907912" w:rsidP="00907912">
      <w:pPr>
        <w:pStyle w:val="Heading2"/>
        <w:rPr>
          <w:rFonts w:eastAsia="Arial"/>
          <w:lang w:eastAsia="zh-CN" w:bidi="hi-IN"/>
        </w:rPr>
      </w:pPr>
      <w:bookmarkStart w:id="259" w:name="_Toc61894708"/>
      <w:r w:rsidRPr="00400193">
        <w:rPr>
          <w:rFonts w:eastAsia="Arial"/>
          <w:lang w:eastAsia="zh-CN" w:bidi="hi-IN"/>
        </w:rPr>
        <w:t>Proposed Conceptual Framework</w:t>
      </w:r>
      <w:bookmarkEnd w:id="258"/>
      <w:bookmarkEnd w:id="259"/>
    </w:p>
    <w:p w14:paraId="33376866" w14:textId="240A05B9" w:rsidR="00907912" w:rsidRPr="00400193" w:rsidRDefault="00907912" w:rsidP="00907912">
      <w:pPr>
        <w:rPr>
          <w:lang w:eastAsia="zh-CN" w:bidi="hi-IN"/>
        </w:rPr>
      </w:pPr>
      <w:r w:rsidRPr="00400193">
        <w:rPr>
          <w:lang w:eastAsia="zh-CN" w:bidi="hi-IN"/>
        </w:rPr>
        <w:t xml:space="preserve">Following the literature review, the framework in </w:t>
      </w:r>
      <w:r w:rsidRPr="00400193">
        <w:rPr>
          <w:lang w:eastAsia="zh-CN" w:bidi="hi-IN"/>
        </w:rPr>
        <w:fldChar w:fldCharType="begin"/>
      </w:r>
      <w:r w:rsidRPr="00400193">
        <w:rPr>
          <w:lang w:eastAsia="zh-CN" w:bidi="hi-IN"/>
        </w:rPr>
        <w:instrText xml:space="preserve"> REF _Ref44957419 \h  \* MERGEFORMAT </w:instrText>
      </w:r>
      <w:r w:rsidRPr="00400193">
        <w:rPr>
          <w:lang w:eastAsia="zh-CN" w:bidi="hi-IN"/>
        </w:rPr>
      </w:r>
      <w:r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Pr="00400193">
        <w:rPr>
          <w:lang w:eastAsia="zh-CN" w:bidi="hi-IN"/>
        </w:rPr>
        <w:fldChar w:fldCharType="end"/>
      </w:r>
      <w:r w:rsidRPr="00400193">
        <w:rPr>
          <w:lang w:eastAsia="zh-CN" w:bidi="hi-IN"/>
        </w:rPr>
        <w:t xml:space="preserve"> was developed as a first step towards creating a suitable framework for use in the UAE public sector. This framework was tested and validated further in this study, and the results are covered in future chapters. The framework covers the same areas as existing frameworks but includes some elements that have not previously been placed together. It therefore combines the best parts of other frameworks into one improved and specific framework for the UAE public sector.</w:t>
      </w:r>
    </w:p>
    <w:p w14:paraId="6F1BB68B" w14:textId="0C08D3B7" w:rsidR="007401E9" w:rsidRPr="00400193" w:rsidRDefault="007401E9" w:rsidP="007401E9">
      <w:pPr>
        <w:pStyle w:val="Heading3"/>
        <w:rPr>
          <w:lang w:eastAsia="zh-CN" w:bidi="hi-IN"/>
        </w:rPr>
      </w:pPr>
      <w:bookmarkStart w:id="260" w:name="_Toc61894709"/>
      <w:r w:rsidRPr="00400193">
        <w:rPr>
          <w:lang w:eastAsia="zh-CN" w:bidi="hi-IN"/>
        </w:rPr>
        <w:t>Development of the Framework</w:t>
      </w:r>
      <w:bookmarkEnd w:id="260"/>
    </w:p>
    <w:p w14:paraId="49AECA07" w14:textId="378D4BEB" w:rsidR="00C06866" w:rsidRPr="00400193" w:rsidRDefault="00C06866" w:rsidP="00C06866">
      <w:pPr>
        <w:rPr>
          <w:lang w:eastAsia="zh-CN" w:bidi="hi-IN"/>
        </w:rPr>
      </w:pPr>
      <w:r w:rsidRPr="00400193">
        <w:rPr>
          <w:lang w:eastAsia="zh-CN" w:bidi="hi-IN"/>
        </w:rPr>
        <w:t>The process for developing the framework followed the following logical steps:</w:t>
      </w:r>
    </w:p>
    <w:p w14:paraId="42A64113" w14:textId="46BAF1AC" w:rsidR="00C06866" w:rsidRPr="00400193" w:rsidRDefault="00C06866" w:rsidP="00C06866">
      <w:pPr>
        <w:pStyle w:val="ListParagraph"/>
        <w:numPr>
          <w:ilvl w:val="0"/>
          <w:numId w:val="27"/>
        </w:numPr>
        <w:rPr>
          <w:lang w:eastAsia="zh-CN" w:bidi="hi-IN"/>
        </w:rPr>
      </w:pPr>
      <w:r w:rsidRPr="00400193">
        <w:rPr>
          <w:lang w:eastAsia="zh-CN" w:bidi="hi-IN"/>
        </w:rPr>
        <w:t>Construct a base.</w:t>
      </w:r>
    </w:p>
    <w:p w14:paraId="0CD61B1F" w14:textId="18629C89" w:rsidR="00C06866" w:rsidRPr="00400193" w:rsidRDefault="00C06866" w:rsidP="00367035">
      <w:pPr>
        <w:pStyle w:val="ListParagraph"/>
        <w:ind w:left="1440"/>
        <w:rPr>
          <w:lang w:eastAsia="zh-CN" w:bidi="hi-IN"/>
        </w:rPr>
      </w:pPr>
      <w:r w:rsidRPr="00400193">
        <w:rPr>
          <w:lang w:eastAsia="zh-CN" w:bidi="hi-IN"/>
        </w:rPr>
        <w:t>This</w:t>
      </w:r>
      <w:r w:rsidR="00367035" w:rsidRPr="00400193">
        <w:rPr>
          <w:lang w:eastAsia="zh-CN" w:bidi="hi-IN"/>
        </w:rPr>
        <w:t xml:space="preserve"> is the top row of </w:t>
      </w:r>
      <w:r w:rsidR="00367035" w:rsidRPr="00400193">
        <w:rPr>
          <w:lang w:eastAsia="zh-CN" w:bidi="hi-IN"/>
        </w:rPr>
        <w:fldChar w:fldCharType="begin"/>
      </w:r>
      <w:r w:rsidR="00367035" w:rsidRPr="00400193">
        <w:rPr>
          <w:lang w:eastAsia="zh-CN" w:bidi="hi-IN"/>
        </w:rPr>
        <w:instrText xml:space="preserve"> REF _Ref44957419 \h </w:instrText>
      </w:r>
      <w:r w:rsidR="00367035" w:rsidRPr="00400193">
        <w:rPr>
          <w:lang w:eastAsia="zh-CN" w:bidi="hi-IN"/>
        </w:rPr>
      </w:r>
      <w:r w:rsidR="00367035"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367035" w:rsidRPr="00400193">
        <w:rPr>
          <w:lang w:eastAsia="zh-CN" w:bidi="hi-IN"/>
        </w:rPr>
        <w:fldChar w:fldCharType="end"/>
      </w:r>
      <w:r w:rsidR="00367035" w:rsidRPr="00400193">
        <w:rPr>
          <w:lang w:eastAsia="zh-CN" w:bidi="hi-IN"/>
        </w:rPr>
        <w:t>: Threats, vulnerabilities</w:t>
      </w:r>
      <w:r w:rsidR="00DC08A1" w:rsidRPr="00400193">
        <w:rPr>
          <w:lang w:eastAsia="zh-CN" w:bidi="hi-IN"/>
        </w:rPr>
        <w:t xml:space="preserve"> and weaknesses</w:t>
      </w:r>
      <w:r w:rsidR="00367035" w:rsidRPr="00400193">
        <w:rPr>
          <w:lang w:eastAsia="zh-CN" w:bidi="hi-IN"/>
        </w:rPr>
        <w:t xml:space="preserve">, response, resilience. Within each base section, the </w:t>
      </w:r>
      <w:r w:rsidR="00367035" w:rsidRPr="00400193">
        <w:rPr>
          <w:lang w:eastAsia="zh-CN" w:bidi="hi-IN"/>
        </w:rPr>
        <w:lastRenderedPageBreak/>
        <w:t>structure and contents are then added, sectionalised for ease of understanding and definition.</w:t>
      </w:r>
    </w:p>
    <w:p w14:paraId="4CFD7FD1" w14:textId="6873928A" w:rsidR="00C06866" w:rsidRPr="00400193" w:rsidRDefault="00C06866" w:rsidP="00C06866">
      <w:pPr>
        <w:pStyle w:val="ListParagraph"/>
        <w:numPr>
          <w:ilvl w:val="0"/>
          <w:numId w:val="27"/>
        </w:numPr>
        <w:rPr>
          <w:lang w:eastAsia="zh-CN" w:bidi="hi-IN"/>
        </w:rPr>
      </w:pPr>
      <w:r w:rsidRPr="00400193">
        <w:rPr>
          <w:lang w:eastAsia="zh-CN" w:bidi="hi-IN"/>
        </w:rPr>
        <w:t>Utilise an existing framework (BSI 27001:2005+</w:t>
      </w:r>
      <w:r w:rsidR="00046D6C" w:rsidRPr="00400193">
        <w:rPr>
          <w:lang w:eastAsia="zh-CN" w:bidi="hi-IN"/>
        </w:rPr>
        <w:t>)</w:t>
      </w:r>
      <w:r w:rsidRPr="00400193">
        <w:rPr>
          <w:lang w:eastAsia="zh-CN" w:bidi="hi-IN"/>
        </w:rPr>
        <w:t xml:space="preserve"> (BSI, 2005) as a guide.</w:t>
      </w:r>
    </w:p>
    <w:p w14:paraId="6B904D67" w14:textId="55D80172" w:rsidR="00046D6C" w:rsidRPr="00400193" w:rsidRDefault="00C06866" w:rsidP="00367035">
      <w:pPr>
        <w:pStyle w:val="ListParagraph"/>
        <w:ind w:left="1440"/>
        <w:rPr>
          <w:lang w:eastAsia="zh-CN" w:bidi="hi-IN"/>
        </w:rPr>
      </w:pPr>
      <w:r w:rsidRPr="00400193">
        <w:rPr>
          <w:lang w:eastAsia="zh-CN" w:bidi="hi-IN"/>
        </w:rPr>
        <w:t>Th</w:t>
      </w:r>
      <w:r w:rsidR="00367035" w:rsidRPr="00400193">
        <w:rPr>
          <w:lang w:eastAsia="zh-CN" w:bidi="hi-IN"/>
        </w:rPr>
        <w:t>e framework defines what is protected and how, and includes the means for measuring resilience</w:t>
      </w:r>
      <w:r w:rsidR="00DC6062" w:rsidRPr="00400193">
        <w:rPr>
          <w:lang w:eastAsia="zh-CN" w:bidi="hi-IN"/>
        </w:rPr>
        <w:t xml:space="preserve"> (Habash, Groza, and Burr, 2013; Trim and Lee, 2017)</w:t>
      </w:r>
      <w:r w:rsidR="00367035" w:rsidRPr="00400193">
        <w:rPr>
          <w:lang w:eastAsia="zh-CN" w:bidi="hi-IN"/>
        </w:rPr>
        <w:t xml:space="preserve">. Initially, an existing framework will only abrogate </w:t>
      </w:r>
      <w:r w:rsidR="00DC6062" w:rsidRPr="00400193">
        <w:rPr>
          <w:lang w:eastAsia="zh-CN" w:bidi="hi-IN"/>
        </w:rPr>
        <w:t xml:space="preserve">problems from </w:t>
      </w:r>
      <w:r w:rsidR="00367035" w:rsidRPr="00400193">
        <w:rPr>
          <w:lang w:eastAsia="zh-CN" w:bidi="hi-IN"/>
        </w:rPr>
        <w:t>one response area</w:t>
      </w:r>
      <w:r w:rsidR="00DC6062" w:rsidRPr="00400193">
        <w:rPr>
          <w:lang w:eastAsia="zh-CN" w:bidi="hi-IN"/>
        </w:rPr>
        <w:t xml:space="preserve"> – system being the most commonly adopted </w:t>
      </w:r>
      <w:r w:rsidR="00046D6C" w:rsidRPr="00400193">
        <w:rPr>
          <w:lang w:eastAsia="zh-CN" w:bidi="hi-IN"/>
        </w:rPr>
        <w:t>(Cherdantseva</w:t>
      </w:r>
      <w:r w:rsidR="00704A6D" w:rsidRPr="00400193">
        <w:rPr>
          <w:lang w:eastAsia="zh-CN" w:bidi="hi-IN"/>
        </w:rPr>
        <w:t xml:space="preserve"> et al</w:t>
      </w:r>
      <w:r w:rsidR="00046D6C" w:rsidRPr="00400193">
        <w:rPr>
          <w:lang w:eastAsia="zh-CN" w:bidi="hi-IN"/>
        </w:rPr>
        <w:t>., 2016)</w:t>
      </w:r>
      <w:r w:rsidR="00DC6062" w:rsidRPr="00400193">
        <w:rPr>
          <w:lang w:eastAsia="zh-CN" w:bidi="hi-IN"/>
        </w:rPr>
        <w:t>. Thus, the framework is extended to cover the other areas.</w:t>
      </w:r>
      <w:r w:rsidR="00046D6C" w:rsidRPr="00400193">
        <w:rPr>
          <w:lang w:eastAsia="zh-CN" w:bidi="hi-IN"/>
        </w:rPr>
        <w:t xml:space="preserve"> </w:t>
      </w:r>
    </w:p>
    <w:p w14:paraId="0BA8D7A0" w14:textId="68C80065" w:rsidR="00DC6062" w:rsidRPr="00400193" w:rsidRDefault="00DC6062" w:rsidP="00367035">
      <w:pPr>
        <w:pStyle w:val="ListParagraph"/>
        <w:ind w:left="1440"/>
        <w:rPr>
          <w:lang w:eastAsia="zh-CN" w:bidi="hi-IN"/>
        </w:rPr>
      </w:pPr>
      <w:r w:rsidRPr="00400193">
        <w:rPr>
          <w:lang w:eastAsia="zh-CN" w:bidi="hi-IN"/>
        </w:rPr>
        <w:t>Feedback from the framework then assists in the generation of resilience</w:t>
      </w:r>
      <w:r w:rsidR="00046D6C" w:rsidRPr="00400193">
        <w:rPr>
          <w:lang w:eastAsia="zh-CN" w:bidi="hi-IN"/>
        </w:rPr>
        <w:t xml:space="preserve"> (Madni, Erwin, and Sievers, 2020). Ensuring that this feedback loop is effective will improve both security and resilience (Chatham House, 2019).</w:t>
      </w:r>
    </w:p>
    <w:p w14:paraId="5FD99F17" w14:textId="26B058D0" w:rsidR="00C06866" w:rsidRPr="00400193" w:rsidRDefault="00C06866" w:rsidP="00C06866">
      <w:pPr>
        <w:pStyle w:val="ListParagraph"/>
        <w:numPr>
          <w:ilvl w:val="0"/>
          <w:numId w:val="27"/>
        </w:numPr>
        <w:rPr>
          <w:lang w:eastAsia="zh-CN" w:bidi="hi-IN"/>
        </w:rPr>
      </w:pPr>
      <w:r w:rsidRPr="00400193">
        <w:rPr>
          <w:lang w:eastAsia="zh-CN" w:bidi="hi-IN"/>
        </w:rPr>
        <w:t>Using the hypotheses generated above, examine the following questions</w:t>
      </w:r>
    </w:p>
    <w:p w14:paraId="564BFD2D" w14:textId="2E33609D" w:rsidR="00C06866" w:rsidRPr="00400193" w:rsidRDefault="00C06866" w:rsidP="00C06866">
      <w:pPr>
        <w:pStyle w:val="ListParagraph"/>
        <w:numPr>
          <w:ilvl w:val="2"/>
          <w:numId w:val="27"/>
        </w:numPr>
        <w:rPr>
          <w:lang w:eastAsia="zh-CN" w:bidi="hi-IN"/>
        </w:rPr>
      </w:pPr>
      <w:r w:rsidRPr="00400193">
        <w:rPr>
          <w:lang w:eastAsia="zh-CN" w:bidi="hi-IN"/>
        </w:rPr>
        <w:t>What does the framework fail to do?</w:t>
      </w:r>
    </w:p>
    <w:p w14:paraId="040E435A" w14:textId="6228B9BE" w:rsidR="00C06866" w:rsidRPr="00400193" w:rsidRDefault="00C06866" w:rsidP="00C06866">
      <w:pPr>
        <w:pStyle w:val="ListParagraph"/>
        <w:numPr>
          <w:ilvl w:val="2"/>
          <w:numId w:val="27"/>
        </w:numPr>
        <w:rPr>
          <w:lang w:eastAsia="zh-CN" w:bidi="hi-IN"/>
        </w:rPr>
      </w:pPr>
      <w:r w:rsidRPr="00400193">
        <w:rPr>
          <w:lang w:eastAsia="zh-CN" w:bidi="hi-IN"/>
        </w:rPr>
        <w:t>What can be added to ensure that this is done?</w:t>
      </w:r>
    </w:p>
    <w:p w14:paraId="4F6A89A9" w14:textId="6EEA12CB" w:rsidR="00C06866" w:rsidRPr="00400193" w:rsidRDefault="00C06866" w:rsidP="00C06866">
      <w:pPr>
        <w:pStyle w:val="ListParagraph"/>
        <w:numPr>
          <w:ilvl w:val="2"/>
          <w:numId w:val="27"/>
        </w:numPr>
        <w:rPr>
          <w:lang w:eastAsia="zh-CN" w:bidi="hi-IN"/>
        </w:rPr>
      </w:pPr>
      <w:r w:rsidRPr="00400193">
        <w:rPr>
          <w:lang w:eastAsia="zh-CN" w:bidi="hi-IN"/>
        </w:rPr>
        <w:t>Does any other framework include this?</w:t>
      </w:r>
    </w:p>
    <w:p w14:paraId="24DFE5D7" w14:textId="010C59B5" w:rsidR="00367035" w:rsidRPr="00400193" w:rsidRDefault="00367035" w:rsidP="00C06866">
      <w:pPr>
        <w:pStyle w:val="ListParagraph"/>
        <w:numPr>
          <w:ilvl w:val="2"/>
          <w:numId w:val="27"/>
        </w:numPr>
        <w:rPr>
          <w:lang w:eastAsia="zh-CN" w:bidi="hi-IN"/>
        </w:rPr>
      </w:pPr>
      <w:r w:rsidRPr="00400193">
        <w:rPr>
          <w:lang w:eastAsia="zh-CN" w:bidi="hi-IN"/>
        </w:rPr>
        <w:t>Are any of the risk factors (IRF or ERF) overlooked/omitted?</w:t>
      </w:r>
    </w:p>
    <w:p w14:paraId="51DA3185" w14:textId="2EACE9FA" w:rsidR="00367035" w:rsidRPr="00400193" w:rsidRDefault="00367035" w:rsidP="00C06866">
      <w:pPr>
        <w:pStyle w:val="ListParagraph"/>
        <w:numPr>
          <w:ilvl w:val="2"/>
          <w:numId w:val="27"/>
        </w:numPr>
        <w:rPr>
          <w:lang w:eastAsia="zh-CN" w:bidi="hi-IN"/>
        </w:rPr>
      </w:pPr>
      <w:r w:rsidRPr="00400193">
        <w:rPr>
          <w:lang w:eastAsia="zh-CN" w:bidi="hi-IN"/>
        </w:rPr>
        <w:t>How can these be incorporated?</w:t>
      </w:r>
    </w:p>
    <w:p w14:paraId="6330B0AB" w14:textId="5E404B25" w:rsidR="00C06866" w:rsidRPr="00400193" w:rsidRDefault="00C06866" w:rsidP="00C06866">
      <w:pPr>
        <w:pStyle w:val="ListParagraph"/>
        <w:numPr>
          <w:ilvl w:val="0"/>
          <w:numId w:val="27"/>
        </w:numPr>
        <w:rPr>
          <w:lang w:eastAsia="zh-CN" w:bidi="hi-IN"/>
        </w:rPr>
      </w:pPr>
      <w:r w:rsidRPr="00400193">
        <w:rPr>
          <w:lang w:eastAsia="zh-CN" w:bidi="hi-IN"/>
        </w:rPr>
        <w:t>Modify the existing framework in alignment with the step above.</w:t>
      </w:r>
    </w:p>
    <w:p w14:paraId="638FB31D" w14:textId="04310EED" w:rsidR="00C06866" w:rsidRPr="00400193" w:rsidRDefault="00046D6C" w:rsidP="00046D6C">
      <w:pPr>
        <w:pStyle w:val="ListParagraph"/>
        <w:ind w:left="1440"/>
        <w:rPr>
          <w:lang w:eastAsia="zh-CN" w:bidi="hi-IN"/>
        </w:rPr>
      </w:pPr>
      <w:r w:rsidRPr="00400193">
        <w:rPr>
          <w:lang w:eastAsia="zh-CN" w:bidi="hi-IN"/>
        </w:rPr>
        <w:t>This is the hardest part of the development, since it involves a comparison and synthesis of two or more existing frameworks. Essentially, a framework that does ‘a’ well but fails to do ‘b’ cannot be fixed by simply adding a component from another framework</w:t>
      </w:r>
      <w:r w:rsidR="003704CC" w:rsidRPr="00400193">
        <w:rPr>
          <w:lang w:eastAsia="zh-CN" w:bidi="hi-IN"/>
        </w:rPr>
        <w:t xml:space="preserve"> that does ‘b’ well, because invariably there will then be an incompatibility that reduces the efficacy in some other area (‘c’).</w:t>
      </w:r>
    </w:p>
    <w:p w14:paraId="69163E49" w14:textId="49251546" w:rsidR="003704CC" w:rsidRPr="00400193" w:rsidRDefault="003704CC" w:rsidP="00046D6C">
      <w:pPr>
        <w:pStyle w:val="ListParagraph"/>
        <w:ind w:left="1440"/>
        <w:rPr>
          <w:lang w:eastAsia="zh-CN" w:bidi="hi-IN"/>
        </w:rPr>
      </w:pPr>
      <w:r w:rsidRPr="00400193">
        <w:rPr>
          <w:lang w:eastAsia="zh-CN" w:bidi="hi-IN"/>
        </w:rPr>
        <w:t>Because of this, the development is slow and meticulous, searching for ways to remove incompatibilities between two philosophies – protection and resilience.</w:t>
      </w:r>
    </w:p>
    <w:p w14:paraId="7298C75B" w14:textId="18F8961D" w:rsidR="003704CC" w:rsidRPr="00400193" w:rsidRDefault="00367035" w:rsidP="003704CC">
      <w:pPr>
        <w:pStyle w:val="ListParagraph"/>
        <w:numPr>
          <w:ilvl w:val="0"/>
          <w:numId w:val="27"/>
        </w:numPr>
        <w:rPr>
          <w:lang w:eastAsia="zh-CN" w:bidi="hi-IN"/>
        </w:rPr>
      </w:pPr>
      <w:r w:rsidRPr="00400193">
        <w:rPr>
          <w:lang w:eastAsia="zh-CN" w:bidi="hi-IN"/>
        </w:rPr>
        <w:t>Repeat the third and fourth steps until</w:t>
      </w:r>
      <w:r w:rsidR="003704CC" w:rsidRPr="00400193">
        <w:rPr>
          <w:lang w:eastAsia="zh-CN" w:bidi="hi-IN"/>
        </w:rPr>
        <w:t xml:space="preserve"> completion.</w:t>
      </w:r>
    </w:p>
    <w:p w14:paraId="59B34F61" w14:textId="77777777" w:rsidR="003704CC" w:rsidRPr="00400193" w:rsidRDefault="003704CC" w:rsidP="003704CC">
      <w:pPr>
        <w:pStyle w:val="ListParagraph"/>
        <w:ind w:left="1440"/>
        <w:rPr>
          <w:lang w:eastAsia="zh-CN" w:bidi="hi-IN"/>
        </w:rPr>
      </w:pPr>
      <w:r w:rsidRPr="00400193">
        <w:rPr>
          <w:lang w:eastAsia="zh-CN" w:bidi="hi-IN"/>
        </w:rPr>
        <w:t>Completion is reached when the resilience of the system and the protection of the system are balanced, and every hypothesis has been tested and proven.</w:t>
      </w:r>
    </w:p>
    <w:p w14:paraId="3528A355" w14:textId="56187297" w:rsidR="00071A6D" w:rsidRPr="00400193" w:rsidRDefault="003704CC" w:rsidP="003704CC">
      <w:pPr>
        <w:rPr>
          <w:lang w:eastAsia="zh-CN" w:bidi="hi-IN"/>
        </w:rPr>
      </w:pPr>
      <w:r w:rsidRPr="00400193">
        <w:rPr>
          <w:lang w:eastAsia="zh-CN" w:bidi="hi-IN"/>
        </w:rPr>
        <w:lastRenderedPageBreak/>
        <w:t>This iterative process and the development, application, and testing of the hypotheses during the development of the framework is visualised in</w:t>
      </w:r>
      <w:r w:rsidR="00071A6D" w:rsidRPr="00400193">
        <w:rPr>
          <w:lang w:eastAsia="zh-CN" w:bidi="hi-IN"/>
        </w:rPr>
        <w:t xml:space="preserve"> </w:t>
      </w:r>
      <w:r w:rsidR="00A96438" w:rsidRPr="00400193">
        <w:rPr>
          <w:lang w:eastAsia="zh-CN" w:bidi="hi-IN"/>
        </w:rPr>
        <w:fldChar w:fldCharType="begin"/>
      </w:r>
      <w:r w:rsidR="00A96438" w:rsidRPr="00400193">
        <w:rPr>
          <w:lang w:eastAsia="zh-CN" w:bidi="hi-IN"/>
        </w:rPr>
        <w:instrText xml:space="preserve"> REF _Ref50817425 \h </w:instrText>
      </w:r>
      <w:r w:rsidR="00A96438" w:rsidRPr="00400193">
        <w:rPr>
          <w:lang w:eastAsia="zh-CN" w:bidi="hi-IN"/>
        </w:rPr>
      </w:r>
      <w:r w:rsidR="00A96438"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4</w:t>
      </w:r>
      <w:r w:rsidR="00A96438" w:rsidRPr="00400193">
        <w:rPr>
          <w:lang w:eastAsia="zh-CN" w:bidi="hi-IN"/>
        </w:rPr>
        <w:fldChar w:fldCharType="end"/>
      </w:r>
      <w:r w:rsidR="00B1692E" w:rsidRPr="00400193">
        <w:rPr>
          <w:lang w:eastAsia="zh-CN" w:bidi="hi-IN"/>
        </w:rPr>
        <w:t xml:space="preserve">. The different colours are used so that it is clear that they are not connected where they cross over. This Figure also makes clear the annotations of the hypotheses on the main framework in </w:t>
      </w:r>
      <w:r w:rsidR="00B1692E" w:rsidRPr="00400193">
        <w:rPr>
          <w:lang w:eastAsia="zh-CN" w:bidi="hi-IN"/>
        </w:rPr>
        <w:fldChar w:fldCharType="begin"/>
      </w:r>
      <w:r w:rsidR="00B1692E" w:rsidRPr="00400193">
        <w:rPr>
          <w:lang w:eastAsia="zh-CN" w:bidi="hi-IN"/>
        </w:rPr>
        <w:instrText xml:space="preserve"> REF _Ref44957419 \h </w:instrText>
      </w:r>
      <w:r w:rsidR="00B1692E" w:rsidRPr="00400193">
        <w:rPr>
          <w:lang w:eastAsia="zh-CN" w:bidi="hi-IN"/>
        </w:rPr>
      </w:r>
      <w:r w:rsidR="00B1692E"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B1692E" w:rsidRPr="00400193">
        <w:rPr>
          <w:lang w:eastAsia="zh-CN" w:bidi="hi-IN"/>
        </w:rPr>
        <w:fldChar w:fldCharType="end"/>
      </w:r>
      <w:r w:rsidR="00B1692E" w:rsidRPr="00400193">
        <w:rPr>
          <w:lang w:eastAsia="zh-CN" w:bidi="hi-IN"/>
        </w:rPr>
        <w:t>.</w:t>
      </w:r>
    </w:p>
    <w:p w14:paraId="1DC4A774" w14:textId="7A83DF94" w:rsidR="00A96438" w:rsidRPr="00400193" w:rsidRDefault="00DE52FD" w:rsidP="00A96438">
      <w:pPr>
        <w:keepNext/>
        <w:spacing w:after="0" w:line="240" w:lineRule="auto"/>
      </w:pPr>
      <w:r w:rsidRPr="00400193">
        <w:rPr>
          <w:noProof/>
          <w:lang w:val="en-US"/>
        </w:rPr>
        <w:drawing>
          <wp:inline distT="0" distB="0" distL="0" distR="0" wp14:anchorId="623A17A2" wp14:editId="0FB46748">
            <wp:extent cx="5760000" cy="2520000"/>
            <wp:effectExtent l="19050" t="19050" r="12700" b="13970"/>
            <wp:docPr id="228" name="Picture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w="19050">
                      <a:solidFill>
                        <a:schemeClr val="tx1"/>
                      </a:solidFill>
                    </a:ln>
                  </pic:spPr>
                </pic:pic>
              </a:graphicData>
            </a:graphic>
          </wp:inline>
        </w:drawing>
      </w:r>
    </w:p>
    <w:p w14:paraId="1C58DF7D" w14:textId="56CE5FA6" w:rsidR="00A96438" w:rsidRPr="00400193" w:rsidRDefault="00A96438" w:rsidP="00A96438">
      <w:pPr>
        <w:pStyle w:val="Caption"/>
      </w:pPr>
      <w:bookmarkStart w:id="261" w:name="_Ref50817425"/>
      <w:bookmarkStart w:id="262" w:name="_Toc5538757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3</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w:t>
      </w:r>
      <w:r w:rsidR="00E35E8C" w:rsidRPr="00400193">
        <w:fldChar w:fldCharType="end"/>
      </w:r>
      <w:bookmarkEnd w:id="261"/>
      <w:r w:rsidRPr="00400193">
        <w:t>: Linking the Hypotheses to the Elements of the Framework</w:t>
      </w:r>
      <w:bookmarkEnd w:id="262"/>
    </w:p>
    <w:p w14:paraId="0D1E104C" w14:textId="20DEC8A8" w:rsidR="007401E9" w:rsidRPr="00400193" w:rsidRDefault="003704CC" w:rsidP="00A96438">
      <w:pPr>
        <w:spacing w:after="0" w:line="240" w:lineRule="auto"/>
        <w:rPr>
          <w:lang w:eastAsia="zh-CN" w:bidi="hi-IN"/>
        </w:rPr>
      </w:pPr>
      <w:r w:rsidRPr="00400193">
        <w:rPr>
          <w:lang w:eastAsia="zh-CN" w:bidi="hi-IN"/>
        </w:rPr>
        <w:t>.</w:t>
      </w:r>
    </w:p>
    <w:p w14:paraId="6FACEF03" w14:textId="5B1786AF" w:rsidR="00907912" w:rsidRPr="00400193" w:rsidRDefault="00911A3F" w:rsidP="00907912">
      <w:pPr>
        <w:keepNext/>
        <w:suppressAutoHyphens/>
        <w:spacing w:after="0" w:line="240" w:lineRule="auto"/>
      </w:pPr>
      <w:r w:rsidRPr="00400193">
        <w:rPr>
          <w:noProof/>
          <w:lang w:val="en-US"/>
        </w:rPr>
        <mc:AlternateContent>
          <mc:Choice Requires="wps">
            <w:drawing>
              <wp:anchor distT="0" distB="0" distL="114300" distR="114300" simplePos="0" relativeHeight="251755520" behindDoc="0" locked="0" layoutInCell="1" allowOverlap="1" wp14:anchorId="3096D6D8" wp14:editId="24EF924F">
                <wp:simplePos x="0" y="0"/>
                <wp:positionH relativeFrom="column">
                  <wp:posOffset>1657350</wp:posOffset>
                </wp:positionH>
                <wp:positionV relativeFrom="paragraph">
                  <wp:posOffset>19050</wp:posOffset>
                </wp:positionV>
                <wp:extent cx="1266825" cy="352425"/>
                <wp:effectExtent l="0" t="0" r="28575" b="28575"/>
                <wp:wrapNone/>
                <wp:docPr id="229" name="Rectangle 229"/>
                <wp:cNvGraphicFramePr/>
                <a:graphic xmlns:a="http://schemas.openxmlformats.org/drawingml/2006/main">
                  <a:graphicData uri="http://schemas.microsoft.com/office/word/2010/wordprocessingShape">
                    <wps:wsp>
                      <wps:cNvSpPr/>
                      <wps:spPr>
                        <a:xfrm>
                          <a:off x="0" y="0"/>
                          <a:ext cx="1266825" cy="352425"/>
                        </a:xfrm>
                        <a:prstGeom prst="rect">
                          <a:avLst/>
                        </a:prstGeom>
                        <a:solidFill>
                          <a:schemeClr val="bg1">
                            <a:lumMod val="95000"/>
                          </a:schemeClr>
                        </a:solidFill>
                        <a:ln>
                          <a:solidFill>
                            <a:schemeClr val="bg1">
                              <a:lumMod val="65000"/>
                            </a:schemeClr>
                          </a:solidFill>
                        </a:ln>
                      </wps:spPr>
                      <wps:style>
                        <a:lnRef idx="1">
                          <a:schemeClr val="accent3"/>
                        </a:lnRef>
                        <a:fillRef idx="2">
                          <a:schemeClr val="accent3"/>
                        </a:fillRef>
                        <a:effectRef idx="1">
                          <a:schemeClr val="accent3"/>
                        </a:effectRef>
                        <a:fontRef idx="minor">
                          <a:schemeClr val="dk1"/>
                        </a:fontRef>
                      </wps:style>
                      <wps:txbx>
                        <w:txbxContent>
                          <w:p w14:paraId="22639C5B" w14:textId="5A9DC311" w:rsidR="007401F4" w:rsidRPr="000C6897" w:rsidRDefault="007401F4" w:rsidP="00911A3F">
                            <w:pPr>
                              <w:spacing w:after="0" w:line="240" w:lineRule="auto"/>
                              <w:jc w:val="center"/>
                              <w:rPr>
                                <w:b/>
                                <w:bCs/>
                                <w:color w:val="3B3838" w:themeColor="background2" w:themeShade="40"/>
                                <w:sz w:val="8"/>
                                <w:szCs w:val="6"/>
                              </w:rPr>
                            </w:pPr>
                            <w:r w:rsidRPr="000C6897">
                              <w:rPr>
                                <w:b/>
                                <w:bCs/>
                                <w:color w:val="3B3838" w:themeColor="background2" w:themeShade="40"/>
                                <w:sz w:val="16"/>
                                <w:szCs w:val="14"/>
                              </w:rPr>
                              <w:t>Vulnerabilities &amp; Weaknesses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96D6D8" id="Rectangle 229" o:spid="_x0000_s1132" style="position:absolute;left:0;text-align:left;margin-left:130.5pt;margin-top:1.5pt;width:99.75pt;height:27.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" fillcolor="#f2f2f2 [3052]" strokecolor="#a5a5a5 [2092]" strokeweight=".5pt">
                <v:textbox>
                  <w:txbxContent>
                    <w:p w14:paraId="22639C5B" w14:textId="5A9DC311" w:rsidR="007401F4" w:rsidRPr="000C6897" w:rsidRDefault="007401F4" w:rsidP="00911A3F">
                      <w:pPr>
                        <w:spacing w:after="0" w:line="240" w:lineRule="auto"/>
                        <w:jc w:val="center"/>
                        <w:rPr>
                          <w:b/>
                          <w:bCs/>
                          <w:color w:val="3B3838" w:themeColor="background2" w:themeShade="40"/>
                          <w:sz w:val="8"/>
                          <w:szCs w:val="6"/>
                        </w:rPr>
                      </w:pPr>
                      <w:r w:rsidRPr="000C6897">
                        <w:rPr>
                          <w:b/>
                          <w:bCs/>
                          <w:color w:val="3B3838" w:themeColor="background2" w:themeShade="40"/>
                          <w:sz w:val="16"/>
                          <w:szCs w:val="14"/>
                        </w:rPr>
                        <w:t>Vulnerabilities &amp; Weaknesses</w:t>
                      </w:r>
                    </w:p>
                  </w:txbxContent>
                </v:textbox>
              </v:rect>
            </w:pict>
          </mc:Fallback>
        </mc:AlternateContent>
      </w:r>
      <w:r w:rsidR="00907912" w:rsidRPr="00400193">
        <w:rPr>
          <w:noProof/>
          <w:lang w:val="en-US"/>
        </w:rPr>
        <w:drawing>
          <wp:inline distT="0" distB="0" distL="0" distR="0" wp14:anchorId="2837D519" wp14:editId="06779786">
            <wp:extent cx="5760000" cy="3448278"/>
            <wp:effectExtent l="19050" t="19050" r="12700" b="1905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760000" cy="3448278"/>
                    </a:xfrm>
                    <a:prstGeom prst="rect">
                      <a:avLst/>
                    </a:prstGeom>
                    <a:noFill/>
                    <a:ln w="19050">
                      <a:solidFill>
                        <a:schemeClr val="tx1"/>
                      </a:solidFill>
                    </a:ln>
                  </pic:spPr>
                </pic:pic>
              </a:graphicData>
            </a:graphic>
          </wp:inline>
        </w:drawing>
      </w:r>
    </w:p>
    <w:p w14:paraId="585A3DC0" w14:textId="3B89EB3F" w:rsidR="00907912" w:rsidRPr="00400193" w:rsidRDefault="00907912" w:rsidP="0001396B">
      <w:pPr>
        <w:pStyle w:val="Caption"/>
        <w:spacing w:after="240"/>
      </w:pPr>
      <w:bookmarkStart w:id="263" w:name="_2iq8gzs"/>
      <w:bookmarkStart w:id="264" w:name="_xvir7l"/>
      <w:bookmarkStart w:id="265" w:name="_Ref44957419"/>
      <w:bookmarkStart w:id="266" w:name="_Toc55387571"/>
      <w:bookmarkEnd w:id="263"/>
      <w:bookmarkEnd w:id="26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3</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w:t>
      </w:r>
      <w:r w:rsidR="00E35E8C" w:rsidRPr="00400193">
        <w:fldChar w:fldCharType="end"/>
      </w:r>
      <w:bookmarkEnd w:id="265"/>
      <w:r w:rsidRPr="00400193">
        <w:t>: The conceptual framework</w:t>
      </w:r>
      <w:bookmarkEnd w:id="266"/>
    </w:p>
    <w:p w14:paraId="5BA9C579" w14:textId="77777777" w:rsidR="00AE48D6" w:rsidRPr="00400193" w:rsidRDefault="00AE48D6" w:rsidP="00AE48D6">
      <w:pPr>
        <w:suppressAutoHyphens/>
        <w:rPr>
          <w:szCs w:val="24"/>
          <w:lang w:eastAsia="zh-CN" w:bidi="hi-IN"/>
        </w:rPr>
      </w:pPr>
      <w:r w:rsidRPr="00400193">
        <w:rPr>
          <w:szCs w:val="24"/>
          <w:lang w:eastAsia="zh-CN" w:bidi="hi-IN"/>
        </w:rPr>
        <w:t xml:space="preserve">The study hypotheses are: </w:t>
      </w:r>
    </w:p>
    <w:p w14:paraId="1B0992F1"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H1: Vulnerabilities and weaknesses are associated with external threats.</w:t>
      </w:r>
    </w:p>
    <w:p w14:paraId="5956F52D"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lastRenderedPageBreak/>
        <w:t>H2: Vulnerabilities and weaknesses are associated with internal threats.</w:t>
      </w:r>
    </w:p>
    <w:p w14:paraId="7808A014"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H3: Vulnerabilities and weaknesses are associated with having responses in place</w:t>
      </w:r>
    </w:p>
    <w:p w14:paraId="7DF20C35"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H4: Having responses in place moderates the association between vulnerabilities and weaknesses and internal threats.</w:t>
      </w:r>
    </w:p>
    <w:p w14:paraId="49CB51A7"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H5: Having responses in place moderates the association between vulnerabilities and weaknesses and external threats.</w:t>
      </w:r>
    </w:p>
    <w:p w14:paraId="18084C03"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 xml:space="preserve">H6: Vulnerabilities and weaknesses are associated with organisational resilience </w:t>
      </w:r>
    </w:p>
    <w:p w14:paraId="1158C87D"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H7: Organisational resilience moderates the association between vulnerabilities and weaknesses and internal threats.</w:t>
      </w:r>
    </w:p>
    <w:p w14:paraId="16101C22" w14:textId="77777777" w:rsidR="00AE48D6" w:rsidRPr="00400193" w:rsidRDefault="00AE48D6" w:rsidP="00AE48D6">
      <w:pPr>
        <w:suppressAutoHyphens/>
        <w:rPr>
          <w:rFonts w:cstheme="minorBidi"/>
          <w:kern w:val="24"/>
          <w:szCs w:val="24"/>
          <w:lang w:eastAsia="en-GB"/>
        </w:rPr>
      </w:pPr>
      <w:r w:rsidRPr="00400193">
        <w:rPr>
          <w:rFonts w:cstheme="minorBidi"/>
          <w:kern w:val="24"/>
          <w:szCs w:val="24"/>
          <w:lang w:eastAsia="en-GB"/>
        </w:rPr>
        <w:t xml:space="preserve">H8: Organisational resilience moderates the association between vulnerabilities and weaknesses and external threats </w:t>
      </w:r>
    </w:p>
    <w:p w14:paraId="29451E57" w14:textId="03140B17" w:rsidR="00AE48D6" w:rsidRPr="00400193" w:rsidRDefault="00AE48D6" w:rsidP="00AE48D6">
      <w:r w:rsidRPr="00400193">
        <w:rPr>
          <w:szCs w:val="24"/>
          <w:lang w:eastAsia="zh-CN" w:bidi="hi-IN"/>
        </w:rPr>
        <w:t>These hypotheses were applied to the framework to test its stability and robustness and ensure that it is fit for purpose. Testing the hypotheses against the data collected was used to add to the validation, ensuring that the UAE public sector is more resilient and more cyber-risk aware.</w:t>
      </w:r>
    </w:p>
    <w:p w14:paraId="34E10118" w14:textId="1BB92249" w:rsidR="00153BB4" w:rsidRPr="00400193" w:rsidRDefault="00907912" w:rsidP="00153BB4">
      <w:pPr>
        <w:pStyle w:val="Heading2"/>
        <w:rPr>
          <w:rFonts w:eastAsia="Arial"/>
          <w:lang w:eastAsia="zh-CN" w:bidi="hi-IN"/>
        </w:rPr>
      </w:pPr>
      <w:bookmarkStart w:id="267" w:name="_Toc61894710"/>
      <w:r w:rsidRPr="00400193">
        <w:rPr>
          <w:rFonts w:eastAsia="Arial"/>
          <w:lang w:eastAsia="zh-CN" w:bidi="hi-IN"/>
        </w:rPr>
        <w:t>Conclusion</w:t>
      </w:r>
      <w:bookmarkEnd w:id="267"/>
    </w:p>
    <w:p w14:paraId="68F7527B" w14:textId="0F5143AB" w:rsidR="00153BB4" w:rsidRPr="00400193" w:rsidRDefault="00153BB4" w:rsidP="00153BB4">
      <w:pPr>
        <w:rPr>
          <w:lang w:eastAsia="zh-CN" w:bidi="hi-IN"/>
        </w:rPr>
      </w:pPr>
      <w:r w:rsidRPr="00400193">
        <w:rPr>
          <w:lang w:eastAsia="zh-CN" w:bidi="hi-IN"/>
        </w:rPr>
        <w:t>This chapter has assembled a provisional new framework (</w:t>
      </w:r>
      <w:r w:rsidRPr="00400193">
        <w:rPr>
          <w:lang w:eastAsia="zh-CN" w:bidi="hi-IN"/>
        </w:rPr>
        <w:fldChar w:fldCharType="begin"/>
      </w:r>
      <w:r w:rsidRPr="00400193">
        <w:rPr>
          <w:lang w:eastAsia="zh-CN" w:bidi="hi-IN"/>
        </w:rPr>
        <w:instrText xml:space="preserve"> REF _Ref44957419 \h  \* MERGEFORMAT </w:instrText>
      </w:r>
      <w:r w:rsidRPr="00400193">
        <w:rPr>
          <w:lang w:eastAsia="zh-CN" w:bidi="hi-IN"/>
        </w:rPr>
      </w:r>
      <w:r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Pr="00400193">
        <w:rPr>
          <w:lang w:eastAsia="zh-CN" w:bidi="hi-IN"/>
        </w:rPr>
        <w:fldChar w:fldCharType="end"/>
      </w:r>
      <w:r w:rsidRPr="00400193">
        <w:rPr>
          <w:lang w:eastAsia="zh-CN" w:bidi="hi-IN"/>
        </w:rPr>
        <w:t xml:space="preserve">) and detailed some of the internal and external cyber-risks that have been observed in various categories. This does not claim to be a comprehensive list, not least because </w:t>
      </w:r>
      <w:r w:rsidRPr="00400193">
        <w:rPr>
          <w:i/>
          <w:szCs w:val="24"/>
          <w:lang w:eastAsia="zh-CN" w:bidi="hi-IN"/>
        </w:rPr>
        <w:t>“Today’s incidents, yesterday’s strategies – As the digital channel in financial services continues to evolve, cybersecurity has become a business risk, rather than simply a technical risk”</w:t>
      </w:r>
      <w:r w:rsidRPr="00400193">
        <w:rPr>
          <w:iCs/>
          <w:szCs w:val="24"/>
          <w:lang w:eastAsia="zh-CN" w:bidi="hi-IN"/>
        </w:rPr>
        <w:t xml:space="preserve"> (PWC, 2014, p. 11). </w:t>
      </w:r>
      <w:r w:rsidRPr="00400193">
        <w:rPr>
          <w:lang w:eastAsia="zh-CN" w:bidi="hi-IN"/>
        </w:rPr>
        <w:t xml:space="preserve">Many potential risks are out-of-date before they have ever been realised, but others will emerge. Being aware that there may be a risk is the first step towards being aware that there </w:t>
      </w:r>
      <w:r w:rsidRPr="00400193">
        <w:rPr>
          <w:i/>
          <w:iCs/>
          <w:lang w:eastAsia="zh-CN" w:bidi="hi-IN"/>
        </w:rPr>
        <w:t>is</w:t>
      </w:r>
      <w:r w:rsidRPr="00400193">
        <w:rPr>
          <w:lang w:eastAsia="zh-CN" w:bidi="hi-IN"/>
        </w:rPr>
        <w:t xml:space="preserve"> a risk; and awareness of risks helps to reduce them.</w:t>
      </w:r>
    </w:p>
    <w:p w14:paraId="431DCABB" w14:textId="73241DC2" w:rsidR="00153BB4" w:rsidRPr="00400193" w:rsidRDefault="00153BB4" w:rsidP="00153BB4">
      <w:pPr>
        <w:rPr>
          <w:lang w:eastAsia="zh-CN" w:bidi="hi-IN"/>
        </w:rPr>
      </w:pPr>
      <w:r w:rsidRPr="00400193">
        <w:rPr>
          <w:lang w:eastAsia="zh-CN" w:bidi="hi-IN"/>
        </w:rPr>
        <w:t xml:space="preserve">In the final analysis, risk resilience or risk recovery is more practical than risk prevention. Risks can never be completely prevented, but it is essential to be able to recover and keep the organisation running. Similarly, attacks cannot be fully prevented, so detection and reaction are vital elements of cyber-security. It would be possible to make a completely secure database of customer information, but only in a </w:t>
      </w:r>
      <w:r w:rsidRPr="00400193">
        <w:rPr>
          <w:lang w:eastAsia="zh-CN" w:bidi="hi-IN"/>
        </w:rPr>
        <w:lastRenderedPageBreak/>
        <w:t>non-networked, stand-alone computer, with no printer or screen, that was turned off. This would not be very useful. Instead, it is necessary to combine usability, prevention, and a robust detection system that reacts to attack.</w:t>
      </w:r>
    </w:p>
    <w:p w14:paraId="1B4188DD" w14:textId="77777777" w:rsidR="00907912" w:rsidRPr="00400193" w:rsidRDefault="00907912" w:rsidP="00907912">
      <w:pPr>
        <w:rPr>
          <w:lang w:eastAsia="zh-CN" w:bidi="hi-IN"/>
        </w:rPr>
      </w:pPr>
    </w:p>
    <w:p w14:paraId="5B0DD774" w14:textId="77777777" w:rsidR="00907912" w:rsidRPr="00400193" w:rsidRDefault="00907912" w:rsidP="00907912">
      <w:pPr>
        <w:rPr>
          <w:lang w:eastAsia="zh-CN" w:bidi="hi-IN"/>
        </w:rPr>
      </w:pPr>
    </w:p>
    <w:p w14:paraId="1E581BFD" w14:textId="51B5EA3B" w:rsidR="006E3616" w:rsidRPr="00400193" w:rsidRDefault="006E3616" w:rsidP="006E3616">
      <w:pPr>
        <w:rPr>
          <w:szCs w:val="24"/>
          <w:lang w:eastAsia="zh-CN" w:bidi="hi-IN"/>
        </w:rPr>
      </w:pPr>
      <w:bookmarkStart w:id="268" w:name="_43ky6rz"/>
      <w:bookmarkStart w:id="269" w:name="_1x0gk37"/>
      <w:bookmarkEnd w:id="268"/>
      <w:bookmarkEnd w:id="269"/>
      <w:r w:rsidRPr="00400193">
        <w:rPr>
          <w:szCs w:val="24"/>
          <w:lang w:eastAsia="zh-CN" w:bidi="hi-IN"/>
        </w:rPr>
        <w:br w:type="page"/>
      </w:r>
    </w:p>
    <w:p w14:paraId="35367275" w14:textId="77777777" w:rsidR="006E3616" w:rsidRPr="00400193" w:rsidRDefault="006E3616" w:rsidP="00D91457">
      <w:pPr>
        <w:pStyle w:val="Heading1"/>
        <w:ind w:left="0"/>
        <w:rPr>
          <w:rFonts w:eastAsia="Arial"/>
          <w:lang w:eastAsia="zh-CN" w:bidi="hi-IN"/>
        </w:rPr>
      </w:pPr>
      <w:bookmarkStart w:id="270" w:name="_rjefff"/>
      <w:bookmarkStart w:id="271" w:name="_Toc61894711"/>
      <w:bookmarkEnd w:id="146"/>
      <w:bookmarkEnd w:id="270"/>
      <w:r w:rsidRPr="00400193">
        <w:rPr>
          <w:rFonts w:eastAsia="Arial"/>
          <w:lang w:eastAsia="zh-CN" w:bidi="hi-IN"/>
        </w:rPr>
        <w:lastRenderedPageBreak/>
        <w:t>Methodology</w:t>
      </w:r>
      <w:bookmarkEnd w:id="271"/>
    </w:p>
    <w:p w14:paraId="04D1B92A" w14:textId="77777777" w:rsidR="006E3616" w:rsidRPr="00400193" w:rsidRDefault="006E3616" w:rsidP="006E3616">
      <w:pPr>
        <w:rPr>
          <w:lang w:eastAsia="zh-CN"/>
        </w:rPr>
      </w:pPr>
      <w:r w:rsidRPr="00400193">
        <w:rPr>
          <w:lang w:eastAsia="zh-CN"/>
        </w:rPr>
        <w:t>This chapter presents the research methodology used in this study. It describes the methodological approach, research philosophy, research paradigm, approach to data collection design and methods, and choice of data analysis tools. The chapter also includes a justification for the choice of quantitative method. It clarifies the pilot study approach and sampling method adopted and details the ethical approach to the research.</w:t>
      </w:r>
    </w:p>
    <w:p w14:paraId="7CB93EBF" w14:textId="77777777" w:rsidR="006E3616" w:rsidRPr="00400193" w:rsidRDefault="006E3616" w:rsidP="006E3616">
      <w:pPr>
        <w:pStyle w:val="Heading2"/>
        <w:rPr>
          <w:rFonts w:eastAsia="SimSun"/>
          <w:lang w:eastAsia="zh-CN"/>
        </w:rPr>
      </w:pPr>
      <w:bookmarkStart w:id="272" w:name="_Toc18394872"/>
      <w:bookmarkStart w:id="273" w:name="_Toc61894712"/>
      <w:r w:rsidRPr="00400193">
        <w:rPr>
          <w:rFonts w:eastAsia="SimSun"/>
          <w:lang w:eastAsia="zh-CN"/>
        </w:rPr>
        <w:t>Introduction</w:t>
      </w:r>
      <w:bookmarkEnd w:id="272"/>
      <w:bookmarkEnd w:id="273"/>
    </w:p>
    <w:p w14:paraId="69A911F5" w14:textId="77777777" w:rsidR="006E3616" w:rsidRPr="00400193" w:rsidRDefault="006E3616" w:rsidP="006E3616">
      <w:pPr>
        <w:rPr>
          <w:lang w:eastAsia="zh-CN"/>
        </w:rPr>
      </w:pPr>
      <w:r w:rsidRPr="00400193">
        <w:rPr>
          <w:lang w:eastAsia="zh-CN"/>
        </w:rPr>
        <w:t>Much of the information needed to address the research aim is quantitative in nature, for example, how many users are risk-aware, and know how they should behave. It was therefore logical to create a questionnaire to ask those questions in language that can be understood by any user.</w:t>
      </w:r>
    </w:p>
    <w:p w14:paraId="1622C57D" w14:textId="77777777" w:rsidR="006E3616" w:rsidRPr="00400193" w:rsidRDefault="006E3616" w:rsidP="006E3616">
      <w:pPr>
        <w:rPr>
          <w:lang w:eastAsia="zh-CN"/>
        </w:rPr>
      </w:pPr>
      <w:r w:rsidRPr="00400193">
        <w:rPr>
          <w:lang w:eastAsia="zh-CN"/>
        </w:rPr>
        <w:t>This is survey methodology (Groves</w:t>
      </w:r>
      <w:r w:rsidRPr="00400193">
        <w:rPr>
          <w:i/>
          <w:iCs/>
          <w:lang w:eastAsia="zh-CN"/>
        </w:rPr>
        <w:t xml:space="preserve"> </w:t>
      </w:r>
      <w:r w:rsidRPr="00400193">
        <w:rPr>
          <w:lang w:eastAsia="zh-CN"/>
        </w:rPr>
        <w:t>et al., 2009), but avoiding any questions that could have qualitative replies. The questionnaire therefore did not ask for opinions, and only gathered an overview of what respondents know, do, and have seen others do. The data required were broken down into several hypotheses, which were tested after data analysis, and the results used to address the aim of the research. The underlying philosophy and approach to the research are laid out below.</w:t>
      </w:r>
    </w:p>
    <w:p w14:paraId="4EFF0BF3" w14:textId="77777777" w:rsidR="006E3616" w:rsidRPr="00400193" w:rsidRDefault="006E3616" w:rsidP="006E3616">
      <w:pPr>
        <w:rPr>
          <w:lang w:eastAsia="zh-CN"/>
        </w:rPr>
      </w:pPr>
      <w:r w:rsidRPr="00400193">
        <w:rPr>
          <w:lang w:eastAsia="zh-CN"/>
        </w:rPr>
        <w:t>The purpose of this chapter is to explain the choices that were made about data collection and analysis. It will also help other researchers to replicate the research if necessary, because they will be fully aware of the underlying assumptions.</w:t>
      </w:r>
    </w:p>
    <w:p w14:paraId="297A4451" w14:textId="77777777" w:rsidR="006E3616" w:rsidRPr="00400193" w:rsidRDefault="006E3616" w:rsidP="006E3616">
      <w:pPr>
        <w:pStyle w:val="Heading2"/>
        <w:rPr>
          <w:rFonts w:eastAsia="SimSun"/>
          <w:lang w:eastAsia="zh-CN"/>
        </w:rPr>
      </w:pPr>
      <w:bookmarkStart w:id="274" w:name="_Toc61894713"/>
      <w:bookmarkStart w:id="275" w:name="_Toc494233327"/>
      <w:bookmarkStart w:id="276" w:name="_Toc494376067"/>
      <w:bookmarkStart w:id="277" w:name="_Toc18394873"/>
      <w:r w:rsidRPr="00400193">
        <w:rPr>
          <w:rFonts w:eastAsia="SimSun"/>
          <w:lang w:eastAsia="zh-CN"/>
        </w:rPr>
        <w:t>Layers of Research</w:t>
      </w:r>
      <w:bookmarkEnd w:id="274"/>
    </w:p>
    <w:p w14:paraId="529BA580" w14:textId="5B372B95" w:rsidR="006E3616" w:rsidRPr="00400193" w:rsidRDefault="006E3616" w:rsidP="006E3616">
      <w:pPr>
        <w:rPr>
          <w:lang w:eastAsia="zh-CN"/>
        </w:rPr>
      </w:pPr>
      <w:r w:rsidRPr="00400193">
        <w:rPr>
          <w:lang w:eastAsia="zh-CN"/>
        </w:rPr>
        <w:t xml:space="preserve">Saunders, Lewis, and Thornhill (2012) compared the research process to an onion, because of the many layers involved (see </w:t>
      </w:r>
      <w:r w:rsidRPr="00400193">
        <w:rPr>
          <w:lang w:eastAsia="zh-CN"/>
        </w:rPr>
        <w:fldChar w:fldCharType="begin"/>
      </w:r>
      <w:r w:rsidRPr="00400193">
        <w:rPr>
          <w:lang w:eastAsia="zh-CN"/>
        </w:rPr>
        <w:instrText xml:space="preserve"> REF _Ref45105046 \h </w:instrText>
      </w:r>
      <w:r w:rsidRPr="00400193">
        <w:rPr>
          <w:lang w:eastAsia="zh-CN"/>
        </w:rPr>
      </w:r>
      <w:r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1</w:t>
      </w:r>
      <w:r w:rsidRPr="00400193">
        <w:rPr>
          <w:lang w:eastAsia="zh-CN"/>
        </w:rPr>
        <w:fldChar w:fldCharType="end"/>
      </w:r>
      <w:r w:rsidRPr="00400193">
        <w:rPr>
          <w:lang w:eastAsia="zh-CN"/>
        </w:rPr>
        <w:t>). The base layer, underlying the entire project, is the philosophy on which it is based: positivism, realism, interpretivism, or pragmatism. This determines how the researcher approaches the questions and the data and is connected to their ‘worldview’ (Crotty, 1998). In a positivist/realist paradigm, like this project, the basis is that things exist regardless of whether we know about them, and research is carried out to discover more.</w:t>
      </w:r>
    </w:p>
    <w:p w14:paraId="382903AE" w14:textId="77777777" w:rsidR="006E3616" w:rsidRPr="00400193" w:rsidRDefault="006E3616" w:rsidP="006E3616">
      <w:pPr>
        <w:rPr>
          <w:lang w:eastAsia="zh-CN"/>
        </w:rPr>
      </w:pPr>
      <w:r w:rsidRPr="00400193">
        <w:rPr>
          <w:lang w:eastAsia="zh-CN"/>
        </w:rPr>
        <w:lastRenderedPageBreak/>
        <w:t>The next layer of the research ‘onion’ is the approach of the researcher, which could be deductive or inductive. In this research, the answers were deduced from the data. Beyond this layer, there are choices about the actual research, and in this case, the decision was to use a single, quantitative methodology, based on a questionnaire. This means that the strategy used was a survey (Groves</w:t>
      </w:r>
      <w:r w:rsidRPr="00400193">
        <w:rPr>
          <w:i/>
          <w:iCs/>
          <w:lang w:eastAsia="zh-CN"/>
        </w:rPr>
        <w:t xml:space="preserve"> </w:t>
      </w:r>
      <w:r w:rsidRPr="00400193">
        <w:rPr>
          <w:lang w:eastAsia="zh-CN"/>
        </w:rPr>
        <w:t>et al., 2009). It did not consider change over time, so was cross-sectional, rather than longitudinal. The final layer of Saunders, Lewis, and Thornhill’s (2012) onion is the collection and analysis of the data, where the conclusions are shaped and guided by the choices made in the outer layers.</w:t>
      </w:r>
    </w:p>
    <w:p w14:paraId="187EFE6F" w14:textId="77777777" w:rsidR="006E3616" w:rsidRPr="00400193" w:rsidRDefault="006E3616" w:rsidP="006E3616">
      <w:pPr>
        <w:keepNext/>
        <w:spacing w:before="40" w:after="40" w:line="240" w:lineRule="auto"/>
        <w:jc w:val="left"/>
        <w:rPr>
          <w:rFonts w:ascii="Times New Roman" w:eastAsia="Calibri" w:hAnsi="Times New Roman" w:cs="Times New Roman"/>
          <w:szCs w:val="24"/>
        </w:rPr>
      </w:pPr>
      <w:r w:rsidRPr="00400193">
        <w:rPr>
          <w:rFonts w:ascii="Times New Roman" w:eastAsia="Calibri" w:hAnsi="Times New Roman" w:cs="Times New Roman"/>
          <w:noProof/>
          <w:szCs w:val="24"/>
          <w:lang w:val="en-US"/>
        </w:rPr>
        <w:drawing>
          <wp:inline distT="0" distB="0" distL="0" distR="0" wp14:anchorId="168A97AD" wp14:editId="75869D40">
            <wp:extent cx="5760000" cy="3731561"/>
            <wp:effectExtent l="19050" t="19050" r="12700" b="21590"/>
            <wp:docPr id="27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60000" cy="3731561"/>
                    </a:xfrm>
                    <a:prstGeom prst="rect">
                      <a:avLst/>
                    </a:prstGeom>
                    <a:noFill/>
                    <a:ln w="19050">
                      <a:solidFill>
                        <a:schemeClr val="tx1"/>
                      </a:solidFill>
                    </a:ln>
                  </pic:spPr>
                </pic:pic>
              </a:graphicData>
            </a:graphic>
          </wp:inline>
        </w:drawing>
      </w:r>
    </w:p>
    <w:p w14:paraId="5AF3A218" w14:textId="23693DCE" w:rsidR="006E3616" w:rsidRPr="00400193" w:rsidRDefault="006E3616" w:rsidP="006E3616">
      <w:pPr>
        <w:pStyle w:val="Caption"/>
        <w:spacing w:after="240"/>
        <w:jc w:val="left"/>
      </w:pPr>
      <w:bookmarkStart w:id="278" w:name="_Ref45105046"/>
      <w:bookmarkStart w:id="279" w:name="_Toc5538757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w:t>
      </w:r>
      <w:r w:rsidR="00E35E8C" w:rsidRPr="00400193">
        <w:fldChar w:fldCharType="end"/>
      </w:r>
      <w:bookmarkEnd w:id="278"/>
      <w:r w:rsidRPr="00400193">
        <w:t>: The research onion. Source: adapted from Saunders, Lewis, and Thornhill (2012, p. 83)</w:t>
      </w:r>
      <w:bookmarkEnd w:id="279"/>
    </w:p>
    <w:p w14:paraId="4F9E4E48" w14:textId="78B4FE2D" w:rsidR="006E3616" w:rsidRPr="00400193" w:rsidRDefault="006E3616" w:rsidP="006E3616">
      <w:pPr>
        <w:rPr>
          <w:lang w:eastAsia="zh-CN"/>
        </w:rPr>
      </w:pPr>
      <w:r w:rsidRPr="00400193">
        <w:rPr>
          <w:lang w:eastAsia="zh-CN"/>
        </w:rPr>
        <w:t>This analogy of an onion with multiple layers gives a clear picture of the process, and the way that choices are affected by the viewpoint of the researcher, and also how that viewpoint affects the type of questions asked and how the data are analysed.</w:t>
      </w:r>
    </w:p>
    <w:p w14:paraId="5287FB1C" w14:textId="57E11636" w:rsidR="005875CD" w:rsidRPr="00400193" w:rsidRDefault="005875CD" w:rsidP="005875CD">
      <w:pPr>
        <w:pStyle w:val="Heading2"/>
        <w:rPr>
          <w:lang w:eastAsia="zh-CN"/>
        </w:rPr>
      </w:pPr>
      <w:bookmarkStart w:id="280" w:name="_Toc61894714"/>
      <w:r w:rsidRPr="00400193">
        <w:rPr>
          <w:lang w:eastAsia="zh-CN"/>
        </w:rPr>
        <w:t>Research Philosophy</w:t>
      </w:r>
      <w:bookmarkEnd w:id="280"/>
    </w:p>
    <w:p w14:paraId="711E0927" w14:textId="288828EF" w:rsidR="005875CD" w:rsidRPr="00400193" w:rsidRDefault="005875CD" w:rsidP="005875CD">
      <w:pPr>
        <w:rPr>
          <w:lang w:eastAsia="zh-CN"/>
        </w:rPr>
      </w:pPr>
      <w:r w:rsidRPr="00400193">
        <w:rPr>
          <w:lang w:eastAsia="zh-CN"/>
        </w:rPr>
        <w:t>This research, as stated above, was conducted with a positivist/realist philosophy</w:t>
      </w:r>
      <w:r w:rsidR="00253BA9" w:rsidRPr="00400193">
        <w:rPr>
          <w:lang w:eastAsia="zh-CN"/>
        </w:rPr>
        <w:t xml:space="preserve">, a </w:t>
      </w:r>
      <w:r w:rsidR="00701D63" w:rsidRPr="00400193">
        <w:rPr>
          <w:lang w:eastAsia="zh-CN"/>
        </w:rPr>
        <w:t>standpoint</w:t>
      </w:r>
      <w:r w:rsidR="00253BA9" w:rsidRPr="00400193">
        <w:rPr>
          <w:lang w:eastAsia="zh-CN"/>
        </w:rPr>
        <w:t xml:space="preserve"> more commonly found in law and legal studies </w:t>
      </w:r>
      <w:r w:rsidR="00701D63" w:rsidRPr="00400193">
        <w:rPr>
          <w:lang w:eastAsia="zh-CN"/>
        </w:rPr>
        <w:t>(Cross, 1997) or the Social Sciences (Cupchick, 2001). As Cross (1997, p. 10) puts it:</w:t>
      </w:r>
    </w:p>
    <w:p w14:paraId="0A9719B7" w14:textId="7D480E8C" w:rsidR="00701D63" w:rsidRPr="00400193" w:rsidRDefault="00701D63" w:rsidP="00701D63">
      <w:pPr>
        <w:pStyle w:val="Quote"/>
        <w:rPr>
          <w:lang w:eastAsia="zh-CN"/>
        </w:rPr>
      </w:pPr>
      <w:r w:rsidRPr="00400193">
        <w:rPr>
          <w:lang w:eastAsia="zh-CN"/>
        </w:rPr>
        <w:lastRenderedPageBreak/>
        <w:t xml:space="preserve">Positivism in some senses declares only that what is, is. … Deeper positivism is descriptive and attempts to explain why and how the law develops. Realism is the best-established form of such positivism. </w:t>
      </w:r>
    </w:p>
    <w:p w14:paraId="29FE14BB" w14:textId="6C14FB4B" w:rsidR="007D639D" w:rsidRPr="00400193" w:rsidRDefault="00701D63" w:rsidP="005875CD">
      <w:pPr>
        <w:rPr>
          <w:lang w:eastAsia="zh-CN"/>
        </w:rPr>
      </w:pPr>
      <w:r w:rsidRPr="00400193">
        <w:rPr>
          <w:lang w:eastAsia="zh-CN"/>
        </w:rPr>
        <w:t>The application to this research</w:t>
      </w:r>
      <w:r w:rsidR="008E676D" w:rsidRPr="00400193">
        <w:rPr>
          <w:lang w:eastAsia="zh-CN"/>
        </w:rPr>
        <w:t xml:space="preserve"> is that it is trying to explain a situation that </w:t>
      </w:r>
      <w:r w:rsidR="008E676D" w:rsidRPr="00400193">
        <w:rPr>
          <w:i/>
          <w:iCs/>
          <w:lang w:eastAsia="zh-CN"/>
        </w:rPr>
        <w:t>“is”</w:t>
      </w:r>
      <w:r w:rsidR="008E676D" w:rsidRPr="00400193">
        <w:rPr>
          <w:lang w:eastAsia="zh-CN"/>
        </w:rPr>
        <w:t xml:space="preserve"> and find the </w:t>
      </w:r>
      <w:r w:rsidR="008E676D" w:rsidRPr="00400193">
        <w:rPr>
          <w:i/>
          <w:iCs/>
          <w:lang w:eastAsia="zh-CN"/>
        </w:rPr>
        <w:t>“why and how”</w:t>
      </w:r>
      <w:r w:rsidR="008E676D" w:rsidRPr="00400193">
        <w:rPr>
          <w:lang w:eastAsia="zh-CN"/>
        </w:rPr>
        <w:t xml:space="preserve">. Cupchick (2001) describes a very similar viewpoint as </w:t>
      </w:r>
      <w:r w:rsidR="008E676D" w:rsidRPr="00400193">
        <w:rPr>
          <w:i/>
          <w:iCs/>
          <w:lang w:eastAsia="zh-CN"/>
        </w:rPr>
        <w:t>“Constructivist Realism”,</w:t>
      </w:r>
      <w:r w:rsidR="008E676D" w:rsidRPr="00400193">
        <w:rPr>
          <w:lang w:eastAsia="zh-CN"/>
        </w:rPr>
        <w:t xml:space="preserve"> and Ferraris (2015) discusses </w:t>
      </w:r>
      <w:r w:rsidR="008E676D" w:rsidRPr="00400193">
        <w:rPr>
          <w:i/>
          <w:iCs/>
          <w:lang w:eastAsia="zh-CN"/>
        </w:rPr>
        <w:t xml:space="preserve">“Transcendental </w:t>
      </w:r>
      <w:r w:rsidR="00D617E9" w:rsidRPr="00400193">
        <w:rPr>
          <w:i/>
          <w:iCs/>
          <w:lang w:eastAsia="zh-CN"/>
        </w:rPr>
        <w:t>Realism”</w:t>
      </w:r>
      <w:r w:rsidR="00D617E9" w:rsidRPr="00400193">
        <w:rPr>
          <w:lang w:eastAsia="zh-CN"/>
        </w:rPr>
        <w:t xml:space="preserve">. In each case they are trying to move away from positivism whilst still keeping its basic assumptions. </w:t>
      </w:r>
      <w:r w:rsidR="00292BFB" w:rsidRPr="00400193">
        <w:rPr>
          <w:lang w:eastAsia="zh-CN"/>
        </w:rPr>
        <w:t>The research is also quantitative in its approach, because the intent is to measure the resilience of the organisation (Haimes, 2009)</w:t>
      </w:r>
      <w:r w:rsidR="00F84034" w:rsidRPr="00400193">
        <w:rPr>
          <w:lang w:eastAsia="zh-CN"/>
        </w:rPr>
        <w:t xml:space="preserve"> for two reasons. The first is to provide an objective measurement of the current position, and the second is to allow managers in the organisation to make a direct comparison in any future assessment of resilience after any changes have been made. </w:t>
      </w:r>
      <w:r w:rsidR="00D617E9" w:rsidRPr="00400193">
        <w:rPr>
          <w:lang w:eastAsia="zh-CN"/>
        </w:rPr>
        <w:t xml:space="preserve">The approach that this research takes towards the data analysis and the findings is similar to critical realism – although critical realism is not a popular academic view </w:t>
      </w:r>
      <w:r w:rsidR="00B83E0A" w:rsidRPr="00400193">
        <w:rPr>
          <w:lang w:eastAsia="zh-CN"/>
        </w:rPr>
        <w:t>(de Bernardi, 2018)</w:t>
      </w:r>
      <w:r w:rsidR="00D617E9" w:rsidRPr="00400193">
        <w:rPr>
          <w:lang w:eastAsia="zh-CN"/>
        </w:rPr>
        <w:t>.</w:t>
      </w:r>
      <w:r w:rsidR="00B83E0A" w:rsidRPr="00400193">
        <w:rPr>
          <w:lang w:eastAsia="zh-CN"/>
        </w:rPr>
        <w:t xml:space="preserve"> Realism, whether positivist (Cross, 1997), constructivist (Cupchick, 2001), Transcendental (Ferraris, 2015), or critical (de Bernardi, 2018) has a place in research because </w:t>
      </w:r>
      <w:r w:rsidR="00B83E0A" w:rsidRPr="00400193">
        <w:rPr>
          <w:i/>
          <w:iCs/>
          <w:lang w:eastAsia="zh-CN"/>
        </w:rPr>
        <w:t xml:space="preserve">“The role of the critical realist is to point out </w:t>
      </w:r>
      <w:r w:rsidR="00B83E0A" w:rsidRPr="00400193">
        <w:rPr>
          <w:sz w:val="22"/>
          <w:szCs w:val="20"/>
          <w:lang w:eastAsia="zh-CN"/>
        </w:rPr>
        <w:t>[the]</w:t>
      </w:r>
      <w:r w:rsidR="00B83E0A" w:rsidRPr="00400193">
        <w:rPr>
          <w:i/>
          <w:iCs/>
          <w:lang w:eastAsia="zh-CN"/>
        </w:rPr>
        <w:t xml:space="preserve"> situation and to try to change it”</w:t>
      </w:r>
      <w:r w:rsidR="00B83E0A" w:rsidRPr="00400193">
        <w:rPr>
          <w:lang w:eastAsia="zh-CN"/>
        </w:rPr>
        <w:t xml:space="preserve"> (de Bernardi, 2018, p. 388).</w:t>
      </w:r>
    </w:p>
    <w:p w14:paraId="072DF8A6" w14:textId="77777777" w:rsidR="006E3616" w:rsidRPr="00400193" w:rsidRDefault="006E3616" w:rsidP="006E3616">
      <w:pPr>
        <w:pStyle w:val="Heading2"/>
        <w:rPr>
          <w:rFonts w:eastAsia="SimSun"/>
          <w:lang w:eastAsia="zh-CN"/>
        </w:rPr>
      </w:pPr>
      <w:bookmarkStart w:id="281" w:name="_Toc61894715"/>
      <w:r w:rsidRPr="00400193">
        <w:rPr>
          <w:rFonts w:eastAsia="SimSun"/>
          <w:lang w:eastAsia="zh-CN"/>
        </w:rPr>
        <w:t>Research Paradigm</w:t>
      </w:r>
      <w:bookmarkEnd w:id="275"/>
      <w:bookmarkEnd w:id="276"/>
      <w:bookmarkEnd w:id="277"/>
      <w:bookmarkEnd w:id="281"/>
    </w:p>
    <w:p w14:paraId="09A8BFA4" w14:textId="28154DAB" w:rsidR="006E3616" w:rsidRPr="00400193" w:rsidRDefault="006E3616" w:rsidP="006E3616">
      <w:pPr>
        <w:rPr>
          <w:lang w:eastAsia="zh-CN"/>
        </w:rPr>
      </w:pPr>
      <w:r w:rsidRPr="00400193">
        <w:rPr>
          <w:lang w:eastAsia="zh-CN"/>
        </w:rPr>
        <w:t xml:space="preserve">A research paradigm is constructed based on assumptions and propositions. The researcher investigates and explores these assumptions in reality. The word paradigm originated from the Greek word </w:t>
      </w:r>
      <w:r w:rsidRPr="00400193">
        <w:rPr>
          <w:i/>
          <w:iCs/>
          <w:lang w:eastAsia="zh-CN"/>
        </w:rPr>
        <w:t>“paradeigma”</w:t>
      </w:r>
      <w:r w:rsidRPr="00400193">
        <w:rPr>
          <w:lang w:eastAsia="zh-CN"/>
        </w:rPr>
        <w:t xml:space="preserve">, which means patterns. Thomas Kuhn </w:t>
      </w:r>
      <w:sdt>
        <w:sdtPr>
          <w:rPr>
            <w:lang w:eastAsia="zh-CN"/>
          </w:rPr>
          <w:id w:val="108712380"/>
          <w:citation/>
        </w:sdtPr>
        <w:sdtEndPr/>
        <w:sdtContent>
          <w:r w:rsidRPr="00400193">
            <w:rPr>
              <w:lang w:eastAsia="zh-CN"/>
            </w:rPr>
            <w:fldChar w:fldCharType="begin"/>
          </w:r>
          <w:r w:rsidRPr="00400193">
            <w:rPr>
              <w:lang w:eastAsia="zh-CN"/>
            </w:rPr>
            <w:instrText xml:space="preserve">CITATION Kuh70 \n  \t  \l 2057 </w:instrText>
          </w:r>
          <w:r w:rsidRPr="00400193">
            <w:rPr>
              <w:lang w:eastAsia="zh-CN"/>
            </w:rPr>
            <w:fldChar w:fldCharType="separate"/>
          </w:r>
          <w:r w:rsidR="002F482A" w:rsidRPr="00400193">
            <w:rPr>
              <w:noProof/>
              <w:lang w:eastAsia="zh-CN"/>
            </w:rPr>
            <w:t>(1970)</w:t>
          </w:r>
          <w:r w:rsidRPr="00400193">
            <w:rPr>
              <w:lang w:eastAsia="zh-CN"/>
            </w:rPr>
            <w:fldChar w:fldCharType="end"/>
          </w:r>
        </w:sdtContent>
      </w:sdt>
      <w:r w:rsidRPr="00400193">
        <w:rPr>
          <w:lang w:eastAsia="zh-CN"/>
        </w:rPr>
        <w:t xml:space="preserve"> first used the word paradigm to represent a conceptual framework developed by a group of researchers to provide them with a suitable model for exploring problems and finding solutions. Other researchers such as Patton </w:t>
      </w:r>
      <w:sdt>
        <w:sdtPr>
          <w:rPr>
            <w:lang w:eastAsia="zh-CN"/>
          </w:rPr>
          <w:id w:val="-1121923770"/>
          <w:citation/>
        </w:sdtPr>
        <w:sdtEndPr/>
        <w:sdtContent>
          <w:r w:rsidRPr="00400193">
            <w:rPr>
              <w:lang w:eastAsia="zh-CN"/>
            </w:rPr>
            <w:fldChar w:fldCharType="begin"/>
          </w:r>
          <w:r w:rsidRPr="00400193">
            <w:rPr>
              <w:lang w:eastAsia="zh-CN"/>
            </w:rPr>
            <w:instrText xml:space="preserve">CITATION Pat90 \n  \t  \l 2057 </w:instrText>
          </w:r>
          <w:r w:rsidRPr="00400193">
            <w:rPr>
              <w:lang w:eastAsia="zh-CN"/>
            </w:rPr>
            <w:fldChar w:fldCharType="separate"/>
          </w:r>
          <w:r w:rsidR="002F482A" w:rsidRPr="00400193">
            <w:rPr>
              <w:noProof/>
              <w:lang w:eastAsia="zh-CN"/>
            </w:rPr>
            <w:t>(1990)</w:t>
          </w:r>
          <w:r w:rsidRPr="00400193">
            <w:rPr>
              <w:lang w:eastAsia="zh-CN"/>
            </w:rPr>
            <w:fldChar w:fldCharType="end"/>
          </w:r>
        </w:sdtContent>
      </w:sdt>
      <w:r w:rsidRPr="00400193">
        <w:rPr>
          <w:lang w:eastAsia="zh-CN"/>
        </w:rPr>
        <w:t xml:space="preserve"> defined paradigm as a process of breaking down real-world problems or complexity into smaller pieces to enable easy investigation and examination. Guba </w:t>
      </w:r>
      <w:sdt>
        <w:sdtPr>
          <w:rPr>
            <w:lang w:eastAsia="zh-CN"/>
          </w:rPr>
          <w:id w:val="-64424848"/>
          <w:citation/>
        </w:sdtPr>
        <w:sdtEndPr/>
        <w:sdtContent>
          <w:r w:rsidRPr="00400193">
            <w:rPr>
              <w:lang w:eastAsia="zh-CN"/>
            </w:rPr>
            <w:fldChar w:fldCharType="begin"/>
          </w:r>
          <w:r w:rsidRPr="00400193">
            <w:rPr>
              <w:lang w:eastAsia="zh-CN"/>
            </w:rPr>
            <w:instrText xml:space="preserve">CITATION The90 \n  \t  \l 2057 </w:instrText>
          </w:r>
          <w:r w:rsidRPr="00400193">
            <w:rPr>
              <w:lang w:eastAsia="zh-CN"/>
            </w:rPr>
            <w:fldChar w:fldCharType="separate"/>
          </w:r>
          <w:r w:rsidR="002F482A" w:rsidRPr="00400193">
            <w:rPr>
              <w:noProof/>
              <w:lang w:eastAsia="zh-CN"/>
            </w:rPr>
            <w:t>(1990)</w:t>
          </w:r>
          <w:r w:rsidRPr="00400193">
            <w:rPr>
              <w:lang w:eastAsia="zh-CN"/>
            </w:rPr>
            <w:fldChar w:fldCharType="end"/>
          </w:r>
        </w:sdtContent>
      </w:sdt>
      <w:r w:rsidRPr="00400193">
        <w:rPr>
          <w:lang w:eastAsia="zh-CN"/>
        </w:rPr>
        <w:t xml:space="preserve"> introduced it as a framework to support researchers to interpret and understand research problems, guided by </w:t>
      </w:r>
      <w:r w:rsidRPr="00400193">
        <w:rPr>
          <w:i/>
          <w:iCs/>
          <w:lang w:eastAsia="zh-CN"/>
        </w:rPr>
        <w:t>“a set of beliefs and feelings about the world and how it should be understood and studied”</w:t>
      </w:r>
      <w:r w:rsidRPr="00400193">
        <w:rPr>
          <w:lang w:eastAsia="zh-CN"/>
        </w:rPr>
        <w:t xml:space="preserve"> (Guba, 1990, p. 17). Miller and Brewer (2003, p.220) described it as a </w:t>
      </w:r>
      <w:r w:rsidRPr="00400193">
        <w:rPr>
          <w:i/>
          <w:iCs/>
          <w:lang w:eastAsia="zh-CN"/>
        </w:rPr>
        <w:t>“theoretical structure or a framework of thought that acts as a template or an example to be followed”</w:t>
      </w:r>
      <w:r w:rsidRPr="00400193">
        <w:rPr>
          <w:lang w:eastAsia="zh-CN"/>
        </w:rPr>
        <w:t xml:space="preserve">. The concept was described by Creswell (2003) as a way for researchers to think, communicate, perceive, and see the world, taking into </w:t>
      </w:r>
      <w:r w:rsidRPr="00400193">
        <w:rPr>
          <w:lang w:eastAsia="zh-CN"/>
        </w:rPr>
        <w:lastRenderedPageBreak/>
        <w:t xml:space="preserve">consideration the limits of what can be tested at any one time. Some variables cannot be tested without defining a specific research paradigm. These definitions therefore suggest that a paradigm is a framework of a structured and systematic way of thinking to support researchers in examining their problem or proposition using a well-organised process. It helps researchers to define the type of questions to be asked, and the type of methodology to be used in examining the research questions. Researchers’ findings are therefore examined and defined by the paradigm adopted. </w:t>
      </w:r>
    </w:p>
    <w:p w14:paraId="29CCA70F" w14:textId="77777777" w:rsidR="006E3616" w:rsidRPr="00400193" w:rsidRDefault="006E3616" w:rsidP="006E3616">
      <w:pPr>
        <w:rPr>
          <w:lang w:eastAsia="zh-CN"/>
        </w:rPr>
      </w:pPr>
      <w:r w:rsidRPr="00400193">
        <w:rPr>
          <w:lang w:eastAsia="zh-CN"/>
        </w:rPr>
        <w:t>Guba (1990) stated that these paradigms are categorised and classified by the way their advocates responded to three philosophical questions:</w:t>
      </w:r>
    </w:p>
    <w:p w14:paraId="2B31B1EF" w14:textId="77777777" w:rsidR="006E3616" w:rsidRPr="00400193" w:rsidRDefault="006E3616" w:rsidP="00056969">
      <w:pPr>
        <w:pStyle w:val="ListParagraph"/>
        <w:numPr>
          <w:ilvl w:val="0"/>
          <w:numId w:val="9"/>
        </w:numPr>
        <w:rPr>
          <w:lang w:eastAsia="zh-CN"/>
        </w:rPr>
      </w:pPr>
      <w:r w:rsidRPr="00400193">
        <w:rPr>
          <w:lang w:eastAsia="zh-CN"/>
        </w:rPr>
        <w:t>Ontological consideration (What is the nature of the knowledge under study?)</w:t>
      </w:r>
    </w:p>
    <w:p w14:paraId="2C83DC3E" w14:textId="77777777" w:rsidR="006E3616" w:rsidRPr="00400193" w:rsidRDefault="006E3616" w:rsidP="00056969">
      <w:pPr>
        <w:pStyle w:val="ListParagraph"/>
        <w:numPr>
          <w:ilvl w:val="0"/>
          <w:numId w:val="9"/>
        </w:numPr>
        <w:rPr>
          <w:lang w:eastAsia="zh-CN"/>
        </w:rPr>
      </w:pPr>
      <w:r w:rsidRPr="00400193">
        <w:rPr>
          <w:lang w:eastAsia="zh-CN"/>
        </w:rPr>
        <w:t>Epistemological considerations (What is the nature of the relationship between the knower ‘the inquirer’ and the known ‘or knowable’?)</w:t>
      </w:r>
    </w:p>
    <w:p w14:paraId="59A4F5C3" w14:textId="77777777" w:rsidR="006E3616" w:rsidRPr="00400193" w:rsidRDefault="006E3616" w:rsidP="00056969">
      <w:pPr>
        <w:pStyle w:val="ListParagraph"/>
        <w:numPr>
          <w:ilvl w:val="0"/>
          <w:numId w:val="9"/>
        </w:numPr>
        <w:rPr>
          <w:lang w:eastAsia="zh-CN"/>
        </w:rPr>
      </w:pPr>
      <w:r w:rsidRPr="00400193">
        <w:rPr>
          <w:lang w:eastAsia="zh-CN"/>
        </w:rPr>
        <w:t>Methodological considerations (How should the inquirer go about finding out knowledge?) (Guba, 1990, p. 18)</w:t>
      </w:r>
    </w:p>
    <w:p w14:paraId="28751F5F" w14:textId="77777777" w:rsidR="006E3616" w:rsidRPr="00400193" w:rsidRDefault="006E3616" w:rsidP="006E3616">
      <w:pPr>
        <w:rPr>
          <w:lang w:eastAsia="zh-CN"/>
        </w:rPr>
      </w:pPr>
      <w:r w:rsidRPr="00400193">
        <w:rPr>
          <w:lang w:eastAsia="zh-CN"/>
        </w:rPr>
        <w:t>The next section describes the research methodology used in this study.</w:t>
      </w:r>
    </w:p>
    <w:p w14:paraId="304137B6" w14:textId="77777777" w:rsidR="006E3616" w:rsidRPr="00400193" w:rsidRDefault="006E3616" w:rsidP="006E3616">
      <w:pPr>
        <w:pStyle w:val="Heading2"/>
        <w:rPr>
          <w:rFonts w:eastAsia="SimSun"/>
          <w:lang w:eastAsia="zh-CN"/>
        </w:rPr>
      </w:pPr>
      <w:bookmarkStart w:id="282" w:name="_Toc454551121"/>
      <w:bookmarkStart w:id="283" w:name="_Toc494233332"/>
      <w:bookmarkStart w:id="284" w:name="_Toc494376072"/>
      <w:bookmarkStart w:id="285" w:name="_Toc18394874"/>
      <w:bookmarkStart w:id="286" w:name="_Toc61894716"/>
      <w:r w:rsidRPr="00400193">
        <w:rPr>
          <w:rFonts w:eastAsia="SimSun"/>
          <w:lang w:eastAsia="zh-CN"/>
        </w:rPr>
        <w:t>Methodology</w:t>
      </w:r>
      <w:bookmarkEnd w:id="282"/>
      <w:bookmarkEnd w:id="283"/>
      <w:bookmarkEnd w:id="284"/>
      <w:bookmarkEnd w:id="285"/>
      <w:bookmarkEnd w:id="286"/>
    </w:p>
    <w:p w14:paraId="5102FD6F" w14:textId="77777777" w:rsidR="006E3616" w:rsidRPr="00400193" w:rsidRDefault="006E3616" w:rsidP="006E3616">
      <w:pPr>
        <w:rPr>
          <w:lang w:eastAsia="zh-CN"/>
        </w:rPr>
      </w:pPr>
      <w:r w:rsidRPr="00400193">
        <w:rPr>
          <w:lang w:eastAsia="zh-CN"/>
        </w:rPr>
        <w:t xml:space="preserve">The study examined UAE public sector organisations. It relied on primary data collected from participants, secondary data from the field literature and documents published by the UAE government. A survey was used to investigate the current cyber-resilience status of UAE public sector organisations. </w:t>
      </w:r>
    </w:p>
    <w:p w14:paraId="7AC16DA0" w14:textId="77777777" w:rsidR="006E3616" w:rsidRPr="00400193" w:rsidRDefault="006E3616" w:rsidP="006E3616">
      <w:pPr>
        <w:rPr>
          <w:lang w:eastAsia="zh-CN"/>
        </w:rPr>
      </w:pPr>
      <w:r w:rsidRPr="00400193">
        <w:rPr>
          <w:lang w:eastAsia="zh-CN"/>
        </w:rPr>
        <w:t>The information was gathered from questionnaires distributed to 200 participants, all of whom were public sector employees. The next few sections justify the chosen methodology and data collection methods used in this research. It includes an explanation of the methodological framework, the data collection methods, the data analysis process, and the type of study sample.</w:t>
      </w:r>
    </w:p>
    <w:p w14:paraId="69979F50" w14:textId="6CC7D022" w:rsidR="006E3616" w:rsidRPr="00400193" w:rsidRDefault="006E3616" w:rsidP="006E3616">
      <w:pPr>
        <w:rPr>
          <w:lang w:eastAsia="zh-CN"/>
        </w:rPr>
      </w:pPr>
      <w:r w:rsidRPr="00400193">
        <w:rPr>
          <w:lang w:eastAsia="zh-CN"/>
        </w:rPr>
        <w:t>There are two basic elements that affect the choice of the data collection instrument: the research approach (qualitative or quantitative) and the research questions. Researchers must ensure that the data collection method generates data that can address the research questions and fit the philosophical assumptions underlying the overarching research paradigm (</w:t>
      </w:r>
      <w:bookmarkStart w:id="287" w:name="_Hlk43144315"/>
      <w:r w:rsidRPr="00400193">
        <w:rPr>
          <w:lang w:eastAsia="zh-CN"/>
        </w:rPr>
        <w:t xml:space="preserve">Snape </w:t>
      </w:r>
      <w:r w:rsidR="00E93EE0" w:rsidRPr="00400193">
        <w:rPr>
          <w:lang w:eastAsia="zh-CN"/>
        </w:rPr>
        <w:t>and</w:t>
      </w:r>
      <w:r w:rsidRPr="00400193">
        <w:rPr>
          <w:lang w:eastAsia="zh-CN"/>
        </w:rPr>
        <w:t xml:space="preserve"> Spencer, 2003)</w:t>
      </w:r>
      <w:bookmarkEnd w:id="287"/>
      <w:r w:rsidRPr="00400193">
        <w:rPr>
          <w:lang w:eastAsia="zh-CN"/>
        </w:rPr>
        <w:t>.</w:t>
      </w:r>
    </w:p>
    <w:p w14:paraId="48888A82" w14:textId="744678B4" w:rsidR="002731E6" w:rsidRPr="00400193" w:rsidRDefault="002731E6" w:rsidP="002731E6">
      <w:pPr>
        <w:pStyle w:val="Heading2"/>
        <w:rPr>
          <w:lang w:eastAsia="zh-CN"/>
        </w:rPr>
      </w:pPr>
      <w:bookmarkStart w:id="288" w:name="_Toc61894717"/>
      <w:r w:rsidRPr="00400193">
        <w:rPr>
          <w:lang w:eastAsia="zh-CN"/>
        </w:rPr>
        <w:lastRenderedPageBreak/>
        <w:t>Research Design</w:t>
      </w:r>
      <w:bookmarkEnd w:id="288"/>
    </w:p>
    <w:p w14:paraId="60E0EAFD" w14:textId="23A602CE" w:rsidR="0039593D" w:rsidRPr="00400193" w:rsidRDefault="0039593D" w:rsidP="002731E6">
      <w:pPr>
        <w:rPr>
          <w:lang w:eastAsia="zh-CN"/>
        </w:rPr>
      </w:pPr>
      <w:r w:rsidRPr="00400193">
        <w:rPr>
          <w:lang w:eastAsia="zh-CN"/>
        </w:rPr>
        <w:t xml:space="preserve">The research design process followed the sequence presented below in </w:t>
      </w:r>
      <w:r w:rsidR="00E35E8C" w:rsidRPr="00400193">
        <w:rPr>
          <w:lang w:eastAsia="zh-CN"/>
        </w:rPr>
        <w:fldChar w:fldCharType="begin"/>
      </w:r>
      <w:r w:rsidR="00E35E8C" w:rsidRPr="00400193">
        <w:rPr>
          <w:lang w:eastAsia="zh-CN"/>
        </w:rPr>
        <w:instrText xml:space="preserve"> REF _Ref50986143 \h </w:instrText>
      </w:r>
      <w:r w:rsidR="00E35E8C" w:rsidRPr="00400193">
        <w:rPr>
          <w:lang w:eastAsia="zh-CN"/>
        </w:rPr>
      </w:r>
      <w:r w:rsidR="00E35E8C"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2</w:t>
      </w:r>
      <w:r w:rsidR="00E35E8C" w:rsidRPr="00400193">
        <w:rPr>
          <w:lang w:eastAsia="zh-CN"/>
        </w:rPr>
        <w:fldChar w:fldCharType="end"/>
      </w:r>
      <w:r w:rsidRPr="00400193">
        <w:rPr>
          <w:lang w:eastAsia="zh-CN"/>
        </w:rPr>
        <w:t xml:space="preserve"> below. This arrangement of steps proved to be efficient, and the final design effective.</w:t>
      </w:r>
      <w:r w:rsidR="00E4310A" w:rsidRPr="00400193">
        <w:rPr>
          <w:lang w:eastAsia="zh-CN"/>
        </w:rPr>
        <w:t xml:space="preserve"> As the Figure shows this was a complex process, with several process running concurrently – sending out the pilot questionnaire, choosing descriptive analysis methods, and choosing regression analysis methods. This meant that, by the time data was collected from the main survey questionnaire, all of the analysis procedures were in place, and there was a continuous flow of the research.</w:t>
      </w:r>
    </w:p>
    <w:p w14:paraId="4753DF41" w14:textId="77777777" w:rsidR="00E35E8C" w:rsidRPr="00400193" w:rsidRDefault="00E75244" w:rsidP="00E35E8C">
      <w:pPr>
        <w:keepNext/>
        <w:spacing w:after="0" w:line="240" w:lineRule="auto"/>
      </w:pPr>
      <w:r w:rsidRPr="00400193">
        <w:rPr>
          <w:noProof/>
          <w:sz w:val="16"/>
          <w:szCs w:val="16"/>
          <w:lang w:val="en-US"/>
        </w:rPr>
        <mc:AlternateContent>
          <mc:Choice Requires="wpc">
            <w:drawing>
              <wp:inline distT="0" distB="0" distL="0" distR="0" wp14:anchorId="5E084AA8" wp14:editId="618069F0">
                <wp:extent cx="5759450" cy="4444409"/>
                <wp:effectExtent l="0" t="0" r="12700" b="13335"/>
                <wp:docPr id="28" name="Canvas 2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w="19050">
                          <a:solidFill>
                            <a:schemeClr val="tx1"/>
                          </a:solidFill>
                        </a:ln>
                      </wpc:whole>
                      <wps:wsp>
                        <wps:cNvPr id="225" name="Flowchart: Preparation 225"/>
                        <wps:cNvSpPr/>
                        <wps:spPr>
                          <a:xfrm>
                            <a:off x="53183" y="466981"/>
                            <a:ext cx="468000" cy="288000"/>
                          </a:xfrm>
                          <a:prstGeom prst="flowChartPreparation">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2E707B82" w14:textId="76DF2E1D" w:rsidR="007401F4" w:rsidRPr="00FD3E15" w:rsidRDefault="007401F4" w:rsidP="00E75244">
                              <w:pPr>
                                <w:spacing w:after="0" w:line="240" w:lineRule="auto"/>
                                <w:jc w:val="center"/>
                                <w:rPr>
                                  <w:sz w:val="16"/>
                                  <w:szCs w:val="14"/>
                                </w:rPr>
                              </w:pPr>
                              <w:r w:rsidRPr="00FD3E15">
                                <w:rPr>
                                  <w:sz w:val="16"/>
                                  <w:szCs w:val="1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7" name="Flowchart: Process 227"/>
                        <wps:cNvSpPr/>
                        <wps:spPr>
                          <a:xfrm>
                            <a:off x="935665" y="389306"/>
                            <a:ext cx="900000" cy="45000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5DB959FF" w14:textId="38155922" w:rsidR="007401F4" w:rsidRPr="00FD3E15" w:rsidRDefault="007401F4" w:rsidP="0059305F">
                              <w:pPr>
                                <w:spacing w:after="0" w:line="240" w:lineRule="auto"/>
                                <w:jc w:val="center"/>
                                <w:rPr>
                                  <w:sz w:val="16"/>
                                  <w:szCs w:val="14"/>
                                </w:rPr>
                              </w:pPr>
                              <w:r w:rsidRPr="00FD3E15">
                                <w:rPr>
                                  <w:sz w:val="16"/>
                                  <w:szCs w:val="14"/>
                                </w:rPr>
                                <w:t>Prepare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 name="Flowchart: Process 289"/>
                        <wps:cNvSpPr/>
                        <wps:spPr>
                          <a:xfrm>
                            <a:off x="2147021" y="389358"/>
                            <a:ext cx="900000" cy="45000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73E73ACF" w14:textId="0B4E2CC9" w:rsidR="007401F4" w:rsidRPr="00FD3E15" w:rsidRDefault="007401F4" w:rsidP="00FD3E15">
                              <w:pPr>
                                <w:pStyle w:val="InFigures1"/>
                              </w:pPr>
                              <w:r w:rsidRPr="00FD3E15">
                                <w:t>Send out pilot survey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Flowchart: Process 290"/>
                        <wps:cNvSpPr/>
                        <wps:spPr>
                          <a:xfrm>
                            <a:off x="1540966" y="1211359"/>
                            <a:ext cx="900000" cy="45000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4CA3B5CF" w14:textId="615F2253" w:rsidR="007401F4" w:rsidRPr="00FD3E15" w:rsidRDefault="007401F4" w:rsidP="00FD3E15">
                              <w:pPr>
                                <w:pStyle w:val="InFigures1"/>
                              </w:pPr>
                              <w:r w:rsidRPr="00FD3E15">
                                <w:t xml:space="preserve">Examine </w:t>
                              </w:r>
                              <w:r>
                                <w:t xml:space="preserve"> Descriptive A</w:t>
                              </w:r>
                              <w:r w:rsidRPr="00FD3E15">
                                <w:t>nal</w:t>
                              </w:r>
                              <w:r>
                                <w:t xml:space="preserve">. </w:t>
                              </w:r>
                              <w:r w:rsidRPr="00FD3E15">
                                <w:t>methods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2" name="Straight Connector 232"/>
                        <wps:cNvCnPr>
                          <a:stCxn id="289" idx="3"/>
                          <a:endCxn id="231" idx="1"/>
                        </wps:cNvCnPr>
                        <wps:spPr>
                          <a:xfrm>
                            <a:off x="3047021" y="614358"/>
                            <a:ext cx="206818" cy="9019"/>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3" name="Connector: Elbow 233"/>
                        <wps:cNvCnPr>
                          <a:stCxn id="231" idx="0"/>
                          <a:endCxn id="227" idx="0"/>
                        </wps:cNvCnPr>
                        <wps:spPr>
                          <a:xfrm rot="16200000" flipV="1">
                            <a:off x="2499717" y="-724745"/>
                            <a:ext cx="71" cy="2228174"/>
                          </a:xfrm>
                          <a:prstGeom prst="bentConnector3">
                            <a:avLst>
                              <a:gd name="adj1" fmla="val 322071831"/>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4" name="Straight Connector 234"/>
                        <wps:cNvCnPr>
                          <a:stCxn id="225" idx="3"/>
                          <a:endCxn id="227" idx="1"/>
                        </wps:cNvCnPr>
                        <wps:spPr>
                          <a:xfrm>
                            <a:off x="521183" y="610981"/>
                            <a:ext cx="414482" cy="3325"/>
                          </a:xfrm>
                          <a:prstGeom prst="line">
                            <a:avLst/>
                          </a:prstGeom>
                        </wps:spPr>
                        <wps:style>
                          <a:lnRef idx="2">
                            <a:schemeClr val="dk1"/>
                          </a:lnRef>
                          <a:fillRef idx="0">
                            <a:schemeClr val="dk1"/>
                          </a:fillRef>
                          <a:effectRef idx="1">
                            <a:schemeClr val="dk1"/>
                          </a:effectRef>
                          <a:fontRef idx="minor">
                            <a:schemeClr val="tx1"/>
                          </a:fontRef>
                        </wps:style>
                        <wps:bodyPr/>
                      </wps:wsp>
                      <wps:wsp>
                        <wps:cNvPr id="235" name="Straight Connector 235"/>
                        <wps:cNvCnPr>
                          <a:stCxn id="227" idx="3"/>
                          <a:endCxn id="289" idx="1"/>
                        </wps:cNvCnPr>
                        <wps:spPr>
                          <a:xfrm>
                            <a:off x="1835665" y="614306"/>
                            <a:ext cx="311356" cy="52"/>
                          </a:xfrm>
                          <a:prstGeom prst="line">
                            <a:avLst/>
                          </a:prstGeom>
                        </wps:spPr>
                        <wps:style>
                          <a:lnRef idx="2">
                            <a:schemeClr val="dk1"/>
                          </a:lnRef>
                          <a:fillRef idx="0">
                            <a:schemeClr val="dk1"/>
                          </a:fillRef>
                          <a:effectRef idx="1">
                            <a:schemeClr val="dk1"/>
                          </a:effectRef>
                          <a:fontRef idx="minor">
                            <a:schemeClr val="tx1"/>
                          </a:fontRef>
                        </wps:style>
                        <wps:bodyPr/>
                      </wps:wsp>
                      <wps:wsp>
                        <wps:cNvPr id="236" name="Connector: Elbow 236"/>
                        <wps:cNvCnPr>
                          <a:stCxn id="227" idx="2"/>
                          <a:endCxn id="290" idx="1"/>
                        </wps:cNvCnPr>
                        <wps:spPr>
                          <a:xfrm rot="16200000" flipH="1">
                            <a:off x="1164789" y="1060181"/>
                            <a:ext cx="597053" cy="155301"/>
                          </a:xfrm>
                          <a:prstGeom prst="bentConnector2">
                            <a:avLst/>
                          </a:prstGeom>
                        </wps:spPr>
                        <wps:style>
                          <a:lnRef idx="2">
                            <a:schemeClr val="dk1"/>
                          </a:lnRef>
                          <a:fillRef idx="0">
                            <a:schemeClr val="dk1"/>
                          </a:fillRef>
                          <a:effectRef idx="1">
                            <a:schemeClr val="dk1"/>
                          </a:effectRef>
                          <a:fontRef idx="minor">
                            <a:schemeClr val="tx1"/>
                          </a:fontRef>
                        </wps:style>
                        <wps:bodyPr/>
                      </wps:wsp>
                      <wps:wsp>
                        <wps:cNvPr id="294" name="Flowchart: Process 294"/>
                        <wps:cNvSpPr/>
                        <wps:spPr>
                          <a:xfrm>
                            <a:off x="2689283" y="1211415"/>
                            <a:ext cx="900000" cy="45000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4E82BE1D" w14:textId="7129EACC" w:rsidR="007401F4" w:rsidRPr="00FD3E15" w:rsidRDefault="007401F4" w:rsidP="00FD3E15">
                              <w:pPr>
                                <w:pStyle w:val="InFigures1"/>
                                <w:rPr>
                                  <w:sz w:val="32"/>
                                  <w:szCs w:val="32"/>
                                </w:rPr>
                              </w:pPr>
                              <w:r>
                                <w:t>Test analysis method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wpg:cNvPr id="250" name="Group 250"/>
                        <wpg:cNvGrpSpPr/>
                        <wpg:grpSpPr>
                          <a:xfrm>
                            <a:off x="3253839" y="223284"/>
                            <a:ext cx="720000" cy="634093"/>
                            <a:chOff x="3253839" y="223284"/>
                            <a:chExt cx="720000" cy="634093"/>
                          </a:xfrm>
                        </wpg:grpSpPr>
                        <wps:wsp>
                          <wps:cNvPr id="231" name="Flowchart: Decision 231"/>
                          <wps:cNvSpPr/>
                          <wps:spPr>
                            <a:xfrm>
                              <a:off x="3253839" y="389377"/>
                              <a:ext cx="720000" cy="468000"/>
                            </a:xfrm>
                            <a:prstGeom prst="flowChartDecision">
                              <a:avLst/>
                            </a:prstGeom>
                          </wps:spPr>
                          <wps:style>
                            <a:lnRef idx="2">
                              <a:schemeClr val="dk1"/>
                            </a:lnRef>
                            <a:fillRef idx="1">
                              <a:schemeClr val="lt1"/>
                            </a:fillRef>
                            <a:effectRef idx="0">
                              <a:schemeClr val="dk1"/>
                            </a:effectRef>
                            <a:fontRef idx="minor">
                              <a:schemeClr val="dk1"/>
                            </a:fontRef>
                          </wps:style>
                          <wps:txbx>
                            <w:txbxContent>
                              <w:p w14:paraId="0EDDFBE5" w14:textId="34A0FCA2" w:rsidR="007401F4" w:rsidRPr="00FD3E15" w:rsidRDefault="007401F4" w:rsidP="00FD3E15">
                                <w:pPr>
                                  <w:pStyle w:val="InFigures1"/>
                                </w:pPr>
                                <w:r w:rsidRPr="00FD3E15">
                                  <w:t>OK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Text Box 237"/>
                          <wps:cNvSpPr txBox="1"/>
                          <wps:spPr>
                            <a:xfrm>
                              <a:off x="3561907" y="223284"/>
                              <a:ext cx="329609" cy="216000"/>
                            </a:xfrm>
                            <a:prstGeom prst="rect">
                              <a:avLst/>
                            </a:prstGeom>
                            <a:noFill/>
                            <a:ln w="6350">
                              <a:noFill/>
                            </a:ln>
                          </wps:spPr>
                          <wps:txbx>
                            <w:txbxContent>
                              <w:p w14:paraId="13A731C9" w14:textId="1ED86DF1" w:rsidR="007401F4" w:rsidRDefault="007401F4" w:rsidP="00FD3E15">
                                <w:pPr>
                                  <w:pStyle w:val="InFigures1"/>
                                </w:pPr>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s:wsp>
                        <wps:cNvPr id="238" name="Straight Connector 238"/>
                        <wps:cNvCnPr>
                          <a:stCxn id="290" idx="3"/>
                          <a:endCxn id="294" idx="1"/>
                        </wps:cNvCnPr>
                        <wps:spPr>
                          <a:xfrm>
                            <a:off x="2440733" y="1436267"/>
                            <a:ext cx="248293" cy="56"/>
                          </a:xfrm>
                          <a:prstGeom prst="line">
                            <a:avLst/>
                          </a:prstGeom>
                        </wps:spPr>
                        <wps:style>
                          <a:lnRef idx="2">
                            <a:schemeClr val="dk1"/>
                          </a:lnRef>
                          <a:fillRef idx="0">
                            <a:schemeClr val="dk1"/>
                          </a:fillRef>
                          <a:effectRef idx="1">
                            <a:schemeClr val="dk1"/>
                          </a:effectRef>
                          <a:fontRef idx="minor">
                            <a:schemeClr val="tx1"/>
                          </a:fontRef>
                        </wps:style>
                        <wps:bodyPr/>
                      </wps:wsp>
                      <wpg:wgp>
                        <wpg:cNvPr id="242" name="Group 242"/>
                        <wpg:cNvGrpSpPr/>
                        <wpg:grpSpPr>
                          <a:xfrm>
                            <a:off x="3880131" y="1048626"/>
                            <a:ext cx="719455" cy="630146"/>
                            <a:chOff x="3880131" y="1048626"/>
                            <a:chExt cx="719455" cy="630146"/>
                          </a:xfrm>
                        </wpg:grpSpPr>
                        <wps:wsp>
                          <wps:cNvPr id="306" name="Flowchart: Decision 306"/>
                          <wps:cNvSpPr/>
                          <wps:spPr>
                            <a:xfrm>
                              <a:off x="3880131" y="1211412"/>
                              <a:ext cx="719455" cy="467360"/>
                            </a:xfrm>
                            <a:prstGeom prst="flowChartDecision">
                              <a:avLst/>
                            </a:prstGeom>
                          </wps:spPr>
                          <wps:style>
                            <a:lnRef idx="2">
                              <a:schemeClr val="dk1"/>
                            </a:lnRef>
                            <a:fillRef idx="1">
                              <a:schemeClr val="lt1"/>
                            </a:fillRef>
                            <a:effectRef idx="0">
                              <a:schemeClr val="dk1"/>
                            </a:effectRef>
                            <a:fontRef idx="minor">
                              <a:schemeClr val="dk1"/>
                            </a:fontRef>
                          </wps:style>
                          <wps:txbx>
                            <w:txbxContent>
                              <w:p w14:paraId="6218BC5F" w14:textId="77777777" w:rsidR="007401F4" w:rsidRDefault="007401F4" w:rsidP="00314C88">
                                <w:pPr>
                                  <w:jc w:val="center"/>
                                  <w:rPr>
                                    <w:szCs w:val="24"/>
                                  </w:rPr>
                                </w:pPr>
                                <w:r>
                                  <w:rPr>
                                    <w:sz w:val="16"/>
                                    <w:szCs w:val="16"/>
                                  </w:rPr>
                                  <w:t>OK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1" name="Text Box 237"/>
                          <wps:cNvSpPr txBox="1"/>
                          <wps:spPr>
                            <a:xfrm>
                              <a:off x="4199108" y="1048626"/>
                              <a:ext cx="329565" cy="215900"/>
                            </a:xfrm>
                            <a:prstGeom prst="rect">
                              <a:avLst/>
                            </a:prstGeom>
                            <a:noFill/>
                            <a:ln w="6350">
                              <a:noFill/>
                            </a:ln>
                          </wps:spPr>
                          <wps:txbx>
                            <w:txbxContent>
                              <w:p w14:paraId="0C36818A" w14:textId="77777777" w:rsidR="007401F4" w:rsidRDefault="007401F4" w:rsidP="00314C88">
                                <w:pPr>
                                  <w:jc w:val="center"/>
                                  <w:rPr>
                                    <w:szCs w:val="24"/>
                                  </w:rPr>
                                </w:pPr>
                                <w:r>
                                  <w:rPr>
                                    <w:sz w:val="16"/>
                                    <w:szCs w:val="16"/>
                                  </w:rPr>
                                  <w:t>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239" name="Connector: Elbow 239"/>
                        <wps:cNvCnPr>
                          <a:stCxn id="290" idx="0"/>
                          <a:endCxn id="306" idx="0"/>
                        </wps:cNvCnPr>
                        <wps:spPr>
                          <a:xfrm rot="16200000" flipH="1">
                            <a:off x="3115385" y="86939"/>
                            <a:ext cx="53" cy="2248893"/>
                          </a:xfrm>
                          <a:prstGeom prst="bentConnector3">
                            <a:avLst>
                              <a:gd name="adj1" fmla="val -431320755"/>
                            </a:avLst>
                          </a:prstGeom>
                        </wps:spPr>
                        <wps:style>
                          <a:lnRef idx="2">
                            <a:schemeClr val="dk1"/>
                          </a:lnRef>
                          <a:fillRef idx="0">
                            <a:schemeClr val="dk1"/>
                          </a:fillRef>
                          <a:effectRef idx="1">
                            <a:schemeClr val="dk1"/>
                          </a:effectRef>
                          <a:fontRef idx="minor">
                            <a:schemeClr val="tx1"/>
                          </a:fontRef>
                        </wps:style>
                        <wps:bodyPr/>
                      </wps:wsp>
                      <wps:wsp>
                        <wps:cNvPr id="240" name="Straight Connector 240"/>
                        <wps:cNvCnPr>
                          <a:stCxn id="294" idx="3"/>
                          <a:endCxn id="306" idx="1"/>
                        </wps:cNvCnPr>
                        <wps:spPr>
                          <a:xfrm>
                            <a:off x="3589283" y="1436415"/>
                            <a:ext cx="290848" cy="8677"/>
                          </a:xfrm>
                          <a:prstGeom prst="line">
                            <a:avLst/>
                          </a:prstGeom>
                        </wps:spPr>
                        <wps:style>
                          <a:lnRef idx="2">
                            <a:schemeClr val="dk1"/>
                          </a:lnRef>
                          <a:fillRef idx="0">
                            <a:schemeClr val="dk1"/>
                          </a:fillRef>
                          <a:effectRef idx="1">
                            <a:schemeClr val="dk1"/>
                          </a:effectRef>
                          <a:fontRef idx="minor">
                            <a:schemeClr val="tx1"/>
                          </a:fontRef>
                        </wps:style>
                        <wps:bodyPr/>
                      </wps:wsp>
                      <wps:wsp>
                        <wps:cNvPr id="320" name="Flowchart: Process 320"/>
                        <wps:cNvSpPr/>
                        <wps:spPr>
                          <a:xfrm>
                            <a:off x="1541041" y="1945005"/>
                            <a:ext cx="899795" cy="44958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1D969488" w14:textId="07E10CF5" w:rsidR="007401F4" w:rsidRDefault="007401F4" w:rsidP="00314C88">
                              <w:pPr>
                                <w:pStyle w:val="InFigures1"/>
                                <w:rPr>
                                  <w:sz w:val="24"/>
                                  <w:szCs w:val="24"/>
                                </w:rPr>
                              </w:pPr>
                              <w:r>
                                <w:t>Examine  Regression Anal. methods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1" name="Flowchart: Process 321"/>
                        <wps:cNvSpPr/>
                        <wps:spPr>
                          <a:xfrm>
                            <a:off x="2713837" y="1944128"/>
                            <a:ext cx="899795" cy="44958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7E369F7F" w14:textId="77777777" w:rsidR="007401F4" w:rsidRDefault="007401F4" w:rsidP="00314C88">
                              <w:pPr>
                                <w:pStyle w:val="InFigures1"/>
                                <w:rPr>
                                  <w:sz w:val="24"/>
                                  <w:szCs w:val="24"/>
                                </w:rPr>
                              </w:pPr>
                              <w:r>
                                <w:t>Test analysis method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wpg:cNvPr id="322" name="Group 322"/>
                        <wpg:cNvGrpSpPr/>
                        <wpg:grpSpPr>
                          <a:xfrm>
                            <a:off x="3933293" y="1774883"/>
                            <a:ext cx="719455" cy="633730"/>
                            <a:chOff x="0" y="0"/>
                            <a:chExt cx="720000" cy="634093"/>
                          </a:xfrm>
                        </wpg:grpSpPr>
                        <wps:wsp>
                          <wps:cNvPr id="323" name="Flowchart: Decision 323"/>
                          <wps:cNvSpPr/>
                          <wps:spPr>
                            <a:xfrm>
                              <a:off x="0" y="166093"/>
                              <a:ext cx="720000" cy="468000"/>
                            </a:xfrm>
                            <a:prstGeom prst="flowChartDecision">
                              <a:avLst/>
                            </a:prstGeom>
                          </wps:spPr>
                          <wps:style>
                            <a:lnRef idx="2">
                              <a:schemeClr val="dk1"/>
                            </a:lnRef>
                            <a:fillRef idx="1">
                              <a:schemeClr val="lt1"/>
                            </a:fillRef>
                            <a:effectRef idx="0">
                              <a:schemeClr val="dk1"/>
                            </a:effectRef>
                            <a:fontRef idx="minor">
                              <a:schemeClr val="dk1"/>
                            </a:fontRef>
                          </wps:style>
                          <wps:txbx>
                            <w:txbxContent>
                              <w:p w14:paraId="46FB3237" w14:textId="77777777" w:rsidR="007401F4" w:rsidRDefault="007401F4" w:rsidP="00314C88">
                                <w:pPr>
                                  <w:jc w:val="center"/>
                                  <w:rPr>
                                    <w:szCs w:val="24"/>
                                  </w:rPr>
                                </w:pPr>
                                <w:r>
                                  <w:rPr>
                                    <w:sz w:val="16"/>
                                    <w:szCs w:val="16"/>
                                  </w:rPr>
                                  <w:t>OK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4" name="Text Box 3"/>
                          <wps:cNvSpPr txBox="1"/>
                          <wps:spPr>
                            <a:xfrm>
                              <a:off x="308068" y="0"/>
                              <a:ext cx="329609" cy="216000"/>
                            </a:xfrm>
                            <a:prstGeom prst="rect">
                              <a:avLst/>
                            </a:prstGeom>
                            <a:noFill/>
                            <a:ln w="6350">
                              <a:noFill/>
                            </a:ln>
                          </wps:spPr>
                          <wps:txbx>
                            <w:txbxContent>
                              <w:p w14:paraId="188ECCE0" w14:textId="77777777" w:rsidR="007401F4" w:rsidRDefault="007401F4" w:rsidP="00314C88">
                                <w:pPr>
                                  <w:jc w:val="center"/>
                                  <w:rPr>
                                    <w:szCs w:val="24"/>
                                  </w:rPr>
                                </w:pPr>
                                <w:r>
                                  <w:rPr>
                                    <w:sz w:val="16"/>
                                    <w:szCs w:val="16"/>
                                  </w:rPr>
                                  <w:t>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251" name="Connector: Elbow 251"/>
                        <wps:cNvCnPr>
                          <a:stCxn id="320" idx="0"/>
                          <a:endCxn id="323" idx="0"/>
                        </wps:cNvCnPr>
                        <wps:spPr>
                          <a:xfrm rot="5400000" flipH="1" flipV="1">
                            <a:off x="3139918" y="791902"/>
                            <a:ext cx="4124" cy="2302082"/>
                          </a:xfrm>
                          <a:prstGeom prst="bentConnector3">
                            <a:avLst>
                              <a:gd name="adj1" fmla="val 4096169"/>
                            </a:avLst>
                          </a:prstGeom>
                        </wps:spPr>
                        <wps:style>
                          <a:lnRef idx="2">
                            <a:schemeClr val="dk1"/>
                          </a:lnRef>
                          <a:fillRef idx="0">
                            <a:schemeClr val="dk1"/>
                          </a:fillRef>
                          <a:effectRef idx="1">
                            <a:schemeClr val="dk1"/>
                          </a:effectRef>
                          <a:fontRef idx="minor">
                            <a:schemeClr val="tx1"/>
                          </a:fontRef>
                        </wps:style>
                        <wps:bodyPr/>
                      </wps:wsp>
                      <wps:wsp>
                        <wps:cNvPr id="252" name="Straight Connector 252"/>
                        <wps:cNvCnPr>
                          <a:stCxn id="321" idx="3"/>
                          <a:endCxn id="323" idx="1"/>
                        </wps:cNvCnPr>
                        <wps:spPr>
                          <a:xfrm>
                            <a:off x="3613632" y="2168918"/>
                            <a:ext cx="319661" cy="5829"/>
                          </a:xfrm>
                          <a:prstGeom prst="line">
                            <a:avLst/>
                          </a:prstGeom>
                        </wps:spPr>
                        <wps:style>
                          <a:lnRef idx="2">
                            <a:schemeClr val="dk1"/>
                          </a:lnRef>
                          <a:fillRef idx="0">
                            <a:schemeClr val="dk1"/>
                          </a:fillRef>
                          <a:effectRef idx="1">
                            <a:schemeClr val="dk1"/>
                          </a:effectRef>
                          <a:fontRef idx="minor">
                            <a:schemeClr val="tx1"/>
                          </a:fontRef>
                        </wps:style>
                        <wps:bodyPr/>
                      </wps:wsp>
                      <wps:wsp>
                        <wps:cNvPr id="254" name="Straight Connector 254"/>
                        <wps:cNvCnPr>
                          <a:stCxn id="321" idx="1"/>
                          <a:endCxn id="320" idx="3"/>
                        </wps:cNvCnPr>
                        <wps:spPr>
                          <a:xfrm flipH="1">
                            <a:off x="2440603" y="2168780"/>
                            <a:ext cx="272975" cy="877"/>
                          </a:xfrm>
                          <a:prstGeom prst="line">
                            <a:avLst/>
                          </a:prstGeom>
                        </wps:spPr>
                        <wps:style>
                          <a:lnRef idx="2">
                            <a:schemeClr val="dk1"/>
                          </a:lnRef>
                          <a:fillRef idx="0">
                            <a:schemeClr val="dk1"/>
                          </a:fillRef>
                          <a:effectRef idx="1">
                            <a:schemeClr val="dk1"/>
                          </a:effectRef>
                          <a:fontRef idx="minor">
                            <a:schemeClr val="tx1"/>
                          </a:fontRef>
                        </wps:style>
                        <wps:bodyPr/>
                      </wps:wsp>
                      <wps:wsp>
                        <wps:cNvPr id="91" name="Connector: Elbow 91"/>
                        <wps:cNvCnPr>
                          <a:stCxn id="320" idx="1"/>
                          <a:endCxn id="227" idx="2"/>
                        </wps:cNvCnPr>
                        <wps:spPr>
                          <a:xfrm rot="10800000">
                            <a:off x="1385533" y="839253"/>
                            <a:ext cx="155361" cy="1330405"/>
                          </a:xfrm>
                          <a:prstGeom prst="bentConnector2">
                            <a:avLst/>
                          </a:prstGeom>
                        </wps:spPr>
                        <wps:style>
                          <a:lnRef idx="2">
                            <a:schemeClr val="dk1"/>
                          </a:lnRef>
                          <a:fillRef idx="0">
                            <a:schemeClr val="dk1"/>
                          </a:fillRef>
                          <a:effectRef idx="1">
                            <a:schemeClr val="dk1"/>
                          </a:effectRef>
                          <a:fontRef idx="minor">
                            <a:schemeClr val="tx1"/>
                          </a:fontRef>
                        </wps:style>
                        <wps:bodyPr/>
                      </wps:wsp>
                      <wps:wsp>
                        <wps:cNvPr id="325" name="Flowchart: Process 325"/>
                        <wps:cNvSpPr/>
                        <wps:spPr>
                          <a:xfrm>
                            <a:off x="4188474" y="3890763"/>
                            <a:ext cx="899795" cy="44958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440620E8" w14:textId="709090EF" w:rsidR="007401F4" w:rsidRDefault="007401F4" w:rsidP="00D552F1">
                              <w:pPr>
                                <w:pStyle w:val="InFigures1"/>
                                <w:rPr>
                                  <w:sz w:val="24"/>
                                  <w:szCs w:val="24"/>
                                </w:rPr>
                              </w:pPr>
                              <w:r>
                                <w:t>Send out Main Survey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0" name="Connector: Elbow 190"/>
                        <wps:cNvCnPr>
                          <a:stCxn id="231" idx="3"/>
                          <a:endCxn id="325" idx="3"/>
                        </wps:cNvCnPr>
                        <wps:spPr>
                          <a:xfrm>
                            <a:off x="3973839" y="623377"/>
                            <a:ext cx="1114430" cy="3492176"/>
                          </a:xfrm>
                          <a:prstGeom prst="bentConnector3">
                            <a:avLst>
                              <a:gd name="adj1" fmla="val 141503"/>
                            </a:avLst>
                          </a:prstGeom>
                        </wps:spPr>
                        <wps:style>
                          <a:lnRef idx="2">
                            <a:schemeClr val="dk1"/>
                          </a:lnRef>
                          <a:fillRef idx="0">
                            <a:schemeClr val="dk1"/>
                          </a:fillRef>
                          <a:effectRef idx="1">
                            <a:schemeClr val="dk1"/>
                          </a:effectRef>
                          <a:fontRef idx="minor">
                            <a:schemeClr val="tx1"/>
                          </a:fontRef>
                        </wps:style>
                        <wps:bodyPr/>
                      </wps:wsp>
                      <wps:wsp>
                        <wps:cNvPr id="192" name="Text Box 192"/>
                        <wps:cNvSpPr txBox="1"/>
                        <wps:spPr>
                          <a:xfrm>
                            <a:off x="4454189" y="1232355"/>
                            <a:ext cx="458052" cy="212665"/>
                          </a:xfrm>
                          <a:prstGeom prst="rect">
                            <a:avLst/>
                          </a:prstGeom>
                          <a:noFill/>
                          <a:ln w="6350">
                            <a:noFill/>
                          </a:ln>
                        </wps:spPr>
                        <wps:txbx>
                          <w:txbxContent>
                            <w:p w14:paraId="679299DB" w14:textId="7DAC88BA" w:rsidR="007401F4" w:rsidRDefault="007401F4" w:rsidP="00D552F1">
                              <w:pPr>
                                <w:pStyle w:val="InFigures1"/>
                              </w:pPr>
                              <w: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6" name="Text Box 192"/>
                        <wps:cNvSpPr txBox="1"/>
                        <wps:spPr>
                          <a:xfrm>
                            <a:off x="3834874" y="439268"/>
                            <a:ext cx="457835" cy="212090"/>
                          </a:xfrm>
                          <a:prstGeom prst="rect">
                            <a:avLst/>
                          </a:prstGeom>
                          <a:noFill/>
                          <a:ln w="6350">
                            <a:noFill/>
                          </a:ln>
                        </wps:spPr>
                        <wps:txbx>
                          <w:txbxContent>
                            <w:p w14:paraId="7FDE23F2" w14:textId="77777777" w:rsidR="007401F4" w:rsidRDefault="007401F4" w:rsidP="00D552F1">
                              <w:pPr>
                                <w:jc w:val="center"/>
                                <w:rPr>
                                  <w:szCs w:val="24"/>
                                </w:rPr>
                              </w:pPr>
                              <w:r>
                                <w:rPr>
                                  <w:sz w:val="16"/>
                                  <w:szCs w:val="16"/>
                                </w:rPr>
                                <w:t>Yes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7" name="Text Box 192"/>
                        <wps:cNvSpPr txBox="1"/>
                        <wps:spPr>
                          <a:xfrm>
                            <a:off x="4507451" y="1962544"/>
                            <a:ext cx="457835" cy="212090"/>
                          </a:xfrm>
                          <a:prstGeom prst="rect">
                            <a:avLst/>
                          </a:prstGeom>
                          <a:noFill/>
                          <a:ln w="6350">
                            <a:noFill/>
                          </a:ln>
                        </wps:spPr>
                        <wps:txbx>
                          <w:txbxContent>
                            <w:p w14:paraId="6B000D41" w14:textId="77777777" w:rsidR="007401F4" w:rsidRDefault="007401F4" w:rsidP="00D552F1">
                              <w:pPr>
                                <w:jc w:val="center"/>
                                <w:rPr>
                                  <w:szCs w:val="24"/>
                                </w:rPr>
                              </w:pPr>
                              <w:r>
                                <w:rPr>
                                  <w:sz w:val="16"/>
                                  <w:szCs w:val="16"/>
                                </w:rPr>
                                <w:t>Yes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3" name="Flowchart: Data 193"/>
                        <wps:cNvSpPr/>
                        <wps:spPr>
                          <a:xfrm>
                            <a:off x="1371601" y="3890342"/>
                            <a:ext cx="900000" cy="450000"/>
                          </a:xfrm>
                          <a:prstGeom prst="flowChartInputOutput">
                            <a:avLst/>
                          </a:prstGeom>
                        </wps:spPr>
                        <wps:style>
                          <a:lnRef idx="2">
                            <a:schemeClr val="dk1"/>
                          </a:lnRef>
                          <a:fillRef idx="1">
                            <a:schemeClr val="lt1"/>
                          </a:fillRef>
                          <a:effectRef idx="0">
                            <a:schemeClr val="dk1"/>
                          </a:effectRef>
                          <a:fontRef idx="minor">
                            <a:schemeClr val="dk1"/>
                          </a:fontRef>
                        </wps:style>
                        <wps:txbx>
                          <w:txbxContent>
                            <w:p w14:paraId="6E41CF19" w14:textId="5687FC3C" w:rsidR="007401F4" w:rsidRDefault="007401F4" w:rsidP="00D552F1">
                              <w:pPr>
                                <w:pStyle w:val="InFigures1"/>
                              </w:pPr>
                              <w:r>
                                <w:t>Data From Survey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8" name="Flowchart: Process 328"/>
                        <wps:cNvSpPr/>
                        <wps:spPr>
                          <a:xfrm>
                            <a:off x="2731814" y="2572325"/>
                            <a:ext cx="899795" cy="449580"/>
                          </a:xfrm>
                          <a:prstGeom prst="flowChartProcess">
                            <a:avLst/>
                          </a:prstGeom>
                          <a:solidFill>
                            <a:sysClr val="window" lastClr="FFFFFF"/>
                          </a:solidFill>
                          <a:ln w="12700" cap="flat" cmpd="sng" algn="ctr">
                            <a:solidFill>
                              <a:srgbClr val="44546A"/>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3149A827" w14:textId="5F972D4D" w:rsidR="007401F4" w:rsidRDefault="007401F4" w:rsidP="00FC6F23">
                              <w:pPr>
                                <w:pStyle w:val="InFigures1"/>
                                <w:rPr>
                                  <w:sz w:val="24"/>
                                  <w:szCs w:val="24"/>
                                </w:rPr>
                              </w:pPr>
                              <w:r>
                                <w:t>Use Hayes Macro for SPSS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9" name="Flowchart: Process 329"/>
                        <wps:cNvSpPr/>
                        <wps:spPr>
                          <a:xfrm>
                            <a:off x="2731814" y="3103954"/>
                            <a:ext cx="899795" cy="449580"/>
                          </a:xfrm>
                          <a:prstGeom prst="flowChartProcess">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48D0A894" w14:textId="3D0889EB" w:rsidR="007401F4" w:rsidRDefault="007401F4" w:rsidP="00886310">
                              <w:pPr>
                                <w:pStyle w:val="InFigures1"/>
                                <w:rPr>
                                  <w:sz w:val="24"/>
                                  <w:szCs w:val="24"/>
                                </w:rPr>
                              </w:pPr>
                              <w:r>
                                <w:t>Use Chosen Analysis Method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5" name="Connector: Elbow 195"/>
                        <wps:cNvCnPr>
                          <a:stCxn id="306" idx="3"/>
                          <a:endCxn id="329" idx="3"/>
                        </wps:cNvCnPr>
                        <wps:spPr>
                          <a:xfrm flipH="1">
                            <a:off x="3631609" y="1445078"/>
                            <a:ext cx="967977" cy="1883633"/>
                          </a:xfrm>
                          <a:prstGeom prst="bentConnector3">
                            <a:avLst>
                              <a:gd name="adj1" fmla="val -77439"/>
                            </a:avLst>
                          </a:prstGeom>
                        </wps:spPr>
                        <wps:style>
                          <a:lnRef idx="2">
                            <a:schemeClr val="dk1"/>
                          </a:lnRef>
                          <a:fillRef idx="0">
                            <a:schemeClr val="dk1"/>
                          </a:fillRef>
                          <a:effectRef idx="1">
                            <a:schemeClr val="dk1"/>
                          </a:effectRef>
                          <a:fontRef idx="minor">
                            <a:schemeClr val="tx1"/>
                          </a:fontRef>
                        </wps:style>
                        <wps:bodyPr/>
                      </wps:wsp>
                      <wps:wsp>
                        <wps:cNvPr id="196" name="Connector: Elbow 196"/>
                        <wps:cNvCnPr>
                          <a:stCxn id="323" idx="3"/>
                          <a:endCxn id="328" idx="3"/>
                        </wps:cNvCnPr>
                        <wps:spPr>
                          <a:xfrm flipH="1">
                            <a:off x="3631609" y="2174726"/>
                            <a:ext cx="1021139" cy="622362"/>
                          </a:xfrm>
                          <a:prstGeom prst="bentConnector3">
                            <a:avLst>
                              <a:gd name="adj1" fmla="val -47377"/>
                            </a:avLst>
                          </a:prstGeom>
                        </wps:spPr>
                        <wps:style>
                          <a:lnRef idx="2">
                            <a:schemeClr val="dk1"/>
                          </a:lnRef>
                          <a:fillRef idx="0">
                            <a:schemeClr val="dk1"/>
                          </a:fillRef>
                          <a:effectRef idx="1">
                            <a:schemeClr val="dk1"/>
                          </a:effectRef>
                          <a:fontRef idx="minor">
                            <a:schemeClr val="tx1"/>
                          </a:fontRef>
                        </wps:style>
                        <wps:bodyPr/>
                      </wps:wsp>
                      <wps:wsp>
                        <wps:cNvPr id="197" name="Isosceles Triangle 197"/>
                        <wps:cNvSpPr/>
                        <wps:spPr>
                          <a:xfrm>
                            <a:off x="2754874" y="3890762"/>
                            <a:ext cx="1080000" cy="450000"/>
                          </a:xfrm>
                          <a:prstGeom prst="triangle">
                            <a:avLst/>
                          </a:prstGeom>
                        </wps:spPr>
                        <wps:style>
                          <a:lnRef idx="2">
                            <a:schemeClr val="dk1"/>
                          </a:lnRef>
                          <a:fillRef idx="1">
                            <a:schemeClr val="lt1"/>
                          </a:fillRef>
                          <a:effectRef idx="0">
                            <a:schemeClr val="dk1"/>
                          </a:effectRef>
                          <a:fontRef idx="minor">
                            <a:schemeClr val="dk1"/>
                          </a:fontRef>
                        </wps:style>
                        <wps:txbx>
                          <w:txbxContent>
                            <w:p w14:paraId="403CE294" w14:textId="186E2F69" w:rsidR="007401F4" w:rsidRDefault="007401F4" w:rsidP="00886310">
                              <w:pPr>
                                <w:pStyle w:val="InFigures1"/>
                              </w:pPr>
                              <w:r>
                                <w:t>Extract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8" name="Straight Connector 198"/>
                        <wps:cNvCnPr>
                          <a:stCxn id="197" idx="5"/>
                          <a:endCxn id="325" idx="1"/>
                        </wps:cNvCnPr>
                        <wps:spPr>
                          <a:xfrm flipV="1">
                            <a:off x="3564874" y="4115553"/>
                            <a:ext cx="623600" cy="209"/>
                          </a:xfrm>
                          <a:prstGeom prst="line">
                            <a:avLst/>
                          </a:prstGeom>
                        </wps:spPr>
                        <wps:style>
                          <a:lnRef idx="2">
                            <a:schemeClr val="dk1"/>
                          </a:lnRef>
                          <a:fillRef idx="0">
                            <a:schemeClr val="dk1"/>
                          </a:fillRef>
                          <a:effectRef idx="1">
                            <a:schemeClr val="dk1"/>
                          </a:effectRef>
                          <a:fontRef idx="minor">
                            <a:schemeClr val="tx1"/>
                          </a:fontRef>
                        </wps:style>
                        <wps:bodyPr/>
                      </wps:wsp>
                      <wps:wsp>
                        <wps:cNvPr id="199" name="Straight Connector 199"/>
                        <wps:cNvCnPr>
                          <a:stCxn id="197" idx="1"/>
                          <a:endCxn id="193" idx="5"/>
                        </wps:cNvCnPr>
                        <wps:spPr>
                          <a:xfrm flipH="1" flipV="1">
                            <a:off x="2181601" y="4115342"/>
                            <a:ext cx="843273" cy="420"/>
                          </a:xfrm>
                          <a:prstGeom prst="line">
                            <a:avLst/>
                          </a:prstGeom>
                        </wps:spPr>
                        <wps:style>
                          <a:lnRef idx="2">
                            <a:schemeClr val="dk1"/>
                          </a:lnRef>
                          <a:fillRef idx="0">
                            <a:schemeClr val="dk1"/>
                          </a:fillRef>
                          <a:effectRef idx="1">
                            <a:schemeClr val="dk1"/>
                          </a:effectRef>
                          <a:fontRef idx="minor">
                            <a:schemeClr val="tx1"/>
                          </a:fontRef>
                        </wps:style>
                        <wps:bodyPr/>
                      </wps:wsp>
                      <wps:wsp>
                        <wps:cNvPr id="200" name="Connector: Elbow 200"/>
                        <wps:cNvCnPr>
                          <a:stCxn id="329" idx="1"/>
                          <a:endCxn id="193" idx="0"/>
                        </wps:cNvCnPr>
                        <wps:spPr>
                          <a:xfrm rot="10800000" flipV="1">
                            <a:off x="1911601" y="3328711"/>
                            <a:ext cx="820213" cy="561592"/>
                          </a:xfrm>
                          <a:prstGeom prst="bentConnector2">
                            <a:avLst/>
                          </a:prstGeom>
                        </wps:spPr>
                        <wps:style>
                          <a:lnRef idx="2">
                            <a:schemeClr val="dk1"/>
                          </a:lnRef>
                          <a:fillRef idx="0">
                            <a:schemeClr val="dk1"/>
                          </a:fillRef>
                          <a:effectRef idx="1">
                            <a:schemeClr val="dk1"/>
                          </a:effectRef>
                          <a:fontRef idx="minor">
                            <a:schemeClr val="tx1"/>
                          </a:fontRef>
                        </wps:style>
                        <wps:bodyPr/>
                      </wps:wsp>
                      <wps:wsp>
                        <wps:cNvPr id="202" name="Connector: Elbow 202"/>
                        <wps:cNvCnPr>
                          <a:stCxn id="328" idx="1"/>
                          <a:endCxn id="193" idx="1"/>
                        </wps:cNvCnPr>
                        <wps:spPr>
                          <a:xfrm rot="10800000" flipV="1">
                            <a:off x="1821601" y="2797087"/>
                            <a:ext cx="910213" cy="1093215"/>
                          </a:xfrm>
                          <a:prstGeom prst="bentConnector2">
                            <a:avLst/>
                          </a:prstGeom>
                        </wps:spPr>
                        <wps:style>
                          <a:lnRef idx="2">
                            <a:schemeClr val="dk1"/>
                          </a:lnRef>
                          <a:fillRef idx="0">
                            <a:schemeClr val="dk1"/>
                          </a:fillRef>
                          <a:effectRef idx="1">
                            <a:schemeClr val="dk1"/>
                          </a:effectRef>
                          <a:fontRef idx="minor">
                            <a:schemeClr val="tx1"/>
                          </a:fontRef>
                        </wps:style>
                        <wps:bodyPr/>
                      </wps:wsp>
                      <wps:wsp>
                        <wps:cNvPr id="203" name="Flowchart: Display 203"/>
                        <wps:cNvSpPr/>
                        <wps:spPr>
                          <a:xfrm>
                            <a:off x="393405" y="3391755"/>
                            <a:ext cx="900000" cy="450000"/>
                          </a:xfrm>
                          <a:prstGeom prst="flowChartDisplay">
                            <a:avLst/>
                          </a:prstGeom>
                        </wps:spPr>
                        <wps:style>
                          <a:lnRef idx="2">
                            <a:schemeClr val="dk1"/>
                          </a:lnRef>
                          <a:fillRef idx="1">
                            <a:schemeClr val="lt1"/>
                          </a:fillRef>
                          <a:effectRef idx="0">
                            <a:schemeClr val="dk1"/>
                          </a:effectRef>
                          <a:fontRef idx="minor">
                            <a:schemeClr val="dk1"/>
                          </a:fontRef>
                        </wps:style>
                        <wps:txbx>
                          <w:txbxContent>
                            <w:p w14:paraId="40CC2B09" w14:textId="6B8D5931" w:rsidR="007401F4" w:rsidRDefault="007401F4" w:rsidP="00886310">
                              <w:pPr>
                                <w:pStyle w:val="InFigures1"/>
                              </w:pPr>
                              <w:r>
                                <w:t>Display Analysis</w:t>
                              </w:r>
                            </w:p>
                            <w:p w14:paraId="28A3AAC2" w14:textId="0A7F29F4" w:rsidR="007401F4" w:rsidRDefault="007401F4" w:rsidP="00886310">
                              <w:pPr>
                                <w:pStyle w:val="InFigures1"/>
                              </w:pPr>
                              <w:r>
                                <w:t>Results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 name="Connector: Elbow 204"/>
                        <wps:cNvCnPr>
                          <a:stCxn id="193" idx="2"/>
                          <a:endCxn id="203" idx="1"/>
                        </wps:cNvCnPr>
                        <wps:spPr>
                          <a:xfrm rot="10800000">
                            <a:off x="393405" y="3616756"/>
                            <a:ext cx="1068196" cy="498587"/>
                          </a:xfrm>
                          <a:prstGeom prst="bentConnector3">
                            <a:avLst>
                              <a:gd name="adj1" fmla="val 121401"/>
                            </a:avLst>
                          </a:prstGeom>
                        </wps:spPr>
                        <wps:style>
                          <a:lnRef idx="2">
                            <a:schemeClr val="dk1"/>
                          </a:lnRef>
                          <a:fillRef idx="0">
                            <a:schemeClr val="dk1"/>
                          </a:fillRef>
                          <a:effectRef idx="1">
                            <a:schemeClr val="dk1"/>
                          </a:effectRef>
                          <a:fontRef idx="minor">
                            <a:schemeClr val="tx1"/>
                          </a:fontRef>
                        </wps:style>
                        <wps:bodyPr/>
                      </wps:wsp>
                      <wps:wsp>
                        <wps:cNvPr id="205" name="Flowchart: Terminator 205"/>
                        <wps:cNvSpPr/>
                        <wps:spPr>
                          <a:xfrm>
                            <a:off x="393405" y="2572326"/>
                            <a:ext cx="900000" cy="450000"/>
                          </a:xfrm>
                          <a:prstGeom prst="flowChartTerminator">
                            <a:avLst/>
                          </a:prstGeom>
                        </wps:spPr>
                        <wps:style>
                          <a:lnRef idx="2">
                            <a:schemeClr val="dk1"/>
                          </a:lnRef>
                          <a:fillRef idx="1">
                            <a:schemeClr val="lt1"/>
                          </a:fillRef>
                          <a:effectRef idx="0">
                            <a:schemeClr val="dk1"/>
                          </a:effectRef>
                          <a:fontRef idx="minor">
                            <a:schemeClr val="dk1"/>
                          </a:fontRef>
                        </wps:style>
                        <wps:txbx>
                          <w:txbxContent>
                            <w:p w14:paraId="6EC1AB78" w14:textId="2BFDF37C" w:rsidR="007401F4" w:rsidRDefault="007401F4" w:rsidP="00886310">
                              <w:pPr>
                                <w:pStyle w:val="InFigures1"/>
                              </w:pPr>
                              <w:r>
                                <w:t>End Research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 name="Straight Connector 206"/>
                        <wps:cNvCnPr>
                          <a:stCxn id="203" idx="0"/>
                          <a:endCxn id="205" idx="2"/>
                        </wps:cNvCnPr>
                        <wps:spPr>
                          <a:xfrm flipV="1">
                            <a:off x="843405" y="3022326"/>
                            <a:ext cx="0" cy="369429"/>
                          </a:xfrm>
                          <a:prstGeom prst="line">
                            <a:avLst/>
                          </a:prstGeom>
                        </wps:spPr>
                        <wps:style>
                          <a:lnRef idx="2">
                            <a:schemeClr val="dk1"/>
                          </a:lnRef>
                          <a:fillRef idx="0">
                            <a:schemeClr val="dk1"/>
                          </a:fillRef>
                          <a:effectRef idx="1">
                            <a:schemeClr val="dk1"/>
                          </a:effectRef>
                          <a:fontRef idx="minor">
                            <a:schemeClr val="tx1"/>
                          </a:fontRef>
                        </wps:style>
                        <wps:bodyPr/>
                      </wps:wsp>
                      <wps:wsp>
                        <wps:cNvPr id="207" name="Text Box 207"/>
                        <wps:cNvSpPr txBox="1"/>
                        <wps:spPr>
                          <a:xfrm>
                            <a:off x="53183" y="914391"/>
                            <a:ext cx="1137664" cy="1403507"/>
                          </a:xfrm>
                          <a:prstGeom prst="rect">
                            <a:avLst/>
                          </a:prstGeom>
                          <a:solidFill>
                            <a:schemeClr val="lt1"/>
                          </a:solidFill>
                          <a:ln w="6350">
                            <a:solidFill>
                              <a:prstClr val="black"/>
                            </a:solidFill>
                          </a:ln>
                        </wps:spPr>
                        <wps:txbx>
                          <w:txbxContent>
                            <w:p w14:paraId="08668F17" w14:textId="2BCC431D" w:rsidR="007401F4" w:rsidRDefault="007401F4" w:rsidP="00886310">
                              <w:pPr>
                                <w:pStyle w:val="InFigures1"/>
                              </w:pPr>
                              <w:r>
                                <w:t>1.</w:t>
                              </w:r>
                            </w:p>
                            <w:p w14:paraId="56376B1A" w14:textId="78A3C7B5" w:rsidR="007401F4" w:rsidRDefault="007401F4" w:rsidP="00886310">
                              <w:pPr>
                                <w:pStyle w:val="InFigures1"/>
                                <w:jc w:val="left"/>
                              </w:pPr>
                              <w:r>
                                <w:t>Decide on Philosophy.</w:t>
                              </w:r>
                            </w:p>
                            <w:p w14:paraId="3E317659" w14:textId="6E9F6BF3" w:rsidR="007401F4" w:rsidRDefault="007401F4" w:rsidP="00886310">
                              <w:pPr>
                                <w:pStyle w:val="InFigures1"/>
                                <w:jc w:val="left"/>
                              </w:pPr>
                              <w:r>
                                <w:t>Decide on Approach</w:t>
                              </w:r>
                            </w:p>
                            <w:p w14:paraId="2BF7CD88" w14:textId="74FD38FE" w:rsidR="007401F4" w:rsidRDefault="007401F4" w:rsidP="00886310">
                              <w:pPr>
                                <w:pStyle w:val="InFigures1"/>
                                <w:jc w:val="left"/>
                              </w:pPr>
                              <w:r>
                                <w:t>Decide on Strategy</w:t>
                              </w:r>
                            </w:p>
                            <w:p w14:paraId="318061E2" w14:textId="5B3B6462" w:rsidR="007401F4" w:rsidRDefault="007401F4" w:rsidP="00886310">
                              <w:pPr>
                                <w:pStyle w:val="InFigures1"/>
                                <w:jc w:val="left"/>
                              </w:pPr>
                              <w:r>
                                <w:t>Decide Choices</w:t>
                              </w:r>
                            </w:p>
                            <w:p w14:paraId="1086E8FC" w14:textId="27790B0A" w:rsidR="007401F4" w:rsidRDefault="007401F4" w:rsidP="00886310">
                              <w:pPr>
                                <w:pStyle w:val="InFigures1"/>
                                <w:jc w:val="left"/>
                              </w:pPr>
                              <w:r>
                                <w:t>Decide on Time Horizon</w:t>
                              </w:r>
                            </w:p>
                            <w:p w14:paraId="69A9345B" w14:textId="6071A1BD" w:rsidR="007401F4" w:rsidRDefault="007401F4" w:rsidP="00886310">
                              <w:pPr>
                                <w:pStyle w:val="InFigures1"/>
                                <w:jc w:val="left"/>
                              </w:pPr>
                              <w:r>
                                <w:t>Decide on Techniques and Procedures</w:t>
                              </w:r>
                            </w:p>
                            <w:p w14:paraId="54BB109C" w14:textId="77777777" w:rsidR="007401F4" w:rsidRDefault="007401F4" w:rsidP="00886310">
                              <w:pPr>
                                <w:pStyle w:val="InFigures1"/>
                                <w:jc w:val="left"/>
                              </w:pPr>
                            </w:p>
                            <w:p w14:paraId="7162DC21" w14:textId="77777777" w:rsidR="007401F4" w:rsidRDefault="007401F4" w:rsidP="00886310">
                              <w:pPr>
                                <w:pStyle w:val="InFigures1"/>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E084AA8" id="Canvas 28" o:spid="_x0000_s1133" editas="canvas" style="width:453.5pt;height:349.95pt;mso-position-horizontal-relative:char;mso-position-vertical-relative:line" coordsize="57594,44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">
                <v:shape id="_x0000_s1134" type="#_x0000_t75" style="position:absolute;width:57594;height:44443;visibility:visible;mso-wrap-style:square" filled="t" stroked="t" strokecolor="black [3213]" strokeweight="1.5pt">
                  <v:fill o:detectmouseclick="t"/>
                  <v:path o:connecttype="none"/>
                </v:shape>
                <v:shapetype id="_x0000_t117" coordsize="21600,21600" o:spt="117" path="m4353,l17214,r4386,10800l17214,21600r-12861,l,10800xe">
                  <v:stroke joinstyle="miter"/>
                  <v:path gradientshapeok="t" o:connecttype="rect" textboxrect="4353,0,17214,21600"/>
                </v:shapetype>
                <v:shape id="Flowchart: Preparation 225" o:spid="_x0000_s1135" type="#_x0000_t117" style="position:absolute;left:531;top:4669;width:46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" fillcolor="white [3201]" strokecolor="#44546a [3215]" strokeweight="1pt">
                  <v:textbox>
                    <w:txbxContent>
                      <w:p w14:paraId="2E707B82" w14:textId="76DF2E1D" w:rsidR="007401F4" w:rsidRPr="00FD3E15" w:rsidRDefault="007401F4" w:rsidP="00E75244">
                        <w:pPr>
                          <w:spacing w:after="0" w:line="240" w:lineRule="auto"/>
                          <w:jc w:val="center"/>
                          <w:rPr>
                            <w:sz w:val="16"/>
                            <w:szCs w:val="14"/>
                          </w:rPr>
                        </w:pPr>
                        <w:r w:rsidRPr="00FD3E15">
                          <w:rPr>
                            <w:sz w:val="16"/>
                            <w:szCs w:val="14"/>
                          </w:rPr>
                          <w:t>1.</w:t>
                        </w:r>
                      </w:p>
                    </w:txbxContent>
                  </v:textbox>
                </v:shape>
                <v:shapetype id="_x0000_t109" coordsize="21600,21600" o:spt="109" path="m,l,21600r21600,l21600,xe">
                  <v:stroke joinstyle="miter"/>
                  <v:path gradientshapeok="t" o:connecttype="rect"/>
                </v:shapetype>
                <v:shape id="Flowchart: Process 227" o:spid="_x0000_s1136" type="#_x0000_t109" style="position:absolute;left:9356;top:3893;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" fillcolor="white [3201]" strokecolor="#44546a [3215]" strokeweight="1pt">
                  <v:textbox>
                    <w:txbxContent>
                      <w:p w14:paraId="5DB959FF" w14:textId="38155922" w:rsidR="007401F4" w:rsidRPr="00FD3E15" w:rsidRDefault="007401F4" w:rsidP="0059305F">
                        <w:pPr>
                          <w:spacing w:after="0" w:line="240" w:lineRule="auto"/>
                          <w:jc w:val="center"/>
                          <w:rPr>
                            <w:sz w:val="16"/>
                            <w:szCs w:val="14"/>
                          </w:rPr>
                        </w:pPr>
                        <w:r w:rsidRPr="00FD3E15">
                          <w:rPr>
                            <w:sz w:val="16"/>
                            <w:szCs w:val="14"/>
                          </w:rPr>
                          <w:t>Prepare Questionnaire</w:t>
                        </w:r>
                      </w:p>
                    </w:txbxContent>
                  </v:textbox>
                </v:shape>
                <v:shape id="Flowchart: Process 289" o:spid="_x0000_s1137" type="#_x0000_t109" style="position:absolute;left:21470;top:3893;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" fillcolor="white [3201]" strokecolor="#44546a [3215]" strokeweight="1pt">
                  <v:textbox>
                    <w:txbxContent>
                      <w:p w14:paraId="73E73ACF" w14:textId="0B4E2CC9" w:rsidR="007401F4" w:rsidRPr="00FD3E15" w:rsidRDefault="007401F4" w:rsidP="00FD3E15">
                        <w:pPr>
                          <w:pStyle w:val="InFigures1"/>
                        </w:pPr>
                        <w:r w:rsidRPr="00FD3E15">
                          <w:t>Send out pilot survey</w:t>
                        </w:r>
                      </w:p>
                    </w:txbxContent>
                  </v:textbox>
                </v:shape>
                <v:shape id="Flowchart: Process 290" o:spid="_x0000_s1138" type="#_x0000_t109" style="position:absolute;left:15409;top:12113;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" fillcolor="white [3201]" strokecolor="#44546a [3215]" strokeweight="1pt">
                  <v:textbox>
                    <w:txbxContent>
                      <w:p w14:paraId="4CA3B5CF" w14:textId="615F2253" w:rsidR="007401F4" w:rsidRPr="00FD3E15" w:rsidRDefault="007401F4" w:rsidP="00FD3E15">
                        <w:pPr>
                          <w:pStyle w:val="InFigures1"/>
                        </w:pPr>
                        <w:r w:rsidRPr="00FD3E15">
                          <w:t xml:space="preserve">Examine </w:t>
                        </w:r>
                        <w:r>
                          <w:t xml:space="preserve"> Descriptive A</w:t>
                        </w:r>
                        <w:r w:rsidRPr="00FD3E15">
                          <w:t>nal</w:t>
                        </w:r>
                        <w:r>
                          <w:t xml:space="preserve">. </w:t>
                        </w:r>
                        <w:r w:rsidRPr="00FD3E15">
                          <w:t>methods</w:t>
                        </w:r>
                      </w:p>
                    </w:txbxContent>
                  </v:textbox>
                </v:shape>
                <v:line id="Straight Connector 232" o:spid="_x0000_s1139" style="position:absolute;visibility:visible;mso-wrap-style:square" from="30470,6143" to="32538,6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" strokecolor="black [3213]" strokeweight="1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33" o:spid="_x0000_s1140" type="#_x0000_t34" style="position:absolute;left:24997;top:-7248;width:0;height:22282;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" adj="69567515" strokecolor="black [3213]" strokeweight="1pt"/>
                <v:line id="Straight Connector 234" o:spid="_x0000_s1141" style="position:absolute;visibility:visible;mso-wrap-style:square" from="5211,6109" to="9356,6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" strokecolor="black [3200]" strokeweight="1pt">
                  <v:stroke joinstyle="miter"/>
                </v:line>
                <v:line id="Straight Connector 235" o:spid="_x0000_s1142" style="position:absolute;visibility:visible;mso-wrap-style:square" from="18356,6143" to="21470,6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" strokecolor="black [3200]" strokeweight="1pt">
                  <v:stroke joinstyle="miter"/>
                </v:line>
                <v:shapetype id="_x0000_t33" coordsize="21600,21600" o:spt="33" o:oned="t" path="m,l21600,r,21600e" filled="f">
                  <v:stroke joinstyle="miter"/>
                  <v:path arrowok="t" fillok="f" o:connecttype="none"/>
                  <o:lock v:ext="edit" shapetype="t"/>
                </v:shapetype>
                <v:shape id="Connector: Elbow 236" o:spid="_x0000_s1143" type="#_x0000_t33" style="position:absolute;left:11648;top:10601;width:5970;height:155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" strokecolor="black [3200]" strokeweight="1pt"/>
                <v:shape id="Flowchart: Process 294" o:spid="_x0000_s1144" type="#_x0000_t109" style="position:absolute;left:26892;top:12114;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" fillcolor="white [3201]" strokecolor="#44546a [3215]" strokeweight="1pt">
                  <v:textbox>
                    <w:txbxContent>
                      <w:p w14:paraId="4E82BE1D" w14:textId="7129EACC" w:rsidR="007401F4" w:rsidRPr="00FD3E15" w:rsidRDefault="007401F4" w:rsidP="00FD3E15">
                        <w:pPr>
                          <w:pStyle w:val="InFigures1"/>
                          <w:rPr>
                            <w:sz w:val="32"/>
                            <w:szCs w:val="32"/>
                          </w:rPr>
                        </w:pPr>
                        <w:r>
                          <w:t>Test analysis method</w:t>
                        </w:r>
                      </w:p>
                    </w:txbxContent>
                  </v:textbox>
                </v:shape>
                <v:group id="Group 250" o:spid="_x0000_s1145" style="position:absolute;left:32538;top:2232;width:7200;height:6341" coordorigin="32538,2232" coordsize="7200,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">
                  <v:shapetype id="_x0000_t110" coordsize="21600,21600" o:spt="110" path="m10800,l,10800,10800,21600,21600,10800xe">
                    <v:stroke joinstyle="miter"/>
                    <v:path gradientshapeok="t" o:connecttype="rect" textboxrect="5400,5400,16200,16200"/>
                  </v:shapetype>
                  <v:shape id="Flowchart: Decision 231" o:spid="_x0000_s1146" type="#_x0000_t110" style="position:absolute;left:32538;top:3893;width:7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" fillcolor="white [3201]" strokecolor="black [3200]" strokeweight="1pt">
                    <v:textbox>
                      <w:txbxContent>
                        <w:p w14:paraId="0EDDFBE5" w14:textId="34A0FCA2" w:rsidR="007401F4" w:rsidRPr="00FD3E15" w:rsidRDefault="007401F4" w:rsidP="00FD3E15">
                          <w:pPr>
                            <w:pStyle w:val="InFigures1"/>
                          </w:pPr>
                          <w:r w:rsidRPr="00FD3E15">
                            <w:t>OK</w:t>
                          </w:r>
                        </w:p>
                      </w:txbxContent>
                    </v:textbox>
                  </v:shape>
                  <v:shape id="Text Box 237" o:spid="_x0000_s1147" type="#_x0000_t202" style="position:absolute;left:35619;top:2232;width:3296;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" filled="f" stroked="f" strokeweight=".5pt">
                    <v:textbox>
                      <w:txbxContent>
                        <w:p w14:paraId="13A731C9" w14:textId="1ED86DF1" w:rsidR="007401F4" w:rsidRDefault="007401F4" w:rsidP="00FD3E15">
                          <w:pPr>
                            <w:pStyle w:val="InFigures1"/>
                          </w:pPr>
                          <w:r>
                            <w:t>No</w:t>
                          </w:r>
                        </w:p>
                      </w:txbxContent>
                    </v:textbox>
                  </v:shape>
                </v:group>
                <v:line id="Straight Connector 238" o:spid="_x0000_s1148" style="position:absolute;visibility:visible;mso-wrap-style:square" from="24407,14362" to="26890,14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" strokecolor="black [3200]" strokeweight="1pt">
                  <v:stroke joinstyle="miter"/>
                </v:line>
                <v:group id="Group 242" o:spid="_x0000_s1149" style="position:absolute;left:38801;top:10486;width:7194;height:6301" coordorigin="38801,10486" coordsize="7194,6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">
                  <v:shape id="Flowchart: Decision 306" o:spid="_x0000_s1150" type="#_x0000_t110" style="position:absolute;left:38801;top:12114;width:7194;height:4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" fillcolor="white [3201]" strokecolor="black [3200]" strokeweight="1pt">
                    <v:textbox>
                      <w:txbxContent>
                        <w:p w14:paraId="6218BC5F" w14:textId="77777777" w:rsidR="007401F4" w:rsidRDefault="007401F4" w:rsidP="00314C88">
                          <w:pPr>
                            <w:jc w:val="center"/>
                            <w:rPr>
                              <w:szCs w:val="24"/>
                            </w:rPr>
                          </w:pPr>
                          <w:r>
                            <w:rPr>
                              <w:sz w:val="16"/>
                              <w:szCs w:val="16"/>
                            </w:rPr>
                            <w:t>OK</w:t>
                          </w:r>
                        </w:p>
                      </w:txbxContent>
                    </v:textbox>
                  </v:shape>
                  <v:shape id="Text Box 237" o:spid="_x0000_s1151" type="#_x0000_t202" style="position:absolute;left:41991;top:10486;width:329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" filled="f" stroked="f" strokeweight=".5pt">
                    <v:textbox>
                      <w:txbxContent>
                        <w:p w14:paraId="0C36818A" w14:textId="77777777" w:rsidR="007401F4" w:rsidRDefault="007401F4" w:rsidP="00314C88">
                          <w:pPr>
                            <w:jc w:val="center"/>
                            <w:rPr>
                              <w:szCs w:val="24"/>
                            </w:rPr>
                          </w:pPr>
                          <w:r>
                            <w:rPr>
                              <w:sz w:val="16"/>
                              <w:szCs w:val="16"/>
                            </w:rPr>
                            <w:t>No</w:t>
                          </w:r>
                        </w:p>
                      </w:txbxContent>
                    </v:textbox>
                  </v:shape>
                </v:group>
                <v:shape id="Connector: Elbow 239" o:spid="_x0000_s1152" type="#_x0000_t34" style="position:absolute;left:31153;top:869;width:1;height:2248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" adj="-93165283" strokecolor="black [3200]" strokeweight="1pt"/>
                <v:line id="Straight Connector 240" o:spid="_x0000_s1153" style="position:absolute;visibility:visible;mso-wrap-style:square" from="35892,14364" to="38801,14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" strokecolor="black [3200]" strokeweight="1pt">
                  <v:stroke joinstyle="miter"/>
                </v:line>
                <v:shape id="Flowchart: Process 320" o:spid="_x0000_s1154" type="#_x0000_t109" style="position:absolute;left:15410;top:19450;width:8998;height:4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" fillcolor="white [3201]" strokecolor="#44546a [3215]" strokeweight="1pt">
                  <v:textbox>
                    <w:txbxContent>
                      <w:p w14:paraId="1D969488" w14:textId="07E10CF5" w:rsidR="007401F4" w:rsidRDefault="007401F4" w:rsidP="00314C88">
                        <w:pPr>
                          <w:pStyle w:val="InFigures1"/>
                          <w:rPr>
                            <w:sz w:val="24"/>
                            <w:szCs w:val="24"/>
                          </w:rPr>
                        </w:pPr>
                        <w:r>
                          <w:t>Examine  Regression Anal. methods</w:t>
                        </w:r>
                      </w:p>
                    </w:txbxContent>
                  </v:textbox>
                </v:shape>
                <v:shape id="Flowchart: Process 321" o:spid="_x0000_s1155" type="#_x0000_t109" style="position:absolute;left:27138;top:19441;width:8998;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" fillcolor="white [3201]" strokecolor="#44546a [3215]" strokeweight="1pt">
                  <v:textbox>
                    <w:txbxContent>
                      <w:p w14:paraId="7E369F7F" w14:textId="77777777" w:rsidR="007401F4" w:rsidRDefault="007401F4" w:rsidP="00314C88">
                        <w:pPr>
                          <w:pStyle w:val="InFigures1"/>
                          <w:rPr>
                            <w:sz w:val="24"/>
                            <w:szCs w:val="24"/>
                          </w:rPr>
                        </w:pPr>
                        <w:r>
                          <w:t>Test analysis method</w:t>
                        </w:r>
                      </w:p>
                    </w:txbxContent>
                  </v:textbox>
                </v:shape>
                <v:group id="Group 322" o:spid="_x0000_s1156" style="position:absolute;left:39332;top:17748;width:7195;height:6338" coordsize="7200,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shape id="Flowchart: Decision 323" o:spid="_x0000_s1157" type="#_x0000_t110" style="position:absolute;top:1660;width:7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" fillcolor="white [3201]" strokecolor="black [3200]" strokeweight="1pt">
                    <v:textbox>
                      <w:txbxContent>
                        <w:p w14:paraId="46FB3237" w14:textId="77777777" w:rsidR="007401F4" w:rsidRDefault="007401F4" w:rsidP="00314C88">
                          <w:pPr>
                            <w:jc w:val="center"/>
                            <w:rPr>
                              <w:szCs w:val="24"/>
                            </w:rPr>
                          </w:pPr>
                          <w:r>
                            <w:rPr>
                              <w:sz w:val="16"/>
                              <w:szCs w:val="16"/>
                            </w:rPr>
                            <w:t>OK</w:t>
                          </w:r>
                        </w:p>
                      </w:txbxContent>
                    </v:textbox>
                  </v:shape>
                  <v:shape id="Text Box 3" o:spid="_x0000_s1158" type="#_x0000_t202" style="position:absolute;left:3080;width:3296;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" filled="f" stroked="f" strokeweight=".5pt">
                    <v:textbox>
                      <w:txbxContent>
                        <w:p w14:paraId="188ECCE0" w14:textId="77777777" w:rsidR="007401F4" w:rsidRDefault="007401F4" w:rsidP="00314C88">
                          <w:pPr>
                            <w:jc w:val="center"/>
                            <w:rPr>
                              <w:szCs w:val="24"/>
                            </w:rPr>
                          </w:pPr>
                          <w:r>
                            <w:rPr>
                              <w:sz w:val="16"/>
                              <w:szCs w:val="16"/>
                            </w:rPr>
                            <w:t>No</w:t>
                          </w:r>
                        </w:p>
                      </w:txbxContent>
                    </v:textbox>
                  </v:shape>
                </v:group>
                <v:shape id="Connector: Elbow 251" o:spid="_x0000_s1159" type="#_x0000_t34" style="position:absolute;left:31399;top:7918;width:42;height:2302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" adj="884773" strokecolor="black [3200]" strokeweight="1pt"/>
                <v:line id="Straight Connector 252" o:spid="_x0000_s1160" style="position:absolute;visibility:visible;mso-wrap-style:square" from="36136,21689" to="39332,21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" strokecolor="black [3200]" strokeweight="1pt">
                  <v:stroke joinstyle="miter"/>
                </v:line>
                <v:line id="Straight Connector 254" o:spid="_x0000_s1161" style="position:absolute;flip:x;visibility:visible;mso-wrap-style:square" from="24406,21687" to="27135,21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" strokecolor="black [3200]" strokeweight="1pt">
                  <v:stroke joinstyle="miter"/>
                </v:line>
                <v:shape id="Connector: Elbow 91" o:spid="_x0000_s1162" type="#_x0000_t33" style="position:absolute;left:13855;top:8392;width:1553;height:1330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" strokecolor="black [3200]" strokeweight="1pt"/>
                <v:shape id="Flowchart: Process 325" o:spid="_x0000_s1163" type="#_x0000_t109" style="position:absolute;left:41884;top:38907;width:8998;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" fillcolor="white [3201]" strokecolor="#44546a [3215]" strokeweight="1pt">
                  <v:textbox>
                    <w:txbxContent>
                      <w:p w14:paraId="440620E8" w14:textId="709090EF" w:rsidR="007401F4" w:rsidRDefault="007401F4" w:rsidP="00D552F1">
                        <w:pPr>
                          <w:pStyle w:val="InFigures1"/>
                          <w:rPr>
                            <w:sz w:val="24"/>
                            <w:szCs w:val="24"/>
                          </w:rPr>
                        </w:pPr>
                        <w:r>
                          <w:t>Send out Main Survey</w:t>
                        </w:r>
                      </w:p>
                    </w:txbxContent>
                  </v:textbox>
                </v:shape>
                <v:shape id="Connector: Elbow 190" o:spid="_x0000_s1164" type="#_x0000_t34" style="position:absolute;left:39738;top:6233;width:11144;height:3492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" adj="30565" strokecolor="black [3200]" strokeweight="1pt"/>
                <v:shape id="Text Box 192" o:spid="_x0000_s1165" type="#_x0000_t202" style="position:absolute;left:44541;top:12323;width:4581;height:2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" filled="f" stroked="f" strokeweight=".5pt">
                  <v:textbox>
                    <w:txbxContent>
                      <w:p w14:paraId="679299DB" w14:textId="7DAC88BA" w:rsidR="007401F4" w:rsidRDefault="007401F4" w:rsidP="00D552F1">
                        <w:pPr>
                          <w:pStyle w:val="InFigures1"/>
                        </w:pPr>
                        <w:r>
                          <w:t>Yes</w:t>
                        </w:r>
                      </w:p>
                    </w:txbxContent>
                  </v:textbox>
                </v:shape>
                <v:shape id="Text Box 192" o:spid="_x0000_s1166" type="#_x0000_t202" style="position:absolute;left:38348;top:4392;width:4579;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" filled="f" stroked="f" strokeweight=".5pt">
                  <v:textbox>
                    <w:txbxContent>
                      <w:p w14:paraId="7FDE23F2" w14:textId="77777777" w:rsidR="007401F4" w:rsidRDefault="007401F4" w:rsidP="00D552F1">
                        <w:pPr>
                          <w:jc w:val="center"/>
                          <w:rPr>
                            <w:szCs w:val="24"/>
                          </w:rPr>
                        </w:pPr>
                        <w:r>
                          <w:rPr>
                            <w:sz w:val="16"/>
                            <w:szCs w:val="16"/>
                          </w:rPr>
                          <w:t>Yes</w:t>
                        </w:r>
                      </w:p>
                    </w:txbxContent>
                  </v:textbox>
                </v:shape>
                <v:shape id="Text Box 192" o:spid="_x0000_s1167" type="#_x0000_t202" style="position:absolute;left:45074;top:19625;width:4578;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" filled="f" stroked="f" strokeweight=".5pt">
                  <v:textbox>
                    <w:txbxContent>
                      <w:p w14:paraId="6B000D41" w14:textId="77777777" w:rsidR="007401F4" w:rsidRDefault="007401F4" w:rsidP="00D552F1">
                        <w:pPr>
                          <w:jc w:val="center"/>
                          <w:rPr>
                            <w:szCs w:val="24"/>
                          </w:rPr>
                        </w:pPr>
                        <w:r>
                          <w:rPr>
                            <w:sz w:val="16"/>
                            <w:szCs w:val="16"/>
                          </w:rPr>
                          <w:t>Yes</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Flowchart: Data 193" o:spid="_x0000_s1168" type="#_x0000_t111" style="position:absolute;left:13716;top:38903;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" fillcolor="white [3201]" strokecolor="black [3200]" strokeweight="1pt">
                  <v:textbox>
                    <w:txbxContent>
                      <w:p w14:paraId="6E41CF19" w14:textId="5687FC3C" w:rsidR="007401F4" w:rsidRDefault="007401F4" w:rsidP="00D552F1">
                        <w:pPr>
                          <w:pStyle w:val="InFigures1"/>
                        </w:pPr>
                        <w:r>
                          <w:t>Data From Survey</w:t>
                        </w:r>
                      </w:p>
                    </w:txbxContent>
                  </v:textbox>
                </v:shape>
                <v:shape id="Flowchart: Process 328" o:spid="_x0000_s1169" type="#_x0000_t109" style="position:absolute;left:27318;top:25723;width:8998;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" fillcolor="window" strokecolor="#44546a" strokeweight="1pt">
                  <v:textbox>
                    <w:txbxContent>
                      <w:p w14:paraId="3149A827" w14:textId="5F972D4D" w:rsidR="007401F4" w:rsidRDefault="007401F4" w:rsidP="00FC6F23">
                        <w:pPr>
                          <w:pStyle w:val="InFigures1"/>
                          <w:rPr>
                            <w:sz w:val="24"/>
                            <w:szCs w:val="24"/>
                          </w:rPr>
                        </w:pPr>
                        <w:r>
                          <w:t>Use Hayes Macro for SPSS</w:t>
                        </w:r>
                      </w:p>
                    </w:txbxContent>
                  </v:textbox>
                </v:shape>
                <v:shape id="Flowchart: Process 329" o:spid="_x0000_s1170" type="#_x0000_t109" style="position:absolute;left:27318;top:31039;width:8998;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" fillcolor="white [3201]" strokecolor="#44546a [3215]" strokeweight="1pt">
                  <v:textbox>
                    <w:txbxContent>
                      <w:p w14:paraId="48D0A894" w14:textId="3D0889EB" w:rsidR="007401F4" w:rsidRDefault="007401F4" w:rsidP="00886310">
                        <w:pPr>
                          <w:pStyle w:val="InFigures1"/>
                          <w:rPr>
                            <w:sz w:val="24"/>
                            <w:szCs w:val="24"/>
                          </w:rPr>
                        </w:pPr>
                        <w:r>
                          <w:t>Use Chosen Analysis Method</w:t>
                        </w:r>
                      </w:p>
                    </w:txbxContent>
                  </v:textbox>
                </v:shape>
                <v:shape id="Connector: Elbow 195" o:spid="_x0000_s1171" type="#_x0000_t34" style="position:absolute;left:36316;top:14450;width:9679;height:18837;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" adj="-16727" strokecolor="black [3200]" strokeweight="1pt"/>
                <v:shape id="Connector: Elbow 196" o:spid="_x0000_s1172" type="#_x0000_t34" style="position:absolute;left:36316;top:21747;width:10211;height:6223;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" adj="-10233" strokecolor="black [3200]" strokeweight="1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97" o:spid="_x0000_s1173" type="#_x0000_t5" style="position:absolute;left:27548;top:38907;width:10800;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" fillcolor="white [3201]" strokecolor="black [3200]" strokeweight="1pt">
                  <v:textbox>
                    <w:txbxContent>
                      <w:p w14:paraId="403CE294" w14:textId="186E2F69" w:rsidR="007401F4" w:rsidRDefault="007401F4" w:rsidP="00886310">
                        <w:pPr>
                          <w:pStyle w:val="InFigures1"/>
                        </w:pPr>
                        <w:r>
                          <w:t>Extract</w:t>
                        </w:r>
                      </w:p>
                    </w:txbxContent>
                  </v:textbox>
                </v:shape>
                <v:line id="Straight Connector 198" o:spid="_x0000_s1174" style="position:absolute;flip:y;visibility:visible;mso-wrap-style:square" from="35648,41155" to="41884,41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" strokecolor="black [3200]" strokeweight="1pt">
                  <v:stroke joinstyle="miter"/>
                </v:line>
                <v:line id="Straight Connector 199" o:spid="_x0000_s1175" style="position:absolute;flip:x y;visibility:visible;mso-wrap-style:square" from="21816,41153" to="30248,41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" strokecolor="black [3200]" strokeweight="1pt">
                  <v:stroke joinstyle="miter"/>
                </v:line>
                <v:shape id="Connector: Elbow 200" o:spid="_x0000_s1176" type="#_x0000_t33" style="position:absolute;left:19116;top:33287;width:8202;height:56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" strokecolor="black [3200]" strokeweight="1pt"/>
                <v:shape id="Connector: Elbow 202" o:spid="_x0000_s1177" type="#_x0000_t33" style="position:absolute;left:18216;top:27970;width:9102;height:1093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" strokecolor="black [3200]" strokeweight="1pt"/>
                <v:shapetype id="_x0000_t134" coordsize="21600,21600" o:spt="134" path="m17955,v862,282,1877,1410,2477,3045c21035,5357,21372,7895,21597,10827v-225,2763,-562,5300,-1165,7613c19832,20132,18817,21260,17955,21597r-14388,l,10827,3567,xe">
                  <v:stroke joinstyle="miter"/>
                  <v:path o:connecttype="rect" textboxrect="3567,0,17955,21600"/>
                </v:shapetype>
                <v:shape id="Flowchart: Display 203" o:spid="_x0000_s1178" type="#_x0000_t134" style="position:absolute;left:3934;top:33917;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" fillcolor="white [3201]" strokecolor="black [3200]" strokeweight="1pt">
                  <v:textbox>
                    <w:txbxContent>
                      <w:p w14:paraId="40CC2B09" w14:textId="6B8D5931" w:rsidR="007401F4" w:rsidRDefault="007401F4" w:rsidP="00886310">
                        <w:pPr>
                          <w:pStyle w:val="InFigures1"/>
                        </w:pPr>
                        <w:r>
                          <w:t>Display Analysis</w:t>
                        </w:r>
                      </w:p>
                      <w:p w14:paraId="28A3AAC2" w14:textId="0A7F29F4" w:rsidR="007401F4" w:rsidRDefault="007401F4" w:rsidP="00886310">
                        <w:pPr>
                          <w:pStyle w:val="InFigures1"/>
                        </w:pPr>
                        <w:r>
                          <w:t>Results</w:t>
                        </w:r>
                      </w:p>
                    </w:txbxContent>
                  </v:textbox>
                </v:shape>
                <v:shape id="Connector: Elbow 204" o:spid="_x0000_s1179" type="#_x0000_t34" style="position:absolute;left:3934;top:36167;width:10682;height:4986;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" adj="26223" strokecolor="black [3200]" strokeweight="1pt"/>
                <v:shapetype id="_x0000_t116" coordsize="21600,21600" o:spt="116" path="m3475,qx,10800,3475,21600l18125,21600qx21600,10800,18125,xe">
                  <v:stroke joinstyle="miter"/>
                  <v:path gradientshapeok="t" o:connecttype="rect" textboxrect="1018,3163,20582,18437"/>
                </v:shapetype>
                <v:shape id="Flowchart: Terminator 205" o:spid="_x0000_s1180" type="#_x0000_t116" style="position:absolute;left:3934;top:25723;width:9000;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" fillcolor="white [3201]" strokecolor="black [3200]" strokeweight="1pt">
                  <v:textbox>
                    <w:txbxContent>
                      <w:p w14:paraId="6EC1AB78" w14:textId="2BFDF37C" w:rsidR="007401F4" w:rsidRDefault="007401F4" w:rsidP="00886310">
                        <w:pPr>
                          <w:pStyle w:val="InFigures1"/>
                        </w:pPr>
                        <w:r>
                          <w:t>End Research</w:t>
                        </w:r>
                      </w:p>
                    </w:txbxContent>
                  </v:textbox>
                </v:shape>
                <v:line id="Straight Connector 206" o:spid="_x0000_s1181" style="position:absolute;flip:y;visibility:visible;mso-wrap-style:square" from="8434,30223" to="8434,33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" strokecolor="black [3200]" strokeweight="1pt">
                  <v:stroke joinstyle="miter"/>
                </v:line>
                <v:shape id="Text Box 207" o:spid="_x0000_s1182" type="#_x0000_t202" style="position:absolute;left:531;top:9143;width:11377;height:14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" fillcolor="white [3201]" strokeweight=".5pt">
                  <v:textbox>
                    <w:txbxContent>
                      <w:p w14:paraId="08668F17" w14:textId="2BCC431D" w:rsidR="007401F4" w:rsidRDefault="007401F4" w:rsidP="00886310">
                        <w:pPr>
                          <w:pStyle w:val="InFigures1"/>
                        </w:pPr>
                        <w:r>
                          <w:t>1.</w:t>
                        </w:r>
                      </w:p>
                      <w:p w14:paraId="56376B1A" w14:textId="78A3C7B5" w:rsidR="007401F4" w:rsidRDefault="007401F4" w:rsidP="00886310">
                        <w:pPr>
                          <w:pStyle w:val="InFigures1"/>
                          <w:jc w:val="left"/>
                        </w:pPr>
                        <w:r>
                          <w:t>Decide on Philosophy.</w:t>
                        </w:r>
                      </w:p>
                      <w:p w14:paraId="3E317659" w14:textId="6E9F6BF3" w:rsidR="007401F4" w:rsidRDefault="007401F4" w:rsidP="00886310">
                        <w:pPr>
                          <w:pStyle w:val="InFigures1"/>
                          <w:jc w:val="left"/>
                        </w:pPr>
                        <w:r>
                          <w:t>Decide on Approach</w:t>
                        </w:r>
                      </w:p>
                      <w:p w14:paraId="2BF7CD88" w14:textId="74FD38FE" w:rsidR="007401F4" w:rsidRDefault="007401F4" w:rsidP="00886310">
                        <w:pPr>
                          <w:pStyle w:val="InFigures1"/>
                          <w:jc w:val="left"/>
                        </w:pPr>
                        <w:r>
                          <w:t>Decide on Strategy</w:t>
                        </w:r>
                      </w:p>
                      <w:p w14:paraId="318061E2" w14:textId="5B3B6462" w:rsidR="007401F4" w:rsidRDefault="007401F4" w:rsidP="00886310">
                        <w:pPr>
                          <w:pStyle w:val="InFigures1"/>
                          <w:jc w:val="left"/>
                        </w:pPr>
                        <w:r>
                          <w:t>Decide Choices</w:t>
                        </w:r>
                      </w:p>
                      <w:p w14:paraId="1086E8FC" w14:textId="27790B0A" w:rsidR="007401F4" w:rsidRDefault="007401F4" w:rsidP="00886310">
                        <w:pPr>
                          <w:pStyle w:val="InFigures1"/>
                          <w:jc w:val="left"/>
                        </w:pPr>
                        <w:r>
                          <w:t>Decide on Time Horizon</w:t>
                        </w:r>
                      </w:p>
                      <w:p w14:paraId="69A9345B" w14:textId="6071A1BD" w:rsidR="007401F4" w:rsidRDefault="007401F4" w:rsidP="00886310">
                        <w:pPr>
                          <w:pStyle w:val="InFigures1"/>
                          <w:jc w:val="left"/>
                        </w:pPr>
                        <w:r>
                          <w:t>Decide on Techniques and Procedures</w:t>
                        </w:r>
                      </w:p>
                      <w:p w14:paraId="54BB109C" w14:textId="77777777" w:rsidR="007401F4" w:rsidRDefault="007401F4" w:rsidP="00886310">
                        <w:pPr>
                          <w:pStyle w:val="InFigures1"/>
                          <w:jc w:val="left"/>
                        </w:pPr>
                      </w:p>
                      <w:p w14:paraId="7162DC21" w14:textId="77777777" w:rsidR="007401F4" w:rsidRDefault="007401F4" w:rsidP="00886310">
                        <w:pPr>
                          <w:pStyle w:val="InFigures1"/>
                          <w:jc w:val="left"/>
                        </w:pPr>
                      </w:p>
                    </w:txbxContent>
                  </v:textbox>
                </v:shape>
                <w10:anchorlock/>
              </v:group>
            </w:pict>
          </mc:Fallback>
        </mc:AlternateContent>
      </w:r>
    </w:p>
    <w:p w14:paraId="4560E265" w14:textId="197E9D36" w:rsidR="00E75244" w:rsidRPr="00400193" w:rsidRDefault="00E35E8C" w:rsidP="00E35E8C">
      <w:pPr>
        <w:pStyle w:val="Caption"/>
        <w:rPr>
          <w:lang w:eastAsia="zh-CN"/>
        </w:rPr>
      </w:pPr>
      <w:bookmarkStart w:id="289" w:name="_Ref50986143"/>
      <w:bookmarkStart w:id="290" w:name="_Toc55387573"/>
      <w:r w:rsidRPr="00400193">
        <w:t xml:space="preserve">Figure </w:t>
      </w:r>
      <w:r w:rsidRPr="00400193">
        <w:fldChar w:fldCharType="begin"/>
      </w:r>
      <w:r w:rsidRPr="00400193">
        <w:instrText xml:space="preserve"> STYLEREF 1 \s </w:instrText>
      </w:r>
      <w:r w:rsidRPr="00400193">
        <w:fldChar w:fldCharType="separate"/>
      </w:r>
      <w:r w:rsidR="00BB7C18">
        <w:rPr>
          <w:noProof/>
          <w:cs/>
        </w:rPr>
        <w:t>‎</w:t>
      </w:r>
      <w:r w:rsidR="00BB7C18">
        <w:rPr>
          <w:noProof/>
        </w:rPr>
        <w:t>4</w:t>
      </w:r>
      <w:r w:rsidRPr="00400193">
        <w:fldChar w:fldCharType="end"/>
      </w:r>
      <w:r w:rsidRPr="00400193">
        <w:noBreakHyphen/>
      </w:r>
      <w:r w:rsidRPr="00400193">
        <w:fldChar w:fldCharType="begin"/>
      </w:r>
      <w:r w:rsidRPr="00400193">
        <w:instrText xml:space="preserve"> SEQ Figure \* ARABIC \s 1 </w:instrText>
      </w:r>
      <w:r w:rsidRPr="00400193">
        <w:fldChar w:fldCharType="separate"/>
      </w:r>
      <w:r w:rsidR="00BB7C18">
        <w:rPr>
          <w:noProof/>
        </w:rPr>
        <w:t>2</w:t>
      </w:r>
      <w:r w:rsidRPr="00400193">
        <w:fldChar w:fldCharType="end"/>
      </w:r>
      <w:bookmarkEnd w:id="289"/>
      <w:r w:rsidRPr="00400193">
        <w:t>: The Research Design Process Used</w:t>
      </w:r>
      <w:bookmarkEnd w:id="290"/>
    </w:p>
    <w:p w14:paraId="78C7BA91" w14:textId="77777777" w:rsidR="006E3616" w:rsidRPr="00400193" w:rsidRDefault="006E3616" w:rsidP="006E3616">
      <w:pPr>
        <w:pStyle w:val="Heading2"/>
        <w:rPr>
          <w:rFonts w:eastAsia="SimSun"/>
          <w:lang w:eastAsia="zh-CN"/>
        </w:rPr>
      </w:pPr>
      <w:bookmarkStart w:id="291" w:name="_Toc505979476"/>
      <w:bookmarkStart w:id="292" w:name="_Toc18394876"/>
      <w:bookmarkStart w:id="293" w:name="_Toc61894718"/>
      <w:r w:rsidRPr="00400193">
        <w:rPr>
          <w:rFonts w:eastAsia="SimSun"/>
          <w:lang w:eastAsia="zh-CN"/>
        </w:rPr>
        <w:t>Sample Selection</w:t>
      </w:r>
      <w:bookmarkEnd w:id="291"/>
      <w:bookmarkEnd w:id="292"/>
      <w:bookmarkEnd w:id="293"/>
    </w:p>
    <w:p w14:paraId="214D4C35" w14:textId="78E709BD" w:rsidR="006E3616" w:rsidRPr="00400193" w:rsidRDefault="006E3616" w:rsidP="006E3616">
      <w:pPr>
        <w:rPr>
          <w:lang w:eastAsia="zh-CN"/>
        </w:rPr>
      </w:pPr>
      <w:r w:rsidRPr="00400193">
        <w:rPr>
          <w:lang w:eastAsia="zh-CN"/>
        </w:rPr>
        <w:t xml:space="preserve">The sample was designed to be as representative of the organisation as possible. The ideal would be to distribute it to every computer user in the organisation and assess the validity and reliability from to the final response rate (Bannigan </w:t>
      </w:r>
      <w:r w:rsidR="00E93EE0" w:rsidRPr="00400193">
        <w:rPr>
          <w:lang w:eastAsia="zh-CN"/>
        </w:rPr>
        <w:t>and</w:t>
      </w:r>
      <w:r w:rsidRPr="00400193">
        <w:rPr>
          <w:lang w:eastAsia="zh-CN"/>
        </w:rPr>
        <w:t xml:space="preserve"> Watson, 2009). However, the design of the questionnaire also has an effect on the response level, so </w:t>
      </w:r>
      <w:r w:rsidRPr="00400193">
        <w:rPr>
          <w:lang w:eastAsia="zh-CN"/>
        </w:rPr>
        <w:lastRenderedPageBreak/>
        <w:t xml:space="preserve">care must be taken to ensure that it will provide the highest possible response rate </w:t>
      </w:r>
      <w:r w:rsidR="00E93EE0" w:rsidRPr="00400193">
        <w:rPr>
          <w:lang w:eastAsia="zh-CN"/>
        </w:rPr>
        <w:t>(De Bruijne and Wijnant, 2014)</w:t>
      </w:r>
      <w:r w:rsidRPr="00400193">
        <w:rPr>
          <w:lang w:eastAsia="zh-CN"/>
        </w:rPr>
        <w:t>.</w:t>
      </w:r>
    </w:p>
    <w:p w14:paraId="2D7146BA" w14:textId="0CC61CC1" w:rsidR="006E3616" w:rsidRPr="00400193" w:rsidRDefault="006E3616" w:rsidP="006E3616">
      <w:pPr>
        <w:rPr>
          <w:lang w:eastAsia="zh-CN"/>
        </w:rPr>
      </w:pPr>
      <w:r w:rsidRPr="00400193">
        <w:rPr>
          <w:lang w:eastAsia="zh-CN"/>
        </w:rPr>
        <w:t xml:space="preserve">IT users within an organisation may be skewed towards management and clerical staff. However, answers provided by manual workers were also considered valid. The overall bias of the sampling towards office workers would tend to reduce the number of responses from manual workers but would not affect their validity. The decision was made to use purposive sampling </w:t>
      </w:r>
      <w:sdt>
        <w:sdtPr>
          <w:rPr>
            <w:lang w:eastAsia="zh-CN"/>
          </w:rPr>
          <w:id w:val="-2035018051"/>
          <w:citation/>
        </w:sdtPr>
        <w:sdtEndPr/>
        <w:sdtContent>
          <w:r w:rsidRPr="00400193">
            <w:rPr>
              <w:lang w:eastAsia="zh-CN"/>
            </w:rPr>
            <w:fldChar w:fldCharType="begin"/>
          </w:r>
          <w:r w:rsidRPr="00400193">
            <w:rPr>
              <w:lang w:eastAsia="zh-CN"/>
            </w:rPr>
            <w:instrText xml:space="preserve"> CITATION Den07 \l 2057 </w:instrText>
          </w:r>
          <w:r w:rsidRPr="00400193">
            <w:rPr>
              <w:lang w:eastAsia="zh-CN"/>
            </w:rPr>
            <w:fldChar w:fldCharType="separate"/>
          </w:r>
          <w:r w:rsidR="002F482A" w:rsidRPr="00400193">
            <w:rPr>
              <w:noProof/>
              <w:lang w:eastAsia="zh-CN"/>
            </w:rPr>
            <w:t>(Denscombe, 2007)</w:t>
          </w:r>
          <w:r w:rsidRPr="00400193">
            <w:rPr>
              <w:lang w:eastAsia="zh-CN"/>
            </w:rPr>
            <w:fldChar w:fldCharType="end"/>
          </w:r>
        </w:sdtContent>
      </w:sdt>
      <w:r w:rsidRPr="00400193">
        <w:rPr>
          <w:lang w:eastAsia="zh-CN"/>
        </w:rPr>
        <w:t>, and aim specifically at three levels of management, operational management, middle management, and executive management.</w:t>
      </w:r>
    </w:p>
    <w:p w14:paraId="6DB30D42" w14:textId="5E6B6FF1" w:rsidR="006E3616" w:rsidRPr="00400193" w:rsidRDefault="006E3616" w:rsidP="006E3616">
      <w:pPr>
        <w:rPr>
          <w:lang w:eastAsia="zh-CN"/>
        </w:rPr>
      </w:pPr>
      <w:r w:rsidRPr="00400193">
        <w:rPr>
          <w:lang w:eastAsia="zh-CN"/>
        </w:rPr>
        <w:t xml:space="preserve">Purposive sampling was essential to support the rationale for this study (Polit </w:t>
      </w:r>
      <w:r w:rsidR="00E93EE0" w:rsidRPr="00400193">
        <w:rPr>
          <w:lang w:eastAsia="zh-CN"/>
        </w:rPr>
        <w:t>and</w:t>
      </w:r>
      <w:r w:rsidRPr="00400193">
        <w:rPr>
          <w:lang w:eastAsia="zh-CN"/>
        </w:rPr>
        <w:t xml:space="preserve"> Hungler, 1999). Denscombe </w:t>
      </w:r>
      <w:sdt>
        <w:sdtPr>
          <w:rPr>
            <w:lang w:eastAsia="zh-CN"/>
          </w:rPr>
          <w:id w:val="1167216219"/>
          <w:citation/>
        </w:sdtPr>
        <w:sdtEndPr/>
        <w:sdtContent>
          <w:r w:rsidRPr="00400193">
            <w:rPr>
              <w:lang w:eastAsia="zh-CN"/>
            </w:rPr>
            <w:fldChar w:fldCharType="begin"/>
          </w:r>
          <w:r w:rsidRPr="00400193">
            <w:rPr>
              <w:lang w:eastAsia="zh-CN"/>
            </w:rPr>
            <w:instrText xml:space="preserve">CITATION Den07 \n  \t  \l 2057 </w:instrText>
          </w:r>
          <w:r w:rsidRPr="00400193">
            <w:rPr>
              <w:lang w:eastAsia="zh-CN"/>
            </w:rPr>
            <w:fldChar w:fldCharType="separate"/>
          </w:r>
          <w:r w:rsidR="002F482A" w:rsidRPr="00400193">
            <w:rPr>
              <w:noProof/>
              <w:lang w:eastAsia="zh-CN"/>
            </w:rPr>
            <w:t>(2007)</w:t>
          </w:r>
          <w:r w:rsidRPr="00400193">
            <w:rPr>
              <w:lang w:eastAsia="zh-CN"/>
            </w:rPr>
            <w:fldChar w:fldCharType="end"/>
          </w:r>
        </w:sdtContent>
      </w:sdt>
      <w:r w:rsidRPr="00400193">
        <w:rPr>
          <w:lang w:eastAsia="zh-CN"/>
        </w:rPr>
        <w:t xml:space="preserve"> noted that purposive sampling is used when the researcher knows and can select participants who are likely to provide the most valuable data. </w:t>
      </w:r>
      <w:r w:rsidRPr="00400193">
        <w:rPr>
          <w:i/>
          <w:iCs/>
          <w:lang w:eastAsia="zh-CN"/>
        </w:rPr>
        <w:t>“The advantage of purposive sampling is that it allows the researcher to home in on people or events which there are good grounds for believing will be critical for research”</w:t>
      </w:r>
      <w:r w:rsidRPr="00400193">
        <w:rPr>
          <w:lang w:eastAsia="zh-CN"/>
        </w:rPr>
        <w:t xml:space="preserve"> (Denscombe, 2007, p. 17). Patton (1990) highlighted that the strength of purposive sampling lies in the selection of information-rich cases to deliver a deep study analysis and understanding. </w:t>
      </w:r>
    </w:p>
    <w:p w14:paraId="091085F4" w14:textId="44430305" w:rsidR="006E3616" w:rsidRPr="00400193" w:rsidRDefault="006E3616" w:rsidP="006E3616">
      <w:pPr>
        <w:rPr>
          <w:lang w:eastAsia="zh-CN"/>
        </w:rPr>
      </w:pPr>
      <w:r w:rsidRPr="00400193">
        <w:rPr>
          <w:lang w:eastAsia="zh-CN"/>
        </w:rPr>
        <w:t>Thus, the questionnaire was delivered to the areas of the organisations that were most likely to a. respond, and b. provide rich data. Within this the decision was taken that it would be sent to the largest possible number of potential participants. It follows from this that the purposive sampling was intended to provide a clear answer to the research question because the people being asked were the specific people that are likely to be affected by cyber-attacks and resilience.</w:t>
      </w:r>
    </w:p>
    <w:p w14:paraId="59D7BAEB" w14:textId="6ED24393" w:rsidR="00AF1660" w:rsidRPr="00400193" w:rsidRDefault="00AF1660" w:rsidP="00AF1660">
      <w:pPr>
        <w:pStyle w:val="Heading3"/>
        <w:rPr>
          <w:lang w:eastAsia="zh-CN"/>
        </w:rPr>
      </w:pPr>
      <w:bookmarkStart w:id="294" w:name="_Toc61894719"/>
      <w:r w:rsidRPr="00400193">
        <w:rPr>
          <w:lang w:eastAsia="zh-CN"/>
        </w:rPr>
        <w:t>Justification of Sample Size</w:t>
      </w:r>
      <w:bookmarkEnd w:id="294"/>
    </w:p>
    <w:p w14:paraId="13774CC6" w14:textId="31CE2335" w:rsidR="00627708" w:rsidRPr="00400193" w:rsidRDefault="00825ADA" w:rsidP="005830EF">
      <w:pPr>
        <w:rPr>
          <w:lang w:eastAsia="zh-CN"/>
        </w:rPr>
      </w:pPr>
      <w:r w:rsidRPr="00400193">
        <w:rPr>
          <w:lang w:eastAsia="zh-CN"/>
        </w:rPr>
        <w:t xml:space="preserve">Since the study aims at </w:t>
      </w:r>
      <w:r w:rsidR="00627708" w:rsidRPr="00400193">
        <w:rPr>
          <w:lang w:eastAsia="zh-CN"/>
        </w:rPr>
        <w:t xml:space="preserve">empirically examines the level of resilience to and readiness for cyber-risks in </w:t>
      </w:r>
      <w:r w:rsidRPr="00400193">
        <w:rPr>
          <w:lang w:eastAsia="zh-CN"/>
        </w:rPr>
        <w:t xml:space="preserve">UAE </w:t>
      </w:r>
      <w:r w:rsidR="00627708" w:rsidRPr="00400193">
        <w:rPr>
          <w:lang w:eastAsia="zh-CN"/>
        </w:rPr>
        <w:t>public sector organisations</w:t>
      </w:r>
      <w:r w:rsidR="00511E7B" w:rsidRPr="00400193">
        <w:rPr>
          <w:lang w:eastAsia="zh-CN"/>
        </w:rPr>
        <w:t>.</w:t>
      </w:r>
      <w:r w:rsidR="00B3119E" w:rsidRPr="00400193">
        <w:rPr>
          <w:lang w:eastAsia="zh-CN"/>
        </w:rPr>
        <w:t xml:space="preserve"> As abovementioned, the study used a purposive sampling, in which the targeted study </w:t>
      </w:r>
      <w:r w:rsidR="00511E7B" w:rsidRPr="00400193">
        <w:rPr>
          <w:lang w:eastAsia="zh-CN"/>
        </w:rPr>
        <w:t>population</w:t>
      </w:r>
      <w:r w:rsidR="00511E7B" w:rsidRPr="00400193">
        <w:rPr>
          <w:rFonts w:hint="cs"/>
          <w:rtl/>
          <w:lang w:eastAsia="zh-CN"/>
        </w:rPr>
        <w:t xml:space="preserve"> </w:t>
      </w:r>
      <w:r w:rsidR="00511E7B" w:rsidRPr="00400193">
        <w:rPr>
          <w:lang w:eastAsia="zh-CN"/>
        </w:rPr>
        <w:t>covered 13 UAE federal ministers</w:t>
      </w:r>
      <w:r w:rsidR="00B3119E" w:rsidRPr="00400193">
        <w:rPr>
          <w:lang w:eastAsia="zh-CN"/>
        </w:rPr>
        <w:t xml:space="preserve">, excluding </w:t>
      </w:r>
      <w:r w:rsidR="00511E7B" w:rsidRPr="00400193">
        <w:rPr>
          <w:lang w:eastAsia="zh-CN"/>
        </w:rPr>
        <w:t xml:space="preserve">sovereign and state ministries </w:t>
      </w:r>
      <w:r w:rsidR="00B3119E" w:rsidRPr="00400193">
        <w:rPr>
          <w:lang w:eastAsia="zh-CN"/>
        </w:rPr>
        <w:t xml:space="preserve">due to data and privacy restriction. </w:t>
      </w:r>
    </w:p>
    <w:p w14:paraId="48309F88" w14:textId="15D7C7D0" w:rsidR="00965B24" w:rsidRPr="00400193" w:rsidRDefault="00B34B6C" w:rsidP="005830EF">
      <w:pPr>
        <w:rPr>
          <w:lang w:eastAsia="zh-CN"/>
        </w:rPr>
      </w:pPr>
      <w:r w:rsidRPr="00400193">
        <w:rPr>
          <w:lang w:eastAsia="zh-CN"/>
        </w:rPr>
        <w:t>Although</w:t>
      </w:r>
      <w:r w:rsidR="00F130D8" w:rsidRPr="00400193">
        <w:rPr>
          <w:lang w:eastAsia="zh-CN"/>
        </w:rPr>
        <w:t>,</w:t>
      </w:r>
      <w:r w:rsidRPr="00400193">
        <w:rPr>
          <w:lang w:eastAsia="zh-CN"/>
        </w:rPr>
        <w:t xml:space="preserve"> the intent of the research is to produce a framework</w:t>
      </w:r>
      <w:r w:rsidR="00F130D8" w:rsidRPr="00400193">
        <w:rPr>
          <w:lang w:eastAsia="zh-CN"/>
        </w:rPr>
        <w:t xml:space="preserve"> to support UAE </w:t>
      </w:r>
      <w:r w:rsidRPr="00400193">
        <w:rPr>
          <w:lang w:eastAsia="zh-CN"/>
        </w:rPr>
        <w:t xml:space="preserve">public sector </w:t>
      </w:r>
      <w:r w:rsidR="00F130D8" w:rsidRPr="00400193">
        <w:rPr>
          <w:lang w:eastAsia="zh-CN"/>
        </w:rPr>
        <w:t>management</w:t>
      </w:r>
      <w:r w:rsidRPr="00400193">
        <w:rPr>
          <w:lang w:eastAsia="zh-CN"/>
        </w:rPr>
        <w:t xml:space="preserve">, it was clearly not possible to survey the entire public sector, thus the invitations to participate </w:t>
      </w:r>
      <w:r w:rsidR="00F130D8" w:rsidRPr="00400193">
        <w:rPr>
          <w:lang w:eastAsia="zh-CN"/>
        </w:rPr>
        <w:t xml:space="preserve">in the study survey </w:t>
      </w:r>
      <w:r w:rsidRPr="00400193">
        <w:rPr>
          <w:lang w:eastAsia="zh-CN"/>
        </w:rPr>
        <w:t xml:space="preserve">were emailed to </w:t>
      </w:r>
      <w:r w:rsidR="00F130D8" w:rsidRPr="00400193">
        <w:rPr>
          <w:lang w:eastAsia="zh-CN"/>
        </w:rPr>
        <w:t xml:space="preserve">13 UAE federal </w:t>
      </w:r>
      <w:r w:rsidR="00F130D8" w:rsidRPr="00400193">
        <w:rPr>
          <w:lang w:eastAsia="zh-CN"/>
        </w:rPr>
        <w:lastRenderedPageBreak/>
        <w:t xml:space="preserve">ministers, and targeting 200 employees working at the </w:t>
      </w:r>
      <w:r w:rsidR="00B34ED6" w:rsidRPr="00400193">
        <w:rPr>
          <w:lang w:eastAsia="zh-CN"/>
        </w:rPr>
        <w:t xml:space="preserve">support business </w:t>
      </w:r>
      <w:r w:rsidR="00BF2246" w:rsidRPr="00400193">
        <w:rPr>
          <w:lang w:eastAsia="zh-CN"/>
        </w:rPr>
        <w:t>departments</w:t>
      </w:r>
      <w:r w:rsidR="00224F0D" w:rsidRPr="00400193">
        <w:rPr>
          <w:lang w:eastAsia="zh-CN"/>
        </w:rPr>
        <w:t xml:space="preserve"> </w:t>
      </w:r>
      <w:r w:rsidR="00BE3459" w:rsidRPr="00400193">
        <w:rPr>
          <w:lang w:eastAsia="zh-CN"/>
        </w:rPr>
        <w:t>(HR, Finance, IT</w:t>
      </w:r>
      <w:r w:rsidR="00224F0D" w:rsidRPr="00400193">
        <w:rPr>
          <w:lang w:eastAsia="zh-CN"/>
        </w:rPr>
        <w:t xml:space="preserve"> </w:t>
      </w:r>
      <w:r w:rsidR="00BE3459" w:rsidRPr="00400193">
        <w:rPr>
          <w:lang w:eastAsia="zh-CN"/>
        </w:rPr>
        <w:t>..</w:t>
      </w:r>
      <w:r w:rsidR="00224F0D" w:rsidRPr="00400193">
        <w:rPr>
          <w:lang w:eastAsia="zh-CN"/>
        </w:rPr>
        <w:t xml:space="preserve"> </w:t>
      </w:r>
      <w:r w:rsidR="00BE3459" w:rsidRPr="00400193">
        <w:rPr>
          <w:lang w:eastAsia="zh-CN"/>
        </w:rPr>
        <w:t xml:space="preserve">etc) </w:t>
      </w:r>
      <w:r w:rsidR="00F130D8" w:rsidRPr="00400193">
        <w:rPr>
          <w:lang w:eastAsia="zh-CN"/>
        </w:rPr>
        <w:t xml:space="preserve">in those ministries. </w:t>
      </w:r>
    </w:p>
    <w:p w14:paraId="5F04B19B" w14:textId="72231D86" w:rsidR="00F130D8" w:rsidRPr="00400193" w:rsidRDefault="006335BD" w:rsidP="005830EF">
      <w:pPr>
        <w:rPr>
          <w:lang w:eastAsia="zh-CN"/>
        </w:rPr>
      </w:pPr>
      <w:r w:rsidRPr="00400193">
        <w:rPr>
          <w:lang w:eastAsia="zh-CN"/>
        </w:rPr>
        <w:t>According to Hair, Anderson et al. (1995) to test the study assumption and research conceptual model and verify the relationship between variable t</w:t>
      </w:r>
      <w:r w:rsidR="00F130D8" w:rsidRPr="00400193">
        <w:rPr>
          <w:lang w:eastAsia="zh-CN"/>
        </w:rPr>
        <w:t>he suggested samples size should be 100 or greater</w:t>
      </w:r>
      <w:r w:rsidRPr="00400193">
        <w:rPr>
          <w:lang w:eastAsia="zh-CN"/>
        </w:rPr>
        <w:t>, also  MacCallum et al., (</w:t>
      </w:r>
      <w:r w:rsidR="00965B24" w:rsidRPr="00400193">
        <w:rPr>
          <w:lang w:eastAsia="zh-CN"/>
        </w:rPr>
        <w:t xml:space="preserve">1999a; </w:t>
      </w:r>
      <w:r w:rsidRPr="00400193">
        <w:rPr>
          <w:lang w:eastAsia="zh-CN"/>
        </w:rPr>
        <w:t>2001</w:t>
      </w:r>
      <w:r w:rsidR="00965B24" w:rsidRPr="00400193">
        <w:rPr>
          <w:lang w:eastAsia="zh-CN"/>
        </w:rPr>
        <w:t>b</w:t>
      </w:r>
      <w:r w:rsidRPr="00400193">
        <w:rPr>
          <w:lang w:eastAsia="zh-CN"/>
        </w:rPr>
        <w:t>) point that the study sample size should be greater than 100 cases, while Gorsuch  (1983) recommended a  minimum sample size</w:t>
      </w:r>
      <w:r w:rsidR="00965B24" w:rsidRPr="00400193">
        <w:rPr>
          <w:lang w:eastAsia="zh-CN"/>
        </w:rPr>
        <w:t xml:space="preserve">  of  100</w:t>
      </w:r>
      <w:r w:rsidRPr="00400193">
        <w:rPr>
          <w:lang w:eastAsia="zh-CN"/>
        </w:rPr>
        <w:t>.</w:t>
      </w:r>
      <w:r w:rsidR="00965B24" w:rsidRPr="00400193">
        <w:rPr>
          <w:lang w:eastAsia="zh-CN"/>
        </w:rPr>
        <w:t xml:space="preserve"> Thus, the researcher have identified the sample size in line with the literature </w:t>
      </w:r>
      <w:r w:rsidR="00965B24" w:rsidRPr="00400193">
        <w:rPr>
          <w:lang w:val="en-US" w:eastAsia="zh-CN"/>
        </w:rPr>
        <w:t>to be able to make inferences regarding the population.</w:t>
      </w:r>
    </w:p>
    <w:p w14:paraId="59EFA78C" w14:textId="40E024B0" w:rsidR="006E3616" w:rsidRPr="00400193" w:rsidRDefault="00B34B6C" w:rsidP="005E6259">
      <w:pPr>
        <w:pStyle w:val="Heading3"/>
        <w:rPr>
          <w:lang w:eastAsia="zh-CN"/>
        </w:rPr>
      </w:pPr>
      <w:r w:rsidRPr="00400193">
        <w:rPr>
          <w:lang w:eastAsia="zh-CN"/>
        </w:rPr>
        <w:t xml:space="preserve"> </w:t>
      </w:r>
      <w:bookmarkStart w:id="295" w:name="_Toc61894720"/>
      <w:r w:rsidR="006E3616" w:rsidRPr="00400193">
        <w:rPr>
          <w:lang w:eastAsia="zh-CN"/>
        </w:rPr>
        <w:t>Demographic Information of Sample Population</w:t>
      </w:r>
      <w:bookmarkEnd w:id="295"/>
    </w:p>
    <w:p w14:paraId="59FB91C1" w14:textId="50055E6A" w:rsidR="006E3616" w:rsidRPr="00400193" w:rsidRDefault="006E3616" w:rsidP="006E3616">
      <w:pPr>
        <w:rPr>
          <w:lang w:eastAsia="zh-CN"/>
        </w:rPr>
      </w:pPr>
      <w:r w:rsidRPr="00400193">
        <w:rPr>
          <w:lang w:eastAsia="zh-CN"/>
        </w:rPr>
        <w:t xml:space="preserve">The decision to limit the distribution to the management was justified by the technical nature of the data to be gathered and the responses from the pilot study. The initial demographic division of the data demonstrated that of the 104 participants, 64% were male and 36% were female. The remaining demographic questions, job level, experience, age, and educational level are summarised graphically in </w:t>
      </w:r>
      <w:r w:rsidR="002F482A" w:rsidRPr="00400193">
        <w:rPr>
          <w:lang w:eastAsia="zh-CN"/>
        </w:rPr>
        <w:fldChar w:fldCharType="begin"/>
      </w:r>
      <w:r w:rsidR="002F482A" w:rsidRPr="00400193">
        <w:rPr>
          <w:lang w:eastAsia="zh-CN"/>
        </w:rPr>
        <w:instrText xml:space="preserve"> REF _Ref52795692 \h </w:instrText>
      </w:r>
      <w:r w:rsidR="002F482A" w:rsidRPr="00400193">
        <w:rPr>
          <w:lang w:eastAsia="zh-CN"/>
        </w:rPr>
      </w:r>
      <w:r w:rsidR="002F482A"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3</w:t>
      </w:r>
      <w:r w:rsidR="002F482A" w:rsidRPr="00400193">
        <w:rPr>
          <w:lang w:eastAsia="zh-CN"/>
        </w:rPr>
        <w:fldChar w:fldCharType="end"/>
      </w:r>
      <w:r w:rsidRPr="00400193">
        <w:rPr>
          <w:lang w:eastAsia="zh-CN"/>
        </w:rPr>
        <w:t xml:space="preserve"> to </w:t>
      </w:r>
      <w:r w:rsidR="002F482A" w:rsidRPr="00400193">
        <w:rPr>
          <w:lang w:eastAsia="zh-CN"/>
        </w:rPr>
        <w:fldChar w:fldCharType="begin"/>
      </w:r>
      <w:r w:rsidR="002F482A" w:rsidRPr="00400193">
        <w:rPr>
          <w:lang w:eastAsia="zh-CN"/>
        </w:rPr>
        <w:instrText xml:space="preserve"> REF _Ref52795719 \h </w:instrText>
      </w:r>
      <w:r w:rsidR="002F482A" w:rsidRPr="00400193">
        <w:rPr>
          <w:lang w:eastAsia="zh-CN"/>
        </w:rPr>
      </w:r>
      <w:r w:rsidR="002F482A"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6</w:t>
      </w:r>
      <w:r w:rsidR="002F482A" w:rsidRPr="00400193">
        <w:rPr>
          <w:lang w:eastAsia="zh-CN"/>
        </w:rPr>
        <w:fldChar w:fldCharType="end"/>
      </w:r>
      <w:r w:rsidRPr="00400193">
        <w:rPr>
          <w:lang w:eastAsia="zh-CN"/>
        </w:rPr>
        <w:t xml:space="preserve">. </w:t>
      </w:r>
    </w:p>
    <w:p w14:paraId="23138889" w14:textId="77777777" w:rsidR="006E3616" w:rsidRPr="00400193" w:rsidRDefault="006E3616" w:rsidP="006E3616">
      <w:pPr>
        <w:rPr>
          <w:lang w:eastAsia="zh-CN"/>
        </w:rPr>
      </w:pPr>
      <w:r w:rsidRPr="00400193">
        <w:rPr>
          <w:lang w:eastAsia="zh-CN"/>
        </w:rPr>
        <w:t>These demographic figures are close to the perceived levels in the UAE public sector with nearly twice as many men as women. The managerial level also approximately equates to the structure of these organisations, as do the levels of qualification. The remaining two factors, age and length of experience are loosely connected, and, again, represent a demographic similar to the perceived view of these organisations.</w:t>
      </w:r>
    </w:p>
    <w:p w14:paraId="3F69A711" w14:textId="51E75068" w:rsidR="006E3616" w:rsidRPr="00400193" w:rsidRDefault="00711699" w:rsidP="006E3616">
      <w:pPr>
        <w:keepNext/>
        <w:spacing w:after="0" w:line="240" w:lineRule="auto"/>
        <w:rPr>
          <w:lang w:eastAsia="zh-CN"/>
        </w:rPr>
      </w:pPr>
      <w:r w:rsidRPr="00400193">
        <w:rPr>
          <w:noProof/>
          <w:lang w:val="en-US"/>
        </w:rPr>
        <mc:AlternateContent>
          <mc:Choice Requires="wps">
            <w:drawing>
              <wp:anchor distT="0" distB="0" distL="114300" distR="114300" simplePos="0" relativeHeight="251664384" behindDoc="0" locked="0" layoutInCell="1" allowOverlap="1" wp14:anchorId="485E8EDB" wp14:editId="58866226">
                <wp:simplePos x="0" y="0"/>
                <wp:positionH relativeFrom="column">
                  <wp:posOffset>3105150</wp:posOffset>
                </wp:positionH>
                <wp:positionV relativeFrom="paragraph">
                  <wp:posOffset>1009650</wp:posOffset>
                </wp:positionV>
                <wp:extent cx="676275" cy="485775"/>
                <wp:effectExtent l="666750" t="0" r="0" b="0"/>
                <wp:wrapNone/>
                <wp:docPr id="22" name="Callout: Line with No Border 22"/>
                <wp:cNvGraphicFramePr/>
                <a:graphic xmlns:a="http://schemas.openxmlformats.org/drawingml/2006/main">
                  <a:graphicData uri="http://schemas.microsoft.com/office/word/2010/wordprocessingShape">
                    <wps:wsp>
                      <wps:cNvSpPr/>
                      <wps:spPr>
                        <a:xfrm>
                          <a:off x="0" y="0"/>
                          <a:ext cx="676275" cy="485775"/>
                        </a:xfrm>
                        <a:prstGeom prst="callout1">
                          <a:avLst>
                            <a:gd name="adj1" fmla="val 28554"/>
                            <a:gd name="adj2" fmla="val 5752"/>
                            <a:gd name="adj3" fmla="val 28186"/>
                            <a:gd name="adj4" fmla="val -97157"/>
                          </a:avLst>
                        </a:prstGeom>
                        <a:noFill/>
                        <a:ln w="12700" cap="flat" cmpd="sng" algn="ctr">
                          <a:solidFill>
                            <a:srgbClr val="4472C4">
                              <a:shade val="50000"/>
                            </a:srgbClr>
                          </a:solidFill>
                          <a:prstDash val="solid"/>
                          <a:miter lim="800000"/>
                        </a:ln>
                        <a:effectLst/>
                      </wps:spPr>
                      <wps:txbx>
                        <w:txbxContent>
                          <w:p w14:paraId="42B5DC81" w14:textId="77777777" w:rsidR="007401F4" w:rsidRPr="0080461A" w:rsidRDefault="007401F4" w:rsidP="006E3616">
                            <w:pPr>
                              <w:jc w:val="center"/>
                              <w:rPr>
                                <w:color w:val="000000" w:themeColor="text1"/>
                              </w:rPr>
                            </w:pPr>
                            <w:r>
                              <w:rPr>
                                <w:color w:val="000000" w:themeColor="text1"/>
                              </w:rPr>
                              <w:t>32.5</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85E8EDB"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Callout: Line with No Border 22" o:spid="_x0000_s1183" type="#_x0000_t41" style="position:absolute;left:0;text-align:left;margin-left:244.5pt;margin-top:79.5pt;width:53.25pt;height:38.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" adj="-20986,6088,1242,6168" filled="f" strokecolor="#2f528f" strokeweight="1pt">
                <v:textbox>
                  <w:txbxContent>
                    <w:p w14:paraId="42B5DC81" w14:textId="77777777" w:rsidR="007401F4" w:rsidRPr="0080461A" w:rsidRDefault="007401F4" w:rsidP="006E3616">
                      <w:pPr>
                        <w:jc w:val="center"/>
                        <w:rPr>
                          <w:color w:val="000000" w:themeColor="text1"/>
                        </w:rPr>
                      </w:pPr>
                      <w:r>
                        <w:rPr>
                          <w:color w:val="000000" w:themeColor="text1"/>
                        </w:rPr>
                        <w:t>32.5</w:t>
                      </w:r>
                      <w:r w:rsidRPr="0080461A">
                        <w:rPr>
                          <w:color w:val="000000" w:themeColor="text1"/>
                        </w:rPr>
                        <w:t>%</w:t>
                      </w:r>
                    </w:p>
                  </w:txbxContent>
                </v:textbox>
              </v:shape>
            </w:pict>
          </mc:Fallback>
        </mc:AlternateContent>
      </w:r>
      <w:r w:rsidRPr="00400193">
        <w:rPr>
          <w:noProof/>
          <w:lang w:val="en-US"/>
        </w:rPr>
        <mc:AlternateContent>
          <mc:Choice Requires="wps">
            <w:drawing>
              <wp:anchor distT="0" distB="0" distL="114300" distR="114300" simplePos="0" relativeHeight="251665408" behindDoc="0" locked="0" layoutInCell="1" allowOverlap="1" wp14:anchorId="57AF7AA1" wp14:editId="565F91A1">
                <wp:simplePos x="0" y="0"/>
                <wp:positionH relativeFrom="column">
                  <wp:posOffset>2476500</wp:posOffset>
                </wp:positionH>
                <wp:positionV relativeFrom="paragraph">
                  <wp:posOffset>1609725</wp:posOffset>
                </wp:positionV>
                <wp:extent cx="676275" cy="485775"/>
                <wp:effectExtent l="666750" t="0" r="0" b="0"/>
                <wp:wrapNone/>
                <wp:docPr id="23" name="Callout: Line with No Border 23"/>
                <wp:cNvGraphicFramePr/>
                <a:graphic xmlns:a="http://schemas.openxmlformats.org/drawingml/2006/main">
                  <a:graphicData uri="http://schemas.microsoft.com/office/word/2010/wordprocessingShape">
                    <wps:wsp>
                      <wps:cNvSpPr/>
                      <wps:spPr>
                        <a:xfrm>
                          <a:off x="0" y="0"/>
                          <a:ext cx="676275" cy="485775"/>
                        </a:xfrm>
                        <a:prstGeom prst="callout1">
                          <a:avLst>
                            <a:gd name="adj1" fmla="val 28554"/>
                            <a:gd name="adj2" fmla="val 5752"/>
                            <a:gd name="adj3" fmla="val 28186"/>
                            <a:gd name="adj4" fmla="val -97157"/>
                          </a:avLst>
                        </a:prstGeom>
                        <a:noFill/>
                        <a:ln w="12700" cap="flat" cmpd="sng" algn="ctr">
                          <a:solidFill>
                            <a:srgbClr val="4472C4">
                              <a:shade val="50000"/>
                            </a:srgbClr>
                          </a:solidFill>
                          <a:prstDash val="solid"/>
                          <a:miter lim="800000"/>
                        </a:ln>
                        <a:effectLst/>
                      </wps:spPr>
                      <wps:txbx>
                        <w:txbxContent>
                          <w:p w14:paraId="04106682" w14:textId="77777777" w:rsidR="007401F4" w:rsidRPr="0080461A" w:rsidRDefault="007401F4" w:rsidP="006E3616">
                            <w:pPr>
                              <w:jc w:val="center"/>
                              <w:rPr>
                                <w:color w:val="000000" w:themeColor="text1"/>
                              </w:rPr>
                            </w:pPr>
                            <w:r>
                              <w:rPr>
                                <w:color w:val="000000" w:themeColor="text1"/>
                              </w:rPr>
                              <w:t>19.6</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7AF7AA1" id="Callout: Line with No Border 23" o:spid="_x0000_s1184" type="#_x0000_t41" style="position:absolute;left:0;text-align:left;margin-left:195pt;margin-top:126.75pt;width:53.25pt;height:38.2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" adj="-20986,6088,1242,6168" filled="f" strokecolor="#2f528f" strokeweight="1pt">
                <v:textbox>
                  <w:txbxContent>
                    <w:p w14:paraId="04106682" w14:textId="77777777" w:rsidR="007401F4" w:rsidRPr="0080461A" w:rsidRDefault="007401F4" w:rsidP="006E3616">
                      <w:pPr>
                        <w:jc w:val="center"/>
                        <w:rPr>
                          <w:color w:val="000000" w:themeColor="text1"/>
                        </w:rPr>
                      </w:pPr>
                      <w:r>
                        <w:rPr>
                          <w:color w:val="000000" w:themeColor="text1"/>
                        </w:rPr>
                        <w:t>19.6</w:t>
                      </w:r>
                      <w:r w:rsidRPr="0080461A">
                        <w:rPr>
                          <w:color w:val="000000" w:themeColor="text1"/>
                        </w:rPr>
                        <w:t>%</w:t>
                      </w:r>
                    </w:p>
                  </w:txbxContent>
                </v:textbox>
              </v:shape>
            </w:pict>
          </mc:Fallback>
        </mc:AlternateContent>
      </w:r>
      <w:r w:rsidR="006E3616" w:rsidRPr="00400193">
        <w:rPr>
          <w:noProof/>
          <w:lang w:val="en-US"/>
        </w:rPr>
        <mc:AlternateContent>
          <mc:Choice Requires="wps">
            <w:drawing>
              <wp:anchor distT="0" distB="0" distL="114300" distR="114300" simplePos="0" relativeHeight="251663360" behindDoc="0" locked="0" layoutInCell="1" allowOverlap="1" wp14:anchorId="61524F24" wp14:editId="521CE2FB">
                <wp:simplePos x="0" y="0"/>
                <wp:positionH relativeFrom="column">
                  <wp:posOffset>3800475</wp:posOffset>
                </wp:positionH>
                <wp:positionV relativeFrom="paragraph">
                  <wp:posOffset>428625</wp:posOffset>
                </wp:positionV>
                <wp:extent cx="676275" cy="485775"/>
                <wp:effectExtent l="666750" t="0" r="0" b="0"/>
                <wp:wrapNone/>
                <wp:docPr id="3" name="Callout: Line with No Border 3"/>
                <wp:cNvGraphicFramePr/>
                <a:graphic xmlns:a="http://schemas.openxmlformats.org/drawingml/2006/main">
                  <a:graphicData uri="http://schemas.microsoft.com/office/word/2010/wordprocessingShape">
                    <wps:wsp>
                      <wps:cNvSpPr/>
                      <wps:spPr>
                        <a:xfrm>
                          <a:off x="0" y="0"/>
                          <a:ext cx="676275" cy="485775"/>
                        </a:xfrm>
                        <a:prstGeom prst="callout1">
                          <a:avLst>
                            <a:gd name="adj1" fmla="val 32476"/>
                            <a:gd name="adj2" fmla="val 5752"/>
                            <a:gd name="adj3" fmla="val 28186"/>
                            <a:gd name="adj4" fmla="val -9715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2D07D1A" w14:textId="77777777" w:rsidR="007401F4" w:rsidRPr="0080461A" w:rsidRDefault="007401F4" w:rsidP="006E3616">
                            <w:pPr>
                              <w:jc w:val="center"/>
                              <w:rPr>
                                <w:color w:val="000000" w:themeColor="text1"/>
                              </w:rPr>
                            </w:pPr>
                            <w:r w:rsidRPr="0080461A">
                              <w:rPr>
                                <w:color w:val="000000" w:themeColor="text1"/>
                              </w:rPr>
                              <w:t>47.9%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1524F24" id="Callout: Line with No Border 3" o:spid="_x0000_s1185" type="#_x0000_t41" style="position:absolute;left:0;text-align:left;margin-left:299.25pt;margin-top:33.75pt;width:53.25pt;height:38.2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" adj="-20986,6088,1242,7015" filled="f" strokecolor="#1f3763 [1604]" strokeweight="1pt">
                <v:textbox>
                  <w:txbxContent>
                    <w:p w14:paraId="72D07D1A" w14:textId="77777777" w:rsidR="007401F4" w:rsidRPr="0080461A" w:rsidRDefault="007401F4" w:rsidP="006E3616">
                      <w:pPr>
                        <w:jc w:val="center"/>
                        <w:rPr>
                          <w:color w:val="000000" w:themeColor="text1"/>
                        </w:rPr>
                      </w:pPr>
                      <w:r w:rsidRPr="0080461A">
                        <w:rPr>
                          <w:color w:val="000000" w:themeColor="text1"/>
                        </w:rPr>
                        <w:t>47.9%</w:t>
                      </w:r>
                    </w:p>
                  </w:txbxContent>
                </v:textbox>
              </v:shape>
            </w:pict>
          </mc:Fallback>
        </mc:AlternateContent>
      </w:r>
      <w:r w:rsidR="006E3616" w:rsidRPr="00400193">
        <w:rPr>
          <w:noProof/>
          <w:lang w:val="en-US"/>
        </w:rPr>
        <w:drawing>
          <wp:inline distT="0" distB="0" distL="0" distR="0" wp14:anchorId="5F749015" wp14:editId="1D32C780">
            <wp:extent cx="5760000" cy="2196000"/>
            <wp:effectExtent l="19050" t="19050" r="12700" b="1397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8972"/>
                    <a:stretch/>
                  </pic:blipFill>
                  <pic:spPr bwMode="auto">
                    <a:xfrm>
                      <a:off x="0" y="0"/>
                      <a:ext cx="5760000" cy="2196000"/>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533B12F6" w14:textId="1DBCAC3E" w:rsidR="006E3616" w:rsidRPr="00400193" w:rsidRDefault="006E3616" w:rsidP="00711699">
      <w:pPr>
        <w:pStyle w:val="Caption"/>
        <w:spacing w:after="240"/>
      </w:pPr>
      <w:bookmarkStart w:id="296" w:name="_Ref52795692"/>
      <w:bookmarkStart w:id="297" w:name="_Toc5538757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w:t>
      </w:r>
      <w:r w:rsidR="00E35E8C" w:rsidRPr="00400193">
        <w:fldChar w:fldCharType="end"/>
      </w:r>
      <w:bookmarkEnd w:id="296"/>
      <w:r w:rsidRPr="00400193">
        <w:t>: Management level of participants</w:t>
      </w:r>
      <w:bookmarkEnd w:id="297"/>
    </w:p>
    <w:p w14:paraId="1C5354C4" w14:textId="6B7B8A1B" w:rsidR="006E3616" w:rsidRPr="00400193" w:rsidRDefault="00711699" w:rsidP="006E3616">
      <w:pPr>
        <w:keepNext/>
        <w:spacing w:after="0" w:line="240" w:lineRule="auto"/>
        <w:rPr>
          <w:lang w:eastAsia="zh-CN"/>
        </w:rPr>
      </w:pPr>
      <w:r w:rsidRPr="00400193">
        <w:rPr>
          <w:noProof/>
          <w:lang w:val="en-US"/>
        </w:rPr>
        <w:lastRenderedPageBreak/>
        <mc:AlternateContent>
          <mc:Choice Requires="wps">
            <w:drawing>
              <wp:anchor distT="0" distB="0" distL="114300" distR="114300" simplePos="0" relativeHeight="251667456" behindDoc="0" locked="0" layoutInCell="1" allowOverlap="1" wp14:anchorId="5E793FCF" wp14:editId="037E2228">
                <wp:simplePos x="0" y="0"/>
                <wp:positionH relativeFrom="column">
                  <wp:posOffset>1638300</wp:posOffset>
                </wp:positionH>
                <wp:positionV relativeFrom="paragraph">
                  <wp:posOffset>753110</wp:posOffset>
                </wp:positionV>
                <wp:extent cx="561975" cy="485775"/>
                <wp:effectExtent l="742950" t="0" r="0" b="0"/>
                <wp:wrapNone/>
                <wp:docPr id="30" name="Callout: Line with No Border 30"/>
                <wp:cNvGraphicFramePr/>
                <a:graphic xmlns:a="http://schemas.openxmlformats.org/drawingml/2006/main">
                  <a:graphicData uri="http://schemas.microsoft.com/office/word/2010/wordprocessingShape">
                    <wps:wsp>
                      <wps:cNvSpPr/>
                      <wps:spPr>
                        <a:xfrm>
                          <a:off x="0" y="0"/>
                          <a:ext cx="561975" cy="485775"/>
                        </a:xfrm>
                        <a:prstGeom prst="callout1">
                          <a:avLst>
                            <a:gd name="adj1" fmla="val 30515"/>
                            <a:gd name="adj2" fmla="val 6921"/>
                            <a:gd name="adj3" fmla="val 20343"/>
                            <a:gd name="adj4" fmla="val -127665"/>
                          </a:avLst>
                        </a:prstGeom>
                        <a:noFill/>
                        <a:ln w="12700" cap="flat" cmpd="sng" algn="ctr">
                          <a:solidFill>
                            <a:srgbClr val="4472C4">
                              <a:shade val="50000"/>
                            </a:srgbClr>
                          </a:solidFill>
                          <a:prstDash val="solid"/>
                          <a:miter lim="800000"/>
                        </a:ln>
                        <a:effectLst/>
                      </wps:spPr>
                      <wps:txbx>
                        <w:txbxContent>
                          <w:p w14:paraId="7C24C979" w14:textId="77777777" w:rsidR="007401F4" w:rsidRPr="0080461A" w:rsidRDefault="007401F4" w:rsidP="006E3616">
                            <w:pPr>
                              <w:jc w:val="center"/>
                              <w:rPr>
                                <w:color w:val="000000" w:themeColor="text1"/>
                              </w:rPr>
                            </w:pPr>
                            <w:r>
                              <w:rPr>
                                <w:color w:val="000000" w:themeColor="text1"/>
                              </w:rPr>
                              <w:t>8.6</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E793FCF" id="Callout: Line with No Border 30" o:spid="_x0000_s1186" type="#_x0000_t41" style="position:absolute;left:0;text-align:left;margin-left:129pt;margin-top:59.3pt;width:44.25pt;height:38.2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" adj="-27576,4394,1495,6591" filled="f" strokecolor="#2f528f" strokeweight="1pt">
                <v:textbox>
                  <w:txbxContent>
                    <w:p w14:paraId="7C24C979" w14:textId="77777777" w:rsidR="007401F4" w:rsidRPr="0080461A" w:rsidRDefault="007401F4" w:rsidP="006E3616">
                      <w:pPr>
                        <w:jc w:val="center"/>
                        <w:rPr>
                          <w:color w:val="000000" w:themeColor="text1"/>
                        </w:rPr>
                      </w:pPr>
                      <w:r>
                        <w:rPr>
                          <w:color w:val="000000" w:themeColor="text1"/>
                        </w:rPr>
                        <w:t>8.6</w:t>
                      </w:r>
                      <w:r w:rsidRPr="0080461A">
                        <w:rPr>
                          <w:color w:val="000000" w:themeColor="text1"/>
                        </w:rPr>
                        <w:t>%</w:t>
                      </w:r>
                    </w:p>
                  </w:txbxContent>
                </v:textbox>
              </v:shape>
            </w:pict>
          </mc:Fallback>
        </mc:AlternateContent>
      </w:r>
      <w:r w:rsidRPr="00400193">
        <w:rPr>
          <w:noProof/>
          <w:lang w:val="en-US"/>
        </w:rPr>
        <mc:AlternateContent>
          <mc:Choice Requires="wps">
            <w:drawing>
              <wp:anchor distT="0" distB="0" distL="114300" distR="114300" simplePos="0" relativeHeight="251668480" behindDoc="0" locked="0" layoutInCell="1" allowOverlap="1" wp14:anchorId="32C47DA7" wp14:editId="44882CA2">
                <wp:simplePos x="0" y="0"/>
                <wp:positionH relativeFrom="column">
                  <wp:posOffset>2257425</wp:posOffset>
                </wp:positionH>
                <wp:positionV relativeFrom="paragraph">
                  <wp:posOffset>1028700</wp:posOffset>
                </wp:positionV>
                <wp:extent cx="676275" cy="485775"/>
                <wp:effectExtent l="647700" t="0" r="0" b="0"/>
                <wp:wrapNone/>
                <wp:docPr id="45" name="Callout: Line with No Border 45"/>
                <wp:cNvGraphicFramePr/>
                <a:graphic xmlns:a="http://schemas.openxmlformats.org/drawingml/2006/main">
                  <a:graphicData uri="http://schemas.microsoft.com/office/word/2010/wordprocessingShape">
                    <wps:wsp>
                      <wps:cNvSpPr/>
                      <wps:spPr>
                        <a:xfrm>
                          <a:off x="0" y="0"/>
                          <a:ext cx="676275" cy="485775"/>
                        </a:xfrm>
                        <a:prstGeom prst="callout1">
                          <a:avLst>
                            <a:gd name="adj1" fmla="val 30515"/>
                            <a:gd name="adj2" fmla="val 2935"/>
                            <a:gd name="adj3" fmla="val 59558"/>
                            <a:gd name="adj4" fmla="val -94340"/>
                          </a:avLst>
                        </a:prstGeom>
                        <a:noFill/>
                        <a:ln w="12700" cap="flat" cmpd="sng" algn="ctr">
                          <a:solidFill>
                            <a:srgbClr val="4472C4">
                              <a:shade val="50000"/>
                            </a:srgbClr>
                          </a:solidFill>
                          <a:prstDash val="solid"/>
                          <a:miter lim="800000"/>
                        </a:ln>
                        <a:effectLst/>
                      </wps:spPr>
                      <wps:txbx>
                        <w:txbxContent>
                          <w:p w14:paraId="2A849AC9" w14:textId="77777777" w:rsidR="007401F4" w:rsidRPr="0080461A" w:rsidRDefault="007401F4" w:rsidP="006E3616">
                            <w:pPr>
                              <w:jc w:val="center"/>
                              <w:rPr>
                                <w:color w:val="000000" w:themeColor="text1"/>
                              </w:rPr>
                            </w:pPr>
                            <w:r>
                              <w:rPr>
                                <w:color w:val="000000" w:themeColor="text1"/>
                              </w:rPr>
                              <w:t>22.2</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2C47DA7" id="Callout: Line with No Border 45" o:spid="_x0000_s1187" type="#_x0000_t41" style="position:absolute;left:0;text-align:left;margin-left:177.75pt;margin-top:81pt;width:53.25pt;height:38.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" adj="-20377,12865,634,6591" filled="f" strokecolor="#2f528f" strokeweight="1pt">
                <v:textbox>
                  <w:txbxContent>
                    <w:p w14:paraId="2A849AC9" w14:textId="77777777" w:rsidR="007401F4" w:rsidRPr="0080461A" w:rsidRDefault="007401F4" w:rsidP="006E3616">
                      <w:pPr>
                        <w:jc w:val="center"/>
                        <w:rPr>
                          <w:color w:val="000000" w:themeColor="text1"/>
                        </w:rPr>
                      </w:pPr>
                      <w:r>
                        <w:rPr>
                          <w:color w:val="000000" w:themeColor="text1"/>
                        </w:rPr>
                        <w:t>22.2</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69504" behindDoc="0" locked="0" layoutInCell="1" allowOverlap="1" wp14:anchorId="47194D3E" wp14:editId="1BD07B04">
                <wp:simplePos x="0" y="0"/>
                <wp:positionH relativeFrom="column">
                  <wp:posOffset>2257425</wp:posOffset>
                </wp:positionH>
                <wp:positionV relativeFrom="paragraph">
                  <wp:posOffset>1533525</wp:posOffset>
                </wp:positionV>
                <wp:extent cx="676275" cy="485775"/>
                <wp:effectExtent l="552450" t="0" r="0" b="0"/>
                <wp:wrapNone/>
                <wp:docPr id="63" name="Callout: Line with No Border 63"/>
                <wp:cNvGraphicFramePr/>
                <a:graphic xmlns:a="http://schemas.openxmlformats.org/drawingml/2006/main">
                  <a:graphicData uri="http://schemas.microsoft.com/office/word/2010/wordprocessingShape">
                    <wps:wsp>
                      <wps:cNvSpPr/>
                      <wps:spPr>
                        <a:xfrm>
                          <a:off x="0" y="0"/>
                          <a:ext cx="676275" cy="485775"/>
                        </a:xfrm>
                        <a:prstGeom prst="callout1">
                          <a:avLst>
                            <a:gd name="adj1" fmla="val 30515"/>
                            <a:gd name="adj2" fmla="val 5752"/>
                            <a:gd name="adj3" fmla="val 73284"/>
                            <a:gd name="adj4" fmla="val -78847"/>
                          </a:avLst>
                        </a:prstGeom>
                        <a:noFill/>
                        <a:ln w="12700" cap="flat" cmpd="sng" algn="ctr">
                          <a:solidFill>
                            <a:srgbClr val="4472C4">
                              <a:shade val="50000"/>
                            </a:srgbClr>
                          </a:solidFill>
                          <a:prstDash val="solid"/>
                          <a:miter lim="800000"/>
                        </a:ln>
                        <a:effectLst/>
                      </wps:spPr>
                      <wps:txbx>
                        <w:txbxContent>
                          <w:p w14:paraId="0809EFDD" w14:textId="77777777" w:rsidR="007401F4" w:rsidRPr="0080461A" w:rsidRDefault="007401F4" w:rsidP="006E3616">
                            <w:pPr>
                              <w:jc w:val="center"/>
                              <w:rPr>
                                <w:color w:val="000000" w:themeColor="text1"/>
                              </w:rPr>
                            </w:pPr>
                            <w:r>
                              <w:rPr>
                                <w:color w:val="000000" w:themeColor="text1"/>
                              </w:rPr>
                              <w:t>23.9</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7194D3E" id="Callout: Line with No Border 63" o:spid="_x0000_s1188" type="#_x0000_t41" style="position:absolute;left:0;text-align:left;margin-left:177.75pt;margin-top:120.75pt;width:53.25pt;height:38.2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" adj="-17031,15829,1242,6591" filled="f" strokecolor="#2f528f" strokeweight="1pt">
                <v:textbox>
                  <w:txbxContent>
                    <w:p w14:paraId="0809EFDD" w14:textId="77777777" w:rsidR="007401F4" w:rsidRPr="0080461A" w:rsidRDefault="007401F4" w:rsidP="006E3616">
                      <w:pPr>
                        <w:jc w:val="center"/>
                        <w:rPr>
                          <w:color w:val="000000" w:themeColor="text1"/>
                        </w:rPr>
                      </w:pPr>
                      <w:r>
                        <w:rPr>
                          <w:color w:val="000000" w:themeColor="text1"/>
                        </w:rPr>
                        <w:t>23.9</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0528" behindDoc="0" locked="0" layoutInCell="1" allowOverlap="1" wp14:anchorId="2FE68271" wp14:editId="7D6E173B">
                <wp:simplePos x="0" y="0"/>
                <wp:positionH relativeFrom="column">
                  <wp:posOffset>2257425</wp:posOffset>
                </wp:positionH>
                <wp:positionV relativeFrom="paragraph">
                  <wp:posOffset>2105025</wp:posOffset>
                </wp:positionV>
                <wp:extent cx="676275" cy="485775"/>
                <wp:effectExtent l="552450" t="0" r="0" b="0"/>
                <wp:wrapNone/>
                <wp:docPr id="67" name="Callout: Line with No Border 67"/>
                <wp:cNvGraphicFramePr/>
                <a:graphic xmlns:a="http://schemas.openxmlformats.org/drawingml/2006/main">
                  <a:graphicData uri="http://schemas.microsoft.com/office/word/2010/wordprocessingShape">
                    <wps:wsp>
                      <wps:cNvSpPr/>
                      <wps:spPr>
                        <a:xfrm>
                          <a:off x="0" y="0"/>
                          <a:ext cx="676275" cy="485775"/>
                        </a:xfrm>
                        <a:prstGeom prst="callout1">
                          <a:avLst>
                            <a:gd name="adj1" fmla="val 36397"/>
                            <a:gd name="adj2" fmla="val 1526"/>
                            <a:gd name="adj3" fmla="val 49755"/>
                            <a:gd name="adj4" fmla="val -78847"/>
                          </a:avLst>
                        </a:prstGeom>
                        <a:noFill/>
                        <a:ln w="12700" cap="flat" cmpd="sng" algn="ctr">
                          <a:solidFill>
                            <a:srgbClr val="4472C4">
                              <a:shade val="50000"/>
                            </a:srgbClr>
                          </a:solidFill>
                          <a:prstDash val="solid"/>
                          <a:miter lim="800000"/>
                        </a:ln>
                        <a:effectLst/>
                      </wps:spPr>
                      <wps:txbx>
                        <w:txbxContent>
                          <w:p w14:paraId="41255B35" w14:textId="77777777" w:rsidR="007401F4" w:rsidRPr="0080461A" w:rsidRDefault="007401F4" w:rsidP="006E3616">
                            <w:pPr>
                              <w:jc w:val="center"/>
                              <w:rPr>
                                <w:color w:val="000000" w:themeColor="text1"/>
                              </w:rPr>
                            </w:pPr>
                            <w:r>
                              <w:rPr>
                                <w:color w:val="000000" w:themeColor="text1"/>
                              </w:rPr>
                              <w:t>24.8</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FE68271" id="Callout: Line with No Border 67" o:spid="_x0000_s1189" type="#_x0000_t41" style="position:absolute;left:0;text-align:left;margin-left:177.75pt;margin-top:165.75pt;width:53.25pt;height:38.2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" adj="-17031,10747,330,7862" filled="f" strokecolor="#2f528f" strokeweight="1pt">
                <v:textbox>
                  <w:txbxContent>
                    <w:p w14:paraId="41255B35" w14:textId="77777777" w:rsidR="007401F4" w:rsidRPr="0080461A" w:rsidRDefault="007401F4" w:rsidP="006E3616">
                      <w:pPr>
                        <w:jc w:val="center"/>
                        <w:rPr>
                          <w:color w:val="000000" w:themeColor="text1"/>
                        </w:rPr>
                      </w:pPr>
                      <w:r>
                        <w:rPr>
                          <w:color w:val="000000" w:themeColor="text1"/>
                        </w:rPr>
                        <w:t>24.8</w:t>
                      </w:r>
                      <w:r w:rsidRPr="0080461A">
                        <w:rPr>
                          <w:color w:val="000000" w:themeColor="text1"/>
                        </w:rPr>
                        <w:t>%</w:t>
                      </w:r>
                    </w:p>
                  </w:txbxContent>
                </v:textbox>
                <o:callout v:ext="edit" minusy="t"/>
              </v:shape>
            </w:pict>
          </mc:Fallback>
        </mc:AlternateContent>
      </w:r>
      <w:r w:rsidR="006E3616" w:rsidRPr="00400193">
        <w:rPr>
          <w:noProof/>
          <w:lang w:val="en-US"/>
        </w:rPr>
        <mc:AlternateContent>
          <mc:Choice Requires="wps">
            <w:drawing>
              <wp:anchor distT="0" distB="0" distL="114300" distR="114300" simplePos="0" relativeHeight="251666432" behindDoc="0" locked="0" layoutInCell="1" allowOverlap="1" wp14:anchorId="459F9D97" wp14:editId="069100CC">
                <wp:simplePos x="0" y="0"/>
                <wp:positionH relativeFrom="column">
                  <wp:posOffset>2152650</wp:posOffset>
                </wp:positionH>
                <wp:positionV relativeFrom="paragraph">
                  <wp:posOffset>374650</wp:posOffset>
                </wp:positionV>
                <wp:extent cx="676275" cy="485775"/>
                <wp:effectExtent l="666750" t="0" r="0" b="0"/>
                <wp:wrapNone/>
                <wp:docPr id="29" name="Callout: Line with No Border 29"/>
                <wp:cNvGraphicFramePr/>
                <a:graphic xmlns:a="http://schemas.openxmlformats.org/drawingml/2006/main">
                  <a:graphicData uri="http://schemas.microsoft.com/office/word/2010/wordprocessingShape">
                    <wps:wsp>
                      <wps:cNvSpPr/>
                      <wps:spPr>
                        <a:xfrm>
                          <a:off x="0" y="0"/>
                          <a:ext cx="676275" cy="485775"/>
                        </a:xfrm>
                        <a:prstGeom prst="callout1">
                          <a:avLst>
                            <a:gd name="adj1" fmla="val 30515"/>
                            <a:gd name="adj2" fmla="val 2935"/>
                            <a:gd name="adj3" fmla="val 28186"/>
                            <a:gd name="adj4" fmla="val -97157"/>
                          </a:avLst>
                        </a:prstGeom>
                        <a:noFill/>
                        <a:ln w="12700" cap="flat" cmpd="sng" algn="ctr">
                          <a:solidFill>
                            <a:srgbClr val="4472C4">
                              <a:shade val="50000"/>
                            </a:srgbClr>
                          </a:solidFill>
                          <a:prstDash val="solid"/>
                          <a:miter lim="800000"/>
                        </a:ln>
                        <a:effectLst/>
                      </wps:spPr>
                      <wps:txbx>
                        <w:txbxContent>
                          <w:p w14:paraId="21E08251" w14:textId="77777777" w:rsidR="007401F4" w:rsidRPr="0080461A" w:rsidRDefault="007401F4" w:rsidP="006E3616">
                            <w:pPr>
                              <w:jc w:val="center"/>
                              <w:rPr>
                                <w:color w:val="000000" w:themeColor="text1"/>
                              </w:rPr>
                            </w:pPr>
                            <w:r>
                              <w:rPr>
                                <w:color w:val="000000" w:themeColor="text1"/>
                              </w:rPr>
                              <w:t>20.5</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59F9D97" id="Callout: Line with No Border 29" o:spid="_x0000_s1190" type="#_x0000_t41" style="position:absolute;left:0;text-align:left;margin-left:169.5pt;margin-top:29.5pt;width:53.25pt;height:38.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" adj="-20986,6088,634,6591" filled="f" strokecolor="#2f528f" strokeweight="1pt">
                <v:textbox>
                  <w:txbxContent>
                    <w:p w14:paraId="21E08251" w14:textId="77777777" w:rsidR="007401F4" w:rsidRPr="0080461A" w:rsidRDefault="007401F4" w:rsidP="006E3616">
                      <w:pPr>
                        <w:jc w:val="center"/>
                        <w:rPr>
                          <w:color w:val="000000" w:themeColor="text1"/>
                        </w:rPr>
                      </w:pPr>
                      <w:r>
                        <w:rPr>
                          <w:color w:val="000000" w:themeColor="text1"/>
                        </w:rPr>
                        <w:t>20.5</w:t>
                      </w:r>
                      <w:r w:rsidRPr="0080461A">
                        <w:rPr>
                          <w:color w:val="000000" w:themeColor="text1"/>
                        </w:rPr>
                        <w:t>%</w:t>
                      </w:r>
                    </w:p>
                  </w:txbxContent>
                </v:textbox>
              </v:shape>
            </w:pict>
          </mc:Fallback>
        </mc:AlternateContent>
      </w:r>
      <w:r w:rsidR="006E3616" w:rsidRPr="00400193">
        <w:rPr>
          <w:noProof/>
          <w:lang w:val="en-US"/>
        </w:rPr>
        <w:drawing>
          <wp:inline distT="0" distB="0" distL="0" distR="0" wp14:anchorId="24C9E2FD" wp14:editId="7B725F9C">
            <wp:extent cx="5759450" cy="2705100"/>
            <wp:effectExtent l="19050" t="19050" r="12700" b="19050"/>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59450" cy="2705100"/>
                    </a:xfrm>
                    <a:prstGeom prst="rect">
                      <a:avLst/>
                    </a:prstGeom>
                    <a:ln w="19050">
                      <a:solidFill>
                        <a:schemeClr val="tx1"/>
                      </a:solidFill>
                    </a:ln>
                  </pic:spPr>
                </pic:pic>
              </a:graphicData>
            </a:graphic>
          </wp:inline>
        </w:drawing>
      </w:r>
    </w:p>
    <w:p w14:paraId="43E79E2C" w14:textId="5DAD4055" w:rsidR="006E3616" w:rsidRPr="00400193" w:rsidRDefault="006E3616" w:rsidP="006E3616">
      <w:pPr>
        <w:pStyle w:val="Caption"/>
      </w:pPr>
      <w:bookmarkStart w:id="298" w:name="_Toc55387575"/>
      <w:bookmarkStart w:id="299" w:name="_Toc505979477"/>
      <w:bookmarkStart w:id="300" w:name="_Toc1839487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w:t>
      </w:r>
      <w:r w:rsidR="00E35E8C" w:rsidRPr="00400193">
        <w:fldChar w:fldCharType="end"/>
      </w:r>
      <w:r w:rsidRPr="00400193">
        <w:t>: Years of experience of participants</w:t>
      </w:r>
      <w:bookmarkEnd w:id="298"/>
    </w:p>
    <w:p w14:paraId="063BAE90" w14:textId="77777777" w:rsidR="006E3616" w:rsidRPr="00400193" w:rsidRDefault="006E3616" w:rsidP="006E3616">
      <w:pPr>
        <w:keepNext/>
        <w:spacing w:after="0" w:line="240" w:lineRule="auto"/>
      </w:pPr>
      <w:r w:rsidRPr="00400193">
        <w:rPr>
          <w:noProof/>
          <w:lang w:val="en-US"/>
        </w:rPr>
        <mc:AlternateContent>
          <mc:Choice Requires="wps">
            <w:drawing>
              <wp:anchor distT="0" distB="0" distL="114300" distR="114300" simplePos="0" relativeHeight="251675648" behindDoc="0" locked="0" layoutInCell="1" allowOverlap="1" wp14:anchorId="1192A44E" wp14:editId="41B5FFE7">
                <wp:simplePos x="0" y="0"/>
                <wp:positionH relativeFrom="column">
                  <wp:posOffset>2619375</wp:posOffset>
                </wp:positionH>
                <wp:positionV relativeFrom="paragraph">
                  <wp:posOffset>238125</wp:posOffset>
                </wp:positionV>
                <wp:extent cx="676275" cy="485775"/>
                <wp:effectExtent l="914400" t="0" r="0" b="0"/>
                <wp:wrapNone/>
                <wp:docPr id="153" name="Callout: Line with No Border 153"/>
                <wp:cNvGraphicFramePr/>
                <a:graphic xmlns:a="http://schemas.openxmlformats.org/drawingml/2006/main">
                  <a:graphicData uri="http://schemas.microsoft.com/office/word/2010/wordprocessingShape">
                    <wps:wsp>
                      <wps:cNvSpPr/>
                      <wps:spPr>
                        <a:xfrm>
                          <a:off x="0" y="0"/>
                          <a:ext cx="676275" cy="485775"/>
                        </a:xfrm>
                        <a:prstGeom prst="callout1">
                          <a:avLst>
                            <a:gd name="adj1" fmla="val 30515"/>
                            <a:gd name="adj2" fmla="val 5752"/>
                            <a:gd name="adj3" fmla="val 36029"/>
                            <a:gd name="adj4" fmla="val -132368"/>
                          </a:avLst>
                        </a:prstGeom>
                        <a:noFill/>
                        <a:ln w="12700" cap="flat" cmpd="sng" algn="ctr">
                          <a:solidFill>
                            <a:srgbClr val="4472C4">
                              <a:shade val="50000"/>
                            </a:srgbClr>
                          </a:solidFill>
                          <a:prstDash val="solid"/>
                          <a:miter lim="800000"/>
                        </a:ln>
                        <a:effectLst/>
                      </wps:spPr>
                      <wps:txbx>
                        <w:txbxContent>
                          <w:p w14:paraId="25526127" w14:textId="77777777" w:rsidR="007401F4" w:rsidRPr="0080461A" w:rsidRDefault="007401F4" w:rsidP="006E3616">
                            <w:pPr>
                              <w:jc w:val="center"/>
                              <w:rPr>
                                <w:color w:val="000000" w:themeColor="text1"/>
                              </w:rPr>
                            </w:pPr>
                            <w:r>
                              <w:rPr>
                                <w:color w:val="000000" w:themeColor="text1"/>
                              </w:rPr>
                              <w:t>18.0</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192A44E" id="Callout: Line with No Border 153" o:spid="_x0000_s1191" type="#_x0000_t41" style="position:absolute;left:0;text-align:left;margin-left:206.25pt;margin-top:18.75pt;width:53.25pt;height:38.2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" adj="-28591,7782,1242,6591" filled="f" strokecolor="#2f528f" strokeweight="1pt">
                <v:textbox>
                  <w:txbxContent>
                    <w:p w14:paraId="25526127" w14:textId="77777777" w:rsidR="007401F4" w:rsidRPr="0080461A" w:rsidRDefault="007401F4" w:rsidP="006E3616">
                      <w:pPr>
                        <w:jc w:val="center"/>
                        <w:rPr>
                          <w:color w:val="000000" w:themeColor="text1"/>
                        </w:rPr>
                      </w:pPr>
                      <w:r>
                        <w:rPr>
                          <w:color w:val="000000" w:themeColor="text1"/>
                        </w:rPr>
                        <w:t>18.0</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4624" behindDoc="0" locked="0" layoutInCell="1" allowOverlap="1" wp14:anchorId="7E272A44" wp14:editId="3F8D5B61">
                <wp:simplePos x="0" y="0"/>
                <wp:positionH relativeFrom="margin">
                  <wp:posOffset>2486025</wp:posOffset>
                </wp:positionH>
                <wp:positionV relativeFrom="paragraph">
                  <wp:posOffset>790575</wp:posOffset>
                </wp:positionV>
                <wp:extent cx="676275" cy="485775"/>
                <wp:effectExtent l="838200" t="0" r="0" b="0"/>
                <wp:wrapNone/>
                <wp:docPr id="151" name="Callout: Line with No Border 151"/>
                <wp:cNvGraphicFramePr/>
                <a:graphic xmlns:a="http://schemas.openxmlformats.org/drawingml/2006/main">
                  <a:graphicData uri="http://schemas.microsoft.com/office/word/2010/wordprocessingShape">
                    <wps:wsp>
                      <wps:cNvSpPr/>
                      <wps:spPr>
                        <a:xfrm>
                          <a:off x="0" y="0"/>
                          <a:ext cx="676275" cy="485775"/>
                        </a:xfrm>
                        <a:prstGeom prst="callout1">
                          <a:avLst>
                            <a:gd name="adj1" fmla="val 32475"/>
                            <a:gd name="adj2" fmla="val 11385"/>
                            <a:gd name="adj3" fmla="val 37990"/>
                            <a:gd name="adj4" fmla="val -121100"/>
                          </a:avLst>
                        </a:prstGeom>
                        <a:noFill/>
                        <a:ln w="12700" cap="flat" cmpd="sng" algn="ctr">
                          <a:solidFill>
                            <a:srgbClr val="4472C4">
                              <a:shade val="50000"/>
                            </a:srgbClr>
                          </a:solidFill>
                          <a:prstDash val="solid"/>
                          <a:miter lim="800000"/>
                        </a:ln>
                        <a:effectLst/>
                      </wps:spPr>
                      <wps:txbx>
                        <w:txbxContent>
                          <w:p w14:paraId="32617600" w14:textId="77777777" w:rsidR="007401F4" w:rsidRPr="0080461A" w:rsidRDefault="007401F4" w:rsidP="006E3616">
                            <w:pPr>
                              <w:jc w:val="center"/>
                              <w:rPr>
                                <w:color w:val="000000" w:themeColor="text1"/>
                              </w:rPr>
                            </w:pPr>
                            <w:r>
                              <w:rPr>
                                <w:color w:val="000000" w:themeColor="text1"/>
                              </w:rPr>
                              <w:t>16.2</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E272A44" id="Callout: Line with No Border 151" o:spid="_x0000_s1192" type="#_x0000_t41" style="position:absolute;left:0;text-align:left;margin-left:195.75pt;margin-top:62.25pt;width:53.25pt;height:38.25pt;z-index:2516746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" adj="-26158,8206,2459,7015" filled="f" strokecolor="#2f528f" strokeweight="1pt">
                <v:textbox>
                  <w:txbxContent>
                    <w:p w14:paraId="32617600" w14:textId="77777777" w:rsidR="007401F4" w:rsidRPr="0080461A" w:rsidRDefault="007401F4" w:rsidP="006E3616">
                      <w:pPr>
                        <w:jc w:val="center"/>
                        <w:rPr>
                          <w:color w:val="000000" w:themeColor="text1"/>
                        </w:rPr>
                      </w:pPr>
                      <w:r>
                        <w:rPr>
                          <w:color w:val="000000" w:themeColor="text1"/>
                        </w:rPr>
                        <w:t>16.2</w:t>
                      </w:r>
                      <w:r w:rsidRPr="0080461A">
                        <w:rPr>
                          <w:color w:val="000000" w:themeColor="text1"/>
                        </w:rPr>
                        <w:t>%</w:t>
                      </w:r>
                    </w:p>
                  </w:txbxContent>
                </v:textbox>
                <o:callout v:ext="edit" minusy="t"/>
                <w10:wrap anchorx="margin"/>
              </v:shape>
            </w:pict>
          </mc:Fallback>
        </mc:AlternateContent>
      </w:r>
      <w:r w:rsidRPr="00400193">
        <w:rPr>
          <w:noProof/>
          <w:lang w:val="en-US"/>
        </w:rPr>
        <mc:AlternateContent>
          <mc:Choice Requires="wps">
            <w:drawing>
              <wp:anchor distT="0" distB="0" distL="114300" distR="114300" simplePos="0" relativeHeight="251673600" behindDoc="0" locked="0" layoutInCell="1" allowOverlap="1" wp14:anchorId="2CF768A3" wp14:editId="2A760B3C">
                <wp:simplePos x="0" y="0"/>
                <wp:positionH relativeFrom="column">
                  <wp:posOffset>3514725</wp:posOffset>
                </wp:positionH>
                <wp:positionV relativeFrom="paragraph">
                  <wp:posOffset>1409700</wp:posOffset>
                </wp:positionV>
                <wp:extent cx="676275" cy="485775"/>
                <wp:effectExtent l="876300" t="0" r="0" b="0"/>
                <wp:wrapNone/>
                <wp:docPr id="137" name="Callout: Line with No Border 137"/>
                <wp:cNvGraphicFramePr/>
                <a:graphic xmlns:a="http://schemas.openxmlformats.org/drawingml/2006/main">
                  <a:graphicData uri="http://schemas.microsoft.com/office/word/2010/wordprocessingShape">
                    <wps:wsp>
                      <wps:cNvSpPr/>
                      <wps:spPr>
                        <a:xfrm>
                          <a:off x="0" y="0"/>
                          <a:ext cx="676275" cy="485775"/>
                        </a:xfrm>
                        <a:prstGeom prst="callout1">
                          <a:avLst>
                            <a:gd name="adj1" fmla="val 28554"/>
                            <a:gd name="adj2" fmla="val 5752"/>
                            <a:gd name="adj3" fmla="val 36029"/>
                            <a:gd name="adj4" fmla="val -125325"/>
                          </a:avLst>
                        </a:prstGeom>
                        <a:noFill/>
                        <a:ln w="12700" cap="flat" cmpd="sng" algn="ctr">
                          <a:solidFill>
                            <a:srgbClr val="4472C4">
                              <a:shade val="50000"/>
                            </a:srgbClr>
                          </a:solidFill>
                          <a:prstDash val="solid"/>
                          <a:miter lim="800000"/>
                        </a:ln>
                        <a:effectLst/>
                      </wps:spPr>
                      <wps:txbx>
                        <w:txbxContent>
                          <w:p w14:paraId="602DCD41" w14:textId="77777777" w:rsidR="007401F4" w:rsidRPr="0080461A" w:rsidRDefault="007401F4" w:rsidP="006E3616">
                            <w:pPr>
                              <w:jc w:val="center"/>
                              <w:rPr>
                                <w:color w:val="000000" w:themeColor="text1"/>
                              </w:rPr>
                            </w:pPr>
                            <w:r>
                              <w:rPr>
                                <w:color w:val="000000" w:themeColor="text1"/>
                              </w:rPr>
                              <w:t>38.5</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CF768A3" id="Callout: Line with No Border 137" o:spid="_x0000_s1193" type="#_x0000_t41" style="position:absolute;left:0;text-align:left;margin-left:276.75pt;margin-top:111pt;width:53.25pt;height:38.2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" adj="-27070,7782,1242,6168" filled="f" strokecolor="#2f528f" strokeweight="1pt">
                <v:textbox>
                  <w:txbxContent>
                    <w:p w14:paraId="602DCD41" w14:textId="77777777" w:rsidR="007401F4" w:rsidRPr="0080461A" w:rsidRDefault="007401F4" w:rsidP="006E3616">
                      <w:pPr>
                        <w:jc w:val="center"/>
                        <w:rPr>
                          <w:color w:val="000000" w:themeColor="text1"/>
                        </w:rPr>
                      </w:pPr>
                      <w:r>
                        <w:rPr>
                          <w:color w:val="000000" w:themeColor="text1"/>
                        </w:rPr>
                        <w:t>38.5</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2576" behindDoc="0" locked="0" layoutInCell="1" allowOverlap="1" wp14:anchorId="0D99C45B" wp14:editId="5F0E9C71">
                <wp:simplePos x="0" y="0"/>
                <wp:positionH relativeFrom="column">
                  <wp:posOffset>2619375</wp:posOffset>
                </wp:positionH>
                <wp:positionV relativeFrom="paragraph">
                  <wp:posOffset>2152650</wp:posOffset>
                </wp:positionV>
                <wp:extent cx="676275" cy="485775"/>
                <wp:effectExtent l="914400" t="19050" r="0" b="0"/>
                <wp:wrapNone/>
                <wp:docPr id="136" name="Callout: Line with No Border 136"/>
                <wp:cNvGraphicFramePr/>
                <a:graphic xmlns:a="http://schemas.openxmlformats.org/drawingml/2006/main">
                  <a:graphicData uri="http://schemas.microsoft.com/office/word/2010/wordprocessingShape">
                    <wps:wsp>
                      <wps:cNvSpPr/>
                      <wps:spPr>
                        <a:xfrm>
                          <a:off x="0" y="0"/>
                          <a:ext cx="676275" cy="485775"/>
                        </a:xfrm>
                        <a:prstGeom prst="callout1">
                          <a:avLst>
                            <a:gd name="adj1" fmla="val 24632"/>
                            <a:gd name="adj2" fmla="val 9977"/>
                            <a:gd name="adj3" fmla="val -1226"/>
                            <a:gd name="adj4" fmla="val -132368"/>
                          </a:avLst>
                        </a:prstGeom>
                        <a:noFill/>
                        <a:ln w="12700" cap="flat" cmpd="sng" algn="ctr">
                          <a:solidFill>
                            <a:srgbClr val="4472C4">
                              <a:shade val="50000"/>
                            </a:srgbClr>
                          </a:solidFill>
                          <a:prstDash val="solid"/>
                          <a:miter lim="800000"/>
                        </a:ln>
                        <a:effectLst/>
                      </wps:spPr>
                      <wps:txbx>
                        <w:txbxContent>
                          <w:p w14:paraId="178FBB56" w14:textId="77777777" w:rsidR="007401F4" w:rsidRPr="0080461A" w:rsidRDefault="007401F4" w:rsidP="006E3616">
                            <w:pPr>
                              <w:jc w:val="center"/>
                              <w:rPr>
                                <w:color w:val="000000" w:themeColor="text1"/>
                              </w:rPr>
                            </w:pPr>
                            <w:r>
                              <w:rPr>
                                <w:color w:val="000000" w:themeColor="text1"/>
                              </w:rPr>
                              <w:t>17.1</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D99C45B" id="Callout: Line with No Border 136" o:spid="_x0000_s1194" type="#_x0000_t41" style="position:absolute;left:0;text-align:left;margin-left:206.25pt;margin-top:169.5pt;width:53.25pt;height:38.2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" adj="-28591,-265,2155,5321" filled="f" strokecolor="#2f528f" strokeweight="1pt">
                <v:textbox>
                  <w:txbxContent>
                    <w:p w14:paraId="178FBB56" w14:textId="77777777" w:rsidR="007401F4" w:rsidRPr="0080461A" w:rsidRDefault="007401F4" w:rsidP="006E3616">
                      <w:pPr>
                        <w:jc w:val="center"/>
                        <w:rPr>
                          <w:color w:val="000000" w:themeColor="text1"/>
                        </w:rPr>
                      </w:pPr>
                      <w:r>
                        <w:rPr>
                          <w:color w:val="000000" w:themeColor="text1"/>
                        </w:rPr>
                        <w:t>17.1</w:t>
                      </w:r>
                      <w:r w:rsidRPr="0080461A">
                        <w:rPr>
                          <w:color w:val="000000" w:themeColor="text1"/>
                        </w:rPr>
                        <w:t>%</w:t>
                      </w:r>
                    </w:p>
                  </w:txbxContent>
                </v:textbox>
              </v:shape>
            </w:pict>
          </mc:Fallback>
        </mc:AlternateContent>
      </w:r>
      <w:r w:rsidRPr="00400193">
        <w:rPr>
          <w:noProof/>
          <w:lang w:val="en-US"/>
        </w:rPr>
        <mc:AlternateContent>
          <mc:Choice Requires="wps">
            <w:drawing>
              <wp:anchor distT="0" distB="0" distL="114300" distR="114300" simplePos="0" relativeHeight="251671552" behindDoc="0" locked="0" layoutInCell="1" allowOverlap="1" wp14:anchorId="4E947C88" wp14:editId="317A534F">
                <wp:simplePos x="0" y="0"/>
                <wp:positionH relativeFrom="column">
                  <wp:posOffset>2133600</wp:posOffset>
                </wp:positionH>
                <wp:positionV relativeFrom="paragraph">
                  <wp:posOffset>2638425</wp:posOffset>
                </wp:positionV>
                <wp:extent cx="676275" cy="485775"/>
                <wp:effectExtent l="781050" t="0" r="0" b="0"/>
                <wp:wrapNone/>
                <wp:docPr id="89" name="Callout: Line with No Border 89"/>
                <wp:cNvGraphicFramePr/>
                <a:graphic xmlns:a="http://schemas.openxmlformats.org/drawingml/2006/main">
                  <a:graphicData uri="http://schemas.microsoft.com/office/word/2010/wordprocessingShape">
                    <wps:wsp>
                      <wps:cNvSpPr/>
                      <wps:spPr>
                        <a:xfrm>
                          <a:off x="0" y="0"/>
                          <a:ext cx="676275" cy="485775"/>
                        </a:xfrm>
                        <a:prstGeom prst="callout1">
                          <a:avLst>
                            <a:gd name="adj1" fmla="val 30515"/>
                            <a:gd name="adj2" fmla="val 9977"/>
                            <a:gd name="adj3" fmla="val 2696"/>
                            <a:gd name="adj4" fmla="val -111241"/>
                          </a:avLst>
                        </a:prstGeom>
                        <a:noFill/>
                        <a:ln w="12700" cap="flat" cmpd="sng" algn="ctr">
                          <a:solidFill>
                            <a:srgbClr val="4472C4">
                              <a:shade val="50000"/>
                            </a:srgbClr>
                          </a:solidFill>
                          <a:prstDash val="solid"/>
                          <a:miter lim="800000"/>
                        </a:ln>
                        <a:effectLst/>
                      </wps:spPr>
                      <wps:txbx>
                        <w:txbxContent>
                          <w:p w14:paraId="63BA3D54" w14:textId="77777777" w:rsidR="007401F4" w:rsidRPr="0080461A" w:rsidRDefault="007401F4" w:rsidP="006E3616">
                            <w:pPr>
                              <w:jc w:val="center"/>
                              <w:rPr>
                                <w:color w:val="000000" w:themeColor="text1"/>
                              </w:rPr>
                            </w:pPr>
                            <w:r>
                              <w:rPr>
                                <w:color w:val="000000" w:themeColor="text1"/>
                              </w:rPr>
                              <w:t>10.3</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E947C88" id="Callout: Line with No Border 89" o:spid="_x0000_s1195" type="#_x0000_t41" style="position:absolute;left:0;text-align:left;margin-left:168pt;margin-top:207.75pt;width:53.25pt;height:38.2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" adj="-24028,582,2155,6591" filled="f" strokecolor="#2f528f" strokeweight="1pt">
                <v:textbox>
                  <w:txbxContent>
                    <w:p w14:paraId="63BA3D54" w14:textId="77777777" w:rsidR="007401F4" w:rsidRPr="0080461A" w:rsidRDefault="007401F4" w:rsidP="006E3616">
                      <w:pPr>
                        <w:jc w:val="center"/>
                        <w:rPr>
                          <w:color w:val="000000" w:themeColor="text1"/>
                        </w:rPr>
                      </w:pPr>
                      <w:r>
                        <w:rPr>
                          <w:color w:val="000000" w:themeColor="text1"/>
                        </w:rPr>
                        <w:t>10.3</w:t>
                      </w:r>
                      <w:r w:rsidRPr="0080461A">
                        <w:rPr>
                          <w:color w:val="000000" w:themeColor="text1"/>
                        </w:rPr>
                        <w:t>%</w:t>
                      </w:r>
                    </w:p>
                  </w:txbxContent>
                </v:textbox>
              </v:shape>
            </w:pict>
          </mc:Fallback>
        </mc:AlternateContent>
      </w:r>
      <w:r w:rsidRPr="00400193">
        <w:rPr>
          <w:noProof/>
          <w:lang w:val="en-US"/>
        </w:rPr>
        <w:drawing>
          <wp:inline distT="0" distB="0" distL="0" distR="0" wp14:anchorId="3CDAD8BD" wp14:editId="052BBC9B">
            <wp:extent cx="5760000" cy="3416949"/>
            <wp:effectExtent l="19050" t="19050" r="12700" b="1206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60000" cy="3416949"/>
                    </a:xfrm>
                    <a:prstGeom prst="rect">
                      <a:avLst/>
                    </a:prstGeom>
                    <a:ln w="19050">
                      <a:solidFill>
                        <a:schemeClr val="tx1"/>
                      </a:solidFill>
                    </a:ln>
                  </pic:spPr>
                </pic:pic>
              </a:graphicData>
            </a:graphic>
          </wp:inline>
        </w:drawing>
      </w:r>
    </w:p>
    <w:p w14:paraId="3AA47147" w14:textId="2E3251EF" w:rsidR="006E3616" w:rsidRPr="00400193" w:rsidRDefault="006E3616" w:rsidP="00711699">
      <w:pPr>
        <w:pStyle w:val="Caption"/>
        <w:spacing w:after="240"/>
      </w:pPr>
      <w:bookmarkStart w:id="301" w:name="_Toc5538757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w:t>
      </w:r>
      <w:r w:rsidR="00E35E8C" w:rsidRPr="00400193">
        <w:fldChar w:fldCharType="end"/>
      </w:r>
      <w:r w:rsidRPr="00400193">
        <w:t>: Age range of participants</w:t>
      </w:r>
      <w:bookmarkEnd w:id="301"/>
    </w:p>
    <w:p w14:paraId="2DA05EBC" w14:textId="77777777" w:rsidR="006E3616" w:rsidRPr="00400193" w:rsidRDefault="006E3616" w:rsidP="006E3616">
      <w:pPr>
        <w:keepNext/>
        <w:spacing w:after="0" w:line="240" w:lineRule="auto"/>
      </w:pPr>
      <w:r w:rsidRPr="00400193">
        <w:rPr>
          <w:noProof/>
          <w:lang w:val="en-US"/>
        </w:rPr>
        <w:lastRenderedPageBreak/>
        <mc:AlternateContent>
          <mc:Choice Requires="wps">
            <w:drawing>
              <wp:anchor distT="0" distB="0" distL="114300" distR="114300" simplePos="0" relativeHeight="251680768" behindDoc="0" locked="0" layoutInCell="1" allowOverlap="1" wp14:anchorId="1525487B" wp14:editId="525A448A">
                <wp:simplePos x="0" y="0"/>
                <wp:positionH relativeFrom="column">
                  <wp:posOffset>2562225</wp:posOffset>
                </wp:positionH>
                <wp:positionV relativeFrom="paragraph">
                  <wp:posOffset>2555875</wp:posOffset>
                </wp:positionV>
                <wp:extent cx="676275" cy="485775"/>
                <wp:effectExtent l="1485900" t="0" r="0" b="0"/>
                <wp:wrapNone/>
                <wp:docPr id="159" name="Callout: Line with No Border 159"/>
                <wp:cNvGraphicFramePr/>
                <a:graphic xmlns:a="http://schemas.openxmlformats.org/drawingml/2006/main">
                  <a:graphicData uri="http://schemas.microsoft.com/office/word/2010/wordprocessingShape">
                    <wps:wsp>
                      <wps:cNvSpPr/>
                      <wps:spPr>
                        <a:xfrm>
                          <a:off x="0" y="0"/>
                          <a:ext cx="676275" cy="485775"/>
                        </a:xfrm>
                        <a:prstGeom prst="callout1">
                          <a:avLst>
                            <a:gd name="adj1" fmla="val 36397"/>
                            <a:gd name="adj2" fmla="val 11385"/>
                            <a:gd name="adj3" fmla="val 45834"/>
                            <a:gd name="adj4" fmla="val -215466"/>
                          </a:avLst>
                        </a:prstGeom>
                        <a:noFill/>
                        <a:ln w="12700" cap="flat" cmpd="sng" algn="ctr">
                          <a:solidFill>
                            <a:srgbClr val="4472C4">
                              <a:shade val="50000"/>
                            </a:srgbClr>
                          </a:solidFill>
                          <a:prstDash val="solid"/>
                          <a:miter lim="800000"/>
                        </a:ln>
                        <a:effectLst/>
                      </wps:spPr>
                      <wps:txbx>
                        <w:txbxContent>
                          <w:p w14:paraId="0E683BC0" w14:textId="77777777" w:rsidR="007401F4" w:rsidRPr="0080461A" w:rsidRDefault="007401F4" w:rsidP="006E3616">
                            <w:pPr>
                              <w:jc w:val="center"/>
                              <w:rPr>
                                <w:color w:val="000000" w:themeColor="text1"/>
                              </w:rPr>
                            </w:pPr>
                            <w:r>
                              <w:rPr>
                                <w:color w:val="000000" w:themeColor="text1"/>
                              </w:rPr>
                              <w:t>2.6</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525487B" id="Callout: Line with No Border 159" o:spid="_x0000_s1196" type="#_x0000_t41" style="position:absolute;left:0;text-align:left;margin-left:201.75pt;margin-top:201.25pt;width:53.25pt;height:38.2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" adj="-46541,9900,2459,7862" filled="f" strokecolor="#2f528f" strokeweight="1pt">
                <v:textbox>
                  <w:txbxContent>
                    <w:p w14:paraId="0E683BC0" w14:textId="77777777" w:rsidR="007401F4" w:rsidRPr="0080461A" w:rsidRDefault="007401F4" w:rsidP="006E3616">
                      <w:pPr>
                        <w:jc w:val="center"/>
                        <w:rPr>
                          <w:color w:val="000000" w:themeColor="text1"/>
                        </w:rPr>
                      </w:pPr>
                      <w:r>
                        <w:rPr>
                          <w:color w:val="000000" w:themeColor="text1"/>
                        </w:rPr>
                        <w:t>2.6</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9744" behindDoc="0" locked="0" layoutInCell="1" allowOverlap="1" wp14:anchorId="6C044243" wp14:editId="7A6F0643">
                <wp:simplePos x="0" y="0"/>
                <wp:positionH relativeFrom="column">
                  <wp:posOffset>3257550</wp:posOffset>
                </wp:positionH>
                <wp:positionV relativeFrom="paragraph">
                  <wp:posOffset>2127250</wp:posOffset>
                </wp:positionV>
                <wp:extent cx="676275" cy="485775"/>
                <wp:effectExtent l="1028700" t="0" r="0" b="0"/>
                <wp:wrapNone/>
                <wp:docPr id="158" name="Callout: Line with No Border 158"/>
                <wp:cNvGraphicFramePr/>
                <a:graphic xmlns:a="http://schemas.openxmlformats.org/drawingml/2006/main">
                  <a:graphicData uri="http://schemas.microsoft.com/office/word/2010/wordprocessingShape">
                    <wps:wsp>
                      <wps:cNvSpPr/>
                      <wps:spPr>
                        <a:xfrm>
                          <a:off x="0" y="0"/>
                          <a:ext cx="676275" cy="485775"/>
                        </a:xfrm>
                        <a:prstGeom prst="callout1">
                          <a:avLst>
                            <a:gd name="adj1" fmla="val 32476"/>
                            <a:gd name="adj2" fmla="val 9977"/>
                            <a:gd name="adj3" fmla="val 4657"/>
                            <a:gd name="adj4" fmla="val -147860"/>
                          </a:avLst>
                        </a:prstGeom>
                        <a:noFill/>
                        <a:ln w="12700" cap="flat" cmpd="sng" algn="ctr">
                          <a:solidFill>
                            <a:srgbClr val="4472C4">
                              <a:shade val="50000"/>
                            </a:srgbClr>
                          </a:solidFill>
                          <a:prstDash val="solid"/>
                          <a:miter lim="800000"/>
                        </a:ln>
                        <a:effectLst/>
                      </wps:spPr>
                      <wps:txbx>
                        <w:txbxContent>
                          <w:p w14:paraId="6C89E7D2" w14:textId="77777777" w:rsidR="007401F4" w:rsidRPr="0080461A" w:rsidRDefault="007401F4" w:rsidP="006E3616">
                            <w:pPr>
                              <w:jc w:val="center"/>
                              <w:rPr>
                                <w:color w:val="000000" w:themeColor="text1"/>
                              </w:rPr>
                            </w:pPr>
                            <w:r>
                              <w:rPr>
                                <w:color w:val="000000" w:themeColor="text1"/>
                              </w:rPr>
                              <w:t>27.4</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C044243" id="Callout: Line with No Border 158" o:spid="_x0000_s1197" type="#_x0000_t41" style="position:absolute;left:0;text-align:left;margin-left:256.5pt;margin-top:167.5pt;width:53.25pt;height:38.2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" adj="-31938,1006,2155,7015" filled="f" strokecolor="#2f528f" strokeweight="1pt">
                <v:textbox>
                  <w:txbxContent>
                    <w:p w14:paraId="6C89E7D2" w14:textId="77777777" w:rsidR="007401F4" w:rsidRPr="0080461A" w:rsidRDefault="007401F4" w:rsidP="006E3616">
                      <w:pPr>
                        <w:jc w:val="center"/>
                        <w:rPr>
                          <w:color w:val="000000" w:themeColor="text1"/>
                        </w:rPr>
                      </w:pPr>
                      <w:r>
                        <w:rPr>
                          <w:color w:val="000000" w:themeColor="text1"/>
                        </w:rPr>
                        <w:t>27.4</w:t>
                      </w:r>
                      <w:r w:rsidRPr="0080461A">
                        <w:rPr>
                          <w:color w:val="000000" w:themeColor="text1"/>
                        </w:rPr>
                        <w:t>%</w:t>
                      </w:r>
                    </w:p>
                  </w:txbxContent>
                </v:textbox>
              </v:shape>
            </w:pict>
          </mc:Fallback>
        </mc:AlternateContent>
      </w:r>
      <w:r w:rsidRPr="00400193">
        <w:rPr>
          <w:noProof/>
          <w:lang w:val="en-US"/>
        </w:rPr>
        <mc:AlternateContent>
          <mc:Choice Requires="wps">
            <w:drawing>
              <wp:anchor distT="0" distB="0" distL="114300" distR="114300" simplePos="0" relativeHeight="251678720" behindDoc="0" locked="0" layoutInCell="1" allowOverlap="1" wp14:anchorId="10503759" wp14:editId="7068004F">
                <wp:simplePos x="0" y="0"/>
                <wp:positionH relativeFrom="column">
                  <wp:posOffset>4305300</wp:posOffset>
                </wp:positionH>
                <wp:positionV relativeFrom="paragraph">
                  <wp:posOffset>1374775</wp:posOffset>
                </wp:positionV>
                <wp:extent cx="676275" cy="485775"/>
                <wp:effectExtent l="400050" t="0" r="0" b="0"/>
                <wp:wrapNone/>
                <wp:docPr id="157" name="Callout: Line with No Border 157"/>
                <wp:cNvGraphicFramePr/>
                <a:graphic xmlns:a="http://schemas.openxmlformats.org/drawingml/2006/main">
                  <a:graphicData uri="http://schemas.microsoft.com/office/word/2010/wordprocessingShape">
                    <wps:wsp>
                      <wps:cNvSpPr/>
                      <wps:spPr>
                        <a:xfrm>
                          <a:off x="0" y="0"/>
                          <a:ext cx="676275" cy="485775"/>
                        </a:xfrm>
                        <a:prstGeom prst="callout1">
                          <a:avLst>
                            <a:gd name="adj1" fmla="val 34436"/>
                            <a:gd name="adj2" fmla="val 8568"/>
                            <a:gd name="adj3" fmla="val 39951"/>
                            <a:gd name="adj4" fmla="val -57719"/>
                          </a:avLst>
                        </a:prstGeom>
                        <a:noFill/>
                        <a:ln w="12700" cap="flat" cmpd="sng" algn="ctr">
                          <a:solidFill>
                            <a:srgbClr val="4472C4">
                              <a:shade val="50000"/>
                            </a:srgbClr>
                          </a:solidFill>
                          <a:prstDash val="solid"/>
                          <a:miter lim="800000"/>
                        </a:ln>
                        <a:effectLst/>
                      </wps:spPr>
                      <wps:txbx>
                        <w:txbxContent>
                          <w:p w14:paraId="74D1AB8D" w14:textId="77777777" w:rsidR="007401F4" w:rsidRPr="0080461A" w:rsidRDefault="007401F4" w:rsidP="006E3616">
                            <w:pPr>
                              <w:jc w:val="center"/>
                              <w:rPr>
                                <w:color w:val="000000" w:themeColor="text1"/>
                              </w:rPr>
                            </w:pPr>
                            <w:r>
                              <w:rPr>
                                <w:color w:val="000000" w:themeColor="text1"/>
                              </w:rPr>
                              <w:t>63.3</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0503759" id="Callout: Line with No Border 157" o:spid="_x0000_s1198" type="#_x0000_t41" style="position:absolute;left:0;text-align:left;margin-left:339pt;margin-top:108.25pt;width:53.25pt;height:38.2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" adj="-12467,8629,1851,7438" filled="f" strokecolor="#2f528f" strokeweight="1pt">
                <v:textbox>
                  <w:txbxContent>
                    <w:p w14:paraId="74D1AB8D" w14:textId="77777777" w:rsidR="007401F4" w:rsidRPr="0080461A" w:rsidRDefault="007401F4" w:rsidP="006E3616">
                      <w:pPr>
                        <w:jc w:val="center"/>
                        <w:rPr>
                          <w:color w:val="000000" w:themeColor="text1"/>
                        </w:rPr>
                      </w:pPr>
                      <w:r>
                        <w:rPr>
                          <w:color w:val="000000" w:themeColor="text1"/>
                        </w:rPr>
                        <w:t>63.3</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7696" behindDoc="0" locked="0" layoutInCell="1" allowOverlap="1" wp14:anchorId="60E0D2A1" wp14:editId="2BFD551D">
                <wp:simplePos x="0" y="0"/>
                <wp:positionH relativeFrom="column">
                  <wp:posOffset>2790825</wp:posOffset>
                </wp:positionH>
                <wp:positionV relativeFrom="paragraph">
                  <wp:posOffset>774700</wp:posOffset>
                </wp:positionV>
                <wp:extent cx="676275" cy="485775"/>
                <wp:effectExtent l="1504950" t="0" r="0" b="0"/>
                <wp:wrapNone/>
                <wp:docPr id="156" name="Callout: Line with No Border 156"/>
                <wp:cNvGraphicFramePr/>
                <a:graphic xmlns:a="http://schemas.openxmlformats.org/drawingml/2006/main">
                  <a:graphicData uri="http://schemas.microsoft.com/office/word/2010/wordprocessingShape">
                    <wps:wsp>
                      <wps:cNvSpPr/>
                      <wps:spPr>
                        <a:xfrm>
                          <a:off x="0" y="0"/>
                          <a:ext cx="676275" cy="485775"/>
                        </a:xfrm>
                        <a:prstGeom prst="callout1">
                          <a:avLst>
                            <a:gd name="adj1" fmla="val 34436"/>
                            <a:gd name="adj2" fmla="val 14202"/>
                            <a:gd name="adj3" fmla="val 51716"/>
                            <a:gd name="adj4" fmla="val -216874"/>
                          </a:avLst>
                        </a:prstGeom>
                        <a:noFill/>
                        <a:ln w="12700" cap="flat" cmpd="sng" algn="ctr">
                          <a:solidFill>
                            <a:srgbClr val="4472C4">
                              <a:shade val="50000"/>
                            </a:srgbClr>
                          </a:solidFill>
                          <a:prstDash val="solid"/>
                          <a:miter lim="800000"/>
                        </a:ln>
                        <a:effectLst/>
                      </wps:spPr>
                      <wps:txbx>
                        <w:txbxContent>
                          <w:p w14:paraId="207290DF" w14:textId="77777777" w:rsidR="007401F4" w:rsidRPr="0080461A" w:rsidRDefault="007401F4" w:rsidP="006E3616">
                            <w:pPr>
                              <w:jc w:val="center"/>
                              <w:rPr>
                                <w:color w:val="000000" w:themeColor="text1"/>
                              </w:rPr>
                            </w:pPr>
                            <w:r>
                              <w:rPr>
                                <w:color w:val="000000" w:themeColor="text1"/>
                              </w:rPr>
                              <w:t>6.6</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0E0D2A1" id="Callout: Line with No Border 156" o:spid="_x0000_s1199" type="#_x0000_t41" style="position:absolute;left:0;text-align:left;margin-left:219.75pt;margin-top:61pt;width:53.25pt;height:38.2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" adj="-46845,11171,3068,7438" filled="f" strokecolor="#2f528f" strokeweight="1pt">
                <v:textbox>
                  <w:txbxContent>
                    <w:p w14:paraId="207290DF" w14:textId="77777777" w:rsidR="007401F4" w:rsidRPr="0080461A" w:rsidRDefault="007401F4" w:rsidP="006E3616">
                      <w:pPr>
                        <w:jc w:val="center"/>
                        <w:rPr>
                          <w:color w:val="000000" w:themeColor="text1"/>
                        </w:rPr>
                      </w:pPr>
                      <w:r>
                        <w:rPr>
                          <w:color w:val="000000" w:themeColor="text1"/>
                        </w:rPr>
                        <w:t>6.6</w:t>
                      </w:r>
                      <w:r w:rsidRPr="0080461A">
                        <w:rPr>
                          <w:color w:val="000000" w:themeColor="text1"/>
                        </w:rPr>
                        <w:t>%</w:t>
                      </w:r>
                    </w:p>
                  </w:txbxContent>
                </v:textbox>
                <o:callout v:ext="edit" minusy="t"/>
              </v:shape>
            </w:pict>
          </mc:Fallback>
        </mc:AlternateContent>
      </w:r>
      <w:r w:rsidRPr="00400193">
        <w:rPr>
          <w:noProof/>
          <w:lang w:val="en-US"/>
        </w:rPr>
        <mc:AlternateContent>
          <mc:Choice Requires="wps">
            <w:drawing>
              <wp:anchor distT="0" distB="0" distL="114300" distR="114300" simplePos="0" relativeHeight="251676672" behindDoc="0" locked="0" layoutInCell="1" allowOverlap="1" wp14:anchorId="30B6FF38" wp14:editId="7769DE55">
                <wp:simplePos x="0" y="0"/>
                <wp:positionH relativeFrom="column">
                  <wp:posOffset>1971675</wp:posOffset>
                </wp:positionH>
                <wp:positionV relativeFrom="paragraph">
                  <wp:posOffset>307975</wp:posOffset>
                </wp:positionV>
                <wp:extent cx="676275" cy="485775"/>
                <wp:effectExtent l="971550" t="0" r="0" b="0"/>
                <wp:wrapNone/>
                <wp:docPr id="155" name="Callout: Line with No Border 155"/>
                <wp:cNvGraphicFramePr/>
                <a:graphic xmlns:a="http://schemas.openxmlformats.org/drawingml/2006/main">
                  <a:graphicData uri="http://schemas.microsoft.com/office/word/2010/wordprocessingShape">
                    <wps:wsp>
                      <wps:cNvSpPr/>
                      <wps:spPr>
                        <a:xfrm>
                          <a:off x="0" y="0"/>
                          <a:ext cx="676275" cy="485775"/>
                        </a:xfrm>
                        <a:prstGeom prst="callout1">
                          <a:avLst>
                            <a:gd name="adj1" fmla="val 34436"/>
                            <a:gd name="adj2" fmla="val 2935"/>
                            <a:gd name="adj3" fmla="val 24265"/>
                            <a:gd name="adj4" fmla="val -140818"/>
                          </a:avLst>
                        </a:prstGeom>
                        <a:noFill/>
                        <a:ln w="12700" cap="flat" cmpd="sng" algn="ctr">
                          <a:solidFill>
                            <a:srgbClr val="4472C4">
                              <a:shade val="50000"/>
                            </a:srgbClr>
                          </a:solidFill>
                          <a:prstDash val="solid"/>
                          <a:miter lim="800000"/>
                        </a:ln>
                        <a:effectLst/>
                      </wps:spPr>
                      <wps:txbx>
                        <w:txbxContent>
                          <w:p w14:paraId="539A0BEF" w14:textId="77777777" w:rsidR="007401F4" w:rsidRPr="0080461A" w:rsidRDefault="007401F4" w:rsidP="006E3616">
                            <w:pPr>
                              <w:jc w:val="center"/>
                              <w:rPr>
                                <w:color w:val="000000" w:themeColor="text1"/>
                              </w:rPr>
                            </w:pPr>
                            <w:r>
                              <w:rPr>
                                <w:color w:val="000000" w:themeColor="text1"/>
                              </w:rPr>
                              <w:t>00.0</w:t>
                            </w:r>
                            <w:r w:rsidRPr="0080461A">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0B6FF38" id="Callout: Line with No Border 155" o:spid="_x0000_s1200" type="#_x0000_t41" style="position:absolute;left:0;text-align:left;margin-left:155.25pt;margin-top:24.25pt;width:53.25pt;height:38.2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" adj="-30417,5241,634,7438" filled="f" strokecolor="#2f528f" strokeweight="1pt">
                <v:textbox>
                  <w:txbxContent>
                    <w:p w14:paraId="539A0BEF" w14:textId="77777777" w:rsidR="007401F4" w:rsidRPr="0080461A" w:rsidRDefault="007401F4" w:rsidP="006E3616">
                      <w:pPr>
                        <w:jc w:val="center"/>
                        <w:rPr>
                          <w:color w:val="000000" w:themeColor="text1"/>
                        </w:rPr>
                      </w:pPr>
                      <w:r>
                        <w:rPr>
                          <w:color w:val="000000" w:themeColor="text1"/>
                        </w:rPr>
                        <w:t>00.0</w:t>
                      </w:r>
                      <w:r w:rsidRPr="0080461A">
                        <w:rPr>
                          <w:color w:val="000000" w:themeColor="text1"/>
                        </w:rPr>
                        <w:t>%</w:t>
                      </w:r>
                    </w:p>
                  </w:txbxContent>
                </v:textbox>
              </v:shape>
            </w:pict>
          </mc:Fallback>
        </mc:AlternateContent>
      </w:r>
      <w:r w:rsidRPr="00400193">
        <w:rPr>
          <w:noProof/>
          <w:lang w:val="en-US"/>
        </w:rPr>
        <w:drawing>
          <wp:inline distT="0" distB="0" distL="0" distR="0" wp14:anchorId="33835EA9" wp14:editId="362D9019">
            <wp:extent cx="5760000" cy="3419622"/>
            <wp:effectExtent l="19050" t="19050" r="12700" b="9525"/>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60000" cy="3419622"/>
                    </a:xfrm>
                    <a:prstGeom prst="rect">
                      <a:avLst/>
                    </a:prstGeom>
                    <a:ln w="19050">
                      <a:solidFill>
                        <a:schemeClr val="tx1"/>
                      </a:solidFill>
                    </a:ln>
                  </pic:spPr>
                </pic:pic>
              </a:graphicData>
            </a:graphic>
          </wp:inline>
        </w:drawing>
      </w:r>
    </w:p>
    <w:p w14:paraId="7C5F2EAE" w14:textId="02D9A639" w:rsidR="006E3616" w:rsidRPr="00400193" w:rsidRDefault="006E3616" w:rsidP="006E3616">
      <w:pPr>
        <w:pStyle w:val="Caption"/>
        <w:spacing w:after="240"/>
      </w:pPr>
      <w:bookmarkStart w:id="302" w:name="_Ref52795719"/>
      <w:bookmarkStart w:id="303" w:name="_Toc5538757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6</w:t>
      </w:r>
      <w:r w:rsidR="00E35E8C" w:rsidRPr="00400193">
        <w:fldChar w:fldCharType="end"/>
      </w:r>
      <w:bookmarkEnd w:id="302"/>
      <w:r w:rsidRPr="00400193">
        <w:t>: Educational level of participants</w:t>
      </w:r>
      <w:bookmarkEnd w:id="303"/>
    </w:p>
    <w:p w14:paraId="6A8EC7FD" w14:textId="77777777" w:rsidR="006E3616" w:rsidRPr="00400193" w:rsidRDefault="006E3616" w:rsidP="006E3616">
      <w:r w:rsidRPr="00400193">
        <w:t xml:space="preserve">The sample was therefore considered representative of the structure of the UAE public sector, which increased the level of confidence in the data. </w:t>
      </w:r>
    </w:p>
    <w:p w14:paraId="029B1BA4" w14:textId="77777777" w:rsidR="006E3616" w:rsidRPr="00400193" w:rsidRDefault="006E3616" w:rsidP="006E3616">
      <w:pPr>
        <w:pStyle w:val="Heading2"/>
        <w:rPr>
          <w:rFonts w:eastAsia="SimSun"/>
          <w:lang w:eastAsia="zh-CN"/>
        </w:rPr>
      </w:pPr>
      <w:bookmarkStart w:id="304" w:name="_Toc61894721"/>
      <w:r w:rsidRPr="00400193">
        <w:rPr>
          <w:rFonts w:eastAsia="SimSun"/>
          <w:lang w:eastAsia="zh-CN"/>
        </w:rPr>
        <w:t xml:space="preserve">Basis of </w:t>
      </w:r>
      <w:bookmarkEnd w:id="299"/>
      <w:bookmarkEnd w:id="300"/>
      <w:r w:rsidRPr="00400193">
        <w:rPr>
          <w:rFonts w:eastAsia="SimSun"/>
          <w:lang w:eastAsia="zh-CN"/>
        </w:rPr>
        <w:t>Questionnaire</w:t>
      </w:r>
      <w:bookmarkEnd w:id="304"/>
    </w:p>
    <w:p w14:paraId="1380172E" w14:textId="713D5F63" w:rsidR="006E3616" w:rsidRPr="00400193" w:rsidRDefault="006E3616" w:rsidP="006E3616">
      <w:r w:rsidRPr="00400193">
        <w:t>A copy of the questionnaire is included in</w:t>
      </w:r>
      <w:r w:rsidR="00215A28" w:rsidRPr="00400193">
        <w:t xml:space="preserve"> </w:t>
      </w:r>
      <w:r w:rsidR="00215A28" w:rsidRPr="00400193">
        <w:fldChar w:fldCharType="begin"/>
      </w:r>
      <w:r w:rsidR="00215A28" w:rsidRPr="00400193">
        <w:instrText xml:space="preserve"> REF _Ref50740418 \h </w:instrText>
      </w:r>
      <w:r w:rsidR="00215A28" w:rsidRPr="00400193">
        <w:fldChar w:fldCharType="separate"/>
      </w:r>
      <w:r w:rsidR="00BB7C18" w:rsidRPr="00400193">
        <w:t xml:space="preserve">Appendix </w:t>
      </w:r>
      <w:r w:rsidR="00BB7C18">
        <w:rPr>
          <w:noProof/>
        </w:rPr>
        <w:t>3</w:t>
      </w:r>
      <w:r w:rsidR="00215A28" w:rsidRPr="00400193">
        <w:fldChar w:fldCharType="end"/>
      </w:r>
      <w:r w:rsidRPr="00400193">
        <w:t>, and the following sections explain how this data collection instrument was constructed.</w:t>
      </w:r>
    </w:p>
    <w:p w14:paraId="340606D2" w14:textId="77777777" w:rsidR="006E3616" w:rsidRPr="00400193" w:rsidRDefault="006E3616" w:rsidP="006E3616">
      <w:r w:rsidRPr="00400193">
        <w:t>The questions will be based around the hypotheses:</w:t>
      </w:r>
    </w:p>
    <w:p w14:paraId="5BE2AE89"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H1: Vulnerabilities and weaknesses are associated with external threats.</w:t>
      </w:r>
    </w:p>
    <w:p w14:paraId="224EA83F"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H2: Vulnerabilities and weaknesses are associated with internal threats.</w:t>
      </w:r>
    </w:p>
    <w:p w14:paraId="3E9930A2"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H3: Vulnerabilities and weaknesses are associated with having responses in place</w:t>
      </w:r>
    </w:p>
    <w:p w14:paraId="15EB9617"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H4: Having responses in place moderates the association between vulnerabilities and weaknesses and internal threats.</w:t>
      </w:r>
    </w:p>
    <w:p w14:paraId="09E99EAA"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H5: Having responses in place moderates the association between vulnerabilities and weaknesses and external threats.</w:t>
      </w:r>
    </w:p>
    <w:p w14:paraId="62789CF9"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 xml:space="preserve">H6: Vulnerabilities and weaknesses are associated with organisational resilience </w:t>
      </w:r>
    </w:p>
    <w:p w14:paraId="482AE5A8" w14:textId="77777777" w:rsidR="00711699"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t>H7: Organisational resilience moderates the association between vulnerabilities and weaknesses and internal threats.</w:t>
      </w:r>
    </w:p>
    <w:p w14:paraId="798E83D9" w14:textId="30B938C5" w:rsidR="006E3616" w:rsidRPr="00400193" w:rsidRDefault="00711699" w:rsidP="00711699">
      <w:pPr>
        <w:pStyle w:val="ListParagraph"/>
        <w:numPr>
          <w:ilvl w:val="0"/>
          <w:numId w:val="13"/>
        </w:numPr>
        <w:suppressAutoHyphens/>
        <w:rPr>
          <w:rFonts w:cstheme="minorBidi"/>
          <w:kern w:val="24"/>
          <w:szCs w:val="24"/>
          <w:lang w:eastAsia="en-GB"/>
        </w:rPr>
      </w:pPr>
      <w:r w:rsidRPr="00400193">
        <w:rPr>
          <w:rFonts w:cstheme="minorBidi"/>
          <w:kern w:val="24"/>
          <w:szCs w:val="24"/>
          <w:lang w:eastAsia="en-GB"/>
        </w:rPr>
        <w:lastRenderedPageBreak/>
        <w:t xml:space="preserve">H8: Organisational resilience moderates the association between vulnerabilities and weaknesses and external threats </w:t>
      </w:r>
      <w:r w:rsidR="007E4B0F" w:rsidRPr="00400193">
        <w:rPr>
          <w:rFonts w:cstheme="minorBidi"/>
          <w:kern w:val="24"/>
          <w:szCs w:val="24"/>
          <w:lang w:eastAsia="en-GB"/>
        </w:rPr>
        <w:t xml:space="preserve"> </w:t>
      </w:r>
    </w:p>
    <w:p w14:paraId="6B651F41" w14:textId="77777777" w:rsidR="006E3616" w:rsidRPr="00400193" w:rsidRDefault="006E3616" w:rsidP="006E3616">
      <w:pPr>
        <w:rPr>
          <w:lang w:eastAsia="zh-CN"/>
        </w:rPr>
      </w:pPr>
      <w:r w:rsidRPr="00400193">
        <w:rPr>
          <w:lang w:eastAsia="zh-CN"/>
        </w:rPr>
        <w:t>These are ‘user-friendly’ hypotheses developed from the sections about the new framework. They were intended to support the collection of data that could be used to establish the current situation about technology users within public sector organisations.</w:t>
      </w:r>
    </w:p>
    <w:p w14:paraId="216CF188" w14:textId="77777777" w:rsidR="006E3616" w:rsidRPr="00400193" w:rsidRDefault="006E3616" w:rsidP="006E3616">
      <w:pPr>
        <w:rPr>
          <w:lang w:eastAsia="zh-CN"/>
        </w:rPr>
      </w:pPr>
      <w:r w:rsidRPr="00400193">
        <w:rPr>
          <w:lang w:eastAsia="zh-CN"/>
        </w:rPr>
        <w:t>Designers of web-based surveys have advised that open-ended questions should be avoided (Barnes, 2017) to improve the response rate. However, this questionnaire aimed to gather quantitative data, so these questions were avoided anyway, because they are more suitable for qualitative data. The survey included an ‘informed consent’ section setting out that respondents could choose not to answer or participate, and that all entries would be anonymous. Participants wishing to receive information about the outcome of the research were asked to contact the researcher via email to request this.</w:t>
      </w:r>
    </w:p>
    <w:p w14:paraId="6B7ABE0D" w14:textId="77777777" w:rsidR="006E3616" w:rsidRPr="00400193" w:rsidRDefault="006E3616" w:rsidP="006E3616">
      <w:pPr>
        <w:pStyle w:val="Heading3"/>
        <w:rPr>
          <w:lang w:eastAsia="zh-CN"/>
        </w:rPr>
      </w:pPr>
      <w:bookmarkStart w:id="305" w:name="_Toc61894722"/>
      <w:r w:rsidRPr="00400193">
        <w:rPr>
          <w:lang w:eastAsia="zh-CN"/>
        </w:rPr>
        <w:t>Data Collection – Designing the Instrument</w:t>
      </w:r>
      <w:bookmarkEnd w:id="305"/>
    </w:p>
    <w:p w14:paraId="5ED9FC25" w14:textId="6BE2B01A" w:rsidR="006E3616" w:rsidRPr="00400193" w:rsidRDefault="006E3616" w:rsidP="006E3616">
      <w:pPr>
        <w:rPr>
          <w:lang w:eastAsia="zh-CN"/>
        </w:rPr>
      </w:pPr>
      <w:r w:rsidRPr="00400193">
        <w:rPr>
          <w:lang w:eastAsia="zh-CN"/>
        </w:rPr>
        <w:t xml:space="preserve">Having followed the advice of Barnes </w:t>
      </w:r>
      <w:sdt>
        <w:sdtPr>
          <w:rPr>
            <w:lang w:eastAsia="zh-CN"/>
          </w:rPr>
          <w:id w:val="1960683866"/>
          <w:citation/>
        </w:sdtPr>
        <w:sdtEndPr/>
        <w:sdtContent>
          <w:r w:rsidRPr="00400193">
            <w:rPr>
              <w:lang w:eastAsia="zh-CN"/>
            </w:rPr>
            <w:fldChar w:fldCharType="begin"/>
          </w:r>
          <w:r w:rsidRPr="00400193">
            <w:rPr>
              <w:lang w:eastAsia="zh-CN"/>
            </w:rPr>
            <w:instrText xml:space="preserve">CITATION Bar17 \n  \t  \l 2057 </w:instrText>
          </w:r>
          <w:r w:rsidRPr="00400193">
            <w:rPr>
              <w:lang w:eastAsia="zh-CN"/>
            </w:rPr>
            <w:fldChar w:fldCharType="separate"/>
          </w:r>
          <w:r w:rsidR="002F482A" w:rsidRPr="00400193">
            <w:rPr>
              <w:noProof/>
              <w:lang w:eastAsia="zh-CN"/>
            </w:rPr>
            <w:t>(2017)</w:t>
          </w:r>
          <w:r w:rsidRPr="00400193">
            <w:rPr>
              <w:lang w:eastAsia="zh-CN"/>
            </w:rPr>
            <w:fldChar w:fldCharType="end"/>
          </w:r>
        </w:sdtContent>
      </w:sdt>
      <w:r w:rsidRPr="00400193">
        <w:rPr>
          <w:lang w:eastAsia="zh-CN"/>
        </w:rPr>
        <w:t xml:space="preserve">, De Bruijne and Wijnant </w:t>
      </w:r>
      <w:sdt>
        <w:sdtPr>
          <w:rPr>
            <w:lang w:eastAsia="zh-CN"/>
          </w:rPr>
          <w:id w:val="-375622619"/>
          <w:citation/>
        </w:sdtPr>
        <w:sdtEndPr/>
        <w:sdtContent>
          <w:r w:rsidRPr="00400193">
            <w:rPr>
              <w:lang w:eastAsia="zh-CN"/>
            </w:rPr>
            <w:fldChar w:fldCharType="begin"/>
          </w:r>
          <w:r w:rsidRPr="00400193">
            <w:rPr>
              <w:lang w:eastAsia="zh-CN"/>
            </w:rPr>
            <w:instrText xml:space="preserve">CITATION DeB14 \n  \t  \l 2057 </w:instrText>
          </w:r>
          <w:r w:rsidRPr="00400193">
            <w:rPr>
              <w:lang w:eastAsia="zh-CN"/>
            </w:rPr>
            <w:fldChar w:fldCharType="separate"/>
          </w:r>
          <w:r w:rsidR="002F482A" w:rsidRPr="00400193">
            <w:rPr>
              <w:noProof/>
              <w:lang w:eastAsia="zh-CN"/>
            </w:rPr>
            <w:t>(2014)</w:t>
          </w:r>
          <w:r w:rsidRPr="00400193">
            <w:rPr>
              <w:lang w:eastAsia="zh-CN"/>
            </w:rPr>
            <w:fldChar w:fldCharType="end"/>
          </w:r>
        </w:sdtContent>
      </w:sdt>
      <w:r w:rsidRPr="00400193">
        <w:rPr>
          <w:lang w:eastAsia="zh-CN"/>
        </w:rPr>
        <w:t>, and others, a questionnaire was carefully designed to collect data for the research. The instrument was piloted as described below, and a copy can be found in</w:t>
      </w:r>
      <w:r w:rsidR="00215A28" w:rsidRPr="00400193">
        <w:rPr>
          <w:lang w:eastAsia="zh-CN"/>
        </w:rPr>
        <w:t xml:space="preserve"> </w:t>
      </w:r>
      <w:r w:rsidR="00215A28" w:rsidRPr="00400193">
        <w:rPr>
          <w:lang w:eastAsia="zh-CN"/>
        </w:rPr>
        <w:fldChar w:fldCharType="begin"/>
      </w:r>
      <w:r w:rsidR="00215A28" w:rsidRPr="00400193">
        <w:rPr>
          <w:lang w:eastAsia="zh-CN"/>
        </w:rPr>
        <w:instrText xml:space="preserve"> REF _Ref50740418 \h </w:instrText>
      </w:r>
      <w:r w:rsidR="00215A28" w:rsidRPr="00400193">
        <w:rPr>
          <w:lang w:eastAsia="zh-CN"/>
        </w:rPr>
      </w:r>
      <w:r w:rsidR="00215A28" w:rsidRPr="00400193">
        <w:rPr>
          <w:lang w:eastAsia="zh-CN"/>
        </w:rPr>
        <w:fldChar w:fldCharType="separate"/>
      </w:r>
      <w:r w:rsidR="00BB7C18" w:rsidRPr="00400193">
        <w:t xml:space="preserve">Appendix </w:t>
      </w:r>
      <w:r w:rsidR="00BB7C18">
        <w:rPr>
          <w:noProof/>
        </w:rPr>
        <w:t>3</w:t>
      </w:r>
      <w:r w:rsidR="00215A28" w:rsidRPr="00400193">
        <w:rPr>
          <w:lang w:eastAsia="zh-CN"/>
        </w:rPr>
        <w:fldChar w:fldCharType="end"/>
      </w:r>
      <w:r w:rsidRPr="00400193">
        <w:rPr>
          <w:lang w:eastAsia="zh-CN"/>
        </w:rPr>
        <w:t>. However, the initial stages of design involved examining other questionnaires that had been used for similar data collection and adapting the questions to suit the questions. In the questionnaire there were two distinct sections, one for external threats and one for internal threats, and a total across both sections, of 204 questions, each representing one of the independent variables to be compared with the three dependent variables, Response in Place (RP), Organisational Resilience (ORe), and Vulnerabilities and Weaknesses (VW).</w:t>
      </w:r>
    </w:p>
    <w:p w14:paraId="6BAB085B" w14:textId="305E43C0" w:rsidR="006E3616" w:rsidRPr="00400193" w:rsidRDefault="006E3616" w:rsidP="006E3616">
      <w:pPr>
        <w:rPr>
          <w:lang w:eastAsia="zh-CN"/>
        </w:rPr>
      </w:pPr>
      <w:r w:rsidRPr="00400193">
        <w:rPr>
          <w:lang w:eastAsia="zh-CN"/>
        </w:rPr>
        <w:t>The answers to the questions were on a Likert scale, and asked the opinion of the respondent regarding the likelihood of each type of internal or external risk. Within the two sections, the risks were divided into categories (see Tables in</w:t>
      </w:r>
      <w:r w:rsidR="00215A28" w:rsidRPr="00400193">
        <w:rPr>
          <w:lang w:eastAsia="zh-CN"/>
        </w:rPr>
        <w:t xml:space="preserve"> </w:t>
      </w:r>
      <w:r w:rsidR="00215A28" w:rsidRPr="00400193">
        <w:rPr>
          <w:lang w:eastAsia="zh-CN"/>
        </w:rPr>
        <w:fldChar w:fldCharType="begin"/>
      </w:r>
      <w:r w:rsidR="00215A28" w:rsidRPr="00400193">
        <w:rPr>
          <w:lang w:eastAsia="zh-CN"/>
        </w:rPr>
        <w:instrText xml:space="preserve"> REF _Ref50570492 \h </w:instrText>
      </w:r>
      <w:r w:rsidR="00215A28" w:rsidRPr="00400193">
        <w:rPr>
          <w:lang w:eastAsia="zh-CN"/>
        </w:rPr>
      </w:r>
      <w:r w:rsidR="00215A28" w:rsidRPr="00400193">
        <w:rPr>
          <w:lang w:eastAsia="zh-CN"/>
        </w:rPr>
        <w:fldChar w:fldCharType="separate"/>
      </w:r>
      <w:r w:rsidR="00BB7C18" w:rsidRPr="00400193">
        <w:t xml:space="preserve">Appendix </w:t>
      </w:r>
      <w:r w:rsidR="00BB7C18">
        <w:rPr>
          <w:noProof/>
        </w:rPr>
        <w:t>4</w:t>
      </w:r>
      <w:r w:rsidR="00215A28" w:rsidRPr="00400193">
        <w:rPr>
          <w:lang w:eastAsia="zh-CN"/>
        </w:rPr>
        <w:fldChar w:fldCharType="end"/>
      </w:r>
      <w:r w:rsidRPr="00400193">
        <w:rPr>
          <w:lang w:eastAsia="zh-CN"/>
        </w:rPr>
        <w:t>) to make it possible to analyse the data once collected. The questions were designed to be understood by the targeted participants but without being over-simplified, which was where the pilot study was particularly useful.</w:t>
      </w:r>
    </w:p>
    <w:p w14:paraId="1B6C8100" w14:textId="77777777" w:rsidR="006E3616" w:rsidRPr="00400193" w:rsidRDefault="006E3616" w:rsidP="006E3616">
      <w:pPr>
        <w:pStyle w:val="Heading3"/>
        <w:rPr>
          <w:lang w:eastAsia="zh-CN"/>
        </w:rPr>
      </w:pPr>
      <w:bookmarkStart w:id="306" w:name="_Toc61894723"/>
      <w:r w:rsidRPr="00400193">
        <w:rPr>
          <w:lang w:eastAsia="zh-CN"/>
        </w:rPr>
        <w:lastRenderedPageBreak/>
        <w:t>Data Collection – Validating the Instrument</w:t>
      </w:r>
      <w:bookmarkEnd w:id="306"/>
    </w:p>
    <w:p w14:paraId="2C9D8CE1" w14:textId="5A725BA9" w:rsidR="006E3616" w:rsidRPr="00400193" w:rsidRDefault="006E3616" w:rsidP="006E3616">
      <w:pPr>
        <w:rPr>
          <w:lang w:eastAsia="zh-CN"/>
        </w:rPr>
      </w:pPr>
      <w:r w:rsidRPr="00400193">
        <w:rPr>
          <w:lang w:eastAsia="zh-CN"/>
        </w:rPr>
        <w:t xml:space="preserve">One of the checks of the validity of a questionnaire is the pilot study </w:t>
      </w:r>
      <w:r w:rsidR="00704A6D" w:rsidRPr="00400193">
        <w:rPr>
          <w:noProof/>
          <w:lang w:eastAsia="zh-CN"/>
        </w:rPr>
        <w:t>(Groves et al., 2009)</w:t>
      </w:r>
      <w:r w:rsidRPr="00400193">
        <w:rPr>
          <w:lang w:eastAsia="zh-CN"/>
        </w:rPr>
        <w:t xml:space="preserve">, but in addition to that the questions were first shown to a cyber-security expert to ensure that the questions coincided with the concepts to be measured, which is regarded as the main measure of validity of a questionnaire </w:t>
      </w:r>
      <w:r w:rsidR="00E93EE0" w:rsidRPr="00400193">
        <w:rPr>
          <w:lang w:eastAsia="zh-CN"/>
        </w:rPr>
        <w:t>(Brinkman, Haakma, and Bouwhuis, 2009)</w:t>
      </w:r>
      <w:r w:rsidRPr="00400193">
        <w:rPr>
          <w:lang w:eastAsia="zh-CN"/>
        </w:rPr>
        <w:t xml:space="preserve">. Once the validity was established, the main questionnaire was put </w:t>
      </w:r>
      <w:r w:rsidR="00E93EE0" w:rsidRPr="00400193">
        <w:rPr>
          <w:lang w:eastAsia="zh-CN"/>
        </w:rPr>
        <w:t>online,</w:t>
      </w:r>
      <w:r w:rsidRPr="00400193">
        <w:rPr>
          <w:lang w:eastAsia="zh-CN"/>
        </w:rPr>
        <w:t xml:space="preserve"> and participants were invited.</w:t>
      </w:r>
    </w:p>
    <w:p w14:paraId="33327033" w14:textId="77777777" w:rsidR="006E3616" w:rsidRPr="00400193" w:rsidRDefault="006E3616" w:rsidP="006E3616">
      <w:pPr>
        <w:pStyle w:val="Heading2"/>
        <w:rPr>
          <w:rFonts w:eastAsia="Calibri"/>
        </w:rPr>
      </w:pPr>
      <w:bookmarkStart w:id="307" w:name="_Toc505979478"/>
      <w:bookmarkStart w:id="308" w:name="_Toc18394878"/>
      <w:bookmarkStart w:id="309" w:name="_Toc61894724"/>
      <w:r w:rsidRPr="00400193">
        <w:rPr>
          <w:rFonts w:eastAsia="Calibri"/>
        </w:rPr>
        <w:t>Justification or Rationale</w:t>
      </w:r>
      <w:bookmarkEnd w:id="307"/>
      <w:bookmarkEnd w:id="308"/>
      <w:bookmarkEnd w:id="309"/>
    </w:p>
    <w:p w14:paraId="310733EA" w14:textId="77777777" w:rsidR="006E3616" w:rsidRPr="00400193" w:rsidRDefault="006E3616" w:rsidP="006E3616">
      <w:pPr>
        <w:rPr>
          <w:lang w:eastAsia="zh-CN"/>
        </w:rPr>
      </w:pPr>
      <w:r w:rsidRPr="00400193">
        <w:rPr>
          <w:lang w:eastAsia="zh-CN"/>
        </w:rPr>
        <w:t>The main objective of this study was to describe the cyber-resilience practices inside UAE public sector organisations. The study also aimed to develop a better understanding of the gaps and factors that were identified as important from the literature. However, the effect of the gaps and challenges on the adoption of cyber- resilience practices inside UAE public sector organisations remains undefined and unclear. The study was therefore descriptive, involving an empirical quantitative method. It was considered that this design would enable the researcher to assess when factors had affected cyber-resilience practices inside the study organisations.</w:t>
      </w:r>
    </w:p>
    <w:p w14:paraId="7C5F543F" w14:textId="58EEB64B" w:rsidR="006E3616" w:rsidRPr="00400193" w:rsidRDefault="006E3616" w:rsidP="006E3616">
      <w:pPr>
        <w:rPr>
          <w:lang w:eastAsia="zh-CN"/>
        </w:rPr>
      </w:pPr>
      <w:r w:rsidRPr="00400193">
        <w:rPr>
          <w:lang w:eastAsia="zh-CN"/>
        </w:rPr>
        <w:t xml:space="preserve">The literature review chapter suggested that there were several factors that could affect the successful adoption of cyber-resilience practices. Those factors vary in their impact, so a quantitative descriptive study was chosen to identify the impact of different factors on the successful adoption of cyber-resilience practices. </w:t>
      </w:r>
      <w:bookmarkStart w:id="310" w:name="_Hlk43144412"/>
      <w:r w:rsidRPr="00400193">
        <w:rPr>
          <w:lang w:eastAsia="zh-CN"/>
        </w:rPr>
        <w:t xml:space="preserve">Cooper and Schindler </w:t>
      </w:r>
      <w:sdt>
        <w:sdtPr>
          <w:rPr>
            <w:lang w:eastAsia="zh-CN"/>
          </w:rPr>
          <w:id w:val="-1083140432"/>
          <w:citation/>
        </w:sdtPr>
        <w:sdtEndPr/>
        <w:sdtContent>
          <w:r w:rsidRPr="00400193">
            <w:rPr>
              <w:lang w:eastAsia="zh-CN"/>
            </w:rPr>
            <w:fldChar w:fldCharType="begin"/>
          </w:r>
          <w:r w:rsidRPr="00400193">
            <w:rPr>
              <w:lang w:eastAsia="zh-CN"/>
            </w:rPr>
            <w:instrText xml:space="preserve">CITATION Coo06 \n  \t  \l 2057 </w:instrText>
          </w:r>
          <w:r w:rsidRPr="00400193">
            <w:rPr>
              <w:lang w:eastAsia="zh-CN"/>
            </w:rPr>
            <w:fldChar w:fldCharType="separate"/>
          </w:r>
          <w:r w:rsidR="00E35E8C" w:rsidRPr="00400193">
            <w:rPr>
              <w:lang w:eastAsia="zh-CN"/>
            </w:rPr>
            <w:t>(2006)</w:t>
          </w:r>
          <w:r w:rsidRPr="00400193">
            <w:rPr>
              <w:lang w:eastAsia="zh-CN"/>
            </w:rPr>
            <w:fldChar w:fldCharType="end"/>
          </w:r>
        </w:sdtContent>
      </w:sdt>
      <w:r w:rsidRPr="00400193">
        <w:rPr>
          <w:lang w:eastAsia="zh-CN"/>
        </w:rPr>
        <w:t xml:space="preserve"> </w:t>
      </w:r>
      <w:bookmarkEnd w:id="310"/>
      <w:r w:rsidRPr="00400193">
        <w:rPr>
          <w:lang w:eastAsia="zh-CN"/>
        </w:rPr>
        <w:t xml:space="preserve">suggested that researchers should use descriptive studies when the causes of the phenomenon being studied are not clearly addressed or when they are uncertain what approach to use to examine the research problem, especially when the problem’s causes are not well defined. Cooper and Schindler also noted that this exploration saves time and money by developing a deep understanding of the research problem before deploying more extensive studies. </w:t>
      </w:r>
    </w:p>
    <w:p w14:paraId="702FF696" w14:textId="3E5820A5" w:rsidR="006E3616" w:rsidRPr="00400193" w:rsidRDefault="006E3616" w:rsidP="006E3616">
      <w:pPr>
        <w:rPr>
          <w:lang w:eastAsia="zh-CN"/>
        </w:rPr>
      </w:pPr>
      <w:r w:rsidRPr="00400193">
        <w:rPr>
          <w:lang w:eastAsia="zh-CN"/>
        </w:rPr>
        <w:t xml:space="preserve">There is still a lack of knowledge of the key components affecting knowledge management practices inside public sector organisations, or how these practices should be addressed and managed in the public sector. This lack of understanding has several causes, including public sector organisations’ governance of internal process, inertia, routines, the law, and national culture. Managers may therefore not be able to drive change as smoothly as in the private sector. This study used a </w:t>
      </w:r>
      <w:r w:rsidRPr="00400193">
        <w:rPr>
          <w:lang w:eastAsia="zh-CN"/>
        </w:rPr>
        <w:lastRenderedPageBreak/>
        <w:t xml:space="preserve">quantitative method to gain deeper understanding of the research phenomenon </w:t>
      </w:r>
      <w:sdt>
        <w:sdtPr>
          <w:rPr>
            <w:lang w:eastAsia="zh-CN"/>
          </w:rPr>
          <w:id w:val="-354892164"/>
          <w:citation/>
        </w:sdtPr>
        <w:sdtEndPr/>
        <w:sdtContent>
          <w:r w:rsidRPr="00400193">
            <w:rPr>
              <w:lang w:eastAsia="zh-CN"/>
            </w:rPr>
            <w:fldChar w:fldCharType="begin"/>
          </w:r>
          <w:r w:rsidRPr="00400193">
            <w:rPr>
              <w:lang w:eastAsia="zh-CN"/>
            </w:rPr>
            <w:instrText xml:space="preserve">CITATION Bry88 \t  \l 2057 </w:instrText>
          </w:r>
          <w:r w:rsidRPr="00400193">
            <w:rPr>
              <w:lang w:eastAsia="zh-CN"/>
            </w:rPr>
            <w:fldChar w:fldCharType="separate"/>
          </w:r>
          <w:r w:rsidR="00E35E8C" w:rsidRPr="00400193">
            <w:rPr>
              <w:lang w:eastAsia="zh-CN"/>
            </w:rPr>
            <w:t>(Bryman, 1988)</w:t>
          </w:r>
          <w:r w:rsidRPr="00400193">
            <w:rPr>
              <w:lang w:eastAsia="zh-CN"/>
            </w:rPr>
            <w:fldChar w:fldCharType="end"/>
          </w:r>
        </w:sdtContent>
      </w:sdt>
      <w:r w:rsidRPr="00400193">
        <w:rPr>
          <w:lang w:eastAsia="zh-CN"/>
        </w:rPr>
        <w:t xml:space="preserve">, and to collect numerical values describing and measuring the relationships between variables </w:t>
      </w:r>
      <w:r w:rsidR="00337F8A" w:rsidRPr="00400193">
        <w:rPr>
          <w:lang w:eastAsia="zh-CN"/>
        </w:rPr>
        <w:t>(Bryman and Bell, 2015)</w:t>
      </w:r>
      <w:r w:rsidRPr="00400193">
        <w:rPr>
          <w:lang w:eastAsia="zh-CN"/>
        </w:rPr>
        <w:t xml:space="preserve">. </w:t>
      </w:r>
      <w:r w:rsidR="002F482A" w:rsidRPr="00400193">
        <w:rPr>
          <w:lang w:eastAsia="zh-CN"/>
        </w:rPr>
        <w:fldChar w:fldCharType="begin"/>
      </w:r>
      <w:r w:rsidR="002F482A" w:rsidRPr="00400193">
        <w:rPr>
          <w:lang w:eastAsia="zh-CN"/>
        </w:rPr>
        <w:instrText xml:space="preserve"> REF _Ref52795830 \h </w:instrText>
      </w:r>
      <w:r w:rsidR="002F482A" w:rsidRPr="00400193">
        <w:rPr>
          <w:lang w:eastAsia="zh-CN"/>
        </w:rPr>
      </w:r>
      <w:r w:rsidR="002F482A" w:rsidRPr="00400193">
        <w:rPr>
          <w:lang w:eastAsia="zh-CN"/>
        </w:rPr>
        <w:fldChar w:fldCharType="separate"/>
      </w:r>
      <w:r w:rsidR="00BB7C18" w:rsidRPr="00400193">
        <w:t xml:space="preserve">Table </w:t>
      </w:r>
      <w:r w:rsidR="00BB7C18">
        <w:rPr>
          <w:noProof/>
          <w:cs/>
        </w:rPr>
        <w:t>‎</w:t>
      </w:r>
      <w:r w:rsidR="00BB7C18">
        <w:rPr>
          <w:noProof/>
        </w:rPr>
        <w:t>4</w:t>
      </w:r>
      <w:r w:rsidR="00BB7C18" w:rsidRPr="00400193">
        <w:noBreakHyphen/>
      </w:r>
      <w:r w:rsidR="00BB7C18">
        <w:rPr>
          <w:noProof/>
        </w:rPr>
        <w:t>1</w:t>
      </w:r>
      <w:r w:rsidR="002F482A" w:rsidRPr="00400193">
        <w:rPr>
          <w:lang w:eastAsia="zh-CN"/>
        </w:rPr>
        <w:fldChar w:fldCharType="end"/>
      </w:r>
      <w:r w:rsidRPr="00400193">
        <w:rPr>
          <w:lang w:eastAsia="zh-CN"/>
        </w:rPr>
        <w:t xml:space="preserve"> describes the differences between quantitative and qualitative methods.</w:t>
      </w:r>
    </w:p>
    <w:p w14:paraId="4D457AF6" w14:textId="1929F02E" w:rsidR="00711699" w:rsidRPr="00400193" w:rsidRDefault="00711699" w:rsidP="006E3616">
      <w:pPr>
        <w:rPr>
          <w:lang w:eastAsia="zh-CN"/>
        </w:rPr>
      </w:pPr>
      <w:r w:rsidRPr="00400193">
        <w:rPr>
          <w:lang w:eastAsia="zh-CN"/>
        </w:rPr>
        <w:t>This study aimed to evaluate three theoretical propositions and the proposed theoretical framework in UAE public sector organisations. The study therefore started inductively, by building a theory, and then went on to test it using a deductive approach (Gummesson, 2003). This gave the opportunity to evaluate the theoretical framework and the study propositions by drawing new insights from the collected data using a questionnaire with Likert-type scales (Saunders, Lewis and Thornhill, 2012). This requires a quantitative methodology. The structural aspects of the research's model required the use of quantitative methods to be able to describe the internal organisational context that affects the adoption of cyber-resilience practices in the public sector. A questionnaire can capture a quantitative perspective and assess the organisational environment and individual interpretations of the situation. It was therefore considered the most useful method of research.</w:t>
      </w:r>
    </w:p>
    <w:tbl>
      <w:tblPr>
        <w:tblStyle w:val="TableGridLight"/>
        <w:tblW w:w="0" w:type="auto"/>
        <w:tblLook w:val="04A0" w:firstRow="1" w:lastRow="0" w:firstColumn="1" w:lastColumn="0" w:noHBand="0" w:noVBand="1"/>
      </w:tblPr>
      <w:tblGrid>
        <w:gridCol w:w="3015"/>
        <w:gridCol w:w="2982"/>
        <w:gridCol w:w="3019"/>
      </w:tblGrid>
      <w:tr w:rsidR="00A0618E" w:rsidRPr="00400193" w14:paraId="4F9E14D2" w14:textId="77777777" w:rsidTr="003B5486">
        <w:tc>
          <w:tcPr>
            <w:tcW w:w="3015" w:type="dxa"/>
            <w:tcBorders>
              <w:bottom w:val="single" w:sz="4" w:space="0" w:color="FFFFFF" w:themeColor="background1"/>
              <w:right w:val="single" w:sz="4" w:space="0" w:color="FFFFFF" w:themeColor="background1"/>
            </w:tcBorders>
            <w:vAlign w:val="center"/>
          </w:tcPr>
          <w:p w14:paraId="7B13C283" w14:textId="77777777" w:rsidR="006E3616" w:rsidRPr="00400193" w:rsidRDefault="006E3616" w:rsidP="003B5486">
            <w:pPr>
              <w:spacing w:line="240" w:lineRule="auto"/>
              <w:jc w:val="left"/>
              <w:rPr>
                <w:rFonts w:asciiTheme="minorHAnsi" w:eastAsia="Arial Unicode MS" w:hAnsiTheme="minorHAnsi" w:cstheme="minorHAnsi"/>
                <w:sz w:val="22"/>
                <w:szCs w:val="18"/>
              </w:rPr>
            </w:pPr>
          </w:p>
        </w:tc>
        <w:tc>
          <w:tcPr>
            <w:tcW w:w="2982" w:type="dxa"/>
            <w:tcBorders>
              <w:left w:val="single" w:sz="4" w:space="0" w:color="FFFFFF" w:themeColor="background1"/>
              <w:bottom w:val="single" w:sz="4" w:space="0" w:color="auto"/>
              <w:right w:val="single" w:sz="4" w:space="0" w:color="FFFFFF" w:themeColor="background1"/>
            </w:tcBorders>
            <w:vAlign w:val="center"/>
          </w:tcPr>
          <w:p w14:paraId="401A1CB1" w14:textId="77777777" w:rsidR="006E3616" w:rsidRPr="00400193" w:rsidRDefault="006E3616" w:rsidP="003B5486">
            <w:pPr>
              <w:spacing w:line="240" w:lineRule="auto"/>
              <w:jc w:val="left"/>
              <w:rPr>
                <w:rFonts w:asciiTheme="minorHAnsi" w:eastAsia="Arial Unicode MS" w:hAnsiTheme="minorHAnsi" w:cstheme="minorHAnsi"/>
                <w:b/>
                <w:bCs/>
                <w:sz w:val="22"/>
                <w:szCs w:val="18"/>
              </w:rPr>
            </w:pPr>
            <w:r w:rsidRPr="00400193">
              <w:rPr>
                <w:rFonts w:asciiTheme="minorHAnsi" w:eastAsia="Arial Unicode MS" w:hAnsiTheme="minorHAnsi" w:cstheme="minorHAnsi"/>
                <w:b/>
                <w:bCs/>
                <w:sz w:val="22"/>
                <w:szCs w:val="18"/>
              </w:rPr>
              <w:t>Qualitative Research</w:t>
            </w:r>
          </w:p>
        </w:tc>
        <w:tc>
          <w:tcPr>
            <w:tcW w:w="3019" w:type="dxa"/>
            <w:tcBorders>
              <w:left w:val="single" w:sz="4" w:space="0" w:color="FFFFFF" w:themeColor="background1"/>
              <w:bottom w:val="single" w:sz="4" w:space="0" w:color="auto"/>
            </w:tcBorders>
            <w:vAlign w:val="center"/>
          </w:tcPr>
          <w:p w14:paraId="44CB8AF1" w14:textId="77777777" w:rsidR="006E3616" w:rsidRPr="00400193" w:rsidRDefault="006E3616" w:rsidP="003B5486">
            <w:pPr>
              <w:spacing w:line="240" w:lineRule="auto"/>
              <w:jc w:val="left"/>
              <w:rPr>
                <w:rFonts w:asciiTheme="minorHAnsi" w:eastAsia="Arial Unicode MS" w:hAnsiTheme="minorHAnsi" w:cstheme="minorHAnsi"/>
                <w:b/>
                <w:bCs/>
                <w:sz w:val="22"/>
                <w:szCs w:val="18"/>
              </w:rPr>
            </w:pPr>
            <w:r w:rsidRPr="00400193">
              <w:rPr>
                <w:rFonts w:asciiTheme="minorHAnsi" w:eastAsia="Arial Unicode MS" w:hAnsiTheme="minorHAnsi" w:cstheme="minorHAnsi"/>
                <w:b/>
                <w:bCs/>
                <w:sz w:val="22"/>
                <w:szCs w:val="18"/>
              </w:rPr>
              <w:t>Quantitative Research</w:t>
            </w:r>
          </w:p>
        </w:tc>
      </w:tr>
      <w:tr w:rsidR="00A0618E" w:rsidRPr="00400193" w14:paraId="66CAF3D4"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7E918AE3"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Type of questions </w:t>
            </w:r>
          </w:p>
        </w:tc>
        <w:tc>
          <w:tcPr>
            <w:tcW w:w="2982"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308A150F"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Probing </w:t>
            </w:r>
          </w:p>
        </w:tc>
        <w:tc>
          <w:tcPr>
            <w:tcW w:w="3019" w:type="dxa"/>
            <w:tcBorders>
              <w:top w:val="single" w:sz="4" w:space="0" w:color="auto"/>
              <w:left w:val="single" w:sz="4" w:space="0" w:color="FFFFFF" w:themeColor="background1"/>
              <w:bottom w:val="single" w:sz="4" w:space="0" w:color="FFFFFF" w:themeColor="background1"/>
            </w:tcBorders>
            <w:vAlign w:val="center"/>
          </w:tcPr>
          <w:p w14:paraId="3C56BE2F"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Limited probing</w:t>
            </w:r>
          </w:p>
        </w:tc>
      </w:tr>
      <w:tr w:rsidR="00A0618E" w:rsidRPr="00400193" w14:paraId="07865ABA"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12F8F54B"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E6F996" w14:textId="77777777" w:rsidR="006E3616" w:rsidRPr="00400193" w:rsidRDefault="006E3616" w:rsidP="003B5486">
            <w:pPr>
              <w:spacing w:line="240" w:lineRule="auto"/>
              <w:jc w:val="left"/>
              <w:rPr>
                <w:rFonts w:asciiTheme="minorHAnsi" w:eastAsia="Arial Unicode MS" w:hAnsiTheme="minorHAnsi" w:cstheme="minorHAnsi"/>
                <w:sz w:val="22"/>
                <w:szCs w:val="18"/>
              </w:rPr>
            </w:pP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7F01EA4C" w14:textId="77777777" w:rsidR="006E3616" w:rsidRPr="00400193" w:rsidRDefault="006E3616" w:rsidP="003B5486">
            <w:pPr>
              <w:spacing w:line="240" w:lineRule="auto"/>
              <w:jc w:val="left"/>
              <w:rPr>
                <w:rFonts w:asciiTheme="minorHAnsi" w:eastAsia="Arial Unicode MS" w:hAnsiTheme="minorHAnsi" w:cstheme="minorHAnsi"/>
                <w:sz w:val="22"/>
                <w:szCs w:val="18"/>
              </w:rPr>
            </w:pPr>
          </w:p>
        </w:tc>
      </w:tr>
      <w:tr w:rsidR="00A0618E" w:rsidRPr="00400193" w14:paraId="2853EB1A"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48534173"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Sample size</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02B53D"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Small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2BEFC48C"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Large</w:t>
            </w:r>
          </w:p>
        </w:tc>
      </w:tr>
      <w:tr w:rsidR="00A0618E" w:rsidRPr="00400193" w14:paraId="5A231F14"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366F1FC9"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Amount of information from each respondent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23259A"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Substantial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3F667F01"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Varies</w:t>
            </w:r>
          </w:p>
        </w:tc>
      </w:tr>
      <w:tr w:rsidR="00A0618E" w:rsidRPr="00400193" w14:paraId="4E1FB2DB"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106C3AAE"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Requirements for administration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13D4B8"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Interviewer with special skills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4AD45077"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Interviewer with fewer special skills </w:t>
            </w:r>
          </w:p>
        </w:tc>
      </w:tr>
      <w:tr w:rsidR="00A0618E" w:rsidRPr="00400193" w14:paraId="10F66940"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311D5C4B"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Type of analysis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6A6FD4"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Subjective and interpretive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6450F5E6"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Statistical and summation</w:t>
            </w:r>
          </w:p>
        </w:tc>
      </w:tr>
      <w:tr w:rsidR="00A0618E" w:rsidRPr="00400193" w14:paraId="7154CDB2"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583076EB"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Hardware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4EF7D3"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Tape recorders, projection devices, video recorders, pictures; and discussion guides.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2E864D6B"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Questionnaires, computers and printouts</w:t>
            </w:r>
          </w:p>
        </w:tc>
      </w:tr>
      <w:tr w:rsidR="00A0618E" w:rsidRPr="00400193" w14:paraId="438B002C"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5D641EF9"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Degree of reliability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05134B"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Low </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0EC2001D"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High</w:t>
            </w:r>
          </w:p>
        </w:tc>
      </w:tr>
      <w:tr w:rsidR="00A0618E" w:rsidRPr="00400193" w14:paraId="694965FE" w14:textId="77777777" w:rsidTr="003B5486">
        <w:tc>
          <w:tcPr>
            <w:tcW w:w="3015" w:type="dxa"/>
            <w:tcBorders>
              <w:top w:val="single" w:sz="4" w:space="0" w:color="FFFFFF" w:themeColor="background1"/>
              <w:bottom w:val="single" w:sz="4" w:space="0" w:color="FFFFFF" w:themeColor="background1"/>
              <w:right w:val="single" w:sz="4" w:space="0" w:color="FFFFFF" w:themeColor="background1"/>
            </w:tcBorders>
            <w:vAlign w:val="center"/>
          </w:tcPr>
          <w:p w14:paraId="46927532"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Researcher training </w:t>
            </w:r>
          </w:p>
        </w:tc>
        <w:tc>
          <w:tcPr>
            <w:tcW w:w="2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BA6D780"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Psychology, sociology, social psychology, consumer behaviour, marketing and marketing research</w:t>
            </w:r>
          </w:p>
        </w:tc>
        <w:tc>
          <w:tcPr>
            <w:tcW w:w="3019" w:type="dxa"/>
            <w:tcBorders>
              <w:top w:val="single" w:sz="4" w:space="0" w:color="FFFFFF" w:themeColor="background1"/>
              <w:left w:val="single" w:sz="4" w:space="0" w:color="FFFFFF" w:themeColor="background1"/>
              <w:bottom w:val="single" w:sz="4" w:space="0" w:color="FFFFFF" w:themeColor="background1"/>
            </w:tcBorders>
            <w:vAlign w:val="center"/>
          </w:tcPr>
          <w:p w14:paraId="4AA64F9F"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Statistics, decision models, decision support systems, and computer programming</w:t>
            </w:r>
          </w:p>
        </w:tc>
      </w:tr>
      <w:tr w:rsidR="00A0618E" w:rsidRPr="00400193" w14:paraId="4896B4FE" w14:textId="77777777" w:rsidTr="003B5486">
        <w:tc>
          <w:tcPr>
            <w:tcW w:w="3015" w:type="dxa"/>
            <w:tcBorders>
              <w:top w:val="single" w:sz="4" w:space="0" w:color="FFFFFF" w:themeColor="background1"/>
              <w:right w:val="single" w:sz="4" w:space="0" w:color="FFFFFF" w:themeColor="background1"/>
            </w:tcBorders>
            <w:vAlign w:val="center"/>
          </w:tcPr>
          <w:p w14:paraId="3FDABC4E" w14:textId="77777777" w:rsidR="006E3616" w:rsidRPr="00400193" w:rsidRDefault="006E3616" w:rsidP="003B5486">
            <w:pPr>
              <w:spacing w:line="240" w:lineRule="auto"/>
              <w:jc w:val="left"/>
              <w:rPr>
                <w:rFonts w:asciiTheme="minorHAnsi" w:eastAsia="Arial Unicode MS" w:hAnsiTheme="minorHAnsi" w:cstheme="minorHAnsi"/>
                <w:bCs/>
                <w:sz w:val="22"/>
                <w:szCs w:val="18"/>
              </w:rPr>
            </w:pPr>
            <w:r w:rsidRPr="00400193">
              <w:rPr>
                <w:rFonts w:asciiTheme="minorHAnsi" w:eastAsia="Arial Unicode MS" w:hAnsiTheme="minorHAnsi" w:cstheme="minorHAnsi"/>
                <w:bCs/>
                <w:sz w:val="22"/>
                <w:szCs w:val="18"/>
              </w:rPr>
              <w:t xml:space="preserve">Type of research </w:t>
            </w:r>
          </w:p>
        </w:tc>
        <w:tc>
          <w:tcPr>
            <w:tcW w:w="2982" w:type="dxa"/>
            <w:tcBorders>
              <w:top w:val="single" w:sz="4" w:space="0" w:color="FFFFFF" w:themeColor="background1"/>
              <w:left w:val="single" w:sz="4" w:space="0" w:color="FFFFFF" w:themeColor="background1"/>
              <w:right w:val="single" w:sz="4" w:space="0" w:color="FFFFFF" w:themeColor="background1"/>
            </w:tcBorders>
            <w:vAlign w:val="center"/>
          </w:tcPr>
          <w:p w14:paraId="4576DFEA" w14:textId="77777777" w:rsidR="006E3616" w:rsidRPr="00400193" w:rsidRDefault="006E3616" w:rsidP="003B5486">
            <w:pPr>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 xml:space="preserve">Exploratory </w:t>
            </w:r>
          </w:p>
        </w:tc>
        <w:tc>
          <w:tcPr>
            <w:tcW w:w="3019" w:type="dxa"/>
            <w:tcBorders>
              <w:top w:val="single" w:sz="4" w:space="0" w:color="FFFFFF" w:themeColor="background1"/>
              <w:left w:val="single" w:sz="4" w:space="0" w:color="FFFFFF" w:themeColor="background1"/>
            </w:tcBorders>
            <w:vAlign w:val="center"/>
          </w:tcPr>
          <w:p w14:paraId="7C78FD34" w14:textId="77777777" w:rsidR="006E3616" w:rsidRPr="00400193" w:rsidRDefault="006E3616" w:rsidP="003B5486">
            <w:pPr>
              <w:keepNext/>
              <w:spacing w:line="240" w:lineRule="auto"/>
              <w:jc w:val="left"/>
              <w:rPr>
                <w:rFonts w:asciiTheme="minorHAnsi" w:eastAsia="Arial Unicode MS" w:hAnsiTheme="minorHAnsi" w:cstheme="minorHAnsi"/>
                <w:sz w:val="22"/>
                <w:szCs w:val="18"/>
              </w:rPr>
            </w:pPr>
            <w:r w:rsidRPr="00400193">
              <w:rPr>
                <w:rFonts w:asciiTheme="minorHAnsi" w:eastAsia="Arial Unicode MS" w:hAnsiTheme="minorHAnsi" w:cstheme="minorHAnsi"/>
                <w:sz w:val="22"/>
                <w:szCs w:val="18"/>
              </w:rPr>
              <w:t>Descriptive or causal</w:t>
            </w:r>
          </w:p>
        </w:tc>
      </w:tr>
    </w:tbl>
    <w:p w14:paraId="58AA4CEA" w14:textId="40FC8C99" w:rsidR="006E3616" w:rsidRPr="00400193" w:rsidRDefault="006E3616" w:rsidP="006E3616">
      <w:pPr>
        <w:pStyle w:val="Caption"/>
        <w:spacing w:after="240"/>
        <w:rPr>
          <w:rFonts w:ascii="Times New Roman" w:eastAsia="SimSun" w:hAnsi="Times New Roman" w:cs="Times New Roman"/>
          <w:szCs w:val="24"/>
          <w:lang w:eastAsia="zh-CN"/>
        </w:rPr>
      </w:pPr>
      <w:bookmarkStart w:id="311" w:name="_Ref52795830"/>
      <w:bookmarkStart w:id="312" w:name="_Toc5290154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4</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fldChar w:fldCharType="end"/>
      </w:r>
      <w:bookmarkEnd w:id="311"/>
      <w:r w:rsidRPr="00400193">
        <w:t>: Differences between quantitative and qualitative methods. Source: adapted from McDaniel and Gates (2001)</w:t>
      </w:r>
      <w:bookmarkEnd w:id="312"/>
    </w:p>
    <w:p w14:paraId="2373AC65" w14:textId="77777777" w:rsidR="006E3616" w:rsidRPr="00400193" w:rsidRDefault="006E3616" w:rsidP="006E3616">
      <w:pPr>
        <w:pStyle w:val="Heading2"/>
        <w:rPr>
          <w:rFonts w:eastAsia="Calibri"/>
        </w:rPr>
      </w:pPr>
      <w:bookmarkStart w:id="313" w:name="_Toc18394879"/>
      <w:bookmarkStart w:id="314" w:name="_Toc61894725"/>
      <w:r w:rsidRPr="00400193">
        <w:rPr>
          <w:rFonts w:eastAsia="Calibri"/>
        </w:rPr>
        <w:lastRenderedPageBreak/>
        <w:t>Quantitative Data Analysis</w:t>
      </w:r>
      <w:bookmarkEnd w:id="313"/>
      <w:bookmarkEnd w:id="314"/>
    </w:p>
    <w:p w14:paraId="27A966ED" w14:textId="4A77EA8C" w:rsidR="006E3616" w:rsidRPr="00400193" w:rsidRDefault="006E3616" w:rsidP="006E3616">
      <w:pPr>
        <w:rPr>
          <w:lang w:eastAsia="zh-CN"/>
        </w:rPr>
      </w:pPr>
      <w:r w:rsidRPr="00400193">
        <w:rPr>
          <w:lang w:eastAsia="zh-CN"/>
        </w:rPr>
        <w:t xml:space="preserve">Quantitative data were collected in this study. Some authorities have suggested that qualitative research has more credibility (Miles, Huberman </w:t>
      </w:r>
      <w:r w:rsidR="00337F8A" w:rsidRPr="00400193">
        <w:rPr>
          <w:lang w:eastAsia="zh-CN"/>
        </w:rPr>
        <w:t>and</w:t>
      </w:r>
      <w:r w:rsidRPr="00400193">
        <w:rPr>
          <w:lang w:eastAsia="zh-CN"/>
        </w:rPr>
        <w:t xml:space="preserve"> Saldaña, 2014; Silverman, 2000), but the subject of this study lent itself better to quantitative methods, because it was not looking for ‘why’ users act in specific ways, but strictly ‘how many’ of them do so.</w:t>
      </w:r>
    </w:p>
    <w:p w14:paraId="28DE4979" w14:textId="77777777" w:rsidR="006E3616" w:rsidRPr="00400193" w:rsidRDefault="006E3616" w:rsidP="006E3616">
      <w:pPr>
        <w:rPr>
          <w:lang w:eastAsia="zh-CN"/>
        </w:rPr>
      </w:pPr>
      <w:r w:rsidRPr="00400193">
        <w:rPr>
          <w:lang w:eastAsia="zh-CN"/>
        </w:rPr>
        <w:t xml:space="preserve">The choice of quantitative methods was also supported by other authorities (e.g. Bryman, 1988; 2008 and Niglas, 2000). It is also easier to analyse quantitative data because it is numerical rather than words, phrases, and ideas. This, in turn, means that it is possible to analyse much larger quantities of data, so that a wider range of participants can be included, which may increase the validity and reliability of the work. </w:t>
      </w:r>
    </w:p>
    <w:p w14:paraId="72B56359" w14:textId="77777777" w:rsidR="006E3616" w:rsidRPr="00400193" w:rsidRDefault="006E3616" w:rsidP="006E3616">
      <w:pPr>
        <w:pStyle w:val="Heading2"/>
        <w:rPr>
          <w:rFonts w:eastAsia="SimSun"/>
          <w:lang w:eastAsia="zh-CN"/>
        </w:rPr>
      </w:pPr>
      <w:bookmarkStart w:id="315" w:name="_Toc18394881"/>
      <w:bookmarkStart w:id="316" w:name="_Toc61894726"/>
      <w:r w:rsidRPr="00400193">
        <w:rPr>
          <w:rFonts w:eastAsia="SimSun"/>
          <w:lang w:eastAsia="zh-CN"/>
        </w:rPr>
        <w:t>Research Method Justification</w:t>
      </w:r>
      <w:bookmarkEnd w:id="315"/>
      <w:bookmarkEnd w:id="316"/>
      <w:r w:rsidRPr="00400193">
        <w:rPr>
          <w:rFonts w:eastAsia="SimSun"/>
          <w:lang w:eastAsia="zh-CN"/>
        </w:rPr>
        <w:t xml:space="preserve"> </w:t>
      </w:r>
    </w:p>
    <w:p w14:paraId="33B1369B" w14:textId="77777777" w:rsidR="006E3616" w:rsidRPr="00400193" w:rsidRDefault="006E3616" w:rsidP="006E3616">
      <w:pPr>
        <w:rPr>
          <w:lang w:eastAsia="zh-CN"/>
        </w:rPr>
      </w:pPr>
      <w:r w:rsidRPr="00400193">
        <w:rPr>
          <w:lang w:eastAsia="zh-CN"/>
        </w:rPr>
        <w:t>Data in this research were gathered through a survey of the staff who use, or have access to, data and software used by their organisation. This survey consisted of a web-based questionnaire, providing quantitative data about the levels of awareness within the organisation, and the number of employees who know what to do, and to whom they should report suspicions/concerns. This enabled an assessment of the effectiveness of any systems or frameworks already in place.</w:t>
      </w:r>
    </w:p>
    <w:p w14:paraId="3088BA17" w14:textId="77777777" w:rsidR="006E3616" w:rsidRPr="00400193" w:rsidRDefault="006E3616" w:rsidP="006E3616">
      <w:pPr>
        <w:rPr>
          <w:lang w:eastAsia="zh-CN"/>
        </w:rPr>
      </w:pPr>
      <w:r w:rsidRPr="00400193">
        <w:rPr>
          <w:lang w:eastAsia="zh-CN"/>
        </w:rPr>
        <w:t xml:space="preserve">The analysis of the data was designed to show the weaknesses in current frameworks and indicate areas where the new framework will improve on the existing situation. The questions were not open-ended and did not try to lead the participant into giving the “right” answer. The instruction sheet made clear that there was no “right” or “wrong” answer to any question, and the purpose of the questionnaire was to find out how many employees were aware of policies and procedures, and whether these are adequate. </w:t>
      </w:r>
    </w:p>
    <w:p w14:paraId="0857DFC6" w14:textId="7A275C5F" w:rsidR="006E3616" w:rsidRPr="00400193" w:rsidRDefault="006E3616" w:rsidP="006E3616">
      <w:pPr>
        <w:rPr>
          <w:lang w:eastAsia="zh-CN"/>
        </w:rPr>
      </w:pPr>
      <w:r w:rsidRPr="00400193">
        <w:rPr>
          <w:lang w:eastAsia="zh-CN"/>
        </w:rPr>
        <w:fldChar w:fldCharType="begin"/>
      </w:r>
      <w:r w:rsidRPr="00400193">
        <w:rPr>
          <w:lang w:eastAsia="zh-CN"/>
        </w:rPr>
        <w:instrText xml:space="preserve"> REF _Ref43495723 \h </w:instrText>
      </w:r>
      <w:r w:rsidRPr="00400193">
        <w:rPr>
          <w:lang w:eastAsia="zh-CN"/>
        </w:rPr>
      </w:r>
      <w:r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7</w:t>
      </w:r>
      <w:r w:rsidRPr="00400193">
        <w:rPr>
          <w:lang w:eastAsia="zh-CN"/>
        </w:rPr>
        <w:fldChar w:fldCharType="end"/>
      </w:r>
      <w:r w:rsidRPr="00400193">
        <w:rPr>
          <w:lang w:eastAsia="zh-CN"/>
        </w:rPr>
        <w:t xml:space="preserve"> provides a flow chart showing the stages of the research. The numbers in the boxes refer to the sub-section numbers in this chapter, and the chart provides a visual representation of why the process had to follow this sequence. A brief examination of the flow chart will show that arranging the boxes in any other order would not be logically possible, because each step is determined by the step before. This logical, stepwise procedure was also used in the creation of the conceptual </w:t>
      </w:r>
      <w:r w:rsidRPr="00400193">
        <w:rPr>
          <w:lang w:eastAsia="zh-CN"/>
        </w:rPr>
        <w:lastRenderedPageBreak/>
        <w:t xml:space="preserve">framework in </w:t>
      </w:r>
      <w:r w:rsidR="00283AFE" w:rsidRPr="00400193">
        <w:rPr>
          <w:lang w:eastAsia="zh-CN"/>
        </w:rPr>
        <w:fldChar w:fldCharType="begin"/>
      </w:r>
      <w:r w:rsidR="00283AFE" w:rsidRPr="00400193">
        <w:rPr>
          <w:lang w:eastAsia="zh-CN"/>
        </w:rPr>
        <w:instrText xml:space="preserve"> REF _Ref44957419 \h </w:instrText>
      </w:r>
      <w:r w:rsidR="00283AFE" w:rsidRPr="00400193">
        <w:rPr>
          <w:lang w:eastAsia="zh-CN"/>
        </w:rPr>
      </w:r>
      <w:r w:rsidR="00283AFE" w:rsidRPr="00400193">
        <w:rPr>
          <w:lang w:eastAsia="zh-C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283AFE" w:rsidRPr="00400193">
        <w:rPr>
          <w:lang w:eastAsia="zh-CN"/>
        </w:rPr>
        <w:fldChar w:fldCharType="end"/>
      </w:r>
      <w:r w:rsidRPr="00400193">
        <w:rPr>
          <w:lang w:eastAsia="zh-CN"/>
        </w:rPr>
        <w:t xml:space="preserve">. This therefore ensures that the new framework will be valid and useable in the UAE public sector. The following sub-sections describe the processes involved in the construction of the framework and are in the same logical order as </w:t>
      </w:r>
      <w:r w:rsidRPr="00400193">
        <w:rPr>
          <w:lang w:eastAsia="zh-CN"/>
        </w:rPr>
        <w:fldChar w:fldCharType="begin"/>
      </w:r>
      <w:r w:rsidRPr="00400193">
        <w:rPr>
          <w:lang w:eastAsia="zh-CN"/>
        </w:rPr>
        <w:instrText xml:space="preserve"> REF _Ref43495723 \h </w:instrText>
      </w:r>
      <w:r w:rsidRPr="00400193">
        <w:rPr>
          <w:lang w:eastAsia="zh-CN"/>
        </w:rPr>
      </w:r>
      <w:r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7</w:t>
      </w:r>
      <w:r w:rsidRPr="00400193">
        <w:rPr>
          <w:lang w:eastAsia="zh-CN"/>
        </w:rPr>
        <w:fldChar w:fldCharType="end"/>
      </w:r>
      <w:r w:rsidRPr="00400193">
        <w:rPr>
          <w:lang w:eastAsia="zh-CN"/>
        </w:rPr>
        <w:t>.</w:t>
      </w:r>
    </w:p>
    <w:p w14:paraId="004FD02E" w14:textId="5E8AE5A6" w:rsidR="00144734" w:rsidRPr="00400193" w:rsidRDefault="00300C00" w:rsidP="006E3616">
      <w:pPr>
        <w:rPr>
          <w:lang w:eastAsia="zh-CN"/>
        </w:rPr>
      </w:pPr>
      <w:r w:rsidRPr="00400193">
        <w:rPr>
          <w:lang w:eastAsia="zh-CN"/>
        </w:rPr>
        <w:t xml:space="preserve">This flow chart does not show the pilot study (described below) as this was completed before the first step of </w:t>
      </w:r>
      <w:r w:rsidRPr="00400193">
        <w:rPr>
          <w:lang w:eastAsia="zh-CN"/>
        </w:rPr>
        <w:fldChar w:fldCharType="begin"/>
      </w:r>
      <w:r w:rsidRPr="00400193">
        <w:rPr>
          <w:lang w:eastAsia="zh-CN"/>
        </w:rPr>
        <w:instrText xml:space="preserve"> REF _Ref43495723 \h </w:instrText>
      </w:r>
      <w:r w:rsidRPr="00400193">
        <w:rPr>
          <w:lang w:eastAsia="zh-CN"/>
        </w:rPr>
      </w:r>
      <w:r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7</w:t>
      </w:r>
      <w:r w:rsidRPr="00400193">
        <w:rPr>
          <w:lang w:eastAsia="zh-CN"/>
        </w:rPr>
        <w:fldChar w:fldCharType="end"/>
      </w:r>
      <w:r w:rsidRPr="00400193">
        <w:rPr>
          <w:lang w:eastAsia="zh-CN"/>
        </w:rPr>
        <w:t>. It is, however, clearly shown in the flow chart showing the research design process (</w:t>
      </w:r>
      <w:r w:rsidRPr="00400193">
        <w:rPr>
          <w:lang w:eastAsia="zh-CN"/>
        </w:rPr>
        <w:fldChar w:fldCharType="begin"/>
      </w:r>
      <w:r w:rsidRPr="00400193">
        <w:rPr>
          <w:lang w:eastAsia="zh-CN"/>
        </w:rPr>
        <w:instrText xml:space="preserve"> REF _Ref50986143 \h </w:instrText>
      </w:r>
      <w:r w:rsidRPr="00400193">
        <w:rPr>
          <w:lang w:eastAsia="zh-CN"/>
        </w:rPr>
      </w:r>
      <w:r w:rsidRPr="00400193">
        <w:rPr>
          <w:lang w:eastAsia="zh-CN"/>
        </w:rPr>
        <w:fldChar w:fldCharType="separate"/>
      </w:r>
      <w:r w:rsidR="00BB7C18" w:rsidRPr="00400193">
        <w:t xml:space="preserve">Figure </w:t>
      </w:r>
      <w:r w:rsidR="00BB7C18">
        <w:rPr>
          <w:noProof/>
          <w:cs/>
        </w:rPr>
        <w:t>‎</w:t>
      </w:r>
      <w:r w:rsidR="00BB7C18">
        <w:rPr>
          <w:noProof/>
        </w:rPr>
        <w:t>4</w:t>
      </w:r>
      <w:r w:rsidR="00BB7C18" w:rsidRPr="00400193">
        <w:noBreakHyphen/>
      </w:r>
      <w:r w:rsidR="00BB7C18">
        <w:rPr>
          <w:noProof/>
        </w:rPr>
        <w:t>2</w:t>
      </w:r>
      <w:r w:rsidRPr="00400193">
        <w:rPr>
          <w:lang w:eastAsia="zh-CN"/>
        </w:rPr>
        <w:fldChar w:fldCharType="end"/>
      </w:r>
      <w:r w:rsidRPr="00400193">
        <w:rPr>
          <w:lang w:eastAsia="zh-CN"/>
        </w:rPr>
        <w:t>). In effect, the pilot study validates this flow chart, as without the pilot study</w:t>
      </w:r>
      <w:r w:rsidR="00144734" w:rsidRPr="00400193">
        <w:rPr>
          <w:lang w:eastAsia="zh-CN"/>
        </w:rPr>
        <w:t xml:space="preserve"> the research collapses here because the questionnaire is untested and unvalidated. This chart of the stages of the research assumes a validated data collection instrument, and thereby also assumes a pilot study before the main study begins. The pilot study is therefore described immediately following the identification of strategies for mitigation and before data collection. It does not interrupt the flow, since it is essential to the flow, but is described at the point it naturally occurs.</w:t>
      </w:r>
    </w:p>
    <w:p w14:paraId="6EC89039" w14:textId="77777777" w:rsidR="00300C00" w:rsidRPr="00400193" w:rsidRDefault="00300C00" w:rsidP="006E3616">
      <w:pPr>
        <w:rPr>
          <w:lang w:eastAsia="zh-CN"/>
        </w:rPr>
      </w:pPr>
    </w:p>
    <w:p w14:paraId="2E30531F" w14:textId="77777777" w:rsidR="006E3616" w:rsidRPr="00400193" w:rsidRDefault="006E3616" w:rsidP="006E3616">
      <w:pPr>
        <w:rPr>
          <w:lang w:eastAsia="zh-CN"/>
        </w:rPr>
      </w:pPr>
    </w:p>
    <w:p w14:paraId="0EF19BD7" w14:textId="027D8488" w:rsidR="006E3616" w:rsidRPr="00400193" w:rsidRDefault="003F5405" w:rsidP="006E3616">
      <w:pPr>
        <w:keepNext/>
        <w:spacing w:after="0" w:line="240" w:lineRule="auto"/>
        <w:jc w:val="center"/>
        <w:rPr>
          <w:lang w:eastAsia="zh-CN"/>
        </w:rPr>
      </w:pPr>
      <w:r w:rsidRPr="00400193">
        <w:rPr>
          <w:rFonts w:ascii="Calibri" w:eastAsia="Calibri" w:hAnsi="Calibri" w:cs="Times New Roman"/>
          <w:noProof/>
          <w:sz w:val="22"/>
          <w:lang w:val="en-US"/>
        </w:rPr>
        <w:lastRenderedPageBreak/>
        <mc:AlternateContent>
          <mc:Choice Requires="wps">
            <w:drawing>
              <wp:anchor distT="0" distB="0" distL="114300" distR="114300" simplePos="0" relativeHeight="251753472" behindDoc="0" locked="0" layoutInCell="1" allowOverlap="1" wp14:anchorId="2451F866" wp14:editId="03C7B664">
                <wp:simplePos x="0" y="0"/>
                <wp:positionH relativeFrom="column">
                  <wp:posOffset>0</wp:posOffset>
                </wp:positionH>
                <wp:positionV relativeFrom="paragraph">
                  <wp:posOffset>-9525</wp:posOffset>
                </wp:positionV>
                <wp:extent cx="5760000" cy="6048375"/>
                <wp:effectExtent l="0" t="0" r="12700" b="28575"/>
                <wp:wrapNone/>
                <wp:docPr id="201" name="Rectangle 201"/>
                <wp:cNvGraphicFramePr/>
                <a:graphic xmlns:a="http://schemas.openxmlformats.org/drawingml/2006/main">
                  <a:graphicData uri="http://schemas.microsoft.com/office/word/2010/wordprocessingShape">
                    <wps:wsp>
                      <wps:cNvSpPr/>
                      <wps:spPr>
                        <a:xfrm>
                          <a:off x="0" y="0"/>
                          <a:ext cx="5760000" cy="60483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B6B197" w14:textId="77777777" w:rsidR="007401F4" w:rsidRDefault="007401F4" w:rsidP="009049B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51F866" id="Rectangle 201" o:spid="_x0000_s1201" style="position:absolute;left:0;text-align:left;margin-left:0;margin-top:-.75pt;width:453.55pt;height:476.25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" filled="f" strokecolor="black [3213]" strokeweight="1.5pt">
                <v:textbox>
                  <w:txbxContent>
                    <w:p w14:paraId="28B6B197" w14:textId="77777777" w:rsidR="007401F4" w:rsidRDefault="007401F4" w:rsidP="009049B3">
                      <w:pPr>
                        <w:jc w:val="center"/>
                      </w:pPr>
                    </w:p>
                  </w:txbxContent>
                </v:textbox>
              </v:rect>
            </w:pict>
          </mc:Fallback>
        </mc:AlternateContent>
      </w:r>
      <w:r w:rsidR="006E3616" w:rsidRPr="00400193">
        <w:rPr>
          <w:rFonts w:ascii="Calibri" w:eastAsia="Calibri" w:hAnsi="Calibri" w:cs="Times New Roman"/>
          <w:noProof/>
          <w:sz w:val="22"/>
          <w:lang w:val="en-US"/>
        </w:rPr>
        <mc:AlternateContent>
          <mc:Choice Requires="wpc">
            <w:drawing>
              <wp:inline distT="0" distB="0" distL="0" distR="0" wp14:anchorId="339471D0" wp14:editId="0E768974">
                <wp:extent cx="4392000" cy="6048000"/>
                <wp:effectExtent l="0" t="0" r="8890" b="0"/>
                <wp:docPr id="272" name="Canvas 272"/>
                <wp:cNvGraphicFramePr>
                  <a:graphicFrameLocks xmlns:a="http://schemas.openxmlformats.org/drawingml/2006/main"/>
                </wp:cNvGraphicFramePr>
                <a:graphic xmlns:a="http://schemas.openxmlformats.org/drawingml/2006/main">
                  <a:graphicData uri="http://schemas.microsoft.com/office/word/2010/wordprocessingCanvas">
                    <wpc:wpc>
                      <wpc:bg>
                        <a:solidFill>
                          <a:prstClr val="white"/>
                        </a:solidFill>
                      </wpc:bg>
                      <wpc:whole/>
                      <wps:wsp>
                        <wps:cNvPr id="255" name="Flowchart: Process 255"/>
                        <wps:cNvSpPr/>
                        <wps:spPr>
                          <a:xfrm>
                            <a:off x="160842" y="200981"/>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46C02056" w14:textId="7665A8E3" w:rsidR="007401F4" w:rsidRPr="00F24BEB" w:rsidRDefault="007401F4" w:rsidP="006E3616">
                              <w:pPr>
                                <w:spacing w:line="240" w:lineRule="auto"/>
                                <w:jc w:val="left"/>
                                <w:rPr>
                                  <w:sz w:val="18"/>
                                  <w:szCs w:val="18"/>
                                </w:rPr>
                              </w:pPr>
                              <w:r w:rsidRPr="00F24BEB">
                                <w:rPr>
                                  <w:sz w:val="18"/>
                                  <w:szCs w:val="18"/>
                                </w:rPr>
                                <w:t>4.</w:t>
                              </w:r>
                              <w:r>
                                <w:rPr>
                                  <w:sz w:val="18"/>
                                  <w:szCs w:val="18"/>
                                </w:rPr>
                                <w:t>11</w:t>
                              </w:r>
                              <w:r w:rsidRPr="00F24BEB">
                                <w:rPr>
                                  <w:sz w:val="18"/>
                                  <w:szCs w:val="18"/>
                                </w:rPr>
                                <w:t>.1 Thematic literature review to extract risks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6" name="Flowchart: Process 256"/>
                        <wps:cNvSpPr/>
                        <wps:spPr>
                          <a:xfrm>
                            <a:off x="2381383" y="180860"/>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0B18D2FC" w14:textId="48B79011" w:rsidR="007401F4" w:rsidRPr="00F24BEB" w:rsidRDefault="007401F4" w:rsidP="006E3616">
                              <w:pPr>
                                <w:spacing w:line="256" w:lineRule="auto"/>
                                <w:jc w:val="left"/>
                                <w:rPr>
                                  <w:sz w:val="18"/>
                                  <w:szCs w:val="18"/>
                                </w:rPr>
                              </w:pPr>
                              <w:r w:rsidRPr="00F24BEB">
                                <w:rPr>
                                  <w:rFonts w:eastAsia="Calibri"/>
                                  <w:sz w:val="18"/>
                                  <w:szCs w:val="18"/>
                                </w:rPr>
                                <w:t>4.</w:t>
                              </w:r>
                              <w:r>
                                <w:rPr>
                                  <w:rFonts w:eastAsia="Calibri"/>
                                  <w:sz w:val="18"/>
                                  <w:szCs w:val="18"/>
                                </w:rPr>
                                <w:t>11</w:t>
                              </w:r>
                              <w:r w:rsidRPr="00F24BEB">
                                <w:rPr>
                                  <w:rFonts w:eastAsia="Calibri"/>
                                  <w:sz w:val="18"/>
                                  <w:szCs w:val="18"/>
                                </w:rPr>
                                <w:t>.2a Expert opinion used to cluster risks as human, process, or technology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7" name="Flowchart: Process 257"/>
                        <wps:cNvSpPr/>
                        <wps:spPr>
                          <a:xfrm>
                            <a:off x="160842" y="1425035"/>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3123B9E5" w14:textId="18D90F4B" w:rsidR="007401F4" w:rsidRPr="00F24BEB" w:rsidRDefault="007401F4" w:rsidP="006E3616">
                              <w:pPr>
                                <w:spacing w:line="254" w:lineRule="auto"/>
                                <w:jc w:val="left"/>
                                <w:rPr>
                                  <w:sz w:val="18"/>
                                  <w:szCs w:val="18"/>
                                </w:rPr>
                              </w:pPr>
                              <w:r w:rsidRPr="00F24BEB">
                                <w:rPr>
                                  <w:rFonts w:eastAsia="Calibri"/>
                                  <w:sz w:val="18"/>
                                  <w:szCs w:val="18"/>
                                </w:rPr>
                                <w:t>4.</w:t>
                              </w:r>
                              <w:r>
                                <w:rPr>
                                  <w:rFonts w:eastAsia="Calibri"/>
                                  <w:sz w:val="18"/>
                                  <w:szCs w:val="18"/>
                                </w:rPr>
                                <w:t>11</w:t>
                              </w:r>
                              <w:r w:rsidRPr="00F24BEB">
                                <w:rPr>
                                  <w:rFonts w:eastAsia="Calibri"/>
                                  <w:sz w:val="18"/>
                                  <w:szCs w:val="18"/>
                                </w:rPr>
                                <w:t>.2b Thematic review with expert opinion used to discover assets at risk</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8" name="Flowchart: Process 258"/>
                        <wps:cNvSpPr/>
                        <wps:spPr>
                          <a:xfrm>
                            <a:off x="2401814" y="1453605"/>
                            <a:ext cx="1747680" cy="824193"/>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783978CE" w14:textId="74101B7D" w:rsidR="007401F4" w:rsidRDefault="007401F4" w:rsidP="006E3616">
                              <w:pPr>
                                <w:spacing w:line="252" w:lineRule="auto"/>
                                <w:jc w:val="left"/>
                                <w:rPr>
                                  <w:szCs w:val="24"/>
                                </w:rPr>
                              </w:pPr>
                              <w:r>
                                <w:rPr>
                                  <w:rFonts w:eastAsia="Calibri"/>
                                  <w:sz w:val="18"/>
                                  <w:szCs w:val="18"/>
                                </w:rPr>
                                <w:t>4.11.3 Thematic review with expert opinion used to identify strategies for mitigation and resilience.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9" name="Flowchart: Process 259"/>
                        <wps:cNvSpPr/>
                        <wps:spPr>
                          <a:xfrm>
                            <a:off x="160842" y="2669210"/>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5908DE35" w14:textId="2762AB11" w:rsidR="007401F4" w:rsidRDefault="007401F4" w:rsidP="006E3616">
                              <w:pPr>
                                <w:spacing w:line="252" w:lineRule="auto"/>
                                <w:jc w:val="left"/>
                                <w:rPr>
                                  <w:szCs w:val="24"/>
                                </w:rPr>
                              </w:pPr>
                              <w:r>
                                <w:rPr>
                                  <w:rFonts w:eastAsia="Calibri"/>
                                  <w:sz w:val="18"/>
                                  <w:szCs w:val="18"/>
                                </w:rPr>
                                <w:t xml:space="preserve">4.13 Data collection - a Likert-type scale questionnaire used to collect data from the public sector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0" name="Flowchart: Process 260"/>
                        <wps:cNvSpPr/>
                        <wps:spPr>
                          <a:xfrm>
                            <a:off x="2401485" y="2659639"/>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1F3784E6" w14:textId="28D6191F" w:rsidR="007401F4" w:rsidRDefault="007401F4" w:rsidP="006E3616">
                              <w:pPr>
                                <w:spacing w:line="252" w:lineRule="auto"/>
                                <w:jc w:val="left"/>
                                <w:rPr>
                                  <w:szCs w:val="24"/>
                                </w:rPr>
                              </w:pPr>
                              <w:r>
                                <w:rPr>
                                  <w:rFonts w:eastAsia="Calibri"/>
                                  <w:sz w:val="18"/>
                                  <w:szCs w:val="18"/>
                                </w:rPr>
                                <w:t>4.13.1a Descriptive analysis used to describe clean data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1" name="Flowchart: Process 261"/>
                        <wps:cNvSpPr/>
                        <wps:spPr>
                          <a:xfrm>
                            <a:off x="160844" y="3846391"/>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7A37FE10" w14:textId="3A86D21E" w:rsidR="007401F4" w:rsidRDefault="007401F4" w:rsidP="006E3616">
                              <w:pPr>
                                <w:spacing w:line="252" w:lineRule="auto"/>
                                <w:jc w:val="left"/>
                                <w:rPr>
                                  <w:szCs w:val="24"/>
                                </w:rPr>
                              </w:pPr>
                              <w:r>
                                <w:rPr>
                                  <w:rFonts w:eastAsia="Calibri"/>
                                  <w:sz w:val="18"/>
                                  <w:szCs w:val="18"/>
                                </w:rPr>
                                <w:t xml:space="preserve">4.13.1b Correlation analysis to find the association between external and internal threats with vulnerabilities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2" name="Flowchart: Process 262"/>
                        <wps:cNvSpPr/>
                        <wps:spPr>
                          <a:xfrm>
                            <a:off x="2401814" y="3846390"/>
                            <a:ext cx="1747680" cy="868134"/>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046EA800" w14:textId="791CBDD7" w:rsidR="007401F4" w:rsidRDefault="007401F4" w:rsidP="006E3616">
                              <w:pPr>
                                <w:spacing w:line="252" w:lineRule="auto"/>
                                <w:jc w:val="left"/>
                                <w:rPr>
                                  <w:szCs w:val="24"/>
                                </w:rPr>
                              </w:pPr>
                              <w:r>
                                <w:rPr>
                                  <w:rFonts w:eastAsia="Calibri"/>
                                  <w:sz w:val="18"/>
                                  <w:szCs w:val="18"/>
                                </w:rPr>
                                <w:t>4.13.2a Several possibilities explored to model relationships between vulnerabilities, response in place and resilience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3" name="Flowchart: Process 263"/>
                        <wps:cNvSpPr/>
                        <wps:spPr>
                          <a:xfrm>
                            <a:off x="139722" y="5052284"/>
                            <a:ext cx="1747093" cy="867732"/>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53834829" w14:textId="35E4BCA0" w:rsidR="007401F4" w:rsidRDefault="007401F4" w:rsidP="006E3616">
                              <w:pPr>
                                <w:spacing w:line="252" w:lineRule="auto"/>
                                <w:jc w:val="left"/>
                                <w:rPr>
                                  <w:szCs w:val="24"/>
                                </w:rPr>
                              </w:pPr>
                              <w:r>
                                <w:rPr>
                                  <w:rFonts w:eastAsia="Calibri"/>
                                  <w:sz w:val="18"/>
                                  <w:szCs w:val="18"/>
                                </w:rPr>
                                <w:t>4.13.2b Based on these steps a framework will be developed for the assessment of vulnerability to cyber-risks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4" name="Straight Arrow Connector 264"/>
                        <wps:cNvCnPr/>
                        <wps:spPr>
                          <a:xfrm>
                            <a:off x="1908521" y="635007"/>
                            <a:ext cx="472856" cy="6249"/>
                          </a:xfrm>
                          <a:prstGeom prst="straightConnector1">
                            <a:avLst/>
                          </a:prstGeom>
                          <a:noFill/>
                          <a:ln w="12700" cap="flat" cmpd="sng" algn="ctr">
                            <a:solidFill>
                              <a:sysClr val="windowText" lastClr="000000"/>
                            </a:solidFill>
                            <a:prstDash val="solid"/>
                            <a:miter lim="800000"/>
                            <a:tailEnd type="triangle"/>
                          </a:ln>
                          <a:effectLst/>
                        </wps:spPr>
                        <wps:bodyPr/>
                      </wps:wsp>
                      <wps:wsp>
                        <wps:cNvPr id="265" name="Connector: Elbow 265"/>
                        <wps:cNvCnPr/>
                        <wps:spPr>
                          <a:xfrm rot="5400000">
                            <a:off x="1956947" y="126636"/>
                            <a:ext cx="376007" cy="2220536"/>
                          </a:xfrm>
                          <a:prstGeom prst="bentConnector3">
                            <a:avLst>
                              <a:gd name="adj1" fmla="val 50000"/>
                            </a:avLst>
                          </a:prstGeom>
                          <a:noFill/>
                          <a:ln w="12700" cap="flat" cmpd="sng" algn="ctr">
                            <a:solidFill>
                              <a:sysClr val="windowText" lastClr="000000"/>
                            </a:solidFill>
                            <a:prstDash val="solid"/>
                            <a:miter lim="800000"/>
                            <a:tailEnd type="triangle"/>
                          </a:ln>
                          <a:effectLst/>
                        </wps:spPr>
                        <wps:bodyPr/>
                      </wps:wsp>
                      <wps:wsp>
                        <wps:cNvPr id="266" name="Straight Arrow Connector 266"/>
                        <wps:cNvCnPr/>
                        <wps:spPr>
                          <a:xfrm>
                            <a:off x="1908527" y="1859103"/>
                            <a:ext cx="493285" cy="6598"/>
                          </a:xfrm>
                          <a:prstGeom prst="straightConnector1">
                            <a:avLst/>
                          </a:prstGeom>
                          <a:noFill/>
                          <a:ln w="12700" cap="flat" cmpd="sng" algn="ctr">
                            <a:solidFill>
                              <a:sysClr val="windowText" lastClr="000000"/>
                            </a:solidFill>
                            <a:prstDash val="solid"/>
                            <a:miter lim="800000"/>
                            <a:tailEnd type="triangle"/>
                          </a:ln>
                          <a:effectLst/>
                        </wps:spPr>
                        <wps:bodyPr/>
                      </wps:wsp>
                      <wps:wsp>
                        <wps:cNvPr id="267" name="Connector: Elbow 267"/>
                        <wps:cNvCnPr/>
                        <wps:spPr>
                          <a:xfrm rot="5400000">
                            <a:off x="1959491" y="1352797"/>
                            <a:ext cx="391377" cy="2240971"/>
                          </a:xfrm>
                          <a:prstGeom prst="bentConnector3">
                            <a:avLst>
                              <a:gd name="adj1" fmla="val 50000"/>
                            </a:avLst>
                          </a:prstGeom>
                          <a:noFill/>
                          <a:ln w="12700" cap="flat" cmpd="sng" algn="ctr">
                            <a:solidFill>
                              <a:sysClr val="windowText" lastClr="000000"/>
                            </a:solidFill>
                            <a:prstDash val="solid"/>
                            <a:miter lim="800000"/>
                            <a:tailEnd type="triangle"/>
                          </a:ln>
                          <a:effectLst/>
                        </wps:spPr>
                        <wps:bodyPr/>
                      </wps:wsp>
                      <wps:wsp>
                        <wps:cNvPr id="268" name="Straight Arrow Connector 268"/>
                        <wps:cNvCnPr/>
                        <wps:spPr>
                          <a:xfrm>
                            <a:off x="1920000" y="3091304"/>
                            <a:ext cx="481485" cy="2119"/>
                          </a:xfrm>
                          <a:prstGeom prst="straightConnector1">
                            <a:avLst/>
                          </a:prstGeom>
                          <a:noFill/>
                          <a:ln w="12700" cap="flat" cmpd="sng" algn="ctr">
                            <a:solidFill>
                              <a:sysClr val="windowText" lastClr="000000"/>
                            </a:solidFill>
                            <a:prstDash val="solid"/>
                            <a:miter lim="800000"/>
                            <a:tailEnd type="triangle"/>
                          </a:ln>
                          <a:effectLst/>
                        </wps:spPr>
                        <wps:bodyPr/>
                      </wps:wsp>
                      <wps:wsp>
                        <wps:cNvPr id="269" name="Connector: Elbow 269"/>
                        <wps:cNvCnPr/>
                        <wps:spPr>
                          <a:xfrm rot="5400000">
                            <a:off x="1995707" y="2566418"/>
                            <a:ext cx="318589" cy="2240641"/>
                          </a:xfrm>
                          <a:prstGeom prst="bentConnector3">
                            <a:avLst/>
                          </a:prstGeom>
                          <a:noFill/>
                          <a:ln w="12700" cap="flat" cmpd="sng" algn="ctr">
                            <a:solidFill>
                              <a:sysClr val="windowText" lastClr="000000"/>
                            </a:solidFill>
                            <a:prstDash val="solid"/>
                            <a:miter lim="800000"/>
                            <a:tailEnd type="triangle"/>
                          </a:ln>
                          <a:effectLst/>
                        </wps:spPr>
                        <wps:bodyPr/>
                      </wps:wsp>
                      <wps:wsp>
                        <wps:cNvPr id="270" name="Straight Arrow Connector 270"/>
                        <wps:cNvCnPr/>
                        <wps:spPr>
                          <a:xfrm flipV="1">
                            <a:off x="1908528" y="4280086"/>
                            <a:ext cx="493284" cy="1"/>
                          </a:xfrm>
                          <a:prstGeom prst="straightConnector1">
                            <a:avLst/>
                          </a:prstGeom>
                          <a:noFill/>
                          <a:ln w="12700" cap="flat" cmpd="sng" algn="ctr">
                            <a:solidFill>
                              <a:sysClr val="windowText" lastClr="000000"/>
                            </a:solidFill>
                            <a:prstDash val="solid"/>
                            <a:miter lim="800000"/>
                            <a:tailEnd type="triangle"/>
                          </a:ln>
                          <a:effectLst/>
                        </wps:spPr>
                        <wps:bodyPr/>
                      </wps:wsp>
                      <wps:wsp>
                        <wps:cNvPr id="271" name="Connector: Elbow 271"/>
                        <wps:cNvCnPr/>
                        <wps:spPr>
                          <a:xfrm rot="5400000">
                            <a:off x="1975583" y="3751782"/>
                            <a:ext cx="337728" cy="2262393"/>
                          </a:xfrm>
                          <a:prstGeom prst="bentConnector3">
                            <a:avLst>
                              <a:gd name="adj1" fmla="val 50000"/>
                            </a:avLst>
                          </a:prstGeom>
                          <a:noFill/>
                          <a:ln w="12700" cap="flat" cmpd="sng" algn="ctr">
                            <a:solidFill>
                              <a:sysClr val="windowText" lastClr="000000"/>
                            </a:solidFill>
                            <a:prstDash val="solid"/>
                            <a:miter lim="800000"/>
                            <a:tailEnd type="triangle"/>
                          </a:ln>
                          <a:effectLst/>
                        </wps:spPr>
                        <wps:bodyPr/>
                      </wps:wsp>
                    </wpc:wpc>
                  </a:graphicData>
                </a:graphic>
              </wp:inline>
            </w:drawing>
          </mc:Choice>
          <mc:Fallback>
            <w:pict>
              <v:group w14:anchorId="339471D0" id="Canvas 272" o:spid="_x0000_s1202" editas="canvas" style="width:345.85pt;height:476.2pt;mso-position-horizontal-relative:char;mso-position-vertical-relative:line" coordsize="43916,60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">
                <v:shape id="_x0000_s1203" type="#_x0000_t75" style="position:absolute;width:43916;height:60477;visibility:visible;mso-wrap-style:square" filled="t">
                  <v:fill o:detectmouseclick="t"/>
                  <v:path o:connecttype="none"/>
                </v:shape>
                <v:shape id="Flowchart: Process 255" o:spid="_x0000_s1204" type="#_x0000_t109" style="position:absolute;left:1608;top:2009;width:17477;height:8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" fillcolor="window" strokecolor="windowText" strokeweight="1pt">
                  <v:textbox>
                    <w:txbxContent>
                      <w:p w14:paraId="46C02056" w14:textId="7665A8E3" w:rsidR="007401F4" w:rsidRPr="00F24BEB" w:rsidRDefault="007401F4" w:rsidP="006E3616">
                        <w:pPr>
                          <w:spacing w:line="240" w:lineRule="auto"/>
                          <w:jc w:val="left"/>
                          <w:rPr>
                            <w:sz w:val="18"/>
                            <w:szCs w:val="18"/>
                          </w:rPr>
                        </w:pPr>
                        <w:r w:rsidRPr="00F24BEB">
                          <w:rPr>
                            <w:sz w:val="18"/>
                            <w:szCs w:val="18"/>
                          </w:rPr>
                          <w:t>4.</w:t>
                        </w:r>
                        <w:r>
                          <w:rPr>
                            <w:sz w:val="18"/>
                            <w:szCs w:val="18"/>
                          </w:rPr>
                          <w:t>11</w:t>
                        </w:r>
                        <w:r w:rsidRPr="00F24BEB">
                          <w:rPr>
                            <w:sz w:val="18"/>
                            <w:szCs w:val="18"/>
                          </w:rPr>
                          <w:t>.1 Thematic literature review to extract risks</w:t>
                        </w:r>
                      </w:p>
                    </w:txbxContent>
                  </v:textbox>
                </v:shape>
                <v:shape id="Flowchart: Process 256" o:spid="_x0000_s1205" type="#_x0000_t109" style="position:absolute;left:23813;top:1808;width:17477;height:8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" fillcolor="window" strokecolor="windowText" strokeweight="1pt">
                  <v:textbox>
                    <w:txbxContent>
                      <w:p w14:paraId="0B18D2FC" w14:textId="48B79011" w:rsidR="007401F4" w:rsidRPr="00F24BEB" w:rsidRDefault="007401F4" w:rsidP="006E3616">
                        <w:pPr>
                          <w:spacing w:line="256" w:lineRule="auto"/>
                          <w:jc w:val="left"/>
                          <w:rPr>
                            <w:sz w:val="18"/>
                            <w:szCs w:val="18"/>
                          </w:rPr>
                        </w:pPr>
                        <w:r w:rsidRPr="00F24BEB">
                          <w:rPr>
                            <w:rFonts w:eastAsia="Calibri"/>
                            <w:sz w:val="18"/>
                            <w:szCs w:val="18"/>
                          </w:rPr>
                          <w:t>4.</w:t>
                        </w:r>
                        <w:r>
                          <w:rPr>
                            <w:rFonts w:eastAsia="Calibri"/>
                            <w:sz w:val="18"/>
                            <w:szCs w:val="18"/>
                          </w:rPr>
                          <w:t>11</w:t>
                        </w:r>
                        <w:r w:rsidRPr="00F24BEB">
                          <w:rPr>
                            <w:rFonts w:eastAsia="Calibri"/>
                            <w:sz w:val="18"/>
                            <w:szCs w:val="18"/>
                          </w:rPr>
                          <w:t>.2a Expert opinion used to cluster risks as human, process, or technology</w:t>
                        </w:r>
                      </w:p>
                    </w:txbxContent>
                  </v:textbox>
                </v:shape>
                <v:shape id="Flowchart: Process 257" o:spid="_x0000_s1206" type="#_x0000_t109" style="position:absolute;left:1608;top:14250;width:17477;height:8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" fillcolor="window" strokecolor="windowText" strokeweight="1pt">
                  <v:textbox>
                    <w:txbxContent>
                      <w:p w14:paraId="3123B9E5" w14:textId="18D90F4B" w:rsidR="007401F4" w:rsidRPr="00F24BEB" w:rsidRDefault="007401F4" w:rsidP="006E3616">
                        <w:pPr>
                          <w:spacing w:line="254" w:lineRule="auto"/>
                          <w:jc w:val="left"/>
                          <w:rPr>
                            <w:sz w:val="18"/>
                            <w:szCs w:val="18"/>
                          </w:rPr>
                        </w:pPr>
                        <w:r w:rsidRPr="00F24BEB">
                          <w:rPr>
                            <w:rFonts w:eastAsia="Calibri"/>
                            <w:sz w:val="18"/>
                            <w:szCs w:val="18"/>
                          </w:rPr>
                          <w:t>4.</w:t>
                        </w:r>
                        <w:r>
                          <w:rPr>
                            <w:rFonts w:eastAsia="Calibri"/>
                            <w:sz w:val="18"/>
                            <w:szCs w:val="18"/>
                          </w:rPr>
                          <w:t>11</w:t>
                        </w:r>
                        <w:r w:rsidRPr="00F24BEB">
                          <w:rPr>
                            <w:rFonts w:eastAsia="Calibri"/>
                            <w:sz w:val="18"/>
                            <w:szCs w:val="18"/>
                          </w:rPr>
                          <w:t>.2b Thematic review with expert opinion used to discover assets at risk</w:t>
                        </w:r>
                      </w:p>
                    </w:txbxContent>
                  </v:textbox>
                </v:shape>
                <v:shape id="Flowchart: Process 258" o:spid="_x0000_s1207" type="#_x0000_t109" style="position:absolute;left:24018;top:14536;width:17476;height:8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" fillcolor="window" strokecolor="windowText" strokeweight="1pt">
                  <v:textbox>
                    <w:txbxContent>
                      <w:p w14:paraId="783978CE" w14:textId="74101B7D" w:rsidR="007401F4" w:rsidRDefault="007401F4" w:rsidP="006E3616">
                        <w:pPr>
                          <w:spacing w:line="252" w:lineRule="auto"/>
                          <w:jc w:val="left"/>
                          <w:rPr>
                            <w:szCs w:val="24"/>
                          </w:rPr>
                        </w:pPr>
                        <w:r>
                          <w:rPr>
                            <w:rFonts w:eastAsia="Calibri"/>
                            <w:sz w:val="18"/>
                            <w:szCs w:val="18"/>
                          </w:rPr>
                          <w:t>4.11.3 Thematic review with expert opinion used to identify strategies for mitigation and resilience.</w:t>
                        </w:r>
                      </w:p>
                    </w:txbxContent>
                  </v:textbox>
                </v:shape>
                <v:shape id="Flowchart: Process 259" o:spid="_x0000_s1208" type="#_x0000_t109" style="position:absolute;left:1608;top:26692;width:17477;height:8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" fillcolor="window" strokecolor="windowText" strokeweight="1pt">
                  <v:textbox>
                    <w:txbxContent>
                      <w:p w14:paraId="5908DE35" w14:textId="2762AB11" w:rsidR="007401F4" w:rsidRDefault="007401F4" w:rsidP="006E3616">
                        <w:pPr>
                          <w:spacing w:line="252" w:lineRule="auto"/>
                          <w:jc w:val="left"/>
                          <w:rPr>
                            <w:szCs w:val="24"/>
                          </w:rPr>
                        </w:pPr>
                        <w:r>
                          <w:rPr>
                            <w:rFonts w:eastAsia="Calibri"/>
                            <w:sz w:val="18"/>
                            <w:szCs w:val="18"/>
                          </w:rPr>
                          <w:t xml:space="preserve">4.13 Data collection - a Likert-type scale questionnaire used to collect data from the public sector </w:t>
                        </w:r>
                      </w:p>
                    </w:txbxContent>
                  </v:textbox>
                </v:shape>
                <v:shape id="Flowchart: Process 260" o:spid="_x0000_s1209" type="#_x0000_t109" style="position:absolute;left:24014;top:26596;width:17477;height:8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" fillcolor="window" strokecolor="windowText" strokeweight="1pt">
                  <v:textbox>
                    <w:txbxContent>
                      <w:p w14:paraId="1F3784E6" w14:textId="28D6191F" w:rsidR="007401F4" w:rsidRDefault="007401F4" w:rsidP="006E3616">
                        <w:pPr>
                          <w:spacing w:line="252" w:lineRule="auto"/>
                          <w:jc w:val="left"/>
                          <w:rPr>
                            <w:szCs w:val="24"/>
                          </w:rPr>
                        </w:pPr>
                        <w:r>
                          <w:rPr>
                            <w:rFonts w:eastAsia="Calibri"/>
                            <w:sz w:val="18"/>
                            <w:szCs w:val="18"/>
                          </w:rPr>
                          <w:t>4.13.1a Descriptive analysis used to describe clean data</w:t>
                        </w:r>
                      </w:p>
                    </w:txbxContent>
                  </v:textbox>
                </v:shape>
                <v:shape id="Flowchart: Process 261" o:spid="_x0000_s1210" type="#_x0000_t109" style="position:absolute;left:1608;top:38463;width:17477;height:8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" fillcolor="window" strokecolor="windowText" strokeweight="1pt">
                  <v:textbox>
                    <w:txbxContent>
                      <w:p w14:paraId="7A37FE10" w14:textId="3A86D21E" w:rsidR="007401F4" w:rsidRDefault="007401F4" w:rsidP="006E3616">
                        <w:pPr>
                          <w:spacing w:line="252" w:lineRule="auto"/>
                          <w:jc w:val="left"/>
                          <w:rPr>
                            <w:szCs w:val="24"/>
                          </w:rPr>
                        </w:pPr>
                        <w:r>
                          <w:rPr>
                            <w:rFonts w:eastAsia="Calibri"/>
                            <w:sz w:val="18"/>
                            <w:szCs w:val="18"/>
                          </w:rPr>
                          <w:t xml:space="preserve">4.13.1b Correlation analysis to find the association between external and internal threats with vulnerabilities </w:t>
                        </w:r>
                      </w:p>
                    </w:txbxContent>
                  </v:textbox>
                </v:shape>
                <v:shape id="Flowchart: Process 262" o:spid="_x0000_s1211" type="#_x0000_t109" style="position:absolute;left:24018;top:38463;width:17476;height:8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" fillcolor="window" strokecolor="windowText" strokeweight="1pt">
                  <v:textbox>
                    <w:txbxContent>
                      <w:p w14:paraId="046EA800" w14:textId="791CBDD7" w:rsidR="007401F4" w:rsidRDefault="007401F4" w:rsidP="006E3616">
                        <w:pPr>
                          <w:spacing w:line="252" w:lineRule="auto"/>
                          <w:jc w:val="left"/>
                          <w:rPr>
                            <w:szCs w:val="24"/>
                          </w:rPr>
                        </w:pPr>
                        <w:r>
                          <w:rPr>
                            <w:rFonts w:eastAsia="Calibri"/>
                            <w:sz w:val="18"/>
                            <w:szCs w:val="18"/>
                          </w:rPr>
                          <w:t>4.13.2a Several possibilities explored to model relationships between vulnerabilities, response in place and resilience</w:t>
                        </w:r>
                      </w:p>
                    </w:txbxContent>
                  </v:textbox>
                </v:shape>
                <v:shape id="Flowchart: Process 263" o:spid="_x0000_s1212" type="#_x0000_t109" style="position:absolute;left:1397;top:50522;width:17471;height:8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" fillcolor="window" strokecolor="windowText" strokeweight="1pt">
                  <v:textbox>
                    <w:txbxContent>
                      <w:p w14:paraId="53834829" w14:textId="35E4BCA0" w:rsidR="007401F4" w:rsidRDefault="007401F4" w:rsidP="006E3616">
                        <w:pPr>
                          <w:spacing w:line="252" w:lineRule="auto"/>
                          <w:jc w:val="left"/>
                          <w:rPr>
                            <w:szCs w:val="24"/>
                          </w:rPr>
                        </w:pPr>
                        <w:r>
                          <w:rPr>
                            <w:rFonts w:eastAsia="Calibri"/>
                            <w:sz w:val="18"/>
                            <w:szCs w:val="18"/>
                          </w:rPr>
                          <w:t>4.13.2b Based on these steps a framework will be developed for the assessment of vulnerability to cyber-risks</w:t>
                        </w:r>
                      </w:p>
                    </w:txbxContent>
                  </v:textbox>
                </v:shape>
                <v:shape id="Straight Arrow Connector 264" o:spid="_x0000_s1213" type="#_x0000_t32" style="position:absolute;left:19085;top:6350;width:4728;height: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" strokecolor="windowText" strokeweight="1pt">
                  <v:stroke endarrow="block" joinstyle="miter"/>
                </v:shape>
                <v:shape id="Connector: Elbow 265" o:spid="_x0000_s1214" type="#_x0000_t34" style="position:absolute;left:19569;top:1266;width:3760;height:2220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" strokecolor="windowText" strokeweight="1pt">
                  <v:stroke endarrow="block"/>
                </v:shape>
                <v:shape id="Straight Arrow Connector 266" o:spid="_x0000_s1215" type="#_x0000_t32" style="position:absolute;left:19085;top:18591;width:4933;height: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" strokecolor="windowText" strokeweight="1pt">
                  <v:stroke endarrow="block" joinstyle="miter"/>
                </v:shape>
                <v:shape id="Connector: Elbow 267" o:spid="_x0000_s1216" type="#_x0000_t34" style="position:absolute;left:19594;top:13527;width:3914;height:2241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" strokecolor="windowText" strokeweight="1pt">
                  <v:stroke endarrow="block"/>
                </v:shape>
                <v:shape id="Straight Arrow Connector 268" o:spid="_x0000_s1217" type="#_x0000_t32" style="position:absolute;left:19200;top:30913;width:4814;height: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" strokecolor="windowText" strokeweight="1pt">
                  <v:stroke endarrow="block" joinstyle="miter"/>
                </v:shape>
                <v:shape id="Connector: Elbow 269" o:spid="_x0000_s1218" type="#_x0000_t34" style="position:absolute;left:19957;top:25663;width:3186;height:2240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" strokecolor="windowText" strokeweight="1pt">
                  <v:stroke endarrow="block"/>
                </v:shape>
                <v:shape id="Straight Arrow Connector 270" o:spid="_x0000_s1219" type="#_x0000_t32" style="position:absolute;left:19085;top:42800;width:4933;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" strokecolor="windowText" strokeweight="1pt">
                  <v:stroke endarrow="block" joinstyle="miter"/>
                </v:shape>
                <v:shape id="Connector: Elbow 271" o:spid="_x0000_s1220" type="#_x0000_t34" style="position:absolute;left:19755;top:37518;width:3377;height:2262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" strokecolor="windowText" strokeweight="1pt">
                  <v:stroke endarrow="block"/>
                </v:shape>
                <w10:anchorlock/>
              </v:group>
            </w:pict>
          </mc:Fallback>
        </mc:AlternateContent>
      </w:r>
    </w:p>
    <w:p w14:paraId="65F436D5" w14:textId="34A39E50" w:rsidR="006E3616" w:rsidRPr="00400193" w:rsidRDefault="006E3616" w:rsidP="006E3616">
      <w:pPr>
        <w:pStyle w:val="Caption"/>
        <w:spacing w:after="240"/>
      </w:pPr>
      <w:bookmarkStart w:id="317" w:name="_Ref43495723"/>
      <w:bookmarkStart w:id="318" w:name="_Toc5538757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4</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7</w:t>
      </w:r>
      <w:r w:rsidR="00E35E8C" w:rsidRPr="00400193">
        <w:fldChar w:fldCharType="end"/>
      </w:r>
      <w:bookmarkEnd w:id="317"/>
      <w:r w:rsidRPr="00400193">
        <w:t>: Flowchart of the research process</w:t>
      </w:r>
      <w:bookmarkEnd w:id="318"/>
    </w:p>
    <w:p w14:paraId="64E87E44" w14:textId="77777777" w:rsidR="006E3616" w:rsidRPr="00400193" w:rsidRDefault="006E3616" w:rsidP="006E3616">
      <w:pPr>
        <w:pStyle w:val="Heading3"/>
        <w:rPr>
          <w:rFonts w:eastAsia="Calibri"/>
        </w:rPr>
      </w:pPr>
      <w:bookmarkStart w:id="319" w:name="_Toc505979481"/>
      <w:bookmarkStart w:id="320" w:name="_Toc18394882"/>
      <w:bookmarkStart w:id="321" w:name="_Ref43142331"/>
      <w:bookmarkStart w:id="322" w:name="_Ref43499987"/>
      <w:bookmarkStart w:id="323" w:name="_Ref45106365"/>
      <w:bookmarkStart w:id="324" w:name="_Toc61894727"/>
      <w:r w:rsidRPr="00400193">
        <w:rPr>
          <w:rFonts w:eastAsia="Calibri"/>
        </w:rPr>
        <w:t>Thematic Literature Review</w:t>
      </w:r>
      <w:bookmarkEnd w:id="319"/>
      <w:r w:rsidRPr="00400193">
        <w:rPr>
          <w:rFonts w:eastAsia="Calibri"/>
        </w:rPr>
        <w:t xml:space="preserve"> and Risk Clustering</w:t>
      </w:r>
      <w:bookmarkEnd w:id="320"/>
      <w:bookmarkEnd w:id="321"/>
      <w:bookmarkEnd w:id="322"/>
      <w:bookmarkEnd w:id="323"/>
      <w:bookmarkEnd w:id="324"/>
    </w:p>
    <w:p w14:paraId="4640DE54" w14:textId="77777777" w:rsidR="006E3616" w:rsidRPr="00400193" w:rsidRDefault="006E3616" w:rsidP="006E3616">
      <w:pPr>
        <w:rPr>
          <w:lang w:eastAsia="zh-CN"/>
        </w:rPr>
      </w:pPr>
      <w:r w:rsidRPr="00400193">
        <w:rPr>
          <w:lang w:eastAsia="zh-CN"/>
        </w:rPr>
        <w:t>This was used to identify the cyber-risks, and to consider the possibility of new risks or the recurrence of old risks. The risks were clustered into human, process, or technology risks, drawing on expert opinion. If opinion was divided on the classification of a particular risk, it was included in more than one category.</w:t>
      </w:r>
    </w:p>
    <w:p w14:paraId="419E1E5F" w14:textId="77777777" w:rsidR="006E3616" w:rsidRPr="00400193" w:rsidRDefault="006E3616" w:rsidP="006E3616">
      <w:pPr>
        <w:pStyle w:val="Heading3"/>
        <w:rPr>
          <w:rFonts w:eastAsia="Calibri"/>
        </w:rPr>
      </w:pPr>
      <w:bookmarkStart w:id="325" w:name="_Toc505979483"/>
      <w:bookmarkStart w:id="326" w:name="_Toc18394883"/>
      <w:bookmarkStart w:id="327" w:name="_Toc61894728"/>
      <w:r w:rsidRPr="00400193">
        <w:rPr>
          <w:rFonts w:eastAsia="Calibri"/>
        </w:rPr>
        <w:t>Identifying Assets at Risk</w:t>
      </w:r>
      <w:bookmarkEnd w:id="325"/>
      <w:bookmarkEnd w:id="326"/>
      <w:bookmarkEnd w:id="327"/>
    </w:p>
    <w:p w14:paraId="6A0004E4" w14:textId="77777777" w:rsidR="006E3616" w:rsidRPr="00400193" w:rsidRDefault="006E3616" w:rsidP="006E3616">
      <w:pPr>
        <w:rPr>
          <w:lang w:eastAsia="zh-CN"/>
        </w:rPr>
      </w:pPr>
      <w:r w:rsidRPr="00400193">
        <w:rPr>
          <w:lang w:eastAsia="zh-CN"/>
        </w:rPr>
        <w:t>A combination of the literature review with expert opinion was used to identify values or assets at risk.</w:t>
      </w:r>
    </w:p>
    <w:p w14:paraId="1DC88BA0" w14:textId="77777777" w:rsidR="006E3616" w:rsidRPr="00400193" w:rsidRDefault="006E3616" w:rsidP="006E3616">
      <w:pPr>
        <w:pStyle w:val="Heading3"/>
        <w:rPr>
          <w:rFonts w:eastAsia="Calibri"/>
        </w:rPr>
      </w:pPr>
      <w:bookmarkStart w:id="328" w:name="_Toc505979484"/>
      <w:bookmarkStart w:id="329" w:name="_Toc18394884"/>
      <w:bookmarkStart w:id="330" w:name="_Toc61894729"/>
      <w:r w:rsidRPr="00400193">
        <w:rPr>
          <w:rFonts w:eastAsia="Calibri"/>
        </w:rPr>
        <w:lastRenderedPageBreak/>
        <w:t>Identifying Strategies for Mitigation and Resilience</w:t>
      </w:r>
      <w:bookmarkEnd w:id="328"/>
      <w:bookmarkEnd w:id="329"/>
      <w:bookmarkEnd w:id="330"/>
    </w:p>
    <w:p w14:paraId="31A14913" w14:textId="77777777" w:rsidR="006E3616" w:rsidRPr="00400193" w:rsidRDefault="006E3616" w:rsidP="006E3616">
      <w:pPr>
        <w:rPr>
          <w:lang w:eastAsia="zh-CN"/>
        </w:rPr>
      </w:pPr>
      <w:r w:rsidRPr="00400193">
        <w:rPr>
          <w:lang w:eastAsia="zh-CN"/>
        </w:rPr>
        <w:t>The systematic literature review was also used to identify the strategies required for mitigation of risks and resilience to risks.</w:t>
      </w:r>
    </w:p>
    <w:p w14:paraId="74A1B488" w14:textId="77777777" w:rsidR="00283AFE" w:rsidRPr="00400193" w:rsidRDefault="00283AFE" w:rsidP="00283AFE">
      <w:pPr>
        <w:pStyle w:val="Heading2"/>
        <w:rPr>
          <w:rFonts w:eastAsia="SimSun"/>
          <w:lang w:eastAsia="zh-CN"/>
        </w:rPr>
      </w:pPr>
      <w:bookmarkStart w:id="331" w:name="_Toc494797953"/>
      <w:bookmarkStart w:id="332" w:name="_Toc494383054"/>
      <w:bookmarkStart w:id="333" w:name="_Toc18394888"/>
      <w:bookmarkStart w:id="334" w:name="_Toc61894730"/>
      <w:bookmarkStart w:id="335" w:name="_Toc505979485"/>
      <w:bookmarkStart w:id="336" w:name="_Toc18394885"/>
      <w:r w:rsidRPr="00400193">
        <w:rPr>
          <w:rFonts w:eastAsia="SimSun"/>
          <w:lang w:eastAsia="zh-CN"/>
        </w:rPr>
        <w:t xml:space="preserve">The </w:t>
      </w:r>
      <w:bookmarkEnd w:id="331"/>
      <w:bookmarkEnd w:id="332"/>
      <w:r w:rsidRPr="00400193">
        <w:rPr>
          <w:rFonts w:eastAsia="SimSun"/>
          <w:lang w:eastAsia="zh-CN"/>
        </w:rPr>
        <w:t>Pilot Study</w:t>
      </w:r>
      <w:bookmarkEnd w:id="333"/>
      <w:bookmarkEnd w:id="334"/>
    </w:p>
    <w:p w14:paraId="4CED5D2D" w14:textId="26EAE709" w:rsidR="007A5A7D" w:rsidRPr="00400193" w:rsidRDefault="007A5A7D" w:rsidP="00283AFE">
      <w:pPr>
        <w:rPr>
          <w:lang w:eastAsia="zh-CN"/>
        </w:rPr>
      </w:pPr>
      <w:r w:rsidRPr="00400193">
        <w:rPr>
          <w:lang w:eastAsia="zh-CN"/>
        </w:rPr>
        <w:t>Before issuing invitations to participate in the main study, the questionnaire was piloted – the pilot study is very important (van Teijlingen and Hundley, 2001), because it enables the researcher to ensure that questions are being understood and can be answered. When creating a questionnaire, it is very easy to assume that the participant will understand what is being asked, but that assumption is often false, because the participant is not looking for problems or difficulties and can therefore misunderstand the aim of a question. If the questionnaire is well designed, very few, if any changes will be needed before the main survey. That was the case here, as the following sections demonstrate.</w:t>
      </w:r>
    </w:p>
    <w:p w14:paraId="71849F02" w14:textId="77777777" w:rsidR="00F84034" w:rsidRPr="00400193" w:rsidRDefault="00F84034" w:rsidP="00F84034">
      <w:pPr>
        <w:pStyle w:val="Heading3"/>
        <w:rPr>
          <w:rFonts w:eastAsia="Calibri"/>
        </w:rPr>
      </w:pPr>
      <w:bookmarkStart w:id="337" w:name="_Toc61894731"/>
      <w:r w:rsidRPr="00400193">
        <w:rPr>
          <w:rFonts w:eastAsia="Calibri"/>
        </w:rPr>
        <w:t>The Pre-Pilot Surveys</w:t>
      </w:r>
      <w:bookmarkEnd w:id="337"/>
      <w:r w:rsidRPr="00400193">
        <w:rPr>
          <w:rFonts w:eastAsia="Calibri"/>
        </w:rPr>
        <w:t xml:space="preserve"> </w:t>
      </w:r>
    </w:p>
    <w:p w14:paraId="07D4F136" w14:textId="77777777" w:rsidR="00F84034" w:rsidRPr="00400193" w:rsidRDefault="00F84034" w:rsidP="00F84034">
      <w:pPr>
        <w:rPr>
          <w:lang w:eastAsia="zh-CN"/>
        </w:rPr>
      </w:pPr>
      <w:r w:rsidRPr="00400193">
        <w:rPr>
          <w:lang w:eastAsia="zh-CN"/>
        </w:rPr>
        <w:t xml:space="preserve">Before starting the pilot study, the researcher shared the questionnaires with an external specialist in statistics to make sure that the content was relevant to the study purposes and fit quantitative data analysis standards. The questionnaire was also discussed extensively with senior and junior academics to ensure that the questions were suitable. </w:t>
      </w:r>
    </w:p>
    <w:p w14:paraId="0F36643C" w14:textId="77777777" w:rsidR="00F84034" w:rsidRPr="00400193" w:rsidRDefault="00F84034" w:rsidP="00F84034">
      <w:pPr>
        <w:rPr>
          <w:lang w:eastAsia="zh-CN"/>
        </w:rPr>
      </w:pPr>
      <w:r w:rsidRPr="00400193">
        <w:rPr>
          <w:lang w:eastAsia="zh-CN"/>
        </w:rPr>
        <w:t>The researcher also ran a trial survey with two work colleagues to test the data collection processes, and to estimate the time needed to complete the survey, which was around one hour. This part of the pre-pilot enabled the questionnaire to be edited and any misleading questions to be amended. The next section describes the pilot study itself, and the procedures followed to gather data.</w:t>
      </w:r>
    </w:p>
    <w:p w14:paraId="1CAE0B4E" w14:textId="51F877E2" w:rsidR="007A5A7D" w:rsidRPr="00400193" w:rsidRDefault="007A5A7D" w:rsidP="007A5A7D">
      <w:pPr>
        <w:pStyle w:val="Heading3"/>
        <w:rPr>
          <w:lang w:eastAsia="zh-CN"/>
        </w:rPr>
      </w:pPr>
      <w:bookmarkStart w:id="338" w:name="_Toc61894732"/>
      <w:r w:rsidRPr="00400193">
        <w:rPr>
          <w:lang w:eastAsia="zh-CN"/>
        </w:rPr>
        <w:t>Pilot Study Details</w:t>
      </w:r>
      <w:bookmarkEnd w:id="338"/>
    </w:p>
    <w:p w14:paraId="7A97B2E0" w14:textId="21441BDB" w:rsidR="00283AFE" w:rsidRPr="00400193" w:rsidRDefault="00283AFE" w:rsidP="00283AFE">
      <w:pPr>
        <w:rPr>
          <w:lang w:eastAsia="zh-CN"/>
        </w:rPr>
      </w:pPr>
      <w:r w:rsidRPr="00400193">
        <w:rPr>
          <w:lang w:eastAsia="zh-CN"/>
        </w:rPr>
        <w:t xml:space="preserve">To ensure the survey quality and the cohesiveness of the questions, a pilot study was carried out involving six participants from three selected public sector organisations. The selected organisations were chosen using the following criteria: located in Abu Dhabi, with more than 200 employees, and clear structural organisational divisions (top, middle, and functional management). The data gathered in this pilot study was therefore limited to those organisations, and the number who were willing to participate after sending an email invitation via the HR Departments. After several </w:t>
      </w:r>
      <w:r w:rsidRPr="00400193">
        <w:rPr>
          <w:lang w:eastAsia="zh-CN"/>
        </w:rPr>
        <w:lastRenderedPageBreak/>
        <w:t xml:space="preserve">communications, only four of the 12 people invited to participate had fully completed the survey. Six invitees declined to participate because of work commitments and the survey length. The deadline was extended, but they still declined to participate. </w:t>
      </w:r>
    </w:p>
    <w:p w14:paraId="6137BD5D" w14:textId="3DE57DB4" w:rsidR="00B17F65" w:rsidRPr="00400193" w:rsidRDefault="00283AFE" w:rsidP="00B17F65">
      <w:pPr>
        <w:rPr>
          <w:lang w:eastAsia="zh-CN"/>
        </w:rPr>
      </w:pPr>
      <w:r w:rsidRPr="00400193">
        <w:rPr>
          <w:lang w:eastAsia="zh-CN"/>
        </w:rPr>
        <w:t xml:space="preserve">Overall, two pilot surveys were eventually received from top managers, one from a middle manager, and three from operational managers. This therefore reflected the purposive sampling that was used within the study organisations. Despite the low number of responses, the pilot study was useful, and supported the study. </w:t>
      </w:r>
      <w:r w:rsidR="00B17F65" w:rsidRPr="00400193">
        <w:rPr>
          <w:lang w:eastAsia="zh-CN"/>
        </w:rPr>
        <w:t xml:space="preserve">The next section discusses the ethical considerations considered in this research and the steps used in the pilot study. </w:t>
      </w:r>
    </w:p>
    <w:p w14:paraId="32688043" w14:textId="64B03B19" w:rsidR="00B17F65" w:rsidRPr="00400193" w:rsidRDefault="00B17F65" w:rsidP="00B17F65">
      <w:pPr>
        <w:rPr>
          <w:lang w:eastAsia="zh-CN"/>
        </w:rPr>
      </w:pPr>
      <w:r w:rsidRPr="00400193">
        <w:rPr>
          <w:lang w:eastAsia="zh-CN"/>
        </w:rPr>
        <w:t xml:space="preserve">The demographic information about the six participants in the pilot study is shown in </w:t>
      </w:r>
      <w:r w:rsidRPr="00400193">
        <w:rPr>
          <w:lang w:eastAsia="zh-CN"/>
        </w:rPr>
        <w:fldChar w:fldCharType="begin"/>
      </w:r>
      <w:r w:rsidRPr="00400193">
        <w:rPr>
          <w:lang w:eastAsia="zh-CN"/>
        </w:rPr>
        <w:instrText xml:space="preserve"> REF _Ref43142657 \h </w:instrText>
      </w:r>
      <w:r w:rsidRPr="00400193">
        <w:rPr>
          <w:lang w:eastAsia="zh-CN"/>
        </w:rPr>
      </w:r>
      <w:r w:rsidRPr="00400193">
        <w:rPr>
          <w:lang w:eastAsia="zh-CN"/>
        </w:rPr>
        <w:fldChar w:fldCharType="separate"/>
      </w:r>
      <w:r w:rsidR="00BB7C18" w:rsidRPr="00400193">
        <w:t xml:space="preserve">Table </w:t>
      </w:r>
      <w:r w:rsidR="00BB7C18">
        <w:rPr>
          <w:noProof/>
          <w:cs/>
        </w:rPr>
        <w:t>‎</w:t>
      </w:r>
      <w:r w:rsidR="00BB7C18">
        <w:rPr>
          <w:noProof/>
        </w:rPr>
        <w:t>4</w:t>
      </w:r>
      <w:r w:rsidR="00BB7C18" w:rsidRPr="00400193">
        <w:noBreakHyphen/>
      </w:r>
      <w:r w:rsidR="00BB7C18">
        <w:rPr>
          <w:noProof/>
        </w:rPr>
        <w:t>2</w:t>
      </w:r>
      <w:r w:rsidRPr="00400193">
        <w:rPr>
          <w:lang w:eastAsia="zh-CN"/>
        </w:rPr>
        <w:fldChar w:fldCharType="end"/>
      </w:r>
      <w:r w:rsidRPr="00400193">
        <w:rPr>
          <w:lang w:eastAsia="zh-CN"/>
        </w:rPr>
        <w:t xml:space="preserve">. This included information on current position, age, gender, education level, years of experience, and type of experiences. For privacy reasons, the names of participants and organisations were removed. As can be seen from </w:t>
      </w:r>
      <w:r w:rsidRPr="00400193">
        <w:rPr>
          <w:lang w:eastAsia="zh-CN"/>
        </w:rPr>
        <w:fldChar w:fldCharType="begin"/>
      </w:r>
      <w:r w:rsidRPr="00400193">
        <w:rPr>
          <w:lang w:eastAsia="zh-CN"/>
        </w:rPr>
        <w:instrText xml:space="preserve"> REF _Ref43142657 \h </w:instrText>
      </w:r>
      <w:r w:rsidRPr="00400193">
        <w:rPr>
          <w:lang w:eastAsia="zh-CN"/>
        </w:rPr>
      </w:r>
      <w:r w:rsidRPr="00400193">
        <w:rPr>
          <w:lang w:eastAsia="zh-CN"/>
        </w:rPr>
        <w:fldChar w:fldCharType="separate"/>
      </w:r>
      <w:r w:rsidR="00BB7C18" w:rsidRPr="00400193">
        <w:t xml:space="preserve">Table </w:t>
      </w:r>
      <w:r w:rsidR="00BB7C18">
        <w:rPr>
          <w:noProof/>
          <w:cs/>
        </w:rPr>
        <w:t>‎</w:t>
      </w:r>
      <w:r w:rsidR="00BB7C18">
        <w:rPr>
          <w:noProof/>
        </w:rPr>
        <w:t>4</w:t>
      </w:r>
      <w:r w:rsidR="00BB7C18" w:rsidRPr="00400193">
        <w:noBreakHyphen/>
      </w:r>
      <w:r w:rsidR="00BB7C18">
        <w:rPr>
          <w:noProof/>
        </w:rPr>
        <w:t>2</w:t>
      </w:r>
      <w:r w:rsidRPr="00400193">
        <w:rPr>
          <w:lang w:eastAsia="zh-CN"/>
        </w:rPr>
        <w:fldChar w:fldCharType="end"/>
      </w:r>
      <w:r w:rsidRPr="00400193">
        <w:rPr>
          <w:lang w:eastAsia="zh-CN"/>
        </w:rPr>
        <w:t xml:space="preserve">, 33.3% of the participants were from the top management, 16.7% from middle management managers, and 50% were operational level managers. </w:t>
      </w:r>
    </w:p>
    <w:tbl>
      <w:tblPr>
        <w:tblStyle w:val="PlainTable2"/>
        <w:tblW w:w="0" w:type="auto"/>
        <w:tblLook w:val="04A0" w:firstRow="1" w:lastRow="0" w:firstColumn="1" w:lastColumn="0" w:noHBand="0" w:noVBand="1"/>
      </w:tblPr>
      <w:tblGrid>
        <w:gridCol w:w="2605"/>
        <w:gridCol w:w="934"/>
        <w:gridCol w:w="990"/>
        <w:gridCol w:w="2278"/>
        <w:gridCol w:w="1890"/>
      </w:tblGrid>
      <w:tr w:rsidR="00A0618E" w:rsidRPr="00400193" w14:paraId="7E8AAB7C" w14:textId="77777777" w:rsidTr="007A5A7D">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2605" w:type="dxa"/>
            <w:vAlign w:val="center"/>
            <w:hideMark/>
          </w:tcPr>
          <w:p w14:paraId="6E8657A3"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Participants Position</w:t>
            </w:r>
          </w:p>
        </w:tc>
        <w:tc>
          <w:tcPr>
            <w:tcW w:w="934" w:type="dxa"/>
            <w:vAlign w:val="center"/>
            <w:hideMark/>
          </w:tcPr>
          <w:p w14:paraId="32DCEEB8" w14:textId="77777777" w:rsidR="00283AFE" w:rsidRPr="00400193" w:rsidRDefault="00283AFE" w:rsidP="007A5A7D">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Age Range</w:t>
            </w:r>
          </w:p>
        </w:tc>
        <w:tc>
          <w:tcPr>
            <w:tcW w:w="990" w:type="dxa"/>
            <w:vAlign w:val="center"/>
            <w:hideMark/>
          </w:tcPr>
          <w:p w14:paraId="60BECEE6" w14:textId="77777777" w:rsidR="00283AFE" w:rsidRPr="00400193" w:rsidRDefault="00283AFE" w:rsidP="007A5A7D">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Gender</w:t>
            </w:r>
          </w:p>
        </w:tc>
        <w:tc>
          <w:tcPr>
            <w:tcW w:w="2278" w:type="dxa"/>
            <w:vAlign w:val="center"/>
            <w:hideMark/>
          </w:tcPr>
          <w:p w14:paraId="13144764" w14:textId="77777777" w:rsidR="00283AFE" w:rsidRPr="00400193" w:rsidRDefault="00283AFE" w:rsidP="007A5A7D">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Positions Hierarchy </w:t>
            </w:r>
          </w:p>
        </w:tc>
        <w:tc>
          <w:tcPr>
            <w:tcW w:w="1890" w:type="dxa"/>
            <w:vAlign w:val="center"/>
            <w:hideMark/>
          </w:tcPr>
          <w:p w14:paraId="0C038825" w14:textId="77777777" w:rsidR="00283AFE" w:rsidRPr="00400193" w:rsidRDefault="00283AFE" w:rsidP="007A5A7D">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Public Sector Years of Experience</w:t>
            </w:r>
          </w:p>
        </w:tc>
      </w:tr>
      <w:tr w:rsidR="00A0618E" w:rsidRPr="00400193" w14:paraId="6232D0C5" w14:textId="77777777" w:rsidTr="007A5A7D">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605" w:type="dxa"/>
            <w:vAlign w:val="center"/>
            <w:hideMark/>
          </w:tcPr>
          <w:p w14:paraId="28E1AF28"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Executive Director </w:t>
            </w:r>
          </w:p>
        </w:tc>
        <w:tc>
          <w:tcPr>
            <w:tcW w:w="934" w:type="dxa"/>
            <w:vAlign w:val="center"/>
            <w:hideMark/>
          </w:tcPr>
          <w:p w14:paraId="750955CA"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40–50 </w:t>
            </w:r>
          </w:p>
        </w:tc>
        <w:tc>
          <w:tcPr>
            <w:tcW w:w="990" w:type="dxa"/>
            <w:vAlign w:val="center"/>
            <w:hideMark/>
          </w:tcPr>
          <w:p w14:paraId="022D126F"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Male</w:t>
            </w:r>
          </w:p>
        </w:tc>
        <w:tc>
          <w:tcPr>
            <w:tcW w:w="2278" w:type="dxa"/>
            <w:vAlign w:val="center"/>
            <w:hideMark/>
          </w:tcPr>
          <w:p w14:paraId="1628DD1B"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Top management</w:t>
            </w:r>
          </w:p>
        </w:tc>
        <w:tc>
          <w:tcPr>
            <w:tcW w:w="1890" w:type="dxa"/>
            <w:vAlign w:val="center"/>
            <w:hideMark/>
          </w:tcPr>
          <w:p w14:paraId="38B711CE"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23 years</w:t>
            </w:r>
          </w:p>
        </w:tc>
      </w:tr>
      <w:tr w:rsidR="00A0618E" w:rsidRPr="00400193" w14:paraId="28AB9B0C" w14:textId="77777777" w:rsidTr="007A5A7D">
        <w:trPr>
          <w:trHeight w:val="269"/>
        </w:trPr>
        <w:tc>
          <w:tcPr>
            <w:cnfStyle w:val="001000000000" w:firstRow="0" w:lastRow="0" w:firstColumn="1" w:lastColumn="0" w:oddVBand="0" w:evenVBand="0" w:oddHBand="0" w:evenHBand="0" w:firstRowFirstColumn="0" w:firstRowLastColumn="0" w:lastRowFirstColumn="0" w:lastRowLastColumn="0"/>
            <w:tcW w:w="2605" w:type="dxa"/>
            <w:vAlign w:val="center"/>
            <w:hideMark/>
          </w:tcPr>
          <w:p w14:paraId="527FF39A"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Executive Manager </w:t>
            </w:r>
          </w:p>
        </w:tc>
        <w:tc>
          <w:tcPr>
            <w:tcW w:w="934" w:type="dxa"/>
            <w:vAlign w:val="center"/>
            <w:hideMark/>
          </w:tcPr>
          <w:p w14:paraId="11B13337"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30–40 </w:t>
            </w:r>
          </w:p>
        </w:tc>
        <w:tc>
          <w:tcPr>
            <w:tcW w:w="990" w:type="dxa"/>
            <w:vAlign w:val="center"/>
            <w:hideMark/>
          </w:tcPr>
          <w:p w14:paraId="56067768" w14:textId="77777777" w:rsidR="00283AFE" w:rsidRPr="00400193" w:rsidRDefault="00283AFE" w:rsidP="007A5A7D">
            <w:pPr>
              <w:spacing w:before="40" w:after="40"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Arial Unicode MS" w:hAnsiTheme="minorHAnsi" w:cstheme="minorHAnsi"/>
                <w:sz w:val="22"/>
              </w:rPr>
            </w:pPr>
            <w:r w:rsidRPr="00400193">
              <w:rPr>
                <w:rFonts w:asciiTheme="minorHAnsi" w:eastAsia="Times New Roman" w:hAnsiTheme="minorHAnsi" w:cstheme="minorHAnsi"/>
                <w:sz w:val="22"/>
              </w:rPr>
              <w:t>Male</w:t>
            </w:r>
          </w:p>
        </w:tc>
        <w:tc>
          <w:tcPr>
            <w:tcW w:w="2278" w:type="dxa"/>
            <w:vAlign w:val="center"/>
            <w:hideMark/>
          </w:tcPr>
          <w:p w14:paraId="511FB3FC"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Middle management</w:t>
            </w:r>
          </w:p>
        </w:tc>
        <w:tc>
          <w:tcPr>
            <w:tcW w:w="1890" w:type="dxa"/>
            <w:vAlign w:val="center"/>
            <w:hideMark/>
          </w:tcPr>
          <w:p w14:paraId="4848B745"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14 years</w:t>
            </w:r>
          </w:p>
        </w:tc>
      </w:tr>
      <w:tr w:rsidR="00A0618E" w:rsidRPr="00400193" w14:paraId="228E6F27" w14:textId="77777777" w:rsidTr="007A5A7D">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2605" w:type="dxa"/>
            <w:vAlign w:val="center"/>
          </w:tcPr>
          <w:p w14:paraId="5A67F20D"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Executive Director </w:t>
            </w:r>
          </w:p>
        </w:tc>
        <w:tc>
          <w:tcPr>
            <w:tcW w:w="934" w:type="dxa"/>
            <w:vAlign w:val="center"/>
          </w:tcPr>
          <w:p w14:paraId="60BDBCA1"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40–50 </w:t>
            </w:r>
          </w:p>
        </w:tc>
        <w:tc>
          <w:tcPr>
            <w:tcW w:w="990" w:type="dxa"/>
            <w:vAlign w:val="center"/>
          </w:tcPr>
          <w:p w14:paraId="69FA5982"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Male</w:t>
            </w:r>
          </w:p>
        </w:tc>
        <w:tc>
          <w:tcPr>
            <w:tcW w:w="2278" w:type="dxa"/>
            <w:vAlign w:val="center"/>
          </w:tcPr>
          <w:p w14:paraId="4448B515"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Top management</w:t>
            </w:r>
          </w:p>
        </w:tc>
        <w:tc>
          <w:tcPr>
            <w:tcW w:w="1890" w:type="dxa"/>
            <w:vAlign w:val="center"/>
          </w:tcPr>
          <w:p w14:paraId="3457ACD6"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22 years</w:t>
            </w:r>
          </w:p>
        </w:tc>
      </w:tr>
      <w:tr w:rsidR="00A0618E" w:rsidRPr="00400193" w14:paraId="5B7D0578" w14:textId="77777777" w:rsidTr="007A5A7D">
        <w:trPr>
          <w:trHeight w:val="351"/>
        </w:trPr>
        <w:tc>
          <w:tcPr>
            <w:cnfStyle w:val="001000000000" w:firstRow="0" w:lastRow="0" w:firstColumn="1" w:lastColumn="0" w:oddVBand="0" w:evenVBand="0" w:oddHBand="0" w:evenHBand="0" w:firstRowFirstColumn="0" w:firstRowLastColumn="0" w:lastRowFirstColumn="0" w:lastRowLastColumn="0"/>
            <w:tcW w:w="2605" w:type="dxa"/>
            <w:vAlign w:val="center"/>
          </w:tcPr>
          <w:p w14:paraId="4D4AE3BD"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Senior Projects Manager </w:t>
            </w:r>
          </w:p>
        </w:tc>
        <w:tc>
          <w:tcPr>
            <w:tcW w:w="934" w:type="dxa"/>
            <w:vAlign w:val="center"/>
          </w:tcPr>
          <w:p w14:paraId="4D0FA8D2"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30–40 </w:t>
            </w:r>
          </w:p>
        </w:tc>
        <w:tc>
          <w:tcPr>
            <w:tcW w:w="990" w:type="dxa"/>
            <w:vAlign w:val="center"/>
          </w:tcPr>
          <w:p w14:paraId="6CCC4DFD"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Male</w:t>
            </w:r>
          </w:p>
        </w:tc>
        <w:tc>
          <w:tcPr>
            <w:tcW w:w="2278" w:type="dxa"/>
            <w:vAlign w:val="center"/>
          </w:tcPr>
          <w:p w14:paraId="74D8CA9C"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Operational management</w:t>
            </w:r>
          </w:p>
        </w:tc>
        <w:tc>
          <w:tcPr>
            <w:tcW w:w="1890" w:type="dxa"/>
            <w:vAlign w:val="center"/>
          </w:tcPr>
          <w:p w14:paraId="3BE1AB7F"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12 years</w:t>
            </w:r>
          </w:p>
        </w:tc>
      </w:tr>
      <w:tr w:rsidR="00A0618E" w:rsidRPr="00400193" w14:paraId="3E9249ED" w14:textId="77777777" w:rsidTr="007A5A7D">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2605" w:type="dxa"/>
            <w:vAlign w:val="center"/>
          </w:tcPr>
          <w:p w14:paraId="6647C0BB"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Operational Manager </w:t>
            </w:r>
          </w:p>
        </w:tc>
        <w:tc>
          <w:tcPr>
            <w:tcW w:w="934" w:type="dxa"/>
            <w:vAlign w:val="center"/>
          </w:tcPr>
          <w:p w14:paraId="69B9B49A"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30–40 </w:t>
            </w:r>
          </w:p>
        </w:tc>
        <w:tc>
          <w:tcPr>
            <w:tcW w:w="990" w:type="dxa"/>
            <w:vAlign w:val="center"/>
          </w:tcPr>
          <w:p w14:paraId="14525CA7" w14:textId="77777777" w:rsidR="00283AFE" w:rsidRPr="00400193" w:rsidRDefault="00283AFE" w:rsidP="007A5A7D">
            <w:pPr>
              <w:spacing w:before="40" w:after="40"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Arial Unicode MS" w:hAnsiTheme="minorHAnsi" w:cstheme="minorHAnsi"/>
                <w:sz w:val="22"/>
              </w:rPr>
            </w:pPr>
            <w:r w:rsidRPr="00400193">
              <w:rPr>
                <w:rFonts w:asciiTheme="minorHAnsi" w:eastAsia="Times New Roman" w:hAnsiTheme="minorHAnsi" w:cstheme="minorHAnsi"/>
                <w:sz w:val="22"/>
              </w:rPr>
              <w:t>Male</w:t>
            </w:r>
          </w:p>
        </w:tc>
        <w:tc>
          <w:tcPr>
            <w:tcW w:w="2278" w:type="dxa"/>
            <w:vAlign w:val="center"/>
          </w:tcPr>
          <w:p w14:paraId="36B92AF1"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Operational management</w:t>
            </w:r>
          </w:p>
        </w:tc>
        <w:tc>
          <w:tcPr>
            <w:tcW w:w="1890" w:type="dxa"/>
            <w:vAlign w:val="center"/>
          </w:tcPr>
          <w:p w14:paraId="78B122D5" w14:textId="77777777" w:rsidR="00283AFE" w:rsidRPr="00400193" w:rsidRDefault="00283AFE" w:rsidP="007A5A7D">
            <w:pPr>
              <w:spacing w:line="240" w:lineRule="auto"/>
              <w:jc w:val="lef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10 years</w:t>
            </w:r>
          </w:p>
        </w:tc>
      </w:tr>
      <w:tr w:rsidR="00A0618E" w:rsidRPr="00400193" w14:paraId="2E27AFAA" w14:textId="77777777" w:rsidTr="007A5A7D">
        <w:trPr>
          <w:trHeight w:val="351"/>
        </w:trPr>
        <w:tc>
          <w:tcPr>
            <w:cnfStyle w:val="001000000000" w:firstRow="0" w:lastRow="0" w:firstColumn="1" w:lastColumn="0" w:oddVBand="0" w:evenVBand="0" w:oddHBand="0" w:evenHBand="0" w:firstRowFirstColumn="0" w:firstRowLastColumn="0" w:lastRowFirstColumn="0" w:lastRowLastColumn="0"/>
            <w:tcW w:w="2605" w:type="dxa"/>
            <w:vAlign w:val="center"/>
          </w:tcPr>
          <w:p w14:paraId="0D2AEF61" w14:textId="77777777" w:rsidR="00283AFE" w:rsidRPr="00400193" w:rsidRDefault="00283AFE" w:rsidP="007A5A7D">
            <w:pPr>
              <w:spacing w:line="240" w:lineRule="auto"/>
              <w:jc w:val="left"/>
              <w:rPr>
                <w:rFonts w:asciiTheme="minorHAnsi" w:eastAsia="Times New Roman" w:hAnsiTheme="minorHAnsi" w:cstheme="minorHAnsi"/>
                <w:sz w:val="22"/>
              </w:rPr>
            </w:pPr>
            <w:r w:rsidRPr="00400193">
              <w:rPr>
                <w:rFonts w:asciiTheme="minorHAnsi" w:eastAsia="Times New Roman" w:hAnsiTheme="minorHAnsi" w:cstheme="minorHAnsi"/>
                <w:sz w:val="22"/>
              </w:rPr>
              <w:t xml:space="preserve">Project Manager </w:t>
            </w:r>
          </w:p>
        </w:tc>
        <w:tc>
          <w:tcPr>
            <w:tcW w:w="934" w:type="dxa"/>
            <w:vAlign w:val="center"/>
          </w:tcPr>
          <w:p w14:paraId="432E0D64"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 xml:space="preserve">20–30 </w:t>
            </w:r>
          </w:p>
        </w:tc>
        <w:tc>
          <w:tcPr>
            <w:tcW w:w="990" w:type="dxa"/>
            <w:vAlign w:val="center"/>
          </w:tcPr>
          <w:p w14:paraId="58C49529"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Male</w:t>
            </w:r>
          </w:p>
        </w:tc>
        <w:tc>
          <w:tcPr>
            <w:tcW w:w="2278" w:type="dxa"/>
            <w:vAlign w:val="center"/>
          </w:tcPr>
          <w:p w14:paraId="089B2BF3" w14:textId="77777777" w:rsidR="00283AFE" w:rsidRPr="00400193" w:rsidRDefault="00283AFE" w:rsidP="007A5A7D">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Operational management</w:t>
            </w:r>
          </w:p>
        </w:tc>
        <w:tc>
          <w:tcPr>
            <w:tcW w:w="1890" w:type="dxa"/>
            <w:vAlign w:val="center"/>
          </w:tcPr>
          <w:p w14:paraId="43F1CBE4" w14:textId="77777777" w:rsidR="00283AFE" w:rsidRPr="00400193" w:rsidRDefault="00283AFE" w:rsidP="007A5A7D">
            <w:pPr>
              <w:keepNext/>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2"/>
              </w:rPr>
            </w:pPr>
            <w:r w:rsidRPr="00400193">
              <w:rPr>
                <w:rFonts w:asciiTheme="minorHAnsi" w:eastAsia="Times New Roman" w:hAnsiTheme="minorHAnsi" w:cstheme="minorHAnsi"/>
                <w:sz w:val="22"/>
              </w:rPr>
              <w:t>9 years</w:t>
            </w:r>
          </w:p>
        </w:tc>
      </w:tr>
    </w:tbl>
    <w:p w14:paraId="438ACB53" w14:textId="0BE5A939" w:rsidR="00283AFE" w:rsidRPr="00400193" w:rsidRDefault="00283AFE" w:rsidP="00283AFE">
      <w:pPr>
        <w:pStyle w:val="Caption"/>
        <w:spacing w:after="240"/>
      </w:pPr>
      <w:bookmarkStart w:id="339" w:name="_Ref43142657"/>
      <w:bookmarkStart w:id="340" w:name="_Toc5290154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4</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w:t>
      </w:r>
      <w:r w:rsidRPr="00400193">
        <w:fldChar w:fldCharType="end"/>
      </w:r>
      <w:bookmarkEnd w:id="339"/>
      <w:r w:rsidRPr="00400193">
        <w:t>: The pilot survey participants’ demographic data</w:t>
      </w:r>
      <w:bookmarkEnd w:id="340"/>
    </w:p>
    <w:p w14:paraId="37A43AC8" w14:textId="77777777" w:rsidR="00283AFE" w:rsidRPr="00400193" w:rsidRDefault="00283AFE" w:rsidP="00283AFE">
      <w:pPr>
        <w:rPr>
          <w:lang w:eastAsia="zh-CN"/>
        </w:rPr>
      </w:pPr>
      <w:r w:rsidRPr="00400193">
        <w:rPr>
          <w:lang w:eastAsia="zh-CN"/>
        </w:rPr>
        <w:t>All the pilot study participants had management responsibilities, but at different levels. This allowed the researcher to check that the questionnaire exposed contrasts in perspectives at different levels of management. The next section describes the process of making initial contact and gaining access to the organisations and the study participants.</w:t>
      </w:r>
    </w:p>
    <w:p w14:paraId="326FE64B" w14:textId="77777777" w:rsidR="00283AFE" w:rsidRPr="00400193" w:rsidRDefault="00283AFE" w:rsidP="00283AFE">
      <w:pPr>
        <w:pStyle w:val="Heading4"/>
        <w:rPr>
          <w:rFonts w:eastAsia="Calibri"/>
        </w:rPr>
      </w:pPr>
      <w:bookmarkStart w:id="341" w:name="_Toc494797954"/>
      <w:bookmarkStart w:id="342" w:name="_Toc494376084"/>
      <w:bookmarkStart w:id="343" w:name="_Toc494233344"/>
      <w:bookmarkStart w:id="344" w:name="_Toc18394889"/>
      <w:bookmarkStart w:id="345" w:name="_Toc61894733"/>
      <w:r w:rsidRPr="00400193">
        <w:rPr>
          <w:rFonts w:eastAsia="Calibri"/>
        </w:rPr>
        <w:lastRenderedPageBreak/>
        <w:t>Initial Contacts and Gaining Access</w:t>
      </w:r>
      <w:bookmarkEnd w:id="341"/>
      <w:bookmarkEnd w:id="342"/>
      <w:bookmarkEnd w:id="343"/>
      <w:bookmarkEnd w:id="344"/>
      <w:bookmarkEnd w:id="345"/>
    </w:p>
    <w:p w14:paraId="09E2AAB5" w14:textId="77777777" w:rsidR="00283AFE" w:rsidRPr="00400193" w:rsidRDefault="00283AFE" w:rsidP="00283AFE">
      <w:pPr>
        <w:rPr>
          <w:lang w:eastAsia="zh-CN"/>
        </w:rPr>
      </w:pPr>
      <w:r w:rsidRPr="00400193">
        <w:rPr>
          <w:lang w:eastAsia="zh-CN"/>
        </w:rPr>
        <w:t>For the pilot study, the researcher initially contacted the potential participants by email with help from the organisations’ HR Departments. In total, 12 invitations were sent to potential participants working at managerial level, to explain about the research objective, aims, and significance. In particular, it explained that the study might help to improve cyber-security resilience and reduce the organisation’s future risks. The email stated that the survey would take between 10 and 20 minutes to complete. The participants were asked to submit their completed survey to the researcher within 10 working days of the email date.</w:t>
      </w:r>
    </w:p>
    <w:p w14:paraId="57BBA4F7" w14:textId="77777777" w:rsidR="00283AFE" w:rsidRPr="00400193" w:rsidRDefault="00283AFE" w:rsidP="00283AFE">
      <w:pPr>
        <w:rPr>
          <w:lang w:eastAsia="zh-CN"/>
        </w:rPr>
      </w:pPr>
      <w:r w:rsidRPr="00400193">
        <w:rPr>
          <w:lang w:eastAsia="zh-CN"/>
        </w:rPr>
        <w:t xml:space="preserve">To improve the success of the data gathering process, the researcher and the HR managers organised a meeting to provide the six potential participants with a general overview of the research objectives, aims, and significance. This first contact with participants was very useful to make sure that the participants were aware of the study’s purpose, and to answer any questions or address concerns. During this meeting, the researcher also highlighted the consent procedure and the rights of the participants. The meeting concluded by asking the participants to return their completed questionnaires within 10 working days. </w:t>
      </w:r>
    </w:p>
    <w:p w14:paraId="54B46EF2" w14:textId="77777777" w:rsidR="00283AFE" w:rsidRPr="00400193" w:rsidRDefault="00283AFE" w:rsidP="00283AFE">
      <w:pPr>
        <w:rPr>
          <w:lang w:eastAsia="zh-CN"/>
        </w:rPr>
      </w:pPr>
      <w:r w:rsidRPr="00400193">
        <w:rPr>
          <w:lang w:eastAsia="zh-CN"/>
        </w:rPr>
        <w:t>The pilot study therefore took around 1 month to set up, including communicating with the pilot study organisations, arranging to meet potential participants, and holding the meeting. The next sections explain the pilot study and the data collection processes.</w:t>
      </w:r>
    </w:p>
    <w:p w14:paraId="249952FB" w14:textId="77777777" w:rsidR="00283AFE" w:rsidRPr="00400193" w:rsidRDefault="00283AFE" w:rsidP="00283AFE">
      <w:pPr>
        <w:pStyle w:val="Heading3"/>
        <w:rPr>
          <w:rFonts w:eastAsia="Calibri"/>
        </w:rPr>
      </w:pPr>
      <w:bookmarkStart w:id="346" w:name="_Toc494797956"/>
      <w:bookmarkStart w:id="347" w:name="_Toc494376086"/>
      <w:bookmarkStart w:id="348" w:name="_Toc494233346"/>
      <w:bookmarkStart w:id="349" w:name="_Toc18394891"/>
      <w:bookmarkStart w:id="350" w:name="_Toc61894734"/>
      <w:r w:rsidRPr="00400193">
        <w:rPr>
          <w:rFonts w:eastAsia="Calibri"/>
        </w:rPr>
        <w:t>The Pilot</w:t>
      </w:r>
      <w:bookmarkEnd w:id="346"/>
      <w:bookmarkEnd w:id="347"/>
      <w:bookmarkEnd w:id="348"/>
      <w:r w:rsidRPr="00400193">
        <w:rPr>
          <w:rFonts w:eastAsia="Calibri"/>
        </w:rPr>
        <w:t xml:space="preserve"> Survey</w:t>
      </w:r>
      <w:bookmarkEnd w:id="349"/>
      <w:bookmarkEnd w:id="350"/>
    </w:p>
    <w:p w14:paraId="29112B72" w14:textId="42803CEB" w:rsidR="00283AFE" w:rsidRPr="00400193" w:rsidRDefault="00283AFE" w:rsidP="00283AFE">
      <w:pPr>
        <w:rPr>
          <w:lang w:eastAsia="zh-CN"/>
        </w:rPr>
      </w:pPr>
      <w:bookmarkStart w:id="351" w:name="_Hlk43144690"/>
      <w:r w:rsidRPr="00400193">
        <w:rPr>
          <w:lang w:eastAsia="zh-CN"/>
        </w:rPr>
        <w:t xml:space="preserve">Polit, Beck, and Hungler </w:t>
      </w:r>
      <w:bookmarkEnd w:id="351"/>
      <w:sdt>
        <w:sdtPr>
          <w:rPr>
            <w:lang w:eastAsia="zh-CN"/>
          </w:rPr>
          <w:id w:val="1554274394"/>
          <w:citation/>
        </w:sdtPr>
        <w:sdtEndPr/>
        <w:sdtContent>
          <w:r w:rsidRPr="00400193">
            <w:rPr>
              <w:lang w:eastAsia="zh-CN"/>
            </w:rPr>
            <w:fldChar w:fldCharType="begin"/>
          </w:r>
          <w:r w:rsidRPr="00400193">
            <w:rPr>
              <w:lang w:eastAsia="zh-CN"/>
            </w:rPr>
            <w:instrText xml:space="preserve">CITATION Pol01 \n  \t  \l 2057 </w:instrText>
          </w:r>
          <w:r w:rsidRPr="00400193">
            <w:rPr>
              <w:lang w:eastAsia="zh-CN"/>
            </w:rPr>
            <w:fldChar w:fldCharType="separate"/>
          </w:r>
          <w:r w:rsidR="004E7116" w:rsidRPr="00400193">
            <w:rPr>
              <w:noProof/>
              <w:lang w:eastAsia="zh-CN"/>
            </w:rPr>
            <w:t>(2001)</w:t>
          </w:r>
          <w:r w:rsidRPr="00400193">
            <w:rPr>
              <w:lang w:eastAsia="zh-CN"/>
            </w:rPr>
            <w:fldChar w:fldCharType="end"/>
          </w:r>
        </w:sdtContent>
      </w:sdt>
      <w:r w:rsidRPr="00400193">
        <w:rPr>
          <w:lang w:eastAsia="zh-CN"/>
        </w:rPr>
        <w:t xml:space="preserve"> suggested that pilot studies were used by researchers as a small-sample trial to investigate feasibility of surveys. They are often used when there is little prior knowledge about the subject </w:t>
      </w:r>
      <w:bookmarkStart w:id="352" w:name="_Hlk43144758"/>
      <w:sdt>
        <w:sdtPr>
          <w:rPr>
            <w:lang w:eastAsia="zh-CN"/>
          </w:rPr>
          <w:id w:val="85968411"/>
          <w:citation/>
        </w:sdtPr>
        <w:sdtEndPr/>
        <w:sdtContent>
          <w:r w:rsidRPr="00400193">
            <w:rPr>
              <w:lang w:eastAsia="zh-CN"/>
            </w:rPr>
            <w:fldChar w:fldCharType="begin"/>
          </w:r>
          <w:r w:rsidRPr="00400193">
            <w:rPr>
              <w:lang w:eastAsia="zh-CN"/>
            </w:rPr>
            <w:instrText xml:space="preserve"> CITATION Che11 \l 2057 </w:instrText>
          </w:r>
          <w:r w:rsidRPr="00400193">
            <w:rPr>
              <w:lang w:eastAsia="zh-CN"/>
            </w:rPr>
            <w:fldChar w:fldCharType="separate"/>
          </w:r>
          <w:r w:rsidR="004E7116" w:rsidRPr="00400193">
            <w:rPr>
              <w:noProof/>
              <w:lang w:eastAsia="zh-CN"/>
            </w:rPr>
            <w:t>(Chenail, 2011)</w:t>
          </w:r>
          <w:r w:rsidRPr="00400193">
            <w:rPr>
              <w:lang w:eastAsia="zh-CN"/>
            </w:rPr>
            <w:fldChar w:fldCharType="end"/>
          </w:r>
        </w:sdtContent>
      </w:sdt>
      <w:r w:rsidRPr="00400193">
        <w:rPr>
          <w:lang w:eastAsia="zh-CN"/>
        </w:rPr>
        <w:t xml:space="preserve">, </w:t>
      </w:r>
      <w:bookmarkEnd w:id="352"/>
      <w:r w:rsidRPr="00400193">
        <w:rPr>
          <w:lang w:eastAsia="zh-CN"/>
        </w:rPr>
        <w:t xml:space="preserve">or to pre-test a data gathering instrument </w:t>
      </w:r>
      <w:sdt>
        <w:sdtPr>
          <w:rPr>
            <w:lang w:eastAsia="zh-CN"/>
          </w:rPr>
          <w:id w:val="493765728"/>
          <w:citation/>
        </w:sdtPr>
        <w:sdtEndPr/>
        <w:sdtContent>
          <w:r w:rsidRPr="00400193">
            <w:rPr>
              <w:lang w:eastAsia="zh-CN"/>
            </w:rPr>
            <w:fldChar w:fldCharType="begin"/>
          </w:r>
          <w:r w:rsidRPr="00400193">
            <w:rPr>
              <w:lang w:eastAsia="zh-CN"/>
            </w:rPr>
            <w:instrText xml:space="preserve"> CITATION Bak94 \l 2057 </w:instrText>
          </w:r>
          <w:r w:rsidRPr="00400193">
            <w:rPr>
              <w:lang w:eastAsia="zh-CN"/>
            </w:rPr>
            <w:fldChar w:fldCharType="separate"/>
          </w:r>
          <w:r w:rsidR="004E7116" w:rsidRPr="00400193">
            <w:rPr>
              <w:noProof/>
              <w:lang w:eastAsia="zh-CN"/>
            </w:rPr>
            <w:t>(Baker, 1994)</w:t>
          </w:r>
          <w:r w:rsidRPr="00400193">
            <w:rPr>
              <w:lang w:eastAsia="zh-CN"/>
            </w:rPr>
            <w:fldChar w:fldCharType="end"/>
          </w:r>
        </w:sdtContent>
      </w:sdt>
      <w:r w:rsidRPr="00400193">
        <w:rPr>
          <w:lang w:eastAsia="zh-CN"/>
        </w:rPr>
        <w:t>. In this study, the pilot study was used to examine the data gathering procedures, and apply all the steps of scheduling, filling the research consent forms and carrying out surveys. The pilot study provided an opportunity to test the quality of the survey statements and identify any possible biases. It was possible to test the survey questions and ask the participants for feedback on the statements, and particularly their clarity. it also provided practice in data gathering, analysis, and aligning the survey statements with the conceptual framework for the research (</w:t>
      </w:r>
      <w:bookmarkStart w:id="353" w:name="_Hlk43144856"/>
      <w:r w:rsidRPr="00400193">
        <w:rPr>
          <w:lang w:eastAsia="zh-CN"/>
        </w:rPr>
        <w:t>Robson, 2002; Yin, 2003)</w:t>
      </w:r>
      <w:bookmarkEnd w:id="353"/>
      <w:r w:rsidRPr="00400193">
        <w:rPr>
          <w:lang w:eastAsia="zh-CN"/>
        </w:rPr>
        <w:t xml:space="preserve">. </w:t>
      </w:r>
    </w:p>
    <w:p w14:paraId="12BC7A1A" w14:textId="77777777" w:rsidR="00283AFE" w:rsidRPr="00400193" w:rsidRDefault="00283AFE" w:rsidP="00283AFE">
      <w:pPr>
        <w:rPr>
          <w:lang w:eastAsia="zh-CN"/>
        </w:rPr>
      </w:pPr>
      <w:r w:rsidRPr="00400193">
        <w:rPr>
          <w:lang w:eastAsia="zh-CN"/>
        </w:rPr>
        <w:lastRenderedPageBreak/>
        <w:t>At the end of the pilot study, all participants were asked for feedback on the survey questions. This suggested the need for significant improvement on the survey length, and the structure of the questions. The next section describes the data gathering steps used during the pilot study.</w:t>
      </w:r>
    </w:p>
    <w:p w14:paraId="63A4E812" w14:textId="77777777" w:rsidR="00283AFE" w:rsidRPr="00400193" w:rsidRDefault="00283AFE" w:rsidP="00283AFE">
      <w:pPr>
        <w:pStyle w:val="Heading3"/>
        <w:rPr>
          <w:rFonts w:eastAsia="Calibri"/>
        </w:rPr>
      </w:pPr>
      <w:bookmarkStart w:id="354" w:name="_Toc494797957"/>
      <w:bookmarkStart w:id="355" w:name="_Toc494376087"/>
      <w:bookmarkStart w:id="356" w:name="_Toc494233347"/>
      <w:bookmarkStart w:id="357" w:name="_Toc18394892"/>
      <w:bookmarkStart w:id="358" w:name="_Toc61894735"/>
      <w:r w:rsidRPr="00400193">
        <w:rPr>
          <w:rFonts w:eastAsia="Calibri"/>
        </w:rPr>
        <w:t xml:space="preserve">Use of the Pilot </w:t>
      </w:r>
      <w:bookmarkEnd w:id="354"/>
      <w:bookmarkEnd w:id="355"/>
      <w:bookmarkEnd w:id="356"/>
      <w:bookmarkEnd w:id="357"/>
      <w:r w:rsidRPr="00400193">
        <w:rPr>
          <w:rFonts w:eastAsia="Calibri"/>
        </w:rPr>
        <w:t>Study</w:t>
      </w:r>
      <w:bookmarkEnd w:id="358"/>
      <w:r w:rsidRPr="00400193">
        <w:rPr>
          <w:rFonts w:eastAsia="Calibri"/>
        </w:rPr>
        <w:t xml:space="preserve"> </w:t>
      </w:r>
    </w:p>
    <w:p w14:paraId="4867F652" w14:textId="77777777" w:rsidR="00283AFE" w:rsidRPr="00400193" w:rsidRDefault="00283AFE" w:rsidP="00283AFE">
      <w:pPr>
        <w:rPr>
          <w:lang w:eastAsia="zh-CN"/>
        </w:rPr>
      </w:pPr>
      <w:r w:rsidRPr="00400193">
        <w:rPr>
          <w:lang w:eastAsia="zh-CN"/>
        </w:rPr>
        <w:t>The pilot study was used only to test and evaluate whether the survey questions could achieve the study objectives and aims. None of the pilot study data were used in the main study. Instead, the results were used to improve the survey questions, revise the survey more generally, and eliminate any unclear questions before the actual study.</w:t>
      </w:r>
    </w:p>
    <w:p w14:paraId="137D307A" w14:textId="77777777" w:rsidR="006E3616" w:rsidRPr="00400193" w:rsidRDefault="006E3616" w:rsidP="00283AFE">
      <w:pPr>
        <w:pStyle w:val="Heading2"/>
        <w:rPr>
          <w:rFonts w:eastAsia="Calibri"/>
        </w:rPr>
      </w:pPr>
      <w:bookmarkStart w:id="359" w:name="_Toc61894736"/>
      <w:r w:rsidRPr="00400193">
        <w:rPr>
          <w:rFonts w:eastAsia="Calibri"/>
        </w:rPr>
        <w:t>Data Collection</w:t>
      </w:r>
      <w:bookmarkEnd w:id="335"/>
      <w:bookmarkEnd w:id="336"/>
      <w:bookmarkEnd w:id="359"/>
    </w:p>
    <w:p w14:paraId="44B9723D" w14:textId="77777777" w:rsidR="006E3616" w:rsidRPr="00400193" w:rsidRDefault="006E3616" w:rsidP="006E3616">
      <w:pPr>
        <w:rPr>
          <w:lang w:eastAsia="zh-CN"/>
        </w:rPr>
      </w:pPr>
      <w:r w:rsidRPr="00400193">
        <w:rPr>
          <w:lang w:eastAsia="zh-CN"/>
        </w:rPr>
        <w:t>Data were collected from public sector organisations using a questionnaire with a Likert-type scale. The precise scale was determined during questionnaire pilot testing.</w:t>
      </w:r>
    </w:p>
    <w:p w14:paraId="196077A9" w14:textId="77777777" w:rsidR="006E3616" w:rsidRPr="00400193" w:rsidRDefault="006E3616" w:rsidP="006E3616">
      <w:pPr>
        <w:pStyle w:val="Heading3"/>
        <w:rPr>
          <w:rFonts w:eastAsia="Calibri"/>
        </w:rPr>
      </w:pPr>
      <w:bookmarkStart w:id="360" w:name="_Toc505979486"/>
      <w:bookmarkStart w:id="361" w:name="_Toc18394886"/>
      <w:bookmarkStart w:id="362" w:name="_Ref43142349"/>
      <w:bookmarkStart w:id="363" w:name="_Toc61894737"/>
      <w:r w:rsidRPr="00400193">
        <w:rPr>
          <w:rFonts w:eastAsia="Calibri"/>
        </w:rPr>
        <w:t>Descriptive and Correlation Analysis</w:t>
      </w:r>
      <w:bookmarkEnd w:id="360"/>
      <w:bookmarkEnd w:id="361"/>
      <w:bookmarkEnd w:id="362"/>
      <w:bookmarkEnd w:id="363"/>
    </w:p>
    <w:p w14:paraId="24DB5EA5" w14:textId="504406C2" w:rsidR="006E3616" w:rsidRPr="00400193" w:rsidRDefault="006E3616" w:rsidP="006E3616">
      <w:pPr>
        <w:rPr>
          <w:lang w:eastAsia="zh-CN"/>
        </w:rPr>
      </w:pPr>
      <w:r w:rsidRPr="00400193">
        <w:rPr>
          <w:lang w:eastAsia="zh-CN"/>
        </w:rPr>
        <w:t>The clean data were initially analysed using descriptive analysis methods. Correlation analysis was used to discover the relationship or association between risks and assets at risk. The data were also analysed statistically to provide tables and graphical displays of the data. The results of the analysis were discussed in depth and relevant conclusions drawn, set out in the two final chapters of this thesis.</w:t>
      </w:r>
    </w:p>
    <w:p w14:paraId="5CC430F1" w14:textId="1A25B735" w:rsidR="00B82F75" w:rsidRPr="00400193" w:rsidRDefault="00B82F75" w:rsidP="006E3616">
      <w:pPr>
        <w:rPr>
          <w:lang w:eastAsia="zh-CN"/>
        </w:rPr>
      </w:pPr>
      <w:r w:rsidRPr="00400193">
        <w:rPr>
          <w:lang w:eastAsia="zh-CN"/>
        </w:rPr>
        <w:t>Considering that this research required a moderating interaction of variables (moderation), it was best to util</w:t>
      </w:r>
      <w:r w:rsidR="00D75A7B" w:rsidRPr="00400193">
        <w:rPr>
          <w:lang w:eastAsia="zh-CN"/>
        </w:rPr>
        <w:t>ise</w:t>
      </w:r>
      <w:r w:rsidRPr="00400193">
        <w:rPr>
          <w:lang w:eastAsia="zh-CN"/>
        </w:rPr>
        <w:t xml:space="preserve"> Hayes</w:t>
      </w:r>
      <w:r w:rsidR="00B17F65" w:rsidRPr="00400193">
        <w:rPr>
          <w:lang w:eastAsia="zh-CN"/>
        </w:rPr>
        <w:t>’</w:t>
      </w:r>
      <w:r w:rsidRPr="00400193">
        <w:rPr>
          <w:lang w:eastAsia="zh-CN"/>
        </w:rPr>
        <w:t xml:space="preserve"> Process Macros for SPSS</w:t>
      </w:r>
      <w:r w:rsidR="00B17F65" w:rsidRPr="00400193">
        <w:rPr>
          <w:lang w:eastAsia="zh-CN"/>
        </w:rPr>
        <w:t xml:space="preserve"> (Hayes, 2018)</w:t>
      </w:r>
      <w:r w:rsidRPr="00400193">
        <w:rPr>
          <w:lang w:eastAsia="zh-CN"/>
        </w:rPr>
        <w:t>. The intent was to observe the slope of the regression lines and pick a precise point where moderator interaction would occur</w:t>
      </w:r>
      <w:r w:rsidR="00B17F65" w:rsidRPr="00400193">
        <w:rPr>
          <w:lang w:eastAsia="zh-CN"/>
        </w:rPr>
        <w:t xml:space="preserve">. </w:t>
      </w:r>
      <w:r w:rsidR="00CF7A85" w:rsidRPr="00400193">
        <w:rPr>
          <w:lang w:eastAsia="zh-CN"/>
        </w:rPr>
        <w:t xml:space="preserve"> </w:t>
      </w:r>
    </w:p>
    <w:p w14:paraId="0ECAA807" w14:textId="77777777" w:rsidR="006E3616" w:rsidRPr="00400193" w:rsidRDefault="006E3616" w:rsidP="006E3616">
      <w:pPr>
        <w:pStyle w:val="Heading3"/>
        <w:rPr>
          <w:rFonts w:eastAsia="Calibri"/>
        </w:rPr>
      </w:pPr>
      <w:bookmarkStart w:id="364" w:name="_Toc505979488"/>
      <w:bookmarkStart w:id="365" w:name="_Toc18394887"/>
      <w:bookmarkStart w:id="366" w:name="_Toc61894738"/>
      <w:r w:rsidRPr="00400193">
        <w:rPr>
          <w:rFonts w:eastAsia="Calibri"/>
        </w:rPr>
        <w:t>Exploration of Possibilities</w:t>
      </w:r>
      <w:bookmarkEnd w:id="364"/>
      <w:r w:rsidRPr="00400193">
        <w:rPr>
          <w:rFonts w:eastAsia="Calibri"/>
        </w:rPr>
        <w:t xml:space="preserve"> and </w:t>
      </w:r>
      <w:bookmarkStart w:id="367" w:name="_Toc505979489"/>
      <w:r w:rsidRPr="00400193">
        <w:rPr>
          <w:rFonts w:eastAsia="Calibri"/>
        </w:rPr>
        <w:t>Framework Construction</w:t>
      </w:r>
      <w:bookmarkEnd w:id="365"/>
      <w:bookmarkEnd w:id="367"/>
      <w:bookmarkEnd w:id="366"/>
    </w:p>
    <w:p w14:paraId="0F9CBDFB" w14:textId="28F8467E" w:rsidR="006E3616" w:rsidRPr="00400193" w:rsidRDefault="006E3616" w:rsidP="006E3616">
      <w:pPr>
        <w:rPr>
          <w:lang w:eastAsia="zh-CN"/>
        </w:rPr>
      </w:pPr>
      <w:r w:rsidRPr="00400193">
        <w:rPr>
          <w:lang w:eastAsia="zh-CN"/>
        </w:rPr>
        <w:t xml:space="preserve">Several possibilities were explored to model the relationships between risk, assets, strategies, and resilience. Based on steps </w:t>
      </w:r>
      <w:r w:rsidRPr="00400193">
        <w:rPr>
          <w:lang w:eastAsia="zh-CN"/>
        </w:rPr>
        <w:fldChar w:fldCharType="begin"/>
      </w:r>
      <w:r w:rsidRPr="00400193">
        <w:rPr>
          <w:lang w:eastAsia="zh-CN"/>
        </w:rPr>
        <w:instrText xml:space="preserve"> REF _Ref45106365 \r \h </w:instrText>
      </w:r>
      <w:r w:rsidRPr="00400193">
        <w:rPr>
          <w:lang w:eastAsia="zh-CN"/>
        </w:rPr>
      </w:r>
      <w:r w:rsidRPr="00400193">
        <w:rPr>
          <w:lang w:eastAsia="zh-CN"/>
        </w:rPr>
        <w:fldChar w:fldCharType="separate"/>
      </w:r>
      <w:r w:rsidR="00BB7C18">
        <w:rPr>
          <w:cs/>
          <w:lang w:eastAsia="zh-CN"/>
        </w:rPr>
        <w:t>‎</w:t>
      </w:r>
      <w:r w:rsidR="00BB7C18">
        <w:rPr>
          <w:lang w:eastAsia="zh-CN"/>
        </w:rPr>
        <w:t>4.11.1</w:t>
      </w:r>
      <w:r w:rsidRPr="00400193">
        <w:rPr>
          <w:lang w:eastAsia="zh-CN"/>
        </w:rPr>
        <w:fldChar w:fldCharType="end"/>
      </w:r>
      <w:r w:rsidRPr="00400193">
        <w:rPr>
          <w:lang w:eastAsia="zh-CN"/>
        </w:rPr>
        <w:t xml:space="preserve"> to </w:t>
      </w:r>
      <w:r w:rsidRPr="00400193">
        <w:rPr>
          <w:lang w:eastAsia="zh-CN"/>
        </w:rPr>
        <w:fldChar w:fldCharType="begin"/>
      </w:r>
      <w:r w:rsidRPr="00400193">
        <w:rPr>
          <w:lang w:eastAsia="zh-CN"/>
        </w:rPr>
        <w:instrText xml:space="preserve"> REF _Ref43142349 \r \h </w:instrText>
      </w:r>
      <w:r w:rsidRPr="00400193">
        <w:rPr>
          <w:lang w:eastAsia="zh-CN"/>
        </w:rPr>
      </w:r>
      <w:r w:rsidRPr="00400193">
        <w:rPr>
          <w:lang w:eastAsia="zh-CN"/>
        </w:rPr>
        <w:fldChar w:fldCharType="separate"/>
      </w:r>
      <w:r w:rsidR="00BB7C18">
        <w:rPr>
          <w:cs/>
          <w:lang w:eastAsia="zh-CN"/>
        </w:rPr>
        <w:t>‎</w:t>
      </w:r>
      <w:r w:rsidR="00BB7C18">
        <w:rPr>
          <w:lang w:eastAsia="zh-CN"/>
        </w:rPr>
        <w:t>4.13.1</w:t>
      </w:r>
      <w:r w:rsidRPr="00400193">
        <w:rPr>
          <w:lang w:eastAsia="zh-CN"/>
        </w:rPr>
        <w:fldChar w:fldCharType="end"/>
      </w:r>
      <w:r w:rsidRPr="00400193">
        <w:rPr>
          <w:lang w:eastAsia="zh-CN"/>
        </w:rPr>
        <w:t>, a framework was developed for the assessment of vulnerability to cyber-risks.</w:t>
      </w:r>
    </w:p>
    <w:p w14:paraId="10775381" w14:textId="77777777" w:rsidR="006E3616" w:rsidRPr="00400193" w:rsidRDefault="006E3616" w:rsidP="006E3616">
      <w:pPr>
        <w:pStyle w:val="Heading2"/>
        <w:rPr>
          <w:lang w:eastAsia="zh-CN"/>
        </w:rPr>
      </w:pPr>
      <w:bookmarkStart w:id="368" w:name="_Toc61894739"/>
      <w:bookmarkStart w:id="369" w:name="_Hlk45183888"/>
      <w:r w:rsidRPr="00400193">
        <w:rPr>
          <w:lang w:eastAsia="zh-CN"/>
        </w:rPr>
        <w:t>Ethical Considerations</w:t>
      </w:r>
      <w:bookmarkEnd w:id="368"/>
    </w:p>
    <w:p w14:paraId="4CCB3EB3" w14:textId="4BF09EF8" w:rsidR="006E3616" w:rsidRPr="00400193" w:rsidRDefault="006E3616" w:rsidP="006E3616">
      <w:pPr>
        <w:rPr>
          <w:lang w:eastAsia="zh-CN"/>
        </w:rPr>
      </w:pPr>
      <w:r w:rsidRPr="00400193">
        <w:rPr>
          <w:lang w:eastAsia="zh-CN"/>
        </w:rPr>
        <w:t xml:space="preserve">The research proposal was submitted for viewing to the university and was found to be acceptable. The research does not deal with children or vulnerable adults. In addition, the questionnaire was completely anonymous, and there is no way to identify </w:t>
      </w:r>
      <w:r w:rsidRPr="00400193">
        <w:rPr>
          <w:lang w:eastAsia="zh-CN"/>
        </w:rPr>
        <w:lastRenderedPageBreak/>
        <w:t xml:space="preserve">any individual from the answers they gave. The research was carried out ethically in all other ways as well, without bias or altering the results to reach a desirable conclusion.                                                                                                                                                                                                                                                                                                                                                                                                                                                                                                                                                                                                               </w:t>
      </w:r>
    </w:p>
    <w:p w14:paraId="2C3133C4" w14:textId="77777777" w:rsidR="006E3616" w:rsidRPr="00400193" w:rsidRDefault="006E3616" w:rsidP="006E3616">
      <w:pPr>
        <w:pStyle w:val="Heading2"/>
        <w:rPr>
          <w:rFonts w:eastAsia="SimSun"/>
          <w:lang w:eastAsia="zh-CN"/>
        </w:rPr>
      </w:pPr>
      <w:bookmarkStart w:id="370" w:name="_Toc61894740"/>
      <w:bookmarkStart w:id="371" w:name="_Toc505979490"/>
      <w:bookmarkStart w:id="372" w:name="_Toc18394893"/>
      <w:bookmarkEnd w:id="369"/>
      <w:r w:rsidRPr="00400193">
        <w:rPr>
          <w:rFonts w:eastAsia="SimSun"/>
          <w:lang w:eastAsia="zh-CN"/>
        </w:rPr>
        <w:t>Analysis of Data</w:t>
      </w:r>
      <w:bookmarkEnd w:id="370"/>
    </w:p>
    <w:p w14:paraId="769BBEC4" w14:textId="06C36016" w:rsidR="006E3616" w:rsidRPr="00400193" w:rsidRDefault="006E3616" w:rsidP="006E3616">
      <w:pPr>
        <w:rPr>
          <w:lang w:eastAsia="zh-CN"/>
        </w:rPr>
      </w:pPr>
      <w:r w:rsidRPr="00400193">
        <w:rPr>
          <w:lang w:eastAsia="zh-CN"/>
        </w:rPr>
        <w:t xml:space="preserve">The data gathered were statistically analysed, using </w:t>
      </w:r>
      <w:r w:rsidR="008228D5" w:rsidRPr="00400193">
        <w:rPr>
          <w:lang w:eastAsia="zh-CN"/>
        </w:rPr>
        <w:t>SPSS</w:t>
      </w:r>
      <w:r w:rsidRPr="00400193">
        <w:rPr>
          <w:lang w:eastAsia="zh-CN"/>
        </w:rPr>
        <w:t>. The data were quantitative, so a numerical analysis was required. It was not necessary to delve into the conceptual meanings of the responses, because the questions were answered on a Likert-type scale. This uses the convention of giving the answer an importance rating, but advice varies on how many options should be given. Many scales use an odd number with a neutral position in the middle, but some researchers advise that this neutral option may become the default answer for users who do not consider the question in depth (Bryman, 1988; Creswell, 2003).</w:t>
      </w:r>
    </w:p>
    <w:p w14:paraId="4FF259DE" w14:textId="77777777" w:rsidR="006E3616" w:rsidRPr="00400193" w:rsidRDefault="006E3616" w:rsidP="006E3616">
      <w:pPr>
        <w:rPr>
          <w:lang w:eastAsia="zh-CN"/>
        </w:rPr>
      </w:pPr>
      <w:r w:rsidRPr="00400193">
        <w:rPr>
          <w:lang w:eastAsia="zh-CN"/>
        </w:rPr>
        <w:t>Questions using a Likert-type scale often use either a five- or seven-point scale. In this study, these were used, with the proviso that if the pilot questionnaire indicated that an excessive number of users were likely to default to the neutral option, this might be modified. The next consideration was the number of questionnaires to be issued. Response rates vary (De Bruijne and Wijnant, 2014), and &lt; 30% return rate are not unusual (Barnes, 2017). The wording and the design of the data collection instrument has a bearing on the response rate, as does the delivery method. De Bruijne and Wijnant (2014) suggested that SMS and web-based survey questionnaires may get a higher response. However, a web-based questionnaire distributed by internal email in the target organisations was expected to give a reasonable response rate.</w:t>
      </w:r>
    </w:p>
    <w:p w14:paraId="1F6E6C72" w14:textId="77777777" w:rsidR="006E3616" w:rsidRPr="00400193" w:rsidRDefault="006E3616" w:rsidP="006E3616">
      <w:pPr>
        <w:pStyle w:val="Heading2"/>
        <w:rPr>
          <w:rFonts w:eastAsia="SimSun"/>
          <w:lang w:eastAsia="zh-CN"/>
        </w:rPr>
      </w:pPr>
      <w:bookmarkStart w:id="373" w:name="_Toc61894741"/>
      <w:r w:rsidRPr="00400193">
        <w:rPr>
          <w:rFonts w:eastAsia="SimSun"/>
          <w:lang w:eastAsia="zh-CN"/>
        </w:rPr>
        <w:t>Summary</w:t>
      </w:r>
      <w:bookmarkEnd w:id="371"/>
      <w:bookmarkEnd w:id="372"/>
      <w:bookmarkEnd w:id="373"/>
    </w:p>
    <w:p w14:paraId="6A43203D" w14:textId="13425226" w:rsidR="006E3616" w:rsidRPr="00400193" w:rsidRDefault="006E3616" w:rsidP="006E3616">
      <w:pPr>
        <w:rPr>
          <w:lang w:eastAsia="zh-CN"/>
        </w:rPr>
      </w:pPr>
      <w:r w:rsidRPr="00400193">
        <w:rPr>
          <w:lang w:eastAsia="zh-CN"/>
        </w:rPr>
        <w:t xml:space="preserve">This chapter describes the research methodology used to gather the data for this study and explained the rationale behind the choice. It has discussed possible response rates to the questionnaire and given an indication of the type of question that needs to be asked. It has also provided details of the paradigm in which the research is carried out, and the ‘layers’ involved in research (Saunders, Lewis </w:t>
      </w:r>
      <w:r w:rsidR="00337F8A" w:rsidRPr="00400193">
        <w:rPr>
          <w:lang w:eastAsia="zh-CN"/>
        </w:rPr>
        <w:t>and</w:t>
      </w:r>
      <w:r w:rsidRPr="00400193">
        <w:rPr>
          <w:lang w:eastAsia="zh-CN"/>
        </w:rPr>
        <w:t xml:space="preserve"> Thornhill, 2012). The steps required to complete the project have been itemised, so that it would be possible for another person to replicate the research if necessary. </w:t>
      </w:r>
    </w:p>
    <w:p w14:paraId="2C38A14C" w14:textId="77777777" w:rsidR="006E3616" w:rsidRPr="00400193" w:rsidRDefault="006E3616" w:rsidP="006E3616">
      <w:pPr>
        <w:rPr>
          <w:lang w:eastAsia="zh-CN"/>
        </w:rPr>
      </w:pPr>
      <w:r w:rsidRPr="00400193">
        <w:rPr>
          <w:lang w:eastAsia="zh-CN"/>
        </w:rPr>
        <w:lastRenderedPageBreak/>
        <w:t>Questionnaire response rates are often very low, less than 30% (Barnes, 2017), so the study aimed to canvass the largest possible number of users within a particular organisation or company. This was considered to give the best chance of providing valid and reliable research results. This potentially large amount of data was considered to be readily analysable because of the choice to gather quantitative data. This is one of the major areas of differentiation between quantitative and qualitative research: the former asks as many people as possible and analyses the numbers, and the latter surveys a few people in great depth and detail and analyses the words and phrases used.</w:t>
      </w:r>
    </w:p>
    <w:p w14:paraId="1390B1FC" w14:textId="77777777" w:rsidR="006E3616" w:rsidRPr="00400193" w:rsidRDefault="006E3616" w:rsidP="006E3616">
      <w:pPr>
        <w:rPr>
          <w:lang w:eastAsia="zh-CN"/>
        </w:rPr>
      </w:pPr>
      <w:r w:rsidRPr="00400193">
        <w:rPr>
          <w:lang w:eastAsia="zh-CN"/>
        </w:rPr>
        <w:t>The numerical data collected are more easily displayed and analysed. With qualitative data, there can be differences of opinion about the meaning of words or phrases, so that two analysts may come up with different results. With quantitative data, however, the analysis is based, for example, on the number of respondents who ticked box ‘A’ or box ‘B’. There is no room for argument or disagreement, so that a re-examination of the data by another analyst will reach the same conclusions.</w:t>
      </w:r>
    </w:p>
    <w:p w14:paraId="3108CE10" w14:textId="77777777" w:rsidR="006E3616" w:rsidRPr="00400193" w:rsidRDefault="006E3616" w:rsidP="006E3616">
      <w:pPr>
        <w:rPr>
          <w:b/>
          <w:sz w:val="32"/>
          <w:szCs w:val="32"/>
          <w:lang w:eastAsia="zh-CN" w:bidi="hi-IN"/>
        </w:rPr>
      </w:pPr>
      <w:r w:rsidRPr="00400193">
        <w:rPr>
          <w:lang w:eastAsia="zh-CN"/>
        </w:rPr>
        <w:t>This is arguably one of the strengths of quantitative research. There is no ambiguity or compromise on meaning. The participants may alter their view if they were asked again, but their responses provide a clear snapshot of their opinions at the time of the survey. The analysis is also not dependent on the view of the researcher, although the way in which statistics are presented could change readers’ perceptions of their meaning. The data collection instrument needs careful design to ensure that the questions are readily understood by the participants, and that clear concise instructions are given about the response process – for example, making it clear whether a box should be ticked or marked with a cross, or even filled in completely (</w:t>
      </w:r>
      <w:r w:rsidRPr="00400193">
        <w:rPr>
          <w:lang w:eastAsia="zh-CN"/>
        </w:rPr>
        <w:sym w:font="Wingdings" w:char="F0FE"/>
      </w:r>
      <w:r w:rsidRPr="00400193">
        <w:rPr>
          <w:lang w:eastAsia="zh-CN"/>
        </w:rPr>
        <w:t xml:space="preserve">, </w:t>
      </w:r>
      <w:r w:rsidRPr="00400193">
        <w:rPr>
          <w:lang w:eastAsia="zh-CN"/>
        </w:rPr>
        <w:sym w:font="Wingdings" w:char="F0FD"/>
      </w:r>
      <w:r w:rsidRPr="00400193">
        <w:rPr>
          <w:lang w:eastAsia="zh-CN"/>
        </w:rPr>
        <w:t xml:space="preserve">, or </w:t>
      </w:r>
      <w:r w:rsidRPr="00400193">
        <w:rPr>
          <w:lang w:eastAsia="zh-CN"/>
        </w:rPr>
        <w:sym w:font="Wingdings" w:char="F06E"/>
      </w:r>
      <w:r w:rsidRPr="00400193">
        <w:rPr>
          <w:lang w:eastAsia="zh-CN"/>
        </w:rPr>
        <w:t>), because differences in understanding about this could lead to the wrong answer being given. Tick and cross options can also confuse some users, if they have to tick to disagree, for example.</w:t>
      </w:r>
      <w:bookmarkStart w:id="374" w:name="_1jlao46"/>
      <w:bookmarkEnd w:id="374"/>
      <w:r w:rsidRPr="00400193">
        <w:rPr>
          <w:lang w:eastAsia="zh-CN" w:bidi="hi-IN"/>
        </w:rPr>
        <w:br w:type="page"/>
      </w:r>
    </w:p>
    <w:p w14:paraId="39D61A86" w14:textId="77777777" w:rsidR="006E3616" w:rsidRPr="00400193" w:rsidRDefault="006E3616" w:rsidP="00BC5829">
      <w:pPr>
        <w:pStyle w:val="Heading1"/>
        <w:ind w:left="0"/>
        <w:rPr>
          <w:rFonts w:eastAsia="Arial"/>
          <w:lang w:eastAsia="zh-CN" w:bidi="hi-IN"/>
        </w:rPr>
      </w:pPr>
      <w:bookmarkStart w:id="375" w:name="_Toc61894742"/>
      <w:r w:rsidRPr="00400193">
        <w:rPr>
          <w:rFonts w:eastAsia="Arial"/>
          <w:lang w:eastAsia="zh-CN" w:bidi="hi-IN"/>
        </w:rPr>
        <w:lastRenderedPageBreak/>
        <w:t>Data Analysis</w:t>
      </w:r>
      <w:bookmarkEnd w:id="375"/>
    </w:p>
    <w:p w14:paraId="65C450EF" w14:textId="77777777" w:rsidR="006E3616" w:rsidRPr="00400193" w:rsidRDefault="006E3616" w:rsidP="006E3616">
      <w:pPr>
        <w:pStyle w:val="Heading2"/>
        <w:rPr>
          <w:lang w:eastAsia="zh-CN" w:bidi="hi-IN"/>
        </w:rPr>
      </w:pPr>
      <w:bookmarkStart w:id="376" w:name="_Toc61894743"/>
      <w:r w:rsidRPr="00400193">
        <w:rPr>
          <w:lang w:eastAsia="zh-CN" w:bidi="hi-IN"/>
        </w:rPr>
        <w:t>Introduction</w:t>
      </w:r>
      <w:bookmarkEnd w:id="376"/>
    </w:p>
    <w:p w14:paraId="3761BAE4" w14:textId="695DA575" w:rsidR="006E3616" w:rsidRPr="00400193" w:rsidRDefault="006E3616" w:rsidP="006E3616">
      <w:pPr>
        <w:rPr>
          <w:lang w:eastAsia="zh-CN" w:bidi="hi-IN"/>
        </w:rPr>
      </w:pPr>
      <w:r w:rsidRPr="00400193">
        <w:rPr>
          <w:lang w:eastAsia="zh-CN" w:bidi="hi-IN"/>
        </w:rPr>
        <w:t>This chapter describes the quantitative data analysis used in this study. It includes details of the descriptive analysis, and the linear and multiple regression analysis used to analyse the survey data. It explains and interprets the results and suggests relationships between the latent variables. It also sets out how exploratory factor analysis (EFA) was used in the study. The sampling and sample size are discussed in the previous chapter, and there were a total of 104 valid responses, which form the basis of this analysis.</w:t>
      </w:r>
    </w:p>
    <w:p w14:paraId="48A15E0F" w14:textId="2BAC994A" w:rsidR="003877EC" w:rsidRPr="00400193" w:rsidRDefault="003877EC" w:rsidP="006E3616">
      <w:pPr>
        <w:rPr>
          <w:lang w:eastAsia="zh-CN" w:bidi="hi-IN"/>
        </w:rPr>
      </w:pPr>
      <w:r w:rsidRPr="00400193">
        <w:rPr>
          <w:lang w:eastAsia="zh-CN" w:bidi="hi-IN"/>
        </w:rPr>
        <w:t xml:space="preserve">The chapter begins by explaining the necessary steps before the analysis begins; any missing values must be </w:t>
      </w:r>
      <w:r w:rsidR="00B9037B" w:rsidRPr="00400193">
        <w:rPr>
          <w:lang w:eastAsia="zh-CN" w:bidi="hi-IN"/>
        </w:rPr>
        <w:t>replaced using an appropriate method</w:t>
      </w:r>
      <w:r w:rsidRPr="00400193">
        <w:rPr>
          <w:lang w:eastAsia="zh-CN" w:bidi="hi-IN"/>
        </w:rPr>
        <w:t xml:space="preserve">, any outlying values must be considered in context and perhaps eliminated, the data must be tested for reliability, assessed for “normality” – </w:t>
      </w:r>
      <w:r w:rsidRPr="00400193">
        <w:rPr>
          <w:i/>
          <w:iCs/>
          <w:lang w:eastAsia="zh-CN" w:bidi="hi-IN"/>
        </w:rPr>
        <w:t>i.e.</w:t>
      </w:r>
      <w:r w:rsidRPr="00400193">
        <w:rPr>
          <w:lang w:eastAsia="zh-CN" w:bidi="hi-IN"/>
        </w:rPr>
        <w:t xml:space="preserve"> statistical normality – and the scales used for measurement checked for reliability. Each of these steps is described below.</w:t>
      </w:r>
    </w:p>
    <w:p w14:paraId="3B4B7D0B" w14:textId="77777777" w:rsidR="006E3616" w:rsidRPr="00400193" w:rsidRDefault="006E3616" w:rsidP="006E3616">
      <w:pPr>
        <w:pStyle w:val="Heading2"/>
        <w:rPr>
          <w:lang w:eastAsia="zh-CN" w:bidi="hi-IN"/>
        </w:rPr>
      </w:pPr>
      <w:bookmarkStart w:id="377" w:name="_Hlk29851179"/>
      <w:bookmarkStart w:id="378" w:name="_Ref51178503"/>
      <w:bookmarkStart w:id="379" w:name="_Toc61894744"/>
      <w:bookmarkEnd w:id="377"/>
      <w:r w:rsidRPr="00400193">
        <w:rPr>
          <w:lang w:eastAsia="zh-CN" w:bidi="hi-IN"/>
        </w:rPr>
        <w:t>Checking and Replacing Missing Values</w:t>
      </w:r>
      <w:bookmarkEnd w:id="378"/>
      <w:bookmarkEnd w:id="379"/>
      <w:r w:rsidRPr="00400193">
        <w:rPr>
          <w:lang w:eastAsia="zh-CN" w:bidi="hi-IN"/>
        </w:rPr>
        <w:tab/>
      </w:r>
    </w:p>
    <w:p w14:paraId="5A08DC05" w14:textId="16808ABD" w:rsidR="006E3616" w:rsidRPr="00400193" w:rsidRDefault="006E3616" w:rsidP="006E3616">
      <w:pPr>
        <w:rPr>
          <w:lang w:eastAsia="zh-CN" w:bidi="hi-IN"/>
        </w:rPr>
      </w:pPr>
      <w:r w:rsidRPr="00400193">
        <w:rPr>
          <w:lang w:eastAsia="zh-CN" w:bidi="hi-IN"/>
        </w:rPr>
        <w:t xml:space="preserve">Considerable effort is usually made when planning and conducting any research to ensure that data are complete, but some data loss is almost inevitable, and can affect the results </w:t>
      </w:r>
      <w:r w:rsidR="00337F8A" w:rsidRPr="00400193">
        <w:rPr>
          <w:lang w:eastAsia="zh-CN" w:bidi="hi-IN"/>
        </w:rPr>
        <w:t>(Hair, Black, and Babin, 2010)</w:t>
      </w:r>
      <w:r w:rsidRPr="00400193">
        <w:rPr>
          <w:lang w:eastAsia="zh-CN" w:bidi="hi-IN"/>
        </w:rPr>
        <w:t xml:space="preserve">. Statistical analysis usually aims to make valid inferences about a population of interest. Missing information may therefore result in loss of efficiency, complications in the analysis of missing data, and skewed estimators that may affect the validity of the process </w:t>
      </w:r>
      <w:sdt>
        <w:sdtPr>
          <w:rPr>
            <w:lang w:eastAsia="zh-CN" w:bidi="hi-IN"/>
          </w:rPr>
          <w:id w:val="-1831745626"/>
          <w:citation/>
        </w:sdtPr>
        <w:sdtEndPr/>
        <w:sdtContent>
          <w:r w:rsidRPr="00400193">
            <w:rPr>
              <w:lang w:eastAsia="zh-CN" w:bidi="hi-IN"/>
            </w:rPr>
            <w:fldChar w:fldCharType="begin"/>
          </w:r>
          <w:r w:rsidRPr="00400193">
            <w:rPr>
              <w:lang w:eastAsia="zh-CN" w:bidi="hi-IN"/>
            </w:rPr>
            <w:instrText xml:space="preserve"> CITATION Kai58 \l 2057 </w:instrText>
          </w:r>
          <w:r w:rsidRPr="00400193">
            <w:rPr>
              <w:lang w:eastAsia="zh-CN" w:bidi="hi-IN"/>
            </w:rPr>
            <w:fldChar w:fldCharType="separate"/>
          </w:r>
          <w:r w:rsidR="00DD0FD9" w:rsidRPr="00400193">
            <w:rPr>
              <w:noProof/>
              <w:lang w:eastAsia="zh-CN" w:bidi="hi-IN"/>
            </w:rPr>
            <w:t>(Kaiser, 1958)</w:t>
          </w:r>
          <w:r w:rsidRPr="00400193">
            <w:rPr>
              <w:lang w:eastAsia="zh-CN" w:bidi="hi-IN"/>
            </w:rPr>
            <w:fldChar w:fldCharType="end"/>
          </w:r>
        </w:sdtContent>
      </w:sdt>
      <w:r w:rsidRPr="00400193">
        <w:rPr>
          <w:lang w:eastAsia="zh-CN" w:bidi="hi-IN"/>
        </w:rPr>
        <w:t>.</w:t>
      </w:r>
    </w:p>
    <w:p w14:paraId="20EDA188" w14:textId="02C5A4AC" w:rsidR="006E3616" w:rsidRPr="00400193" w:rsidRDefault="006E3616" w:rsidP="006E3616">
      <w:pPr>
        <w:rPr>
          <w:lang w:eastAsia="zh-CN" w:bidi="hi-IN"/>
        </w:rPr>
      </w:pPr>
      <w:r w:rsidRPr="00400193">
        <w:rPr>
          <w:lang w:eastAsia="zh-CN" w:bidi="hi-IN"/>
        </w:rPr>
        <w:t xml:space="preserve">Hair, Black and Babin </w:t>
      </w:r>
      <w:sdt>
        <w:sdtPr>
          <w:rPr>
            <w:lang w:eastAsia="zh-CN" w:bidi="hi-IN"/>
          </w:rPr>
          <w:id w:val="133678773"/>
          <w:citation/>
        </w:sdtPr>
        <w:sdtEndPr/>
        <w:sdtContent>
          <w:r w:rsidRPr="00400193">
            <w:rPr>
              <w:lang w:eastAsia="zh-CN" w:bidi="hi-IN"/>
            </w:rPr>
            <w:fldChar w:fldCharType="begin"/>
          </w:r>
          <w:r w:rsidRPr="00400193">
            <w:rPr>
              <w:lang w:eastAsia="zh-CN" w:bidi="hi-IN"/>
            </w:rPr>
            <w:instrText xml:space="preserve">CITATION Hai10 \n  \t  \l 2057 </w:instrText>
          </w:r>
          <w:r w:rsidRPr="00400193">
            <w:rPr>
              <w:lang w:eastAsia="zh-CN" w:bidi="hi-IN"/>
            </w:rPr>
            <w:fldChar w:fldCharType="separate"/>
          </w:r>
          <w:r w:rsidR="00DD0FD9" w:rsidRPr="00400193">
            <w:rPr>
              <w:noProof/>
              <w:lang w:eastAsia="zh-CN" w:bidi="hi-IN"/>
            </w:rPr>
            <w:t>(2010)</w:t>
          </w:r>
          <w:r w:rsidRPr="00400193">
            <w:rPr>
              <w:lang w:eastAsia="zh-CN" w:bidi="hi-IN"/>
            </w:rPr>
            <w:fldChar w:fldCharType="end"/>
          </w:r>
        </w:sdtContent>
      </w:sdt>
      <w:r w:rsidRPr="00400193">
        <w:rPr>
          <w:lang w:eastAsia="zh-CN" w:bidi="hi-IN"/>
        </w:rPr>
        <w:t xml:space="preserve"> stated that to ensure a high level of credibility of research data, it is vital to minim</w:t>
      </w:r>
      <w:r w:rsidR="00D75A7B" w:rsidRPr="00400193">
        <w:rPr>
          <w:lang w:eastAsia="zh-CN" w:bidi="hi-IN"/>
        </w:rPr>
        <w:t>ise</w:t>
      </w:r>
      <w:r w:rsidRPr="00400193">
        <w:rPr>
          <w:lang w:eastAsia="zh-CN" w:bidi="hi-IN"/>
        </w:rPr>
        <w:t xml:space="preserve"> any possible violation of the regression analysis requirements. Scholars have therefore used various tests to improve the precision of regression analysis, such as testing missing values and outliers </w:t>
      </w:r>
      <w:r w:rsidR="00337F8A" w:rsidRPr="00400193">
        <w:rPr>
          <w:lang w:eastAsia="zh-CN" w:bidi="hi-IN"/>
        </w:rPr>
        <w:t>(Tabachnick and Fidell, 2007)</w:t>
      </w:r>
      <w:r w:rsidRPr="00400193">
        <w:rPr>
          <w:lang w:eastAsia="zh-CN" w:bidi="hi-IN"/>
        </w:rPr>
        <w:t>. Tabachnick and Fidell (2007) provided two ways to analyse missing data: evaluating their size or their randomness. Non-random missing values may affect the ability to generalise the study results. Hair, Black and Babin, (2010) suggested that information about missing data should be provided for all study variables.</w:t>
      </w:r>
    </w:p>
    <w:p w14:paraId="1A3827FF" w14:textId="63B40C15" w:rsidR="00403BE7" w:rsidRPr="00400193" w:rsidRDefault="006E3616" w:rsidP="006E3616">
      <w:r w:rsidRPr="00400193">
        <w:rPr>
          <w:lang w:eastAsia="zh-CN" w:bidi="hi-IN"/>
        </w:rPr>
        <w:t xml:space="preserve">This research used 207 variables </w:t>
      </w:r>
      <w:r w:rsidR="00403BE7" w:rsidRPr="00400193">
        <w:t>divided into groups as follows:</w:t>
      </w:r>
      <w:r w:rsidR="008429A9" w:rsidRPr="00400193">
        <w:t xml:space="preserve"> </w:t>
      </w:r>
    </w:p>
    <w:p w14:paraId="17A16DEF" w14:textId="2703216C" w:rsidR="008D0F8E" w:rsidRPr="00400193" w:rsidRDefault="00BA2F8F" w:rsidP="008D0F8E">
      <w:pPr>
        <w:pStyle w:val="ListParagraph"/>
        <w:numPr>
          <w:ilvl w:val="0"/>
          <w:numId w:val="28"/>
        </w:numPr>
      </w:pPr>
      <w:r w:rsidRPr="00400193">
        <w:rPr>
          <w:lang w:eastAsia="zh-CN" w:bidi="hi-IN"/>
        </w:rPr>
        <w:lastRenderedPageBreak/>
        <w:t>External Risk Factors (ERF)</w:t>
      </w:r>
    </w:p>
    <w:p w14:paraId="15E04E8C" w14:textId="77777777" w:rsidR="008D0F8E" w:rsidRPr="00400193" w:rsidRDefault="00403BE7" w:rsidP="008D0F8E">
      <w:pPr>
        <w:pStyle w:val="ListParagraph"/>
        <w:numPr>
          <w:ilvl w:val="1"/>
          <w:numId w:val="28"/>
        </w:numPr>
      </w:pPr>
      <w:r w:rsidRPr="00400193">
        <w:rPr>
          <w:lang w:eastAsia="zh-CN" w:bidi="hi-IN"/>
        </w:rPr>
        <w:t>Key External Threats - Cyber Attack (KECA)</w:t>
      </w:r>
    </w:p>
    <w:p w14:paraId="6ED7692C" w14:textId="77777777" w:rsidR="008D0F8E" w:rsidRPr="00400193" w:rsidRDefault="00403BE7" w:rsidP="008D0F8E">
      <w:pPr>
        <w:pStyle w:val="ListParagraph"/>
        <w:numPr>
          <w:ilvl w:val="2"/>
          <w:numId w:val="28"/>
        </w:numPr>
      </w:pPr>
      <w:r w:rsidRPr="00400193">
        <w:rPr>
          <w:lang w:eastAsia="zh-CN" w:bidi="hi-IN"/>
        </w:rPr>
        <w:t>1</w:t>
      </w:r>
      <w:r w:rsidR="00026B4E" w:rsidRPr="00400193">
        <w:rPr>
          <w:lang w:eastAsia="zh-CN" w:bidi="hi-IN"/>
        </w:rPr>
        <w:t>5</w:t>
      </w:r>
      <w:r w:rsidRPr="00400193">
        <w:rPr>
          <w:lang w:eastAsia="zh-CN" w:bidi="hi-IN"/>
        </w:rPr>
        <w:t xml:space="preserve"> variables</w:t>
      </w:r>
      <w:r w:rsidR="008D0F8E" w:rsidRPr="00400193">
        <w:rPr>
          <w:lang w:eastAsia="zh-CN" w:bidi="hi-IN"/>
        </w:rPr>
        <w:t xml:space="preserve"> </w:t>
      </w:r>
    </w:p>
    <w:p w14:paraId="3A280817" w14:textId="5932042F" w:rsidR="00026B4E" w:rsidRPr="00400193" w:rsidRDefault="00403BE7" w:rsidP="008D0F8E">
      <w:pPr>
        <w:pStyle w:val="ListParagraph"/>
        <w:numPr>
          <w:ilvl w:val="1"/>
          <w:numId w:val="28"/>
        </w:numPr>
        <w:rPr>
          <w:lang w:eastAsia="zh-CN" w:bidi="hi-IN"/>
        </w:rPr>
      </w:pPr>
      <w:r w:rsidRPr="00400193">
        <w:rPr>
          <w:lang w:eastAsia="zh-CN" w:bidi="hi-IN"/>
        </w:rPr>
        <w:t>Key External Threats – Hacktivism (KEH)</w:t>
      </w:r>
    </w:p>
    <w:p w14:paraId="1B3D78FD" w14:textId="4982CE10" w:rsidR="00403BE7" w:rsidRPr="00400193" w:rsidRDefault="00FC6AB4" w:rsidP="008D0F8E">
      <w:pPr>
        <w:pStyle w:val="ListParagraph"/>
        <w:numPr>
          <w:ilvl w:val="2"/>
          <w:numId w:val="28"/>
        </w:numPr>
        <w:rPr>
          <w:lang w:eastAsia="zh-CN" w:bidi="hi-IN"/>
        </w:rPr>
      </w:pPr>
      <w:r w:rsidRPr="00400193">
        <w:rPr>
          <w:lang w:eastAsia="zh-CN" w:bidi="hi-IN"/>
        </w:rPr>
        <w:t>1</w:t>
      </w:r>
      <w:r w:rsidR="00026B4E" w:rsidRPr="00400193">
        <w:rPr>
          <w:lang w:eastAsia="zh-CN" w:bidi="hi-IN"/>
        </w:rPr>
        <w:t>6</w:t>
      </w:r>
      <w:r w:rsidRPr="00400193">
        <w:rPr>
          <w:lang w:eastAsia="zh-CN" w:bidi="hi-IN"/>
        </w:rPr>
        <w:t xml:space="preserve"> variables</w:t>
      </w:r>
    </w:p>
    <w:p w14:paraId="2051ED1B" w14:textId="7ADFD0DE" w:rsidR="00FC6AB4" w:rsidRPr="00400193" w:rsidRDefault="00FC6AB4" w:rsidP="00BA2F8F">
      <w:pPr>
        <w:pStyle w:val="ListParagraph"/>
        <w:numPr>
          <w:ilvl w:val="1"/>
          <w:numId w:val="28"/>
        </w:numPr>
      </w:pPr>
      <w:r w:rsidRPr="00400193">
        <w:rPr>
          <w:lang w:eastAsia="zh-CN" w:bidi="hi-IN"/>
        </w:rPr>
        <w:t>Key External Threats – Phishing (KEP)</w:t>
      </w:r>
    </w:p>
    <w:p w14:paraId="775CDB24" w14:textId="65FF7AE6" w:rsidR="00FC6AB4" w:rsidRPr="00400193" w:rsidRDefault="00026B4E" w:rsidP="008D0F8E">
      <w:pPr>
        <w:pStyle w:val="ListParagraph"/>
        <w:numPr>
          <w:ilvl w:val="2"/>
          <w:numId w:val="28"/>
        </w:numPr>
      </w:pPr>
      <w:r w:rsidRPr="00400193">
        <w:t>9</w:t>
      </w:r>
      <w:r w:rsidR="00FC6AB4" w:rsidRPr="00400193">
        <w:t xml:space="preserve"> variables</w:t>
      </w:r>
    </w:p>
    <w:p w14:paraId="09D53F72" w14:textId="5DB43E6F" w:rsidR="00FC6AB4" w:rsidRPr="00400193" w:rsidRDefault="00FC6AB4" w:rsidP="00BA2F8F">
      <w:pPr>
        <w:pStyle w:val="ListParagraph"/>
        <w:numPr>
          <w:ilvl w:val="1"/>
          <w:numId w:val="28"/>
        </w:numPr>
      </w:pPr>
      <w:r w:rsidRPr="00400193">
        <w:rPr>
          <w:lang w:eastAsia="zh-CN" w:bidi="hi-IN"/>
        </w:rPr>
        <w:t>Key External Threats - Financial Fraud (KEFF)</w:t>
      </w:r>
    </w:p>
    <w:p w14:paraId="66CC180A" w14:textId="5444BA6A" w:rsidR="00FC6AB4" w:rsidRPr="00400193" w:rsidRDefault="00FC6AB4" w:rsidP="008D0F8E">
      <w:pPr>
        <w:pStyle w:val="ListParagraph"/>
        <w:numPr>
          <w:ilvl w:val="2"/>
          <w:numId w:val="28"/>
        </w:numPr>
      </w:pPr>
      <w:r w:rsidRPr="00400193">
        <w:t>1</w:t>
      </w:r>
      <w:r w:rsidR="00026B4E" w:rsidRPr="00400193">
        <w:t>4</w:t>
      </w:r>
      <w:r w:rsidRPr="00400193">
        <w:t xml:space="preserve"> variables</w:t>
      </w:r>
    </w:p>
    <w:p w14:paraId="378BBA3E" w14:textId="2B7F59F4" w:rsidR="00FC6AB4" w:rsidRPr="00400193" w:rsidRDefault="00FC6AB4" w:rsidP="00BA2F8F">
      <w:pPr>
        <w:pStyle w:val="ListParagraph"/>
        <w:numPr>
          <w:ilvl w:val="1"/>
          <w:numId w:val="28"/>
        </w:numPr>
      </w:pPr>
      <w:r w:rsidRPr="00400193">
        <w:rPr>
          <w:lang w:eastAsia="zh-CN" w:bidi="hi-IN"/>
        </w:rPr>
        <w:t>Key External Threats - Criminal Acts (ETCA)</w:t>
      </w:r>
    </w:p>
    <w:p w14:paraId="4FAAB344" w14:textId="40CEDD8C" w:rsidR="00FC6AB4" w:rsidRPr="00400193" w:rsidRDefault="00FC6AB4" w:rsidP="008D0F8E">
      <w:pPr>
        <w:pStyle w:val="ListParagraph"/>
        <w:numPr>
          <w:ilvl w:val="2"/>
          <w:numId w:val="28"/>
        </w:numPr>
      </w:pPr>
      <w:r w:rsidRPr="00400193">
        <w:t>2</w:t>
      </w:r>
      <w:r w:rsidR="00026B4E" w:rsidRPr="00400193">
        <w:t>2</w:t>
      </w:r>
      <w:r w:rsidRPr="00400193">
        <w:t xml:space="preserve"> variables</w:t>
      </w:r>
    </w:p>
    <w:p w14:paraId="0F023976" w14:textId="7C43AE19" w:rsidR="00BA2F8F" w:rsidRPr="00400193" w:rsidRDefault="00BA2F8F" w:rsidP="00FC6AB4">
      <w:pPr>
        <w:pStyle w:val="ListParagraph"/>
        <w:numPr>
          <w:ilvl w:val="0"/>
          <w:numId w:val="28"/>
        </w:numPr>
      </w:pPr>
      <w:r w:rsidRPr="00400193">
        <w:t>Internal Risk Factors (IRF)</w:t>
      </w:r>
    </w:p>
    <w:p w14:paraId="42C6F405" w14:textId="13DC8C62" w:rsidR="00FC6AB4" w:rsidRPr="00400193" w:rsidRDefault="00BA2F8F" w:rsidP="008D0F8E">
      <w:pPr>
        <w:pStyle w:val="ListParagraph"/>
        <w:numPr>
          <w:ilvl w:val="1"/>
          <w:numId w:val="28"/>
        </w:numPr>
      </w:pPr>
      <w:r w:rsidRPr="00400193">
        <w:rPr>
          <w:lang w:eastAsia="zh-CN" w:bidi="hi-IN"/>
        </w:rPr>
        <w:t>Key Internal Threats - Lack of Awareness (KILA)</w:t>
      </w:r>
    </w:p>
    <w:p w14:paraId="62DFC96A" w14:textId="65624AD1" w:rsidR="00BA2F8F" w:rsidRPr="00400193" w:rsidRDefault="00BA2F8F" w:rsidP="008D0F8E">
      <w:pPr>
        <w:pStyle w:val="ListParagraph"/>
        <w:numPr>
          <w:ilvl w:val="2"/>
          <w:numId w:val="28"/>
        </w:numPr>
      </w:pPr>
      <w:r w:rsidRPr="00400193">
        <w:t>2</w:t>
      </w:r>
      <w:r w:rsidR="00DD4261" w:rsidRPr="00400193">
        <w:t>6</w:t>
      </w:r>
      <w:r w:rsidRPr="00400193">
        <w:t xml:space="preserve"> variables</w:t>
      </w:r>
    </w:p>
    <w:p w14:paraId="2831C2A8" w14:textId="3A4592C3" w:rsidR="00BA2F8F" w:rsidRPr="00400193" w:rsidRDefault="00BA2F8F" w:rsidP="008D0F8E">
      <w:pPr>
        <w:pStyle w:val="ListParagraph"/>
        <w:numPr>
          <w:ilvl w:val="1"/>
          <w:numId w:val="28"/>
        </w:numPr>
      </w:pPr>
      <w:r w:rsidRPr="00400193">
        <w:rPr>
          <w:lang w:eastAsia="zh-CN" w:bidi="hi-IN"/>
        </w:rPr>
        <w:t>Key Internal Threats - Risk Culture and Laziness (KIRC)</w:t>
      </w:r>
    </w:p>
    <w:p w14:paraId="1A1C1351" w14:textId="74BCFC95" w:rsidR="00BA2F8F" w:rsidRPr="00400193" w:rsidRDefault="00BA2F8F" w:rsidP="008D0F8E">
      <w:pPr>
        <w:pStyle w:val="ListParagraph"/>
        <w:numPr>
          <w:ilvl w:val="2"/>
          <w:numId w:val="28"/>
        </w:numPr>
      </w:pPr>
      <w:r w:rsidRPr="00400193">
        <w:t>1</w:t>
      </w:r>
      <w:r w:rsidR="00DD4261" w:rsidRPr="00400193">
        <w:t>9</w:t>
      </w:r>
      <w:r w:rsidRPr="00400193">
        <w:t xml:space="preserve"> variables</w:t>
      </w:r>
    </w:p>
    <w:p w14:paraId="486B7147" w14:textId="79F87FE6" w:rsidR="00BA2F8F" w:rsidRPr="00400193" w:rsidRDefault="00BA2F8F" w:rsidP="008D0F8E">
      <w:pPr>
        <w:pStyle w:val="ListParagraph"/>
        <w:numPr>
          <w:ilvl w:val="1"/>
          <w:numId w:val="28"/>
        </w:numPr>
      </w:pPr>
      <w:r w:rsidRPr="00400193">
        <w:rPr>
          <w:lang w:eastAsia="zh-CN" w:bidi="hi-IN"/>
        </w:rPr>
        <w:t>Key Internal Threats - Financial Fraud (KIFF)</w:t>
      </w:r>
    </w:p>
    <w:p w14:paraId="4D4F9AFB" w14:textId="234892FF" w:rsidR="00BA2F8F" w:rsidRPr="00400193" w:rsidRDefault="00BA2F8F" w:rsidP="008D0F8E">
      <w:pPr>
        <w:pStyle w:val="ListParagraph"/>
        <w:numPr>
          <w:ilvl w:val="2"/>
          <w:numId w:val="28"/>
        </w:numPr>
      </w:pPr>
      <w:r w:rsidRPr="00400193">
        <w:t>7 variables</w:t>
      </w:r>
    </w:p>
    <w:p w14:paraId="323BFB02" w14:textId="748B7D6F" w:rsidR="00BA2F8F" w:rsidRPr="00400193" w:rsidRDefault="00BA2F8F" w:rsidP="008D0F8E">
      <w:pPr>
        <w:pStyle w:val="ListParagraph"/>
        <w:numPr>
          <w:ilvl w:val="1"/>
          <w:numId w:val="28"/>
        </w:numPr>
      </w:pPr>
      <w:r w:rsidRPr="00400193">
        <w:rPr>
          <w:lang w:eastAsia="zh-CN" w:bidi="hi-IN"/>
        </w:rPr>
        <w:t>Key Internal Threats - Criminal Acts (ITCA)</w:t>
      </w:r>
    </w:p>
    <w:p w14:paraId="26580B74" w14:textId="34D4C4ED" w:rsidR="00BA2F8F" w:rsidRPr="00400193" w:rsidRDefault="00DD4261" w:rsidP="008D0F8E">
      <w:pPr>
        <w:pStyle w:val="ListParagraph"/>
        <w:numPr>
          <w:ilvl w:val="2"/>
          <w:numId w:val="28"/>
        </w:numPr>
      </w:pPr>
      <w:r w:rsidRPr="00400193">
        <w:t>8</w:t>
      </w:r>
      <w:r w:rsidR="00BA2F8F" w:rsidRPr="00400193">
        <w:t xml:space="preserve"> variables</w:t>
      </w:r>
    </w:p>
    <w:p w14:paraId="335247DB" w14:textId="23215C7C" w:rsidR="00BA2F8F" w:rsidRPr="00400193" w:rsidRDefault="00BA2F8F" w:rsidP="00BA2F8F">
      <w:pPr>
        <w:pStyle w:val="ListParagraph"/>
        <w:numPr>
          <w:ilvl w:val="0"/>
          <w:numId w:val="28"/>
        </w:numPr>
      </w:pPr>
      <w:r w:rsidRPr="00400193">
        <w:rPr>
          <w:lang w:eastAsia="zh-CN" w:bidi="hi-IN"/>
        </w:rPr>
        <w:t>Vulnerabilities and Weaknesses (VW)</w:t>
      </w:r>
    </w:p>
    <w:p w14:paraId="51E5D950" w14:textId="0D58264F" w:rsidR="00A558D8" w:rsidRPr="00400193" w:rsidRDefault="00A558D8" w:rsidP="008D0F8E">
      <w:pPr>
        <w:pStyle w:val="ListParagraph"/>
        <w:numPr>
          <w:ilvl w:val="1"/>
          <w:numId w:val="28"/>
        </w:numPr>
      </w:pPr>
      <w:r w:rsidRPr="00400193">
        <w:rPr>
          <w:lang w:eastAsia="zh-CN" w:bidi="hi-IN"/>
        </w:rPr>
        <w:t>Vulnerabilities and Weaknesses (VW)</w:t>
      </w:r>
    </w:p>
    <w:p w14:paraId="09C2612C" w14:textId="36917C8D" w:rsidR="00A558D8" w:rsidRPr="00400193" w:rsidRDefault="00A558D8" w:rsidP="008D0F8E">
      <w:pPr>
        <w:pStyle w:val="ListParagraph"/>
        <w:numPr>
          <w:ilvl w:val="2"/>
          <w:numId w:val="28"/>
        </w:numPr>
      </w:pPr>
      <w:r w:rsidRPr="00400193">
        <w:t>1</w:t>
      </w:r>
      <w:r w:rsidR="00DD4261" w:rsidRPr="00400193">
        <w:t>4</w:t>
      </w:r>
      <w:r w:rsidRPr="00400193">
        <w:t xml:space="preserve"> variables</w:t>
      </w:r>
    </w:p>
    <w:p w14:paraId="4C55D3F3" w14:textId="2649C522" w:rsidR="00A558D8" w:rsidRPr="00400193" w:rsidRDefault="00A558D8" w:rsidP="008D0F8E">
      <w:pPr>
        <w:pStyle w:val="ListParagraph"/>
        <w:numPr>
          <w:ilvl w:val="1"/>
          <w:numId w:val="28"/>
        </w:numPr>
      </w:pPr>
      <w:r w:rsidRPr="00400193">
        <w:rPr>
          <w:lang w:eastAsia="zh-CN" w:bidi="hi-IN"/>
        </w:rPr>
        <w:t>Organi</w:t>
      </w:r>
      <w:r w:rsidR="00D75A7B" w:rsidRPr="00400193">
        <w:rPr>
          <w:lang w:eastAsia="zh-CN" w:bidi="hi-IN"/>
        </w:rPr>
        <w:t>s</w:t>
      </w:r>
      <w:r w:rsidRPr="00400193">
        <w:rPr>
          <w:lang w:eastAsia="zh-CN" w:bidi="hi-IN"/>
        </w:rPr>
        <w:t xml:space="preserve">ation </w:t>
      </w:r>
      <w:r w:rsidRPr="00400193">
        <w:t>Vulnerabilities and Weaknesses Physical and Digital Assets (V</w:t>
      </w:r>
      <w:r w:rsidR="008429A9" w:rsidRPr="00400193">
        <w:t>W</w:t>
      </w:r>
      <w:r w:rsidR="00DD4261" w:rsidRPr="00400193">
        <w:t>P</w:t>
      </w:r>
      <w:r w:rsidR="008429A9" w:rsidRPr="00400193">
        <w:t>)</w:t>
      </w:r>
    </w:p>
    <w:p w14:paraId="116898A8" w14:textId="1EC52C52" w:rsidR="008429A9" w:rsidRPr="00400193" w:rsidRDefault="008429A9" w:rsidP="008D0F8E">
      <w:pPr>
        <w:pStyle w:val="ListParagraph"/>
        <w:numPr>
          <w:ilvl w:val="2"/>
          <w:numId w:val="28"/>
        </w:numPr>
      </w:pPr>
      <w:r w:rsidRPr="00400193">
        <w:t>1</w:t>
      </w:r>
      <w:r w:rsidR="00DD4261" w:rsidRPr="00400193">
        <w:t>5</w:t>
      </w:r>
      <w:r w:rsidRPr="00400193">
        <w:t xml:space="preserve"> variables</w:t>
      </w:r>
    </w:p>
    <w:p w14:paraId="3DD9108E" w14:textId="35746BD4" w:rsidR="008429A9" w:rsidRPr="00400193" w:rsidRDefault="008429A9" w:rsidP="008429A9">
      <w:pPr>
        <w:pStyle w:val="ListParagraph"/>
        <w:numPr>
          <w:ilvl w:val="0"/>
          <w:numId w:val="28"/>
        </w:numPr>
      </w:pPr>
      <w:r w:rsidRPr="00400193">
        <w:t>Responses in Place</w:t>
      </w:r>
    </w:p>
    <w:p w14:paraId="4E5982F3" w14:textId="6A6A541E" w:rsidR="008429A9" w:rsidRPr="00400193" w:rsidRDefault="008429A9" w:rsidP="008D0F8E">
      <w:pPr>
        <w:pStyle w:val="ListParagraph"/>
        <w:numPr>
          <w:ilvl w:val="1"/>
          <w:numId w:val="28"/>
        </w:numPr>
      </w:pPr>
      <w:r w:rsidRPr="00400193">
        <w:t>Responses in Place</w:t>
      </w:r>
    </w:p>
    <w:p w14:paraId="0C29F804" w14:textId="38866F58" w:rsidR="008429A9" w:rsidRPr="00400193" w:rsidRDefault="008429A9" w:rsidP="008D0F8E">
      <w:pPr>
        <w:pStyle w:val="ListParagraph"/>
        <w:numPr>
          <w:ilvl w:val="2"/>
          <w:numId w:val="28"/>
        </w:numPr>
      </w:pPr>
      <w:r w:rsidRPr="00400193">
        <w:t>1</w:t>
      </w:r>
      <w:r w:rsidR="00DD4261" w:rsidRPr="00400193">
        <w:t>9</w:t>
      </w:r>
      <w:r w:rsidRPr="00400193">
        <w:t xml:space="preserve"> variables</w:t>
      </w:r>
    </w:p>
    <w:p w14:paraId="15352CDB" w14:textId="07523B57" w:rsidR="008429A9" w:rsidRPr="00400193" w:rsidRDefault="008429A9" w:rsidP="008429A9">
      <w:pPr>
        <w:pStyle w:val="ListParagraph"/>
        <w:numPr>
          <w:ilvl w:val="0"/>
          <w:numId w:val="28"/>
        </w:numPr>
      </w:pPr>
      <w:r w:rsidRPr="00400193">
        <w:rPr>
          <w:lang w:eastAsia="zh-CN" w:bidi="hi-IN"/>
        </w:rPr>
        <w:t>Organisation Resilience (ORe)</w:t>
      </w:r>
    </w:p>
    <w:p w14:paraId="78BB2363" w14:textId="1A8B7FB5" w:rsidR="008429A9" w:rsidRPr="00400193" w:rsidRDefault="008429A9" w:rsidP="008D0F8E">
      <w:pPr>
        <w:pStyle w:val="ListParagraph"/>
        <w:numPr>
          <w:ilvl w:val="1"/>
          <w:numId w:val="28"/>
        </w:numPr>
      </w:pPr>
      <w:r w:rsidRPr="00400193">
        <w:rPr>
          <w:lang w:eastAsia="zh-CN" w:bidi="hi-IN"/>
        </w:rPr>
        <w:t>Organisation Resilience (OR)</w:t>
      </w:r>
    </w:p>
    <w:p w14:paraId="74AF031D" w14:textId="66D113B7" w:rsidR="008429A9" w:rsidRPr="00400193" w:rsidRDefault="008429A9" w:rsidP="008D0F8E">
      <w:pPr>
        <w:pStyle w:val="ListParagraph"/>
        <w:numPr>
          <w:ilvl w:val="2"/>
          <w:numId w:val="28"/>
        </w:numPr>
        <w:rPr>
          <w:lang w:eastAsia="zh-CN" w:bidi="hi-IN"/>
        </w:rPr>
      </w:pPr>
      <w:r w:rsidRPr="00400193">
        <w:t>2</w:t>
      </w:r>
      <w:r w:rsidR="00DD4261" w:rsidRPr="00400193">
        <w:t>2</w:t>
      </w:r>
      <w:r w:rsidRPr="00400193">
        <w:t xml:space="preserve"> variables</w:t>
      </w:r>
    </w:p>
    <w:p w14:paraId="575A9F98" w14:textId="2906E7D7" w:rsidR="006E3616" w:rsidRPr="00400193" w:rsidRDefault="006E3616" w:rsidP="006E3616">
      <w:pPr>
        <w:rPr>
          <w:lang w:eastAsia="zh-CN" w:bidi="hi-IN"/>
        </w:rPr>
      </w:pPr>
      <w:r w:rsidRPr="00400193">
        <w:lastRenderedPageBreak/>
        <w:t xml:space="preserve">(see </w:t>
      </w:r>
      <w:r w:rsidRPr="00400193">
        <w:fldChar w:fldCharType="begin"/>
      </w:r>
      <w:r w:rsidRPr="00400193">
        <w:instrText xml:space="preserve"> REF _Ref42945193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2</w:t>
      </w:r>
      <w:r w:rsidRPr="00400193">
        <w:fldChar w:fldCharType="end"/>
      </w:r>
      <w:r w:rsidRPr="00400193">
        <w:t xml:space="preserve"> for full</w:t>
      </w:r>
      <w:r w:rsidR="00026B4E" w:rsidRPr="00400193">
        <w:t>y detailed</w:t>
      </w:r>
      <w:r w:rsidRPr="00400193">
        <w:t xml:space="preserve"> list).</w:t>
      </w:r>
      <w:r w:rsidRPr="00400193">
        <w:rPr>
          <w:lang w:eastAsia="zh-CN" w:bidi="hi-IN"/>
        </w:rPr>
        <w:t xml:space="preserve"> Of these variables, 87 had missing data, with the proportion ranging from 3.8% to 5.8%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_Ref42945180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1</w:t>
      </w:r>
      <w:r w:rsidRPr="00400193">
        <w:rPr>
          <w:lang w:eastAsia="zh-CN" w:bidi="hi-IN"/>
        </w:rPr>
        <w:fldChar w:fldCharType="end"/>
      </w:r>
      <w:r w:rsidRPr="00400193">
        <w:rPr>
          <w:lang w:eastAsia="zh-CN" w:bidi="hi-IN"/>
        </w:rPr>
        <w:t xml:space="preserve"> to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Hair, Black and Babin (2010) suggested that variables with 15% of data missing were candidates for deletion.</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_Ref42945180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1</w:t>
      </w:r>
      <w:r w:rsidRPr="00400193">
        <w:rPr>
          <w:lang w:eastAsia="zh-CN" w:bidi="hi-IN"/>
        </w:rPr>
        <w:fldChar w:fldCharType="end"/>
      </w:r>
      <w:r w:rsidRPr="00400193">
        <w:rPr>
          <w:lang w:eastAsia="zh-CN" w:bidi="hi-IN"/>
        </w:rPr>
        <w:t xml:space="preserve"> shows that there are no variables with important missing data. The variables with missing data were all items in the scales: KILA, KIRC, KIFF, ITCA, VW, VWP, RP and OR. All variables were therefore retained and</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_Ref42945180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1</w:t>
      </w:r>
      <w:r w:rsidRPr="00400193">
        <w:rPr>
          <w:lang w:eastAsia="zh-CN" w:bidi="hi-IN"/>
        </w:rPr>
        <w:fldChar w:fldCharType="end"/>
      </w:r>
      <w:r w:rsidRPr="00400193">
        <w:rPr>
          <w:lang w:eastAsia="zh-CN" w:bidi="hi-IN"/>
        </w:rPr>
        <w:t xml:space="preserve"> shows descriptive statistics of the original dataset.</w:t>
      </w:r>
      <w:r w:rsidR="00403BE7" w:rsidRPr="00400193">
        <w:rPr>
          <w:lang w:eastAsia="zh-CN" w:bidi="hi-IN"/>
        </w:rPr>
        <w:t xml:space="preserve"> </w:t>
      </w:r>
    </w:p>
    <w:p w14:paraId="4AA9651B" w14:textId="55500953" w:rsidR="006E3616" w:rsidRPr="00400193" w:rsidRDefault="006E3616" w:rsidP="006E3616">
      <w:pPr>
        <w:rPr>
          <w:lang w:eastAsia="zh-CN" w:bidi="hi-IN"/>
        </w:rPr>
      </w:pPr>
      <w:r w:rsidRPr="00400193">
        <w:rPr>
          <w:lang w:eastAsia="zh-CN" w:bidi="hi-IN"/>
        </w:rPr>
        <w:t xml:space="preserve">Missing data analysis should include evaluation of the randomness of the missing data </w:t>
      </w:r>
      <w:r w:rsidR="00337F8A" w:rsidRPr="00400193">
        <w:rPr>
          <w:lang w:eastAsia="zh-CN" w:bidi="hi-IN"/>
        </w:rPr>
        <w:t>(Hair, Black, and Babin, 2010)</w:t>
      </w:r>
      <w:r w:rsidRPr="00400193">
        <w:rPr>
          <w:lang w:eastAsia="zh-CN" w:bidi="hi-IN"/>
        </w:rPr>
        <w:t xml:space="preserve">. Little’s Missing Completely at Random (MCAR) </w:t>
      </w:r>
      <w:sdt>
        <w:sdtPr>
          <w:rPr>
            <w:lang w:eastAsia="zh-CN" w:bidi="hi-IN"/>
          </w:rPr>
          <w:id w:val="-198016690"/>
          <w:citation/>
        </w:sdtPr>
        <w:sdtEndPr/>
        <w:sdtContent>
          <w:r w:rsidRPr="00400193">
            <w:rPr>
              <w:lang w:eastAsia="zh-CN" w:bidi="hi-IN"/>
            </w:rPr>
            <w:fldChar w:fldCharType="begin"/>
          </w:r>
          <w:r w:rsidRPr="00400193">
            <w:rPr>
              <w:lang w:eastAsia="zh-CN" w:bidi="hi-IN"/>
            </w:rPr>
            <w:instrText xml:space="preserve"> CITATION Lit88 \l 2057 </w:instrText>
          </w:r>
          <w:r w:rsidRPr="00400193">
            <w:rPr>
              <w:lang w:eastAsia="zh-CN" w:bidi="hi-IN"/>
            </w:rPr>
            <w:fldChar w:fldCharType="separate"/>
          </w:r>
          <w:r w:rsidR="00DD0FD9" w:rsidRPr="00400193">
            <w:rPr>
              <w:noProof/>
              <w:lang w:eastAsia="zh-CN" w:bidi="hi-IN"/>
            </w:rPr>
            <w:t>(Little, 1988)</w:t>
          </w:r>
          <w:r w:rsidRPr="00400193">
            <w:rPr>
              <w:lang w:eastAsia="zh-CN" w:bidi="hi-IN"/>
            </w:rPr>
            <w:fldChar w:fldCharType="end"/>
          </w:r>
        </w:sdtContent>
      </w:sdt>
      <w:r w:rsidRPr="00400193">
        <w:rPr>
          <w:lang w:eastAsia="zh-CN" w:bidi="hi-IN"/>
        </w:rPr>
        <w:t xml:space="preserve"> test was used to assess the randomness of the pattern of the missing data. A non-significant result (p-value is higher than 0.05) suggests that data are missing at random (</w:t>
      </w:r>
      <w:bookmarkStart w:id="380" w:name="_Hlk22021805"/>
      <w:r w:rsidRPr="00400193">
        <w:rPr>
          <w:lang w:eastAsia="zh-CN" w:bidi="hi-IN"/>
        </w:rPr>
        <w:t>Tabachnick</w:t>
      </w:r>
      <w:bookmarkEnd w:id="380"/>
      <w:r w:rsidRPr="00400193">
        <w:rPr>
          <w:lang w:eastAsia="zh-CN" w:bidi="hi-IN"/>
        </w:rPr>
        <w:t xml:space="preserve"> </w:t>
      </w:r>
      <w:r w:rsidR="00337F8A" w:rsidRPr="00400193">
        <w:rPr>
          <w:lang w:eastAsia="zh-CN" w:bidi="hi-IN"/>
        </w:rPr>
        <w:t>and</w:t>
      </w:r>
      <w:r w:rsidRPr="00400193">
        <w:rPr>
          <w:lang w:eastAsia="zh-CN" w:bidi="hi-IN"/>
        </w:rPr>
        <w:t xml:space="preserve"> Fidell, 2007). The result of Little’s test was Chi-Square = 138.455, DF = 149, Sig. = 0.721. There was therefore no significant difference between the pattern of the data and the pattern anticipated for random missing data. Any type of solution can therefore be used to treat the missing data (Hair, Black </w:t>
      </w:r>
      <w:r w:rsidR="00337F8A" w:rsidRPr="00400193">
        <w:rPr>
          <w:lang w:eastAsia="zh-CN" w:bidi="hi-IN"/>
        </w:rPr>
        <w:t>and</w:t>
      </w:r>
      <w:r w:rsidRPr="00400193">
        <w:rPr>
          <w:lang w:eastAsia="zh-CN" w:bidi="hi-IN"/>
        </w:rPr>
        <w:t xml:space="preserve"> Babin, 2010).</w:t>
      </w:r>
    </w:p>
    <w:p w14:paraId="5F98A34F" w14:textId="19273FE7" w:rsidR="006E3616" w:rsidRPr="00400193" w:rsidRDefault="006E3616" w:rsidP="006E3616">
      <w:pPr>
        <w:rPr>
          <w:lang w:eastAsia="zh-CN" w:bidi="hi-IN"/>
        </w:rPr>
      </w:pPr>
      <w:r w:rsidRPr="00400193">
        <w:rPr>
          <w:lang w:eastAsia="zh-CN" w:bidi="hi-IN"/>
        </w:rPr>
        <w:t xml:space="preserve">This study used the </w:t>
      </w:r>
      <w:r w:rsidRPr="00400193">
        <w:rPr>
          <w:szCs w:val="24"/>
          <w:shd w:val="clear" w:color="auto" w:fill="FFFFFF"/>
        </w:rPr>
        <w:t>Expectation–Maximi</w:t>
      </w:r>
      <w:r w:rsidR="00D75A7B" w:rsidRPr="00400193">
        <w:rPr>
          <w:szCs w:val="24"/>
          <w:shd w:val="clear" w:color="auto" w:fill="FFFFFF"/>
        </w:rPr>
        <w:t>s</w:t>
      </w:r>
      <w:r w:rsidRPr="00400193">
        <w:rPr>
          <w:szCs w:val="24"/>
          <w:shd w:val="clear" w:color="auto" w:fill="FFFFFF"/>
        </w:rPr>
        <w:t>ation </w:t>
      </w:r>
      <w:r w:rsidR="0010161B" w:rsidRPr="00400193">
        <w:rPr>
          <w:sz w:val="32"/>
          <w:szCs w:val="28"/>
          <w:lang w:eastAsia="zh-CN" w:bidi="hi-IN"/>
        </w:rPr>
        <w:t>(</w:t>
      </w:r>
      <w:r w:rsidRPr="00400193">
        <w:rPr>
          <w:lang w:eastAsia="zh-CN" w:bidi="hi-IN"/>
        </w:rPr>
        <w:t>EM) algorithm to substitute all missing data with the maximum likely values through the Missing Value Analysis (MVA) function. As an outcome, the data set in this research did not include any missing values. Items RP16, VW6, RP13 and OR3 had minimum values of −0.26, 0.36, 0.43 and 0.76, and VW13, RP11, OR7, OR14, VW5 and RP15 had values of 6.02, 5.66, 5.25, 5.24, 5.03 and 5.02. These values were therefore under and over the limit values (1 and 5), so were estimated again. The result of this second set of missing values (Little’s MCAR test) was a Chi-Square = 11.838, DF = 10, Sig. = 0.2961. As with the first result, there was no significant difference between the pattern of the data and the pattern anticipated for random missing data. The second estimation for the above values were between 1 and 5, which were considered possible values.</w:t>
      </w:r>
    </w:p>
    <w:p w14:paraId="7DBDFA1E" w14:textId="77777777" w:rsidR="006E3616" w:rsidRPr="00400193" w:rsidRDefault="006E3616" w:rsidP="006E3616">
      <w:pPr>
        <w:pStyle w:val="Heading2"/>
        <w:rPr>
          <w:lang w:eastAsia="zh-CN" w:bidi="hi-IN"/>
        </w:rPr>
      </w:pPr>
      <w:bookmarkStart w:id="381" w:name="_Ref51178523"/>
      <w:bookmarkStart w:id="382" w:name="_Toc61894745"/>
      <w:r w:rsidRPr="00400193">
        <w:rPr>
          <w:lang w:eastAsia="zh-CN" w:bidi="hi-IN"/>
        </w:rPr>
        <w:t>Test of Outliers</w:t>
      </w:r>
      <w:bookmarkEnd w:id="381"/>
      <w:bookmarkEnd w:id="382"/>
      <w:r w:rsidRPr="00400193">
        <w:rPr>
          <w:lang w:eastAsia="zh-CN" w:bidi="hi-IN"/>
        </w:rPr>
        <w:t xml:space="preserve"> </w:t>
      </w:r>
    </w:p>
    <w:p w14:paraId="7C314ABA" w14:textId="5D363CBE" w:rsidR="006E3616" w:rsidRPr="00400193" w:rsidRDefault="006E3616" w:rsidP="006E3616">
      <w:pPr>
        <w:rPr>
          <w:lang w:eastAsia="zh-CN" w:bidi="hi-IN"/>
        </w:rPr>
      </w:pPr>
      <w:r w:rsidRPr="00400193">
        <w:rPr>
          <w:lang w:eastAsia="zh-CN" w:bidi="hi-IN"/>
        </w:rPr>
        <w:t xml:space="preserve">In social science, the quality of the data is very important and considered a basic condition for effective control of the research </w:t>
      </w:r>
      <w:sdt>
        <w:sdtPr>
          <w:rPr>
            <w:lang w:eastAsia="zh-CN" w:bidi="hi-IN"/>
          </w:rPr>
          <w:id w:val="1866705008"/>
          <w:citation/>
        </w:sdtPr>
        <w:sdtEndPr/>
        <w:sdtContent>
          <w:r w:rsidRPr="00400193">
            <w:rPr>
              <w:lang w:eastAsia="zh-CN" w:bidi="hi-IN"/>
            </w:rPr>
            <w:fldChar w:fldCharType="begin"/>
          </w:r>
          <w:r w:rsidRPr="00400193">
            <w:rPr>
              <w:lang w:eastAsia="zh-CN" w:bidi="hi-IN"/>
            </w:rPr>
            <w:instrText xml:space="preserve">CITATION Bry88 \t  \l 2057 </w:instrText>
          </w:r>
          <w:r w:rsidRPr="00400193">
            <w:rPr>
              <w:lang w:eastAsia="zh-CN" w:bidi="hi-IN"/>
            </w:rPr>
            <w:fldChar w:fldCharType="separate"/>
          </w:r>
          <w:r w:rsidR="00E20BC9" w:rsidRPr="00400193">
            <w:rPr>
              <w:noProof/>
              <w:lang w:eastAsia="zh-CN" w:bidi="hi-IN"/>
            </w:rPr>
            <w:t>(Bryman, 1988)</w:t>
          </w:r>
          <w:r w:rsidRPr="00400193">
            <w:rPr>
              <w:lang w:eastAsia="zh-CN" w:bidi="hi-IN"/>
            </w:rPr>
            <w:fldChar w:fldCharType="end"/>
          </w:r>
        </w:sdtContent>
      </w:sdt>
      <w:r w:rsidRPr="00400193">
        <w:rPr>
          <w:lang w:eastAsia="zh-CN" w:bidi="hi-IN"/>
        </w:rPr>
        <w:t xml:space="preserve">. One possible problem is outliers. An outlier is an observation that deviates significantly from other observations and may therefore be generated by a different mechanism. These values </w:t>
      </w:r>
      <w:r w:rsidRPr="00400193">
        <w:rPr>
          <w:lang w:eastAsia="zh-CN" w:bidi="hi-IN"/>
        </w:rPr>
        <w:lastRenderedPageBreak/>
        <w:t xml:space="preserve">may appear invalid but may actually be correct and </w:t>
      </w:r>
      <w:r w:rsidRPr="00400193">
        <w:rPr>
          <w:i/>
          <w:iCs/>
          <w:lang w:eastAsia="zh-CN" w:bidi="hi-IN"/>
        </w:rPr>
        <w:t>vice versa</w:t>
      </w:r>
      <w:r w:rsidRPr="00400193">
        <w:rPr>
          <w:lang w:eastAsia="zh-CN" w:bidi="hi-IN"/>
        </w:rPr>
        <w:t xml:space="preserve"> </w:t>
      </w:r>
      <w:r w:rsidR="00337F8A" w:rsidRPr="00400193">
        <w:rPr>
          <w:lang w:eastAsia="zh-CN" w:bidi="hi-IN"/>
        </w:rPr>
        <w:t>(Tabachnick and Fidell, 2007)</w:t>
      </w:r>
      <w:r w:rsidRPr="00400193">
        <w:rPr>
          <w:lang w:eastAsia="zh-CN" w:bidi="hi-IN"/>
        </w:rPr>
        <w:t>.</w:t>
      </w:r>
    </w:p>
    <w:p w14:paraId="0A0CCF43" w14:textId="2EF389B5" w:rsidR="006E3616" w:rsidRPr="00400193" w:rsidRDefault="006E3616" w:rsidP="006E3616">
      <w:pPr>
        <w:rPr>
          <w:lang w:eastAsia="zh-CN" w:bidi="hi-IN"/>
        </w:rPr>
      </w:pPr>
      <w:r w:rsidRPr="00400193">
        <w:rPr>
          <w:lang w:eastAsia="zh-CN" w:bidi="hi-IN"/>
        </w:rPr>
        <w:t xml:space="preserve">Outliers are observations whose characteristics vary significantly from the others. They cannot be categorically considered beneficial or problematic but must be considered in the context of the analysis. The type of information they can provide must be evaluated. In particular, they may not be representative of the population and can therefore seriously distort the behaviour of statistical constructs. However, they also may be indicative of the characteristics of a valid segment of the population and therefore show that the sample is not fully representative </w:t>
      </w:r>
      <w:r w:rsidR="00337F8A" w:rsidRPr="00400193">
        <w:rPr>
          <w:lang w:eastAsia="zh-CN" w:bidi="hi-IN"/>
        </w:rPr>
        <w:t>(Vasudevan and Selvakumar, 2016)</w:t>
      </w:r>
      <w:r w:rsidRPr="00400193">
        <w:rPr>
          <w:lang w:eastAsia="zh-CN" w:bidi="hi-IN"/>
        </w:rPr>
        <w:t>.</w:t>
      </w:r>
    </w:p>
    <w:bookmarkStart w:id="383" w:name="_Hlk25831785"/>
    <w:p w14:paraId="28780366" w14:textId="6B4A1199"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_Ref42945193 \h  \* MERGEFORMAT </w:instrText>
      </w:r>
      <w:r w:rsidRPr="00400193">
        <w:rPr>
          <w:lang w:eastAsia="zh-CN" w:bidi="hi-IN"/>
        </w:rPr>
      </w:r>
      <w:r w:rsidRPr="00400193">
        <w:rPr>
          <w:lang w:eastAsia="zh-CN" w:bidi="hi-IN"/>
        </w:rPr>
        <w:fldChar w:fldCharType="separate"/>
      </w:r>
      <w:r w:rsidR="00BB7C18" w:rsidRPr="00400193">
        <w:t xml:space="preserve">Table </w:t>
      </w:r>
      <w:r w:rsidR="00BB7C18">
        <w:rPr>
          <w:cs/>
        </w:rPr>
        <w:t>‎</w:t>
      </w:r>
      <w:r w:rsidR="00BB7C18">
        <w:rPr>
          <w:noProof/>
        </w:rPr>
        <w:t>0</w:t>
      </w:r>
      <w:r w:rsidR="00BB7C18" w:rsidRPr="00400193">
        <w:noBreakHyphen/>
      </w:r>
      <w:r w:rsidR="00BB7C18">
        <w:rPr>
          <w:noProof/>
        </w:rPr>
        <w:t>2</w:t>
      </w:r>
      <w:r w:rsidRPr="00400193">
        <w:rPr>
          <w:lang w:eastAsia="zh-CN" w:bidi="hi-IN"/>
        </w:rPr>
        <w:fldChar w:fldCharType="end"/>
      </w:r>
      <w:r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shows the original mean, the 5% trimmed mean, </w:t>
      </w:r>
      <w:bookmarkStart w:id="384" w:name="_Hlk25831873"/>
      <w:r w:rsidRPr="00400193">
        <w:rPr>
          <w:lang w:eastAsia="zh-CN" w:bidi="hi-IN"/>
        </w:rPr>
        <w:t>the difference between original mean and 5% trimmed mean</w:t>
      </w:r>
      <w:bookmarkEnd w:id="384"/>
      <w:r w:rsidRPr="00400193">
        <w:rPr>
          <w:lang w:eastAsia="zh-CN" w:bidi="hi-IN"/>
        </w:rPr>
        <w:t>, minimum, maximum, skewness and kurtosis of data after the imputation for missing values. The largest absolute difference between original mean and 5% trimmed mean was [−0.12] = 0.12. Comparing the 5% trimmed mean with the original mean showed that there were no outliers in the data set. There was therefore no need to remove any variables, and the same pool of respondents was used (104 respondents).</w:t>
      </w:r>
    </w:p>
    <w:p w14:paraId="1F273387" w14:textId="77777777" w:rsidR="006E3616" w:rsidRPr="00400193" w:rsidRDefault="006E3616" w:rsidP="006E3616">
      <w:pPr>
        <w:pStyle w:val="Heading2"/>
        <w:rPr>
          <w:lang w:eastAsia="zh-CN" w:bidi="hi-IN"/>
        </w:rPr>
      </w:pPr>
      <w:bookmarkStart w:id="385" w:name="_Ref51178545"/>
      <w:bookmarkStart w:id="386" w:name="_Toc61894746"/>
      <w:bookmarkEnd w:id="383"/>
      <w:r w:rsidRPr="00400193">
        <w:rPr>
          <w:lang w:eastAsia="zh-CN" w:bidi="hi-IN"/>
        </w:rPr>
        <w:t>Reliability Test</w:t>
      </w:r>
      <w:bookmarkEnd w:id="385"/>
      <w:bookmarkEnd w:id="386"/>
    </w:p>
    <w:p w14:paraId="3DF082DB" w14:textId="5CADE219" w:rsidR="006E3616" w:rsidRPr="00400193" w:rsidRDefault="006E3616" w:rsidP="006E3616">
      <w:pPr>
        <w:rPr>
          <w:lang w:eastAsia="zh-CN" w:bidi="hi-IN"/>
        </w:rPr>
      </w:pPr>
      <w:r w:rsidRPr="00400193">
        <w:rPr>
          <w:lang w:eastAsia="zh-CN" w:bidi="hi-IN"/>
        </w:rPr>
        <w:t xml:space="preserve">The instruments used for data collection need to provide valid and reliable information. The value and quality of a study depends on the data reliably reflecting the events investigated </w:t>
      </w:r>
      <w:sdt>
        <w:sdtPr>
          <w:rPr>
            <w:lang w:eastAsia="zh-CN" w:bidi="hi-IN"/>
          </w:rPr>
          <w:id w:val="1609852994"/>
          <w:citation/>
        </w:sdtPr>
        <w:sdtEndPr/>
        <w:sdtContent>
          <w:r w:rsidRPr="00400193">
            <w:rPr>
              <w:lang w:eastAsia="zh-CN" w:bidi="hi-IN"/>
            </w:rPr>
            <w:fldChar w:fldCharType="begin"/>
          </w:r>
          <w:r w:rsidRPr="00400193">
            <w:rPr>
              <w:lang w:eastAsia="zh-CN" w:bidi="hi-IN"/>
            </w:rPr>
            <w:instrText xml:space="preserve"> CITATION Bar17 \l 2057 </w:instrText>
          </w:r>
          <w:r w:rsidRPr="00400193">
            <w:rPr>
              <w:lang w:eastAsia="zh-CN" w:bidi="hi-IN"/>
            </w:rPr>
            <w:fldChar w:fldCharType="separate"/>
          </w:r>
          <w:r w:rsidR="00E20BC9" w:rsidRPr="00400193">
            <w:rPr>
              <w:noProof/>
              <w:lang w:eastAsia="zh-CN" w:bidi="hi-IN"/>
            </w:rPr>
            <w:t>(Barnes, 2017)</w:t>
          </w:r>
          <w:r w:rsidRPr="00400193">
            <w:rPr>
              <w:lang w:eastAsia="zh-CN" w:bidi="hi-IN"/>
            </w:rPr>
            <w:fldChar w:fldCharType="end"/>
          </w:r>
        </w:sdtContent>
      </w:sdt>
      <w:r w:rsidRPr="00400193">
        <w:rPr>
          <w:lang w:eastAsia="zh-CN" w:bidi="hi-IN"/>
        </w:rPr>
        <w:t xml:space="preserve">. It is therefore important to test for reliability to assess how accurately the items, reagents or tasks represent the universe from which they were selected. Reliability qualifies the accuracy with which a set of test scores measures the desired subject </w:t>
      </w:r>
      <w:r w:rsidR="00337F8A" w:rsidRPr="00400193">
        <w:rPr>
          <w:lang w:eastAsia="zh-CN" w:bidi="hi-IN"/>
        </w:rPr>
        <w:t>(Nunnally and Bernstein, 1994)</w:t>
      </w:r>
      <w:r w:rsidRPr="00400193">
        <w:rPr>
          <w:lang w:eastAsia="zh-CN" w:bidi="hi-IN"/>
        </w:rPr>
        <w:t>.</w:t>
      </w:r>
    </w:p>
    <w:p w14:paraId="4ED8E9F8" w14:textId="3F40FEE9" w:rsidR="006E3616" w:rsidRPr="00400193" w:rsidRDefault="006E3616" w:rsidP="006E3616">
      <w:pPr>
        <w:rPr>
          <w:lang w:eastAsia="zh-CN" w:bidi="hi-IN"/>
        </w:rPr>
      </w:pPr>
      <w:r w:rsidRPr="00400193">
        <w:rPr>
          <w:lang w:eastAsia="zh-CN" w:bidi="hi-IN"/>
        </w:rPr>
        <w:t xml:space="preserve">Reliability describes the consistency or stability of a measure. A technical definition of reliability that helps solve both theoretical and practical problems starts from the size of measurement error in a measuring instrument, considering both the systematic variance and the variance by chance. Reliability is defined as the relative absence of measurement errors in a measuring instrument. An observed or measured score is therefore the sum of a real or true score plus an error or measurement error score </w:t>
      </w:r>
      <w:r w:rsidR="00337F8A" w:rsidRPr="00400193">
        <w:rPr>
          <w:lang w:eastAsia="zh-CN" w:bidi="hi-IN"/>
        </w:rPr>
        <w:t>(Nunnally and Bernstein, 1994)</w:t>
      </w:r>
      <w:r w:rsidRPr="00400193">
        <w:rPr>
          <w:lang w:eastAsia="zh-CN" w:bidi="hi-IN"/>
        </w:rPr>
        <w:t>.</w:t>
      </w:r>
    </w:p>
    <w:p w14:paraId="7294A3D6" w14:textId="7B824C6A" w:rsidR="006E3616" w:rsidRPr="00400193" w:rsidRDefault="006E3616" w:rsidP="006E3616">
      <w:pPr>
        <w:rPr>
          <w:lang w:eastAsia="zh-CN" w:bidi="hi-IN"/>
        </w:rPr>
      </w:pPr>
      <w:r w:rsidRPr="00400193">
        <w:rPr>
          <w:lang w:eastAsia="zh-CN" w:bidi="hi-IN"/>
        </w:rPr>
        <w:lastRenderedPageBreak/>
        <w:t>The results of the reliability analysis of this research are shown in</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The tables show an adequate level of internal consistency (Hair, Black </w:t>
      </w:r>
      <w:r w:rsidR="00337F8A" w:rsidRPr="00400193">
        <w:rPr>
          <w:lang w:eastAsia="zh-CN" w:bidi="hi-IN"/>
        </w:rPr>
        <w:t>and</w:t>
      </w:r>
      <w:r w:rsidRPr="00400193">
        <w:rPr>
          <w:lang w:eastAsia="zh-CN" w:bidi="hi-IN"/>
        </w:rPr>
        <w:t xml:space="preserve"> Babin, 2010). </w:t>
      </w:r>
      <w:bookmarkStart w:id="387" w:name="_Hlk25832370"/>
      <w:r w:rsidRPr="00400193">
        <w:rPr>
          <w:lang w:eastAsia="zh-CN" w:bidi="hi-IN"/>
        </w:rPr>
        <w:t xml:space="preserve">They also show whether the internal consistency could be enhanced if one item is removed from the set. The Cronbach’s alpha values support the item set including all factors (see </w:t>
      </w:r>
      <w:r w:rsidRPr="00400193">
        <w:rPr>
          <w:lang w:eastAsia="zh-CN" w:bidi="hi-IN"/>
        </w:rPr>
        <w:fldChar w:fldCharType="begin"/>
      </w:r>
      <w:r w:rsidRPr="00400193">
        <w:rPr>
          <w:lang w:eastAsia="zh-CN" w:bidi="hi-IN"/>
        </w:rPr>
        <w:instrText xml:space="preserve"> REF _Ref43156842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w:t>
      </w:r>
      <w:r w:rsidRPr="00400193">
        <w:rPr>
          <w:lang w:eastAsia="zh-CN" w:bidi="hi-IN"/>
        </w:rPr>
        <w:fldChar w:fldCharType="end"/>
      </w:r>
      <w:r w:rsidRPr="00400193">
        <w:rPr>
          <w:lang w:eastAsia="zh-CN" w:bidi="hi-IN"/>
        </w:rPr>
        <w:t xml:space="preserve">). The value of Cronbach’s alpha for each measurement item was higher than 0.75 </w:t>
      </w:r>
      <w:r w:rsidR="00337F8A" w:rsidRPr="00400193">
        <w:rPr>
          <w:lang w:eastAsia="zh-CN" w:bidi="hi-IN"/>
        </w:rPr>
        <w:t>(Nunnally and Bernstein, 1994)</w:t>
      </w:r>
      <w:r w:rsidRPr="00400193">
        <w:rPr>
          <w:lang w:eastAsia="zh-CN" w:bidi="hi-IN"/>
        </w:rPr>
        <w:t>, so all the items were considered reliable and were included.</w:t>
      </w:r>
      <w:bookmarkEnd w:id="387"/>
    </w:p>
    <w:tbl>
      <w:tblPr>
        <w:tblStyle w:val="ListTable7Colorful"/>
        <w:tblW w:w="0" w:type="auto"/>
        <w:tblLook w:val="06A0" w:firstRow="1" w:lastRow="0" w:firstColumn="1" w:lastColumn="0" w:noHBand="1" w:noVBand="1"/>
      </w:tblPr>
      <w:tblGrid>
        <w:gridCol w:w="6232"/>
        <w:gridCol w:w="2784"/>
      </w:tblGrid>
      <w:tr w:rsidR="00A0618E" w:rsidRPr="00400193" w14:paraId="47CCB239" w14:textId="77777777" w:rsidTr="004C088B">
        <w:trPr>
          <w:cnfStyle w:val="100000000000" w:firstRow="1" w:lastRow="0" w:firstColumn="0" w:lastColumn="0" w:oddVBand="0" w:evenVBand="0" w:oddHBand="0" w:evenHBand="0" w:firstRowFirstColumn="0" w:firstRowLastColumn="0" w:lastRowFirstColumn="0" w:lastRowLastColumn="0"/>
          <w:trHeight w:val="283"/>
        </w:trPr>
        <w:tc>
          <w:tcPr>
            <w:cnfStyle w:val="001000000100" w:firstRow="0" w:lastRow="0" w:firstColumn="1" w:lastColumn="0" w:oddVBand="0" w:evenVBand="0" w:oddHBand="0" w:evenHBand="0" w:firstRowFirstColumn="1" w:firstRowLastColumn="0" w:lastRowFirstColumn="0" w:lastRowLastColumn="0"/>
            <w:tcW w:w="6232" w:type="dxa"/>
          </w:tcPr>
          <w:p w14:paraId="4B5E334A" w14:textId="77777777" w:rsidR="006E3616" w:rsidRPr="00400193" w:rsidRDefault="006E3616" w:rsidP="003B5486">
            <w:pPr>
              <w:spacing w:line="240" w:lineRule="auto"/>
              <w:rPr>
                <w:rFonts w:asciiTheme="minorHAnsi" w:hAnsiTheme="minorHAnsi" w:cstheme="minorHAnsi"/>
                <w:b/>
                <w:bCs/>
                <w:i w:val="0"/>
                <w:iCs w:val="0"/>
                <w:color w:val="auto"/>
                <w:sz w:val="20"/>
                <w:szCs w:val="18"/>
                <w:lang w:eastAsia="zh-CN" w:bidi="hi-IN"/>
              </w:rPr>
            </w:pPr>
            <w:r w:rsidRPr="00400193">
              <w:rPr>
                <w:rFonts w:asciiTheme="minorHAnsi" w:hAnsiTheme="minorHAnsi" w:cstheme="minorHAnsi"/>
                <w:b/>
                <w:bCs/>
                <w:color w:val="auto"/>
                <w:sz w:val="20"/>
                <w:szCs w:val="18"/>
                <w:lang w:eastAsia="zh-CN" w:bidi="hi-IN"/>
              </w:rPr>
              <w:t>Factor</w:t>
            </w:r>
          </w:p>
        </w:tc>
        <w:tc>
          <w:tcPr>
            <w:tcW w:w="2784" w:type="dxa"/>
          </w:tcPr>
          <w:p w14:paraId="77E2831C" w14:textId="77777777" w:rsidR="006E3616" w:rsidRPr="00400193" w:rsidRDefault="006E3616" w:rsidP="003B5486">
            <w:pPr>
              <w:spacing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bCs/>
                <w:i w:val="0"/>
                <w:iCs w:val="0"/>
                <w:color w:val="auto"/>
                <w:sz w:val="20"/>
                <w:szCs w:val="18"/>
                <w:lang w:eastAsia="zh-CN" w:bidi="hi-IN"/>
              </w:rPr>
            </w:pPr>
            <w:r w:rsidRPr="00400193">
              <w:rPr>
                <w:rFonts w:asciiTheme="minorHAnsi" w:hAnsiTheme="minorHAnsi" w:cstheme="minorHAnsi"/>
                <w:b/>
                <w:bCs/>
                <w:color w:val="auto"/>
                <w:sz w:val="20"/>
                <w:szCs w:val="18"/>
                <w:lang w:eastAsia="zh-CN" w:bidi="hi-IN"/>
              </w:rPr>
              <w:t>Cronbach’s Alpha (α)</w:t>
            </w:r>
          </w:p>
        </w:tc>
      </w:tr>
      <w:tr w:rsidR="00A0618E" w:rsidRPr="00400193" w14:paraId="16102F9B"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12DE01A9"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Internal Threats - Lack of Awareness</w:t>
            </w:r>
          </w:p>
        </w:tc>
        <w:tc>
          <w:tcPr>
            <w:tcW w:w="2784" w:type="dxa"/>
          </w:tcPr>
          <w:p w14:paraId="69F278C6"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0.975</w:t>
            </w:r>
          </w:p>
        </w:tc>
      </w:tr>
      <w:tr w:rsidR="00A0618E" w:rsidRPr="00400193" w14:paraId="321148B5"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05FF0176"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Internal Threats - Risk Culture and Laziness</w:t>
            </w:r>
          </w:p>
        </w:tc>
        <w:tc>
          <w:tcPr>
            <w:tcW w:w="2784" w:type="dxa"/>
          </w:tcPr>
          <w:p w14:paraId="22E7CF88"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0.975</w:t>
            </w:r>
          </w:p>
        </w:tc>
      </w:tr>
      <w:tr w:rsidR="00A0618E" w:rsidRPr="00400193" w14:paraId="4C39A53F"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5C1F1959"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Internal Threats - Financial Fraud</w:t>
            </w:r>
          </w:p>
        </w:tc>
        <w:tc>
          <w:tcPr>
            <w:tcW w:w="2784" w:type="dxa"/>
          </w:tcPr>
          <w:p w14:paraId="301C641E"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0.911</w:t>
            </w:r>
          </w:p>
        </w:tc>
      </w:tr>
      <w:tr w:rsidR="00A0618E" w:rsidRPr="00400193" w14:paraId="5438EF04"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5A852D43"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Internal Threats - Criminal Acts</w:t>
            </w:r>
          </w:p>
        </w:tc>
        <w:tc>
          <w:tcPr>
            <w:tcW w:w="2784" w:type="dxa"/>
          </w:tcPr>
          <w:p w14:paraId="42265934"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0.894</w:t>
            </w:r>
          </w:p>
        </w:tc>
      </w:tr>
      <w:tr w:rsidR="00A0618E" w:rsidRPr="00400193" w14:paraId="3FE46742"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27363F1A"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Vulnerabilities and Weaknesses</w:t>
            </w:r>
          </w:p>
        </w:tc>
        <w:tc>
          <w:tcPr>
            <w:tcW w:w="2784" w:type="dxa"/>
          </w:tcPr>
          <w:p w14:paraId="671F8955"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0.795</w:t>
            </w:r>
          </w:p>
        </w:tc>
      </w:tr>
      <w:tr w:rsidR="00A0618E" w:rsidRPr="00400193" w14:paraId="31DB056C"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385A1F9A"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Organisational vulnerabilities and weaknesses: physical and digital assets</w:t>
            </w:r>
          </w:p>
        </w:tc>
        <w:tc>
          <w:tcPr>
            <w:tcW w:w="2784" w:type="dxa"/>
          </w:tcPr>
          <w:p w14:paraId="747B1B80"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0.934</w:t>
            </w:r>
          </w:p>
        </w:tc>
      </w:tr>
      <w:tr w:rsidR="00A0618E" w:rsidRPr="00400193" w14:paraId="2145E8C9"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3A6BC6E4"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Responses in Place</w:t>
            </w:r>
          </w:p>
        </w:tc>
        <w:tc>
          <w:tcPr>
            <w:tcW w:w="2784" w:type="dxa"/>
          </w:tcPr>
          <w:p w14:paraId="53B9FDAE"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0.914</w:t>
            </w:r>
          </w:p>
        </w:tc>
      </w:tr>
      <w:tr w:rsidR="00A0618E" w:rsidRPr="00400193" w14:paraId="4D01E48C"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12002211"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Organisation Resilience</w:t>
            </w:r>
          </w:p>
        </w:tc>
        <w:tc>
          <w:tcPr>
            <w:tcW w:w="2784" w:type="dxa"/>
          </w:tcPr>
          <w:p w14:paraId="2A279EC0"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0.963</w:t>
            </w:r>
          </w:p>
        </w:tc>
      </w:tr>
      <w:tr w:rsidR="00A0618E" w:rsidRPr="00400193" w14:paraId="6C942621"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5CA99C8F"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External Threats – Cyber Attack</w:t>
            </w:r>
          </w:p>
        </w:tc>
        <w:tc>
          <w:tcPr>
            <w:tcW w:w="2784" w:type="dxa"/>
          </w:tcPr>
          <w:p w14:paraId="71E801A6"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0.914</w:t>
            </w:r>
          </w:p>
        </w:tc>
      </w:tr>
      <w:tr w:rsidR="00A0618E" w:rsidRPr="00400193" w14:paraId="788D89A2"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0A879E54"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External Threats – Hacktivism</w:t>
            </w:r>
          </w:p>
        </w:tc>
        <w:tc>
          <w:tcPr>
            <w:tcW w:w="2784" w:type="dxa"/>
          </w:tcPr>
          <w:p w14:paraId="0FD1A402"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0.940</w:t>
            </w:r>
          </w:p>
        </w:tc>
      </w:tr>
      <w:tr w:rsidR="00A0618E" w:rsidRPr="00400193" w14:paraId="129073E6"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68E612CC"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External Threats – Phishing</w:t>
            </w:r>
          </w:p>
        </w:tc>
        <w:tc>
          <w:tcPr>
            <w:tcW w:w="2784" w:type="dxa"/>
          </w:tcPr>
          <w:p w14:paraId="5D6BFB31"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0.941</w:t>
            </w:r>
          </w:p>
        </w:tc>
      </w:tr>
      <w:tr w:rsidR="00A0618E" w:rsidRPr="00400193" w14:paraId="2547C2EB"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4ABB0403"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External Threats – Financial Fraud</w:t>
            </w:r>
          </w:p>
        </w:tc>
        <w:tc>
          <w:tcPr>
            <w:tcW w:w="2784" w:type="dxa"/>
          </w:tcPr>
          <w:p w14:paraId="0395CF8B" w14:textId="77777777" w:rsidR="006E3616" w:rsidRPr="00400193" w:rsidRDefault="006E3616" w:rsidP="003B5486">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0.943</w:t>
            </w:r>
          </w:p>
        </w:tc>
      </w:tr>
      <w:tr w:rsidR="00A0618E" w:rsidRPr="00400193" w14:paraId="3F7A9FF5" w14:textId="77777777" w:rsidTr="004C088B">
        <w:trPr>
          <w:trHeight w:val="283"/>
        </w:trPr>
        <w:tc>
          <w:tcPr>
            <w:cnfStyle w:val="001000000000" w:firstRow="0" w:lastRow="0" w:firstColumn="1" w:lastColumn="0" w:oddVBand="0" w:evenVBand="0" w:oddHBand="0" w:evenHBand="0" w:firstRowFirstColumn="0" w:firstRowLastColumn="0" w:lastRowFirstColumn="0" w:lastRowLastColumn="0"/>
            <w:tcW w:w="6232" w:type="dxa"/>
          </w:tcPr>
          <w:p w14:paraId="4D0D666B" w14:textId="77777777" w:rsidR="006E3616" w:rsidRPr="00400193" w:rsidRDefault="006E3616" w:rsidP="003B5486">
            <w:pPr>
              <w:spacing w:line="240" w:lineRule="auto"/>
              <w:rPr>
                <w:rFonts w:asciiTheme="minorHAnsi" w:hAnsiTheme="minorHAnsi" w:cstheme="minorHAnsi"/>
                <w:i w:val="0"/>
                <w:iCs w:val="0"/>
                <w:color w:val="auto"/>
                <w:sz w:val="20"/>
                <w:szCs w:val="18"/>
                <w:lang w:eastAsia="zh-CN" w:bidi="hi-IN"/>
              </w:rPr>
            </w:pPr>
            <w:r w:rsidRPr="00400193">
              <w:rPr>
                <w:rFonts w:asciiTheme="minorHAnsi" w:hAnsiTheme="minorHAnsi" w:cstheme="minorHAnsi"/>
                <w:color w:val="auto"/>
                <w:sz w:val="20"/>
                <w:szCs w:val="18"/>
                <w:lang w:eastAsia="zh-CN" w:bidi="hi-IN"/>
              </w:rPr>
              <w:t>Key External Threats – Criminal Acts</w:t>
            </w:r>
          </w:p>
        </w:tc>
        <w:tc>
          <w:tcPr>
            <w:tcW w:w="2784" w:type="dxa"/>
          </w:tcPr>
          <w:p w14:paraId="161F07CA" w14:textId="77777777" w:rsidR="006E3616" w:rsidRPr="00400193" w:rsidRDefault="006E3616" w:rsidP="003B5486">
            <w:pPr>
              <w:keepNext/>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18"/>
                <w:lang w:eastAsia="zh-CN" w:bidi="hi-IN"/>
              </w:rPr>
            </w:pPr>
            <w:r w:rsidRPr="00400193">
              <w:rPr>
                <w:rFonts w:asciiTheme="minorHAnsi" w:hAnsiTheme="minorHAnsi" w:cstheme="minorHAnsi"/>
                <w:color w:val="auto"/>
                <w:sz w:val="20"/>
                <w:szCs w:val="18"/>
                <w:lang w:eastAsia="zh-CN" w:bidi="hi-IN"/>
              </w:rPr>
              <w:t>0.960</w:t>
            </w:r>
          </w:p>
        </w:tc>
      </w:tr>
    </w:tbl>
    <w:p w14:paraId="5E575018" w14:textId="25B893D3" w:rsidR="006E3616" w:rsidRPr="00400193" w:rsidRDefault="006E3616" w:rsidP="006E3616">
      <w:pPr>
        <w:pStyle w:val="Caption"/>
        <w:spacing w:after="240"/>
      </w:pPr>
      <w:bookmarkStart w:id="388" w:name="_Ref43156842"/>
      <w:bookmarkStart w:id="389" w:name="_Toc5290154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fldChar w:fldCharType="end"/>
      </w:r>
      <w:bookmarkEnd w:id="388"/>
      <w:r w:rsidRPr="00400193">
        <w:t xml:space="preserve">: </w:t>
      </w:r>
      <w:r w:rsidRPr="00400193">
        <w:rPr>
          <w:lang w:eastAsia="zh-CN" w:bidi="hi-IN"/>
        </w:rPr>
        <w:t>Cronbach’s Alpha values for the study measures</w:t>
      </w:r>
      <w:bookmarkEnd w:id="389"/>
    </w:p>
    <w:p w14:paraId="616335D1" w14:textId="77777777" w:rsidR="005278B8" w:rsidRPr="00400193" w:rsidRDefault="005278B8" w:rsidP="005278B8">
      <w:pPr>
        <w:pStyle w:val="Heading2"/>
        <w:rPr>
          <w:lang w:eastAsia="zh-CN" w:bidi="hi-IN"/>
        </w:rPr>
      </w:pPr>
      <w:bookmarkStart w:id="390" w:name="_Ref51178676"/>
      <w:bookmarkStart w:id="391" w:name="_Toc61894747"/>
      <w:r w:rsidRPr="00400193">
        <w:rPr>
          <w:lang w:eastAsia="zh-CN" w:bidi="hi-IN"/>
        </w:rPr>
        <w:t>Assessing Statistical Normality</w:t>
      </w:r>
      <w:bookmarkEnd w:id="390"/>
      <w:bookmarkEnd w:id="391"/>
    </w:p>
    <w:p w14:paraId="36147874" w14:textId="77777777" w:rsidR="005278B8" w:rsidRPr="00400193" w:rsidRDefault="005278B8" w:rsidP="005278B8">
      <w:pPr>
        <w:rPr>
          <w:lang w:eastAsia="zh-CN" w:bidi="hi-IN"/>
        </w:rPr>
      </w:pPr>
      <w:r w:rsidRPr="00400193">
        <w:rPr>
          <w:lang w:eastAsia="zh-CN" w:bidi="hi-IN"/>
        </w:rPr>
        <w:t>Statistical normality means the closeness to a particular probability distribution, the so-called normal distribution, or Gaussian bell (Tabachnick and Fidell, 2007). This distribution is characterised by its symmetry around a mean, which coincides with the median. The great advantage of the normal distribution is that it allows probabilities to be calculated of the appearance of data from that distribution, which results in the possibility of inferring population characteristics from data obtained from a sample.</w:t>
      </w:r>
    </w:p>
    <w:p w14:paraId="4A5DD8B3" w14:textId="77777777" w:rsidR="005278B8" w:rsidRPr="00400193" w:rsidRDefault="005278B8" w:rsidP="005278B8">
      <w:pPr>
        <w:rPr>
          <w:lang w:eastAsia="zh-CN" w:bidi="hi-IN"/>
        </w:rPr>
      </w:pPr>
      <w:r w:rsidRPr="00400193">
        <w:rPr>
          <w:lang w:eastAsia="zh-CN" w:bidi="hi-IN"/>
        </w:rPr>
        <w:t>Descriptive analysis provides information about the distribution of the responses to continuous variables. It is authoritative to assess normality and reveal any disturbances of normality assumptions, which is important when considering whether statistical tests are valid. Skewness and kurtosis are frequently used to check the assumptions of normality in research data. The skewness test evaluates the symmetry of distribution. Values of skewness below zero show that the scale is left-skewed, and values above zero show a right-skew. Non-zero values of skewness all indicate that the mean is not in the centre of the distribution (Aluja, Blanch, and García, 2005).</w:t>
      </w:r>
    </w:p>
    <w:p w14:paraId="0D4F2DB6" w14:textId="71F64F4E" w:rsidR="005278B8" w:rsidRPr="00400193" w:rsidRDefault="005278B8" w:rsidP="005278B8">
      <w:pPr>
        <w:rPr>
          <w:lang w:eastAsia="zh-CN" w:bidi="hi-IN"/>
        </w:rPr>
      </w:pPr>
      <w:r w:rsidRPr="00400193">
        <w:rPr>
          <w:lang w:eastAsia="zh-CN" w:bidi="hi-IN"/>
        </w:rPr>
        <w:lastRenderedPageBreak/>
        <w:t xml:space="preserve">A rule of thumb suggests that the calculated values for skewness and kurtosis should be between ±1 for normality (Aluja, Blanch and Garcia, 2005). The Tables in </w:t>
      </w:r>
      <w:r w:rsidR="003F006D" w:rsidRPr="00400193">
        <w:rPr>
          <w:lang w:eastAsia="zh-CN" w:bidi="hi-IN"/>
        </w:rPr>
        <w:fldChar w:fldCharType="begin"/>
      </w:r>
      <w:r w:rsidR="003F006D" w:rsidRPr="00400193">
        <w:rPr>
          <w:lang w:eastAsia="zh-CN" w:bidi="hi-IN"/>
        </w:rPr>
        <w:instrText xml:space="preserve"> REF _Ref50570492 \h </w:instrText>
      </w:r>
      <w:r w:rsidR="003F006D" w:rsidRPr="00400193">
        <w:rPr>
          <w:lang w:eastAsia="zh-CN" w:bidi="hi-IN"/>
        </w:rPr>
      </w:r>
      <w:r w:rsidR="003F006D" w:rsidRPr="00400193">
        <w:rPr>
          <w:lang w:eastAsia="zh-CN" w:bidi="hi-IN"/>
        </w:rPr>
        <w:fldChar w:fldCharType="separate"/>
      </w:r>
      <w:r w:rsidR="00BB7C18" w:rsidRPr="00400193">
        <w:t xml:space="preserve">Appendix </w:t>
      </w:r>
      <w:r w:rsidR="00BB7C18">
        <w:rPr>
          <w:noProof/>
        </w:rPr>
        <w:t>4</w:t>
      </w:r>
      <w:r w:rsidR="003F006D" w:rsidRPr="00400193">
        <w:rPr>
          <w:lang w:eastAsia="zh-CN" w:bidi="hi-IN"/>
        </w:rPr>
        <w:fldChar w:fldCharType="end"/>
      </w:r>
      <w:r w:rsidRPr="00400193">
        <w:rPr>
          <w:lang w:eastAsia="zh-CN" w:bidi="hi-IN"/>
        </w:rPr>
        <w:t xml:space="preserve"> show all variables with their corresponding skewness and kurtosis values</w:t>
      </w:r>
      <w:bookmarkStart w:id="392" w:name="_Hlk25836043"/>
      <w:r w:rsidRPr="00400193">
        <w:rPr>
          <w:lang w:eastAsia="zh-CN" w:bidi="hi-IN"/>
        </w:rPr>
        <w:t>. Most of the research variables did not disturb the assumption of normality (201 items for skewness and 166 items for kurtosis were within the rule of ±1) (Aluja, Blanch</w:t>
      </w:r>
      <w:r w:rsidR="00E20BC9" w:rsidRPr="00400193">
        <w:rPr>
          <w:lang w:eastAsia="zh-CN" w:bidi="hi-IN"/>
        </w:rPr>
        <w:t>,</w:t>
      </w:r>
      <w:r w:rsidRPr="00400193">
        <w:rPr>
          <w:lang w:eastAsia="zh-CN" w:bidi="hi-IN"/>
        </w:rPr>
        <w:t xml:space="preserve"> and Garcia, 2005)</w:t>
      </w:r>
      <w:bookmarkEnd w:id="392"/>
      <w:r w:rsidRPr="00400193">
        <w:rPr>
          <w:lang w:eastAsia="zh-CN" w:bidi="hi-IN"/>
        </w:rPr>
        <w:t xml:space="preserve">. </w:t>
      </w:r>
      <w:bookmarkStart w:id="393" w:name="_Hlk25836116"/>
      <w:r w:rsidRPr="00400193">
        <w:rPr>
          <w:lang w:eastAsia="zh-CN" w:bidi="hi-IN"/>
        </w:rPr>
        <w:t>Newsom, Jones</w:t>
      </w:r>
      <w:r w:rsidR="00E20BC9" w:rsidRPr="00400193">
        <w:rPr>
          <w:lang w:eastAsia="zh-CN" w:bidi="hi-IN"/>
        </w:rPr>
        <w:t>,</w:t>
      </w:r>
      <w:r w:rsidRPr="00400193">
        <w:rPr>
          <w:lang w:eastAsia="zh-CN" w:bidi="hi-IN"/>
        </w:rPr>
        <w:t xml:space="preserve"> and Hofer </w:t>
      </w:r>
      <w:sdt>
        <w:sdtPr>
          <w:rPr>
            <w:lang w:eastAsia="zh-CN" w:bidi="hi-IN"/>
          </w:rPr>
          <w:id w:val="845904161"/>
          <w:citation/>
        </w:sdtPr>
        <w:sdtEndPr/>
        <w:sdtContent>
          <w:r w:rsidRPr="00400193">
            <w:rPr>
              <w:lang w:eastAsia="zh-CN" w:bidi="hi-IN"/>
            </w:rPr>
            <w:fldChar w:fldCharType="begin"/>
          </w:r>
          <w:r w:rsidRPr="00400193">
            <w:rPr>
              <w:lang w:eastAsia="zh-CN" w:bidi="hi-IN"/>
            </w:rPr>
            <w:instrText xml:space="preserve">CITATION New05 \n  \t  \l 2057 </w:instrText>
          </w:r>
          <w:r w:rsidRPr="00400193">
            <w:rPr>
              <w:lang w:eastAsia="zh-CN" w:bidi="hi-IN"/>
            </w:rPr>
            <w:fldChar w:fldCharType="separate"/>
          </w:r>
          <w:r w:rsidR="00E20BC9" w:rsidRPr="00400193">
            <w:rPr>
              <w:noProof/>
              <w:lang w:eastAsia="zh-CN" w:bidi="hi-IN"/>
            </w:rPr>
            <w:t>(2005)</w:t>
          </w:r>
          <w:r w:rsidRPr="00400193">
            <w:rPr>
              <w:lang w:eastAsia="zh-CN" w:bidi="hi-IN"/>
            </w:rPr>
            <w:fldChar w:fldCharType="end"/>
          </w:r>
        </w:sdtContent>
      </w:sdt>
      <w:r w:rsidRPr="00400193">
        <w:rPr>
          <w:lang w:eastAsia="zh-CN" w:bidi="hi-IN"/>
        </w:rPr>
        <w:t xml:space="preserve"> suggested that the distribution could be recognised as normal if the values of skewness were less than or equal to 2. In this study, the data peak was −1.6, which therefore conformed to this rule. Kurtosis provides information about the peak of distribution and should be less than or equal to 3. In this study, the data peak value was</w:t>
      </w:r>
      <w:r w:rsidRPr="00400193" w:rsidDel="00A67689">
        <w:rPr>
          <w:lang w:eastAsia="zh-CN" w:bidi="hi-IN"/>
        </w:rPr>
        <w:t xml:space="preserve"> </w:t>
      </w:r>
      <w:r w:rsidRPr="00400193">
        <w:rPr>
          <w:lang w:eastAsia="zh-CN" w:bidi="hi-IN"/>
        </w:rPr>
        <w:t xml:space="preserve">2.6. Normality was therefore assumed for the </w:t>
      </w:r>
      <w:bookmarkEnd w:id="393"/>
      <w:r w:rsidRPr="00400193">
        <w:rPr>
          <w:lang w:eastAsia="zh-CN" w:bidi="hi-IN"/>
        </w:rPr>
        <w:t>research data (George and Mallery, 2010).</w:t>
      </w:r>
    </w:p>
    <w:p w14:paraId="7A2C209E" w14:textId="77777777" w:rsidR="0048140C" w:rsidRPr="00400193" w:rsidRDefault="0048140C" w:rsidP="0048140C">
      <w:pPr>
        <w:pStyle w:val="Heading2"/>
        <w:rPr>
          <w:lang w:eastAsia="zh-CN" w:bidi="hi-IN"/>
        </w:rPr>
      </w:pPr>
      <w:bookmarkStart w:id="394" w:name="_Toc61894748"/>
      <w:bookmarkStart w:id="395" w:name="_Ref51178899"/>
      <w:r w:rsidRPr="00400193">
        <w:rPr>
          <w:lang w:eastAsia="zh-CN" w:bidi="hi-IN"/>
        </w:rPr>
        <w:t>Reliability of scales</w:t>
      </w:r>
      <w:bookmarkEnd w:id="394"/>
    </w:p>
    <w:p w14:paraId="09EC42AB" w14:textId="411C6316" w:rsidR="0048140C" w:rsidRPr="00400193" w:rsidRDefault="0048140C" w:rsidP="0048140C">
      <w:pPr>
        <w:rPr>
          <w:lang w:eastAsia="zh-CN" w:bidi="hi-IN"/>
        </w:rPr>
      </w:pPr>
      <w:r w:rsidRPr="00400193">
        <w:rPr>
          <w:lang w:eastAsia="zh-CN" w:bidi="hi-IN"/>
        </w:rPr>
        <w:t xml:space="preserve">In social science and technology, developing and applying written instruments is used to quantify personal attributes of a group of individuals </w:t>
      </w:r>
      <w:sdt>
        <w:sdtPr>
          <w:rPr>
            <w:lang w:eastAsia="zh-CN" w:bidi="hi-IN"/>
          </w:rPr>
          <w:id w:val="-620681298"/>
          <w:citation/>
        </w:sdtPr>
        <w:sdtEndPr/>
        <w:sdtContent>
          <w:r w:rsidRPr="00400193">
            <w:rPr>
              <w:lang w:eastAsia="zh-CN" w:bidi="hi-IN"/>
            </w:rPr>
            <w:fldChar w:fldCharType="begin"/>
          </w:r>
          <w:r w:rsidRPr="00400193">
            <w:rPr>
              <w:lang w:eastAsia="zh-CN" w:bidi="hi-IN"/>
            </w:rPr>
            <w:instrText xml:space="preserve">CITATION Bry08 \t  \l 2057 </w:instrText>
          </w:r>
          <w:r w:rsidRPr="00400193">
            <w:rPr>
              <w:lang w:eastAsia="zh-CN" w:bidi="hi-IN"/>
            </w:rPr>
            <w:fldChar w:fldCharType="separate"/>
          </w:r>
          <w:r w:rsidR="00E20BC9" w:rsidRPr="00400193">
            <w:rPr>
              <w:noProof/>
              <w:lang w:eastAsia="zh-CN" w:bidi="hi-IN"/>
            </w:rPr>
            <w:t>(Bryman, 2008)</w:t>
          </w:r>
          <w:r w:rsidRPr="00400193">
            <w:rPr>
              <w:lang w:eastAsia="zh-CN" w:bidi="hi-IN"/>
            </w:rPr>
            <w:fldChar w:fldCharType="end"/>
          </w:r>
        </w:sdtContent>
      </w:sdt>
      <w:r w:rsidRPr="00400193">
        <w:rPr>
          <w:lang w:eastAsia="zh-CN" w:bidi="hi-IN"/>
        </w:rPr>
        <w:t>. If the same instrument is applied more than once to the same people, it is likely that different results will be obtained. In other words, the repeated application of these instruments will give a series of scores with a certain degree of variability. When the variability is greater, the accuracy of the conclusions and generalisations derived from the results is likely to be lower. It is therefore important to control the variability of scores in the process of building written instruments (Nunnally and Bernstein, 1994). Several approaches to quantifying this type of variability have been discussed in the literature, and a number of formulae have been used to assess the reliability. There are seven widely used coefficients that quantify reliability in four different ways: internal consistency, stability, equivalence, and precision. Cronbach's alpha coefficient is one of those formulae and is the most commonly used numerical resource to assess internal consistency.</w:t>
      </w:r>
    </w:p>
    <w:bookmarkStart w:id="396" w:name="_Hlk25836565"/>
    <w:p w14:paraId="47C64880" w14:textId="029D242E" w:rsidR="0048140C" w:rsidRPr="00400193" w:rsidRDefault="0048140C" w:rsidP="0048140C">
      <w:pPr>
        <w:rPr>
          <w:lang w:eastAsia="zh-CN" w:bidi="hi-IN"/>
        </w:rPr>
      </w:pPr>
      <w:r w:rsidRPr="00400193">
        <w:rPr>
          <w:lang w:eastAsia="zh-CN" w:bidi="hi-IN"/>
        </w:rPr>
        <w:fldChar w:fldCharType="begin"/>
      </w:r>
      <w:r w:rsidRPr="00400193">
        <w:rPr>
          <w:lang w:eastAsia="zh-CN" w:bidi="hi-IN"/>
        </w:rPr>
        <w:instrText xml:space="preserve"> REF _Ref43171069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w:t>
      </w:r>
      <w:r w:rsidRPr="00400193">
        <w:rPr>
          <w:lang w:eastAsia="zh-CN" w:bidi="hi-IN"/>
        </w:rPr>
        <w:fldChar w:fldCharType="end"/>
      </w:r>
      <w:r w:rsidRPr="00400193">
        <w:rPr>
          <w:lang w:eastAsia="zh-CN" w:bidi="hi-IN"/>
        </w:rPr>
        <w:t xml:space="preserve"> shows the reliability of all scales. </w:t>
      </w:r>
      <w:bookmarkEnd w:id="396"/>
      <w:r w:rsidRPr="00400193">
        <w:rPr>
          <w:lang w:eastAsia="zh-CN" w:bidi="hi-IN"/>
        </w:rPr>
        <w:t xml:space="preserve">George and Mallery (2010) indicated that there is no established interpretation of an acceptable alpha value but a rule of thumb in most situations is that alpha values greater than 0.9; 0.8; 0.7; 0.6; 0.5 and less than 0.5 are excellent, good, acceptable, questionable, poor and not acceptable. </w:t>
      </w:r>
      <w:bookmarkStart w:id="397" w:name="_Hlk25836635"/>
      <w:r w:rsidRPr="00400193">
        <w:rPr>
          <w:lang w:eastAsia="zh-CN" w:bidi="hi-IN"/>
        </w:rPr>
        <w:t>Cronbach’s alpha for the scales was therefore acceptable for VW, good for ITCA and excellent for the other scales, indicating good reliability.</w:t>
      </w:r>
    </w:p>
    <w:tbl>
      <w:tblPr>
        <w:tblStyle w:val="TableGrid"/>
        <w:tblW w:w="0" w:type="auto"/>
        <w:tblLook w:val="04A0" w:firstRow="1" w:lastRow="0" w:firstColumn="1" w:lastColumn="0" w:noHBand="0" w:noVBand="1"/>
      </w:tblPr>
      <w:tblGrid>
        <w:gridCol w:w="6658"/>
        <w:gridCol w:w="1275"/>
        <w:gridCol w:w="1083"/>
      </w:tblGrid>
      <w:tr w:rsidR="00A0618E" w:rsidRPr="00400193" w14:paraId="17590285" w14:textId="77777777" w:rsidTr="004C088B">
        <w:trPr>
          <w:trHeight w:val="227"/>
        </w:trPr>
        <w:tc>
          <w:tcPr>
            <w:tcW w:w="6658" w:type="dxa"/>
          </w:tcPr>
          <w:p w14:paraId="1CD8410D" w14:textId="77777777" w:rsidR="0048140C" w:rsidRPr="00400193" w:rsidRDefault="0048140C" w:rsidP="00B9037B">
            <w:pPr>
              <w:spacing w:line="240" w:lineRule="auto"/>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lastRenderedPageBreak/>
              <w:t>Scales</w:t>
            </w:r>
          </w:p>
        </w:tc>
        <w:tc>
          <w:tcPr>
            <w:tcW w:w="1275" w:type="dxa"/>
            <w:vAlign w:val="center"/>
          </w:tcPr>
          <w:p w14:paraId="2F444E70" w14:textId="77777777" w:rsidR="0048140C" w:rsidRPr="00400193" w:rsidRDefault="0048140C" w:rsidP="00B9037B">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083" w:type="dxa"/>
            <w:vAlign w:val="center"/>
          </w:tcPr>
          <w:p w14:paraId="6A81F9CC" w14:textId="77777777" w:rsidR="0048140C" w:rsidRPr="00400193" w:rsidRDefault="0048140C" w:rsidP="00B9037B">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Items</w:t>
            </w:r>
          </w:p>
        </w:tc>
      </w:tr>
      <w:tr w:rsidR="00A0618E" w:rsidRPr="00400193" w14:paraId="6BBE9F64" w14:textId="77777777" w:rsidTr="004C088B">
        <w:trPr>
          <w:trHeight w:val="227"/>
        </w:trPr>
        <w:tc>
          <w:tcPr>
            <w:tcW w:w="6658" w:type="dxa"/>
          </w:tcPr>
          <w:p w14:paraId="4CC26203"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External Threats - Cyber Attack (KECA)</w:t>
            </w:r>
          </w:p>
        </w:tc>
        <w:tc>
          <w:tcPr>
            <w:tcW w:w="1275" w:type="dxa"/>
            <w:vAlign w:val="center"/>
          </w:tcPr>
          <w:p w14:paraId="5836E1AF"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0.914</w:t>
            </w:r>
          </w:p>
        </w:tc>
        <w:tc>
          <w:tcPr>
            <w:tcW w:w="1083" w:type="dxa"/>
            <w:vAlign w:val="center"/>
          </w:tcPr>
          <w:p w14:paraId="4C7CD32F"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14</w:t>
            </w:r>
          </w:p>
        </w:tc>
      </w:tr>
      <w:tr w:rsidR="00A0618E" w:rsidRPr="00400193" w14:paraId="3B573E75" w14:textId="77777777" w:rsidTr="004C088B">
        <w:trPr>
          <w:trHeight w:val="227"/>
        </w:trPr>
        <w:tc>
          <w:tcPr>
            <w:tcW w:w="6658" w:type="dxa"/>
          </w:tcPr>
          <w:p w14:paraId="0AF5C00F"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External Threats – Hacktivism (KEH)</w:t>
            </w:r>
          </w:p>
        </w:tc>
        <w:tc>
          <w:tcPr>
            <w:tcW w:w="1275" w:type="dxa"/>
            <w:vAlign w:val="center"/>
          </w:tcPr>
          <w:p w14:paraId="10D5B553"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0.940</w:t>
            </w:r>
          </w:p>
        </w:tc>
        <w:tc>
          <w:tcPr>
            <w:tcW w:w="1083" w:type="dxa"/>
            <w:vAlign w:val="center"/>
          </w:tcPr>
          <w:p w14:paraId="7199FBA1"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15</w:t>
            </w:r>
          </w:p>
        </w:tc>
      </w:tr>
      <w:tr w:rsidR="00A0618E" w:rsidRPr="00400193" w14:paraId="2917668A" w14:textId="77777777" w:rsidTr="004C088B">
        <w:trPr>
          <w:trHeight w:val="227"/>
        </w:trPr>
        <w:tc>
          <w:tcPr>
            <w:tcW w:w="6658" w:type="dxa"/>
          </w:tcPr>
          <w:p w14:paraId="1D03E8CC"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External Threats – Phishing (KEP)</w:t>
            </w:r>
          </w:p>
        </w:tc>
        <w:tc>
          <w:tcPr>
            <w:tcW w:w="1275" w:type="dxa"/>
            <w:vAlign w:val="center"/>
          </w:tcPr>
          <w:p w14:paraId="3A0688DE"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0.941</w:t>
            </w:r>
          </w:p>
        </w:tc>
        <w:tc>
          <w:tcPr>
            <w:tcW w:w="1083" w:type="dxa"/>
            <w:vAlign w:val="center"/>
          </w:tcPr>
          <w:p w14:paraId="27BD6D50"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w:t>
            </w:r>
          </w:p>
        </w:tc>
      </w:tr>
      <w:tr w:rsidR="00A0618E" w:rsidRPr="00400193" w14:paraId="7653892A" w14:textId="77777777" w:rsidTr="004C088B">
        <w:trPr>
          <w:trHeight w:val="227"/>
        </w:trPr>
        <w:tc>
          <w:tcPr>
            <w:tcW w:w="6658" w:type="dxa"/>
          </w:tcPr>
          <w:p w14:paraId="01C572C2" w14:textId="77777777" w:rsidR="0048140C" w:rsidRPr="00400193" w:rsidRDefault="0048140C" w:rsidP="00B9037B">
            <w:pPr>
              <w:spacing w:line="240" w:lineRule="auto"/>
              <w:rPr>
                <w:rFonts w:asciiTheme="minorHAnsi" w:hAnsiTheme="minorHAnsi" w:cstheme="minorHAnsi"/>
                <w:sz w:val="20"/>
                <w:lang w:eastAsia="zh-CN" w:bidi="hi-IN"/>
              </w:rPr>
            </w:pPr>
            <w:bookmarkStart w:id="398" w:name="_Hlk51244071"/>
            <w:r w:rsidRPr="00400193">
              <w:rPr>
                <w:rFonts w:asciiTheme="minorHAnsi" w:hAnsiTheme="minorHAnsi" w:cstheme="minorHAnsi"/>
                <w:sz w:val="20"/>
                <w:lang w:eastAsia="zh-CN" w:bidi="hi-IN"/>
              </w:rPr>
              <w:t>Key External Threats - Financial Fraud (KEFF)</w:t>
            </w:r>
            <w:bookmarkEnd w:id="398"/>
          </w:p>
        </w:tc>
        <w:tc>
          <w:tcPr>
            <w:tcW w:w="1275" w:type="dxa"/>
            <w:vAlign w:val="center"/>
          </w:tcPr>
          <w:p w14:paraId="0ED03FEA"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0.943</w:t>
            </w:r>
          </w:p>
        </w:tc>
        <w:tc>
          <w:tcPr>
            <w:tcW w:w="1083" w:type="dxa"/>
            <w:vAlign w:val="center"/>
          </w:tcPr>
          <w:p w14:paraId="6630B9C4"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13</w:t>
            </w:r>
          </w:p>
        </w:tc>
      </w:tr>
      <w:tr w:rsidR="00A0618E" w:rsidRPr="00400193" w14:paraId="7A0AFE1F" w14:textId="77777777" w:rsidTr="004C088B">
        <w:trPr>
          <w:trHeight w:val="227"/>
        </w:trPr>
        <w:tc>
          <w:tcPr>
            <w:tcW w:w="6658" w:type="dxa"/>
          </w:tcPr>
          <w:p w14:paraId="7DC1FED9"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External Threats - Criminal Acts (ETCA)</w:t>
            </w:r>
          </w:p>
        </w:tc>
        <w:tc>
          <w:tcPr>
            <w:tcW w:w="1275" w:type="dxa"/>
            <w:vAlign w:val="center"/>
          </w:tcPr>
          <w:p w14:paraId="165ACEEF"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0.960</w:t>
            </w:r>
          </w:p>
        </w:tc>
        <w:tc>
          <w:tcPr>
            <w:tcW w:w="1083" w:type="dxa"/>
            <w:vAlign w:val="center"/>
          </w:tcPr>
          <w:p w14:paraId="34C1634B"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21</w:t>
            </w:r>
          </w:p>
        </w:tc>
      </w:tr>
      <w:tr w:rsidR="00A0618E" w:rsidRPr="00400193" w14:paraId="7E38E0F4" w14:textId="77777777" w:rsidTr="004C088B">
        <w:trPr>
          <w:trHeight w:val="227"/>
        </w:trPr>
        <w:tc>
          <w:tcPr>
            <w:tcW w:w="6658" w:type="dxa"/>
          </w:tcPr>
          <w:p w14:paraId="12C3EF37" w14:textId="77777777" w:rsidR="0048140C" w:rsidRPr="00400193" w:rsidRDefault="0048140C" w:rsidP="00B9037B">
            <w:pPr>
              <w:spacing w:line="240" w:lineRule="auto"/>
              <w:rPr>
                <w:rFonts w:asciiTheme="minorHAnsi" w:hAnsiTheme="minorHAnsi" w:cstheme="minorHAnsi"/>
                <w:sz w:val="20"/>
                <w:lang w:eastAsia="zh-CN" w:bidi="hi-IN"/>
              </w:rPr>
            </w:pPr>
            <w:bookmarkStart w:id="399" w:name="_Hlk51244382"/>
            <w:r w:rsidRPr="00400193">
              <w:rPr>
                <w:rFonts w:asciiTheme="minorHAnsi" w:hAnsiTheme="minorHAnsi" w:cstheme="minorHAnsi"/>
                <w:sz w:val="20"/>
                <w:lang w:eastAsia="zh-CN" w:bidi="hi-IN"/>
              </w:rPr>
              <w:t>Key Internal Threats - Lack of Awareness (KILA)</w:t>
            </w:r>
            <w:bookmarkEnd w:id="399"/>
          </w:p>
        </w:tc>
        <w:tc>
          <w:tcPr>
            <w:tcW w:w="1275" w:type="dxa"/>
            <w:vAlign w:val="center"/>
          </w:tcPr>
          <w:p w14:paraId="01BCBF84"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0.975</w:t>
            </w:r>
          </w:p>
        </w:tc>
        <w:tc>
          <w:tcPr>
            <w:tcW w:w="1083" w:type="dxa"/>
            <w:vAlign w:val="center"/>
          </w:tcPr>
          <w:p w14:paraId="410BD6B6"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25</w:t>
            </w:r>
          </w:p>
        </w:tc>
      </w:tr>
      <w:tr w:rsidR="00A0618E" w:rsidRPr="00400193" w14:paraId="2B1B559E" w14:textId="77777777" w:rsidTr="004C088B">
        <w:trPr>
          <w:trHeight w:val="227"/>
        </w:trPr>
        <w:tc>
          <w:tcPr>
            <w:tcW w:w="6658" w:type="dxa"/>
          </w:tcPr>
          <w:p w14:paraId="671AE381"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Internal Threats - Risk Culture and Laziness (KIRC)</w:t>
            </w:r>
          </w:p>
        </w:tc>
        <w:tc>
          <w:tcPr>
            <w:tcW w:w="1275" w:type="dxa"/>
            <w:vAlign w:val="center"/>
          </w:tcPr>
          <w:p w14:paraId="0D96B73D"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0.975</w:t>
            </w:r>
          </w:p>
        </w:tc>
        <w:tc>
          <w:tcPr>
            <w:tcW w:w="1083" w:type="dxa"/>
            <w:vAlign w:val="center"/>
          </w:tcPr>
          <w:p w14:paraId="6A005DCC"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18</w:t>
            </w:r>
          </w:p>
        </w:tc>
      </w:tr>
      <w:tr w:rsidR="00A0618E" w:rsidRPr="00400193" w14:paraId="6DA71AF7" w14:textId="77777777" w:rsidTr="004C088B">
        <w:trPr>
          <w:trHeight w:val="227"/>
        </w:trPr>
        <w:tc>
          <w:tcPr>
            <w:tcW w:w="6658" w:type="dxa"/>
          </w:tcPr>
          <w:p w14:paraId="52B06790"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Internal Threats - Financial Fraud (KIFF)</w:t>
            </w:r>
          </w:p>
        </w:tc>
        <w:tc>
          <w:tcPr>
            <w:tcW w:w="1275" w:type="dxa"/>
            <w:vAlign w:val="center"/>
          </w:tcPr>
          <w:p w14:paraId="5481DEFF"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0.911</w:t>
            </w:r>
          </w:p>
        </w:tc>
        <w:tc>
          <w:tcPr>
            <w:tcW w:w="1083" w:type="dxa"/>
            <w:vAlign w:val="center"/>
          </w:tcPr>
          <w:p w14:paraId="1554B4C1"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w:t>
            </w:r>
          </w:p>
        </w:tc>
      </w:tr>
      <w:tr w:rsidR="00A0618E" w:rsidRPr="00400193" w14:paraId="2F134CE2" w14:textId="77777777" w:rsidTr="004C088B">
        <w:trPr>
          <w:trHeight w:val="227"/>
        </w:trPr>
        <w:tc>
          <w:tcPr>
            <w:tcW w:w="6658" w:type="dxa"/>
          </w:tcPr>
          <w:p w14:paraId="3EC2612E"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Key Internal Threats - Criminal Acts (ITCA)</w:t>
            </w:r>
          </w:p>
        </w:tc>
        <w:tc>
          <w:tcPr>
            <w:tcW w:w="1275" w:type="dxa"/>
            <w:vAlign w:val="center"/>
          </w:tcPr>
          <w:p w14:paraId="4216E778"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0.894</w:t>
            </w:r>
          </w:p>
        </w:tc>
        <w:tc>
          <w:tcPr>
            <w:tcW w:w="1083" w:type="dxa"/>
            <w:vAlign w:val="center"/>
          </w:tcPr>
          <w:p w14:paraId="03BAC48F"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w:t>
            </w:r>
          </w:p>
        </w:tc>
      </w:tr>
      <w:tr w:rsidR="00A0618E" w:rsidRPr="00400193" w14:paraId="7EFBFF9E" w14:textId="77777777" w:rsidTr="004C088B">
        <w:trPr>
          <w:trHeight w:val="227"/>
        </w:trPr>
        <w:tc>
          <w:tcPr>
            <w:tcW w:w="6658" w:type="dxa"/>
          </w:tcPr>
          <w:p w14:paraId="12795704"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Vulnerabilities and Weaknesses (VW)</w:t>
            </w:r>
          </w:p>
        </w:tc>
        <w:tc>
          <w:tcPr>
            <w:tcW w:w="1275" w:type="dxa"/>
            <w:vAlign w:val="center"/>
          </w:tcPr>
          <w:p w14:paraId="540BF0EB"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0.795</w:t>
            </w:r>
          </w:p>
        </w:tc>
        <w:tc>
          <w:tcPr>
            <w:tcW w:w="1083" w:type="dxa"/>
            <w:vAlign w:val="center"/>
          </w:tcPr>
          <w:p w14:paraId="6926579D"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13</w:t>
            </w:r>
          </w:p>
        </w:tc>
      </w:tr>
      <w:tr w:rsidR="00A0618E" w:rsidRPr="00400193" w14:paraId="65CE2105" w14:textId="77777777" w:rsidTr="004C088B">
        <w:trPr>
          <w:trHeight w:val="227"/>
        </w:trPr>
        <w:tc>
          <w:tcPr>
            <w:tcW w:w="6658" w:type="dxa"/>
          </w:tcPr>
          <w:p w14:paraId="248A4B95"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Organisation vulnerabilities and weaknesses physical and digital assets (VWP)</w:t>
            </w:r>
          </w:p>
        </w:tc>
        <w:tc>
          <w:tcPr>
            <w:tcW w:w="1275" w:type="dxa"/>
            <w:vAlign w:val="center"/>
          </w:tcPr>
          <w:p w14:paraId="68825E48"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0.934</w:t>
            </w:r>
          </w:p>
        </w:tc>
        <w:tc>
          <w:tcPr>
            <w:tcW w:w="1083" w:type="dxa"/>
            <w:vAlign w:val="center"/>
          </w:tcPr>
          <w:p w14:paraId="6C67D11C"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14</w:t>
            </w:r>
          </w:p>
        </w:tc>
      </w:tr>
      <w:tr w:rsidR="00A0618E" w:rsidRPr="00400193" w14:paraId="5D5A5E64" w14:textId="77777777" w:rsidTr="004C088B">
        <w:trPr>
          <w:trHeight w:val="227"/>
        </w:trPr>
        <w:tc>
          <w:tcPr>
            <w:tcW w:w="6658" w:type="dxa"/>
          </w:tcPr>
          <w:p w14:paraId="2FD5B4C7" w14:textId="77777777"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Responses in Place (RP)</w:t>
            </w:r>
          </w:p>
        </w:tc>
        <w:tc>
          <w:tcPr>
            <w:tcW w:w="1275" w:type="dxa"/>
            <w:vAlign w:val="center"/>
          </w:tcPr>
          <w:p w14:paraId="348508B7"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0.914</w:t>
            </w:r>
          </w:p>
        </w:tc>
        <w:tc>
          <w:tcPr>
            <w:tcW w:w="1083" w:type="dxa"/>
            <w:vAlign w:val="center"/>
          </w:tcPr>
          <w:p w14:paraId="6EAC26D3"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18</w:t>
            </w:r>
          </w:p>
        </w:tc>
      </w:tr>
      <w:tr w:rsidR="00A0618E" w:rsidRPr="00400193" w14:paraId="512F4C6C" w14:textId="77777777" w:rsidTr="004C088B">
        <w:trPr>
          <w:trHeight w:val="227"/>
        </w:trPr>
        <w:tc>
          <w:tcPr>
            <w:tcW w:w="6658" w:type="dxa"/>
          </w:tcPr>
          <w:p w14:paraId="6EE41856" w14:textId="34068801" w:rsidR="0048140C" w:rsidRPr="00400193" w:rsidRDefault="0048140C" w:rsidP="00B9037B">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Organisation Resilience (OR</w:t>
            </w:r>
            <w:r w:rsidR="008429A9" w:rsidRPr="00400193">
              <w:rPr>
                <w:rFonts w:asciiTheme="minorHAnsi" w:hAnsiTheme="minorHAnsi" w:cstheme="minorHAnsi"/>
                <w:sz w:val="20"/>
                <w:lang w:eastAsia="zh-CN" w:bidi="hi-IN"/>
              </w:rPr>
              <w:t>e</w:t>
            </w:r>
            <w:r w:rsidRPr="00400193">
              <w:rPr>
                <w:rFonts w:asciiTheme="minorHAnsi" w:hAnsiTheme="minorHAnsi" w:cstheme="minorHAnsi"/>
                <w:sz w:val="20"/>
                <w:lang w:eastAsia="zh-CN" w:bidi="hi-IN"/>
              </w:rPr>
              <w:t>)</w:t>
            </w:r>
          </w:p>
        </w:tc>
        <w:tc>
          <w:tcPr>
            <w:tcW w:w="1275" w:type="dxa"/>
            <w:vAlign w:val="center"/>
          </w:tcPr>
          <w:p w14:paraId="3F869EAB" w14:textId="77777777" w:rsidR="0048140C" w:rsidRPr="00400193" w:rsidRDefault="0048140C" w:rsidP="00B9037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0.963</w:t>
            </w:r>
          </w:p>
        </w:tc>
        <w:tc>
          <w:tcPr>
            <w:tcW w:w="1083" w:type="dxa"/>
            <w:vAlign w:val="center"/>
          </w:tcPr>
          <w:p w14:paraId="2A81D0AD" w14:textId="77777777" w:rsidR="0048140C" w:rsidRPr="00400193" w:rsidRDefault="0048140C" w:rsidP="00B9037B">
            <w:pPr>
              <w:keepNext/>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21</w:t>
            </w:r>
          </w:p>
        </w:tc>
      </w:tr>
    </w:tbl>
    <w:p w14:paraId="1E93A154" w14:textId="2798085C" w:rsidR="0048140C" w:rsidRPr="00400193" w:rsidRDefault="0048140C" w:rsidP="0048140C">
      <w:pPr>
        <w:pStyle w:val="Caption"/>
      </w:pPr>
      <w:bookmarkStart w:id="400" w:name="_Ref43171069"/>
      <w:bookmarkStart w:id="401" w:name="_Toc5290154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w:t>
      </w:r>
      <w:r w:rsidRPr="00400193">
        <w:fldChar w:fldCharType="end"/>
      </w:r>
      <w:bookmarkEnd w:id="400"/>
      <w:r w:rsidRPr="00400193">
        <w:t>. Reliability statistics of the scales</w:t>
      </w:r>
      <w:bookmarkEnd w:id="401"/>
    </w:p>
    <w:p w14:paraId="562529FF" w14:textId="77777777" w:rsidR="0047063F" w:rsidRPr="00400193" w:rsidRDefault="0047063F" w:rsidP="0047063F"/>
    <w:p w14:paraId="56A89D9B" w14:textId="77777777" w:rsidR="006E3616" w:rsidRPr="00400193" w:rsidRDefault="006E3616" w:rsidP="006E3616">
      <w:pPr>
        <w:pStyle w:val="Heading2"/>
        <w:rPr>
          <w:lang w:eastAsia="zh-CN" w:bidi="hi-IN"/>
        </w:rPr>
      </w:pPr>
      <w:bookmarkStart w:id="402" w:name="_Toc61894749"/>
      <w:bookmarkEnd w:id="397"/>
      <w:r w:rsidRPr="00400193">
        <w:rPr>
          <w:lang w:eastAsia="zh-CN" w:bidi="hi-IN"/>
        </w:rPr>
        <w:t>Descriptive Statistics</w:t>
      </w:r>
      <w:bookmarkEnd w:id="395"/>
      <w:bookmarkEnd w:id="402"/>
    </w:p>
    <w:p w14:paraId="1DB32AF0" w14:textId="083F0E10" w:rsidR="006E3616" w:rsidRPr="00400193" w:rsidRDefault="006E3616" w:rsidP="006E3616">
      <w:pPr>
        <w:rPr>
          <w:lang w:eastAsia="zh-CN" w:bidi="hi-IN"/>
        </w:rPr>
      </w:pPr>
      <w:r w:rsidRPr="00400193">
        <w:rPr>
          <w:lang w:eastAsia="zh-CN" w:bidi="hi-IN"/>
        </w:rPr>
        <w:t>The Tables in</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_Ref43166249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w:t>
      </w:r>
      <w:r w:rsidRPr="00400193">
        <w:rPr>
          <w:lang w:eastAsia="zh-CN" w:bidi="hi-IN"/>
        </w:rPr>
        <w:fldChar w:fldCharType="end"/>
      </w:r>
      <w:r w:rsidRPr="00400193">
        <w:rPr>
          <w:lang w:eastAsia="zh-CN" w:bidi="hi-IN"/>
        </w:rPr>
        <w:t xml:space="preserve"> to </w:t>
      </w:r>
      <w:r w:rsidRPr="00400193">
        <w:rPr>
          <w:lang w:eastAsia="zh-CN" w:bidi="hi-IN"/>
        </w:rPr>
        <w:fldChar w:fldCharType="begin"/>
      </w:r>
      <w:r w:rsidRPr="00400193">
        <w:rPr>
          <w:lang w:eastAsia="zh-CN" w:bidi="hi-IN"/>
        </w:rPr>
        <w:instrText xml:space="preserve"> REF _Ref43166969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13</w:t>
      </w:r>
      <w:r w:rsidRPr="00400193">
        <w:rPr>
          <w:lang w:eastAsia="zh-CN" w:bidi="hi-IN"/>
        </w:rPr>
        <w:fldChar w:fldCharType="end"/>
      </w:r>
      <w:r w:rsidRPr="00400193">
        <w:rPr>
          <w:lang w:eastAsia="zh-CN" w:bidi="hi-IN"/>
        </w:rPr>
        <w:t xml:space="preserve"> show the responses to the survey. The data frequencies are shown in tables for all instruments. These presentations show all probable values of the variable along with either the frequency (count) or relative frequency (percentage). Relative frequencies are more often used because they enable comparisons with the sample size. They are calculated by dividing the number of answers for a specific category by the total number of answers. Frequency tables can show either the raw frequencies or relative frequencies </w:t>
      </w:r>
      <w:sdt>
        <w:sdtPr>
          <w:rPr>
            <w:lang w:eastAsia="zh-CN" w:bidi="hi-IN"/>
          </w:rPr>
          <w:id w:val="1905560374"/>
          <w:citation/>
        </w:sdtPr>
        <w:sdtEndPr/>
        <w:sdtContent>
          <w:r w:rsidRPr="00400193">
            <w:rPr>
              <w:lang w:eastAsia="zh-CN" w:bidi="hi-IN"/>
            </w:rPr>
            <w:fldChar w:fldCharType="begin"/>
          </w:r>
          <w:r w:rsidRPr="00400193">
            <w:rPr>
              <w:lang w:eastAsia="zh-CN" w:bidi="hi-IN"/>
            </w:rPr>
            <w:instrText xml:space="preserve"> CITATION SOS15 \l 2057 </w:instrText>
          </w:r>
          <w:r w:rsidRPr="00400193">
            <w:rPr>
              <w:lang w:eastAsia="zh-CN" w:bidi="hi-IN"/>
            </w:rPr>
            <w:fldChar w:fldCharType="separate"/>
          </w:r>
          <w:r w:rsidR="00E20BC9" w:rsidRPr="00400193">
            <w:rPr>
              <w:noProof/>
              <w:lang w:eastAsia="zh-CN" w:bidi="hi-IN"/>
            </w:rPr>
            <w:t>(SOS, 2015)</w:t>
          </w:r>
          <w:r w:rsidRPr="00400193">
            <w:rPr>
              <w:lang w:eastAsia="zh-CN" w:bidi="hi-IN"/>
            </w:rPr>
            <w:fldChar w:fldCharType="end"/>
          </w:r>
        </w:sdtContent>
      </w:sdt>
      <w:r w:rsidRPr="00400193">
        <w:rPr>
          <w:lang w:eastAsia="zh-CN" w:bidi="hi-IN"/>
        </w:rPr>
        <w:t xml:space="preserve">. The all surveys item of this study covers all the original responses without missing value imputation. </w:t>
      </w:r>
    </w:p>
    <w:p w14:paraId="7D82F4AD" w14:textId="7D6E35AD" w:rsidR="006E3616" w:rsidRPr="00400193" w:rsidRDefault="006E3616" w:rsidP="006E3616">
      <w:pPr>
        <w:rPr>
          <w:lang w:eastAsia="zh-CN" w:bidi="hi-IN"/>
        </w:rPr>
      </w:pPr>
      <w:r w:rsidRPr="00400193">
        <w:rPr>
          <w:lang w:eastAsia="zh-CN" w:bidi="hi-IN"/>
        </w:rPr>
        <w:t>The most common response for Key External Threats - Cyber Attack (KECA) was ‘likely’ with a mean frequency of 34.1 (32.8% of respondents). That means that respondents thought that an external cyber-attack was likely, and the smallest group thought it was very unlikely, with a mean of 10.1 (9.8%). The sub-variable with the biggest response (43 respondents, 41.35%) was that KECA2 (Security systems disconnected from each other) was likely and just three respondents (2.9%) thought that KECA4 (Disrupted services) was very unlikely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_Ref43166249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w:t>
      </w:r>
      <w:r w:rsidRPr="00400193">
        <w:rPr>
          <w:lang w:eastAsia="zh-CN" w:bidi="hi-IN"/>
        </w:rPr>
        <w:fldChar w:fldCharType="end"/>
      </w:r>
      <w:r w:rsidRPr="00400193">
        <w:rPr>
          <w:lang w:eastAsia="zh-CN" w:bidi="hi-IN"/>
        </w:rPr>
        <w:t>).</w:t>
      </w:r>
    </w:p>
    <w:p w14:paraId="23F19998" w14:textId="77777777" w:rsidR="006E3616" w:rsidRPr="00400193" w:rsidRDefault="006E3616" w:rsidP="00A63BB5">
      <w:pPr>
        <w:keepNext/>
        <w:spacing w:after="0" w:line="240" w:lineRule="auto"/>
        <w:rPr>
          <w:lang w:eastAsia="zh-CN" w:bidi="hi-IN"/>
        </w:rPr>
      </w:pPr>
      <w:r w:rsidRPr="00400193">
        <w:rPr>
          <w:noProof/>
          <w:lang w:val="en-US"/>
        </w:rPr>
        <w:lastRenderedPageBreak/>
        <w:drawing>
          <wp:inline distT="0" distB="0" distL="0" distR="0" wp14:anchorId="69840312" wp14:editId="525EF386">
            <wp:extent cx="5760000" cy="2880000"/>
            <wp:effectExtent l="19050" t="19050" r="12700" b="15875"/>
            <wp:docPr id="38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069E22BB" w14:textId="28327FE5" w:rsidR="006E3616" w:rsidRPr="00400193" w:rsidRDefault="006E3616" w:rsidP="006E3616">
      <w:pPr>
        <w:pStyle w:val="Caption"/>
        <w:spacing w:after="240"/>
      </w:pPr>
      <w:bookmarkStart w:id="403" w:name="_Ref43166249"/>
      <w:bookmarkStart w:id="404" w:name="_Toc5538757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w:t>
      </w:r>
      <w:r w:rsidR="00E35E8C" w:rsidRPr="00400193">
        <w:fldChar w:fldCharType="end"/>
      </w:r>
      <w:bookmarkEnd w:id="403"/>
      <w:r w:rsidRPr="00400193">
        <w:t xml:space="preserve">: Key External Threats - Cyber Attack (KECA).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in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00DD0FD9" w:rsidRPr="00400193">
        <w:t xml:space="preserve"> </w:t>
      </w:r>
      <w:r w:rsidRPr="00400193">
        <w:t>for Code or item explanation</w:t>
      </w:r>
      <w:bookmarkEnd w:id="404"/>
    </w:p>
    <w:p w14:paraId="7BA7107C" w14:textId="77777777" w:rsidR="006E3616" w:rsidRPr="00400193" w:rsidRDefault="006E3616" w:rsidP="006E3616">
      <w:pPr>
        <w:rPr>
          <w:lang w:eastAsia="zh-CN" w:bidi="hi-IN"/>
        </w:rPr>
      </w:pPr>
      <w:r w:rsidRPr="00400193">
        <w:rPr>
          <w:lang w:eastAsia="zh-CN" w:bidi="hi-IN"/>
        </w:rPr>
        <w:t>The participants were asked to say how likely it was that their organisation would be affected by key external threats. The responses showed that respondents were very aware of the level of cyber-risk to their organisations. There was also a low level of trust in their organisations’ resilience to external cyber-attacks, because only 2.9% thought that it was very unlikely that attacks would disrupt their organisation’s services. Many public sector employees were therefore aware of the likely impact of key external threats on their organisations.</w:t>
      </w:r>
    </w:p>
    <w:p w14:paraId="533059DC" w14:textId="249AE546" w:rsidR="006E3616" w:rsidRPr="00400193" w:rsidRDefault="006E3616" w:rsidP="006E3616">
      <w:pPr>
        <w:rPr>
          <w:lang w:eastAsia="zh-CN" w:bidi="hi-IN"/>
        </w:rPr>
      </w:pPr>
      <w:r w:rsidRPr="00400193">
        <w:rPr>
          <w:lang w:eastAsia="zh-CN" w:bidi="hi-IN"/>
        </w:rPr>
        <w:t xml:space="preserve">In total, a mean of 34.9 respondents (33.5%) thought that Key External Threats – </w:t>
      </w:r>
      <w:bookmarkStart w:id="405" w:name="_Hlk22208905"/>
      <w:r w:rsidRPr="00400193">
        <w:rPr>
          <w:lang w:eastAsia="zh-CN" w:bidi="hi-IN"/>
        </w:rPr>
        <w:t>Hacktivism</w:t>
      </w:r>
      <w:bookmarkEnd w:id="405"/>
      <w:r w:rsidRPr="00400193">
        <w:rPr>
          <w:lang w:eastAsia="zh-CN" w:bidi="hi-IN"/>
        </w:rPr>
        <w:t xml:space="preserve"> (KEH) was likely. A mean of just 8.1 (7.8%) thought it was very unlikely. A mean of 48 (46.2%) respondents thought that KEH15 (Insufficient protection against reverse engineering) was likely and only three (2.9%) that KEH2 (Traffic: overloading system with traffic is harmful) was unlikely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_Ref43167699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w:t>
      </w:r>
      <w:r w:rsidRPr="00400193">
        <w:rPr>
          <w:lang w:eastAsia="zh-CN" w:bidi="hi-IN"/>
        </w:rPr>
        <w:fldChar w:fldCharType="end"/>
      </w:r>
      <w:r w:rsidRPr="00400193">
        <w:rPr>
          <w:lang w:eastAsia="zh-CN" w:bidi="hi-IN"/>
        </w:rPr>
        <w:t>).</w:t>
      </w:r>
    </w:p>
    <w:p w14:paraId="00F42DA9" w14:textId="2441EA4F" w:rsidR="006E3616" w:rsidRPr="00400193" w:rsidRDefault="006E3616" w:rsidP="006E3616">
      <w:pPr>
        <w:rPr>
          <w:lang w:eastAsia="zh-CN" w:bidi="hi-IN"/>
        </w:rPr>
      </w:pPr>
      <w:r w:rsidRPr="00400193">
        <w:rPr>
          <w:lang w:eastAsia="zh-CN" w:bidi="hi-IN"/>
        </w:rPr>
        <w:t>The most common response for Key External Threats – Phishing (KEP) was ‘likely’ with a mean of 35.6 (34.3% of respondents). The least common was very unlikely with a mean of 7.3 (7.0%). A mean of 45 (45.3%) thought that KEP4 (Loss of confidential information for fraudulent purposes (whaling scams)) was likely and only a mean of three (2.9%) thought it very unlikely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_Ref43167743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w:t>
      </w:r>
      <w:r w:rsidRPr="00400193">
        <w:rPr>
          <w:lang w:eastAsia="zh-CN" w:bidi="hi-IN"/>
        </w:rPr>
        <w:fldChar w:fldCharType="end"/>
      </w:r>
      <w:r w:rsidRPr="00400193">
        <w:rPr>
          <w:lang w:eastAsia="zh-CN" w:bidi="hi-IN"/>
        </w:rPr>
        <w:t>).</w:t>
      </w:r>
    </w:p>
    <w:p w14:paraId="32884C9D" w14:textId="77777777" w:rsidR="006E3616" w:rsidRPr="00400193" w:rsidRDefault="006E3616" w:rsidP="00A63BB5">
      <w:pPr>
        <w:keepNext/>
        <w:spacing w:after="0" w:line="240" w:lineRule="auto"/>
        <w:rPr>
          <w:lang w:eastAsia="zh-CN" w:bidi="hi-IN"/>
        </w:rPr>
      </w:pPr>
      <w:r w:rsidRPr="00400193">
        <w:rPr>
          <w:noProof/>
          <w:lang w:val="en-US"/>
        </w:rPr>
        <w:lastRenderedPageBreak/>
        <w:drawing>
          <wp:inline distT="0" distB="0" distL="0" distR="0" wp14:anchorId="4C497C2F" wp14:editId="1462C043">
            <wp:extent cx="5760000" cy="2880000"/>
            <wp:effectExtent l="19050" t="19050" r="12700" b="15875"/>
            <wp:docPr id="38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31F000EC" w14:textId="3C1BEAD0" w:rsidR="006E3616" w:rsidRPr="00400193" w:rsidRDefault="006E3616" w:rsidP="006E3616">
      <w:pPr>
        <w:pStyle w:val="Caption"/>
      </w:pPr>
      <w:bookmarkStart w:id="406" w:name="_Ref43167699"/>
      <w:bookmarkStart w:id="407" w:name="_Toc5538758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w:t>
      </w:r>
      <w:r w:rsidR="00E35E8C" w:rsidRPr="00400193">
        <w:fldChar w:fldCharType="end"/>
      </w:r>
      <w:bookmarkEnd w:id="406"/>
      <w:r w:rsidRPr="00400193">
        <w:t xml:space="preserve">: Key External Threats – Hacktivism (KEH).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in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xml:space="preserve"> for Code or item explanation</w:t>
      </w:r>
      <w:bookmarkEnd w:id="407"/>
    </w:p>
    <w:p w14:paraId="5F603390" w14:textId="77777777" w:rsidR="006E3616" w:rsidRPr="00400193" w:rsidRDefault="006E3616" w:rsidP="006E3616">
      <w:pPr>
        <w:spacing w:line="240" w:lineRule="auto"/>
        <w:rPr>
          <w:lang w:eastAsia="zh-CN" w:bidi="hi-IN"/>
        </w:rPr>
      </w:pPr>
    </w:p>
    <w:p w14:paraId="08A70AFF" w14:textId="77777777" w:rsidR="006E3616" w:rsidRPr="00400193" w:rsidRDefault="006E3616" w:rsidP="00A63BB5">
      <w:pPr>
        <w:keepNext/>
        <w:spacing w:after="0" w:line="240" w:lineRule="auto"/>
        <w:rPr>
          <w:lang w:eastAsia="zh-CN" w:bidi="hi-IN"/>
        </w:rPr>
      </w:pPr>
      <w:r w:rsidRPr="00400193">
        <w:rPr>
          <w:noProof/>
          <w:lang w:val="en-US"/>
        </w:rPr>
        <w:drawing>
          <wp:inline distT="0" distB="0" distL="0" distR="0" wp14:anchorId="0F29D690" wp14:editId="2BF000E0">
            <wp:extent cx="5760000" cy="2880000"/>
            <wp:effectExtent l="19050" t="19050" r="12700" b="15875"/>
            <wp:docPr id="388"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0B5D952F" w14:textId="2CA5C90D" w:rsidR="006E3616" w:rsidRPr="00400193" w:rsidRDefault="006E3616" w:rsidP="006E3616">
      <w:pPr>
        <w:pStyle w:val="Caption"/>
        <w:spacing w:after="240"/>
      </w:pPr>
      <w:bookmarkStart w:id="408" w:name="_Ref43167743"/>
      <w:bookmarkStart w:id="409" w:name="_Toc5538758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w:t>
      </w:r>
      <w:r w:rsidR="00E35E8C" w:rsidRPr="00400193">
        <w:fldChar w:fldCharType="end"/>
      </w:r>
      <w:bookmarkEnd w:id="408"/>
      <w:r w:rsidRPr="00400193">
        <w:t xml:space="preserve">: Key External Threats – Phishing (KEP).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in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xml:space="preserve"> for Code or item explanation</w:t>
      </w:r>
      <w:bookmarkEnd w:id="409"/>
    </w:p>
    <w:p w14:paraId="2030D690" w14:textId="090E8EED" w:rsidR="006E3616" w:rsidRPr="00400193" w:rsidRDefault="006E3616" w:rsidP="00A63BB5">
      <w:pPr>
        <w:spacing w:after="0"/>
        <w:rPr>
          <w:lang w:eastAsia="zh-CN" w:bidi="hi-IN"/>
        </w:rPr>
      </w:pPr>
      <w:r w:rsidRPr="00400193">
        <w:rPr>
          <w:lang w:eastAsia="zh-CN" w:bidi="hi-IN"/>
        </w:rPr>
        <w:t>Similarly, the most popular response for Key External Threats - Financial Fraud (KEFF) was likely with a mean frequency of 31.5 (30.3% of respondents). The lowest mean was very unlikely (8.9, 8.6%). KEFF2 (Asset misappropriation (stealing information)) was considered likely by a mean of 54 (51.9%) of respondents and a mean of just two (1.9%) thought KEFF3 (Human errors and trust issues) was very unlikely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_Ref43167837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w:t>
      </w:r>
      <w:r w:rsidRPr="00400193">
        <w:rPr>
          <w:lang w:eastAsia="zh-CN" w:bidi="hi-IN"/>
        </w:rPr>
        <w:fldChar w:fldCharType="end"/>
      </w:r>
      <w:r w:rsidRPr="00400193">
        <w:rPr>
          <w:lang w:eastAsia="zh-CN" w:bidi="hi-IN"/>
        </w:rPr>
        <w:t>).</w:t>
      </w:r>
    </w:p>
    <w:p w14:paraId="0CA4056B" w14:textId="77777777" w:rsidR="006E3616" w:rsidRPr="00400193" w:rsidRDefault="006E3616" w:rsidP="00A63BB5">
      <w:pPr>
        <w:keepNext/>
        <w:spacing w:after="0" w:line="240" w:lineRule="auto"/>
        <w:rPr>
          <w:lang w:eastAsia="zh-CN" w:bidi="hi-IN"/>
        </w:rPr>
      </w:pPr>
      <w:r w:rsidRPr="00400193">
        <w:rPr>
          <w:noProof/>
          <w:lang w:val="en-US"/>
        </w:rPr>
        <w:lastRenderedPageBreak/>
        <w:drawing>
          <wp:inline distT="0" distB="0" distL="0" distR="0" wp14:anchorId="03365A17" wp14:editId="0D976518">
            <wp:extent cx="5760000" cy="2880000"/>
            <wp:effectExtent l="19050" t="19050" r="12700" b="15875"/>
            <wp:docPr id="389"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0B7088B4" w14:textId="48DA345A" w:rsidR="006E3616" w:rsidRPr="00400193" w:rsidRDefault="006E3616" w:rsidP="006E3616">
      <w:pPr>
        <w:pStyle w:val="Caption"/>
      </w:pPr>
      <w:bookmarkStart w:id="410" w:name="_Ref43167837"/>
      <w:bookmarkStart w:id="411" w:name="_Toc5538758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w:t>
      </w:r>
      <w:r w:rsidR="00E35E8C" w:rsidRPr="00400193">
        <w:fldChar w:fldCharType="end"/>
      </w:r>
      <w:bookmarkEnd w:id="410"/>
      <w:r w:rsidRPr="00400193">
        <w:t xml:space="preserve">: Key External Threats - Financial Fraud (KEFF).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in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xml:space="preserve"> for Code or item explanation</w:t>
      </w:r>
      <w:bookmarkEnd w:id="411"/>
    </w:p>
    <w:p w14:paraId="77392905" w14:textId="77777777" w:rsidR="006E3616" w:rsidRPr="00400193" w:rsidRDefault="006E3616" w:rsidP="006E3616">
      <w:pPr>
        <w:rPr>
          <w:lang w:eastAsia="zh-CN" w:bidi="hi-IN"/>
        </w:rPr>
      </w:pPr>
    </w:p>
    <w:p w14:paraId="66E79788" w14:textId="65CBF697" w:rsidR="006E3616" w:rsidRPr="00400193" w:rsidRDefault="006E3616" w:rsidP="006E3616">
      <w:pPr>
        <w:rPr>
          <w:lang w:eastAsia="zh-CN" w:bidi="hi-IN"/>
        </w:rPr>
      </w:pPr>
      <w:r w:rsidRPr="00400193">
        <w:rPr>
          <w:lang w:eastAsia="zh-CN" w:bidi="hi-IN"/>
        </w:rPr>
        <w:t>The most common response for Key External Threats - Criminal Acts (ETCA) was likely with a mean frequency of 30.7 (29.5 % of respondents). The lowest mean was for very unlikely (10.0, 9.6%). ETCA14 (Use of erroneous and/or unreliable data) was considered likely by a mean of 44 (42.3%) respondents). ETCA17 (Large-scale and/or inappropriate data mining and/or surveillance) and ETCA19 (Social engineering attack) were only considered very unlikely by a mean of two (1.9%) respondents) (</w:t>
      </w:r>
      <w:r w:rsidRPr="00400193">
        <w:rPr>
          <w:lang w:eastAsia="zh-CN" w:bidi="hi-IN"/>
        </w:rPr>
        <w:fldChar w:fldCharType="begin"/>
      </w:r>
      <w:r w:rsidRPr="00400193">
        <w:rPr>
          <w:lang w:eastAsia="zh-CN" w:bidi="hi-IN"/>
        </w:rPr>
        <w:instrText xml:space="preserve"> REF _Ref43165065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7</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_Ref43167912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w:t>
      </w:r>
      <w:r w:rsidRPr="00400193">
        <w:rPr>
          <w:lang w:eastAsia="zh-CN" w:bidi="hi-IN"/>
        </w:rPr>
        <w:fldChar w:fldCharType="end"/>
      </w:r>
      <w:r w:rsidRPr="00400193">
        <w:rPr>
          <w:lang w:eastAsia="zh-CN" w:bidi="hi-IN"/>
        </w:rPr>
        <w:t>).</w:t>
      </w:r>
    </w:p>
    <w:p w14:paraId="5DAD19D7" w14:textId="77777777" w:rsidR="006E3616" w:rsidRPr="00400193" w:rsidRDefault="006E3616" w:rsidP="00A63BB5">
      <w:pPr>
        <w:keepNext/>
        <w:spacing w:after="0" w:line="240" w:lineRule="auto"/>
        <w:rPr>
          <w:lang w:eastAsia="zh-CN" w:bidi="hi-IN"/>
        </w:rPr>
      </w:pPr>
      <w:bookmarkStart w:id="412" w:name="_Hlk25832473"/>
      <w:r w:rsidRPr="00400193">
        <w:rPr>
          <w:noProof/>
          <w:lang w:val="en-US"/>
        </w:rPr>
        <w:drawing>
          <wp:inline distT="0" distB="0" distL="0" distR="0" wp14:anchorId="23DFFE73" wp14:editId="5C10CFA9">
            <wp:extent cx="5760000" cy="2880000"/>
            <wp:effectExtent l="19050" t="19050" r="12700" b="15875"/>
            <wp:docPr id="390"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54C53A5A" w14:textId="4BC7CADC" w:rsidR="006E3616" w:rsidRPr="00400193" w:rsidRDefault="006E3616" w:rsidP="006E3616">
      <w:pPr>
        <w:pStyle w:val="Caption"/>
      </w:pPr>
      <w:bookmarkStart w:id="413" w:name="_Ref43167912"/>
      <w:bookmarkStart w:id="414" w:name="_Toc5538758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w:t>
      </w:r>
      <w:r w:rsidR="00E35E8C" w:rsidRPr="00400193">
        <w:fldChar w:fldCharType="end"/>
      </w:r>
      <w:bookmarkEnd w:id="413"/>
      <w:r w:rsidRPr="00400193">
        <w:t xml:space="preserve">: Key External Threats - Criminal Acts (ETCA).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14"/>
    </w:p>
    <w:p w14:paraId="2D5C6218" w14:textId="77777777" w:rsidR="006E3616" w:rsidRPr="00400193" w:rsidRDefault="006E3616" w:rsidP="006E3616">
      <w:pPr>
        <w:spacing w:line="240" w:lineRule="auto"/>
        <w:rPr>
          <w:lang w:eastAsia="zh-CN" w:bidi="hi-IN"/>
        </w:rPr>
      </w:pPr>
      <w:r w:rsidRPr="00400193">
        <w:rPr>
          <w:lang w:eastAsia="zh-CN" w:bidi="hi-IN"/>
        </w:rPr>
        <w:lastRenderedPageBreak/>
        <w:t xml:space="preserve"> </w:t>
      </w:r>
    </w:p>
    <w:p w14:paraId="4C2BEC90" w14:textId="426572E5" w:rsidR="006E3616" w:rsidRPr="00400193" w:rsidRDefault="006E3616" w:rsidP="006E3616">
      <w:pPr>
        <w:rPr>
          <w:lang w:eastAsia="zh-CN" w:bidi="hi-IN"/>
        </w:rPr>
      </w:pPr>
      <w:r w:rsidRPr="00400193">
        <w:rPr>
          <w:lang w:eastAsia="zh-CN" w:bidi="hi-IN"/>
        </w:rPr>
        <w:t xml:space="preserve">A mean of 34.4 (33.1%) thought that Key Internal Threats - Lack of Awareness (KILA) was likely. The lowest mean was very unlikely (10.7, 10.3%). KILA10 (Lack of reporting policy) was considered likely by a mean of 55 (52.9%) respondents. The smallest groups of respondents (three, or 2.9% in each case) were those who considered KILA3 was very likely, and that KILA4 (Lack of situational awareness materials) and KILA5 (Security threats are not gathered and shared) were very unlikely </w:t>
      </w:r>
      <w:bookmarkStart w:id="415" w:name="_Hlk43168157"/>
      <w:r w:rsidRPr="00400193">
        <w:rPr>
          <w:lang w:eastAsia="zh-CN" w:bidi="hi-IN"/>
        </w:rPr>
        <w:t>(</w:t>
      </w:r>
      <w:r w:rsidRPr="00400193">
        <w:rPr>
          <w:lang w:eastAsia="zh-CN" w:bidi="hi-IN"/>
        </w:rPr>
        <w:fldChar w:fldCharType="begin"/>
      </w:r>
      <w:r w:rsidRPr="00400193">
        <w:rPr>
          <w:lang w:eastAsia="zh-CN" w:bidi="hi-IN"/>
        </w:rPr>
        <w:instrText xml:space="preserve"> REF _Ref43168116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rPr>
          <w:lang w:eastAsia="zh-CN" w:bidi="hi-IN"/>
        </w:rPr>
        <w:fldChar w:fldCharType="end"/>
      </w:r>
      <w:r w:rsidRPr="00400193">
        <w:rPr>
          <w:lang w:eastAsia="zh-CN" w:bidi="hi-IN"/>
        </w:rPr>
        <w:t xml:space="preserve"> of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_Ref43168021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6</w:t>
      </w:r>
      <w:r w:rsidRPr="00400193">
        <w:rPr>
          <w:lang w:eastAsia="zh-CN" w:bidi="hi-IN"/>
        </w:rPr>
        <w:fldChar w:fldCharType="end"/>
      </w:r>
      <w:r w:rsidRPr="00400193">
        <w:rPr>
          <w:lang w:eastAsia="zh-CN" w:bidi="hi-IN"/>
        </w:rPr>
        <w:t>).</w:t>
      </w:r>
      <w:bookmarkEnd w:id="415"/>
    </w:p>
    <w:p w14:paraId="4C1F32D8" w14:textId="77777777" w:rsidR="006E3616" w:rsidRPr="00400193" w:rsidRDefault="006E3616" w:rsidP="006E3616">
      <w:pPr>
        <w:keepNext/>
        <w:spacing w:after="0" w:line="240" w:lineRule="auto"/>
        <w:rPr>
          <w:lang w:eastAsia="zh-CN" w:bidi="hi-IN"/>
        </w:rPr>
      </w:pPr>
      <w:r w:rsidRPr="00400193">
        <w:rPr>
          <w:noProof/>
          <w:lang w:val="en-US"/>
        </w:rPr>
        <w:drawing>
          <wp:inline distT="0" distB="0" distL="0" distR="0" wp14:anchorId="73A95B34" wp14:editId="484FF084">
            <wp:extent cx="5760000" cy="2880000"/>
            <wp:effectExtent l="19050" t="19050" r="12700" b="15875"/>
            <wp:docPr id="410" name="Picture 4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63EE5CD6" w14:textId="37AD9DA8" w:rsidR="006E3616" w:rsidRPr="00400193" w:rsidRDefault="006E3616" w:rsidP="006E3616">
      <w:pPr>
        <w:pStyle w:val="Caption"/>
        <w:spacing w:after="240"/>
      </w:pPr>
      <w:bookmarkStart w:id="416" w:name="_Ref43168021"/>
      <w:bookmarkStart w:id="417" w:name="_Toc5538758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6</w:t>
      </w:r>
      <w:r w:rsidR="00E35E8C" w:rsidRPr="00400193">
        <w:fldChar w:fldCharType="end"/>
      </w:r>
      <w:bookmarkEnd w:id="416"/>
      <w:r w:rsidRPr="00400193">
        <w:t xml:space="preserve">: Key Internal Threats - Lack of Awareness (KILA).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xml:space="preserve"> for Code or item explanation</w:t>
      </w:r>
      <w:bookmarkEnd w:id="417"/>
    </w:p>
    <w:bookmarkEnd w:id="412"/>
    <w:p w14:paraId="4A6C6BD0" w14:textId="7916120D" w:rsidR="006E3616" w:rsidRPr="00400193" w:rsidRDefault="006E3616" w:rsidP="006E3616">
      <w:pPr>
        <w:rPr>
          <w:lang w:eastAsia="zh-CN" w:bidi="hi-IN"/>
        </w:rPr>
      </w:pPr>
      <w:r w:rsidRPr="00400193">
        <w:rPr>
          <w:lang w:eastAsia="zh-CN" w:bidi="hi-IN"/>
        </w:rPr>
        <w:t>The highest mean for Key Internal Threats - Risk Culture and Laziness (KIRC) was likely (28.7, 27.6%). The lowest mean for this variable was very unlikely (11.9, 11.4 %). KIRC4 (Lack of risk culture causes deficiency of appropriate access control) and KIRC8 (No regular software upgrades and update patching) were thought likely by the biggest groups of respondents (36, 34.6%) and KIRC18 (Lack of clearly defined system users authority) was considered very unlikely by the fewest respondents (six, 5.8%) (</w:t>
      </w:r>
      <w:r w:rsidRPr="00400193">
        <w:rPr>
          <w:lang w:eastAsia="zh-CN" w:bidi="hi-IN"/>
        </w:rPr>
        <w:fldChar w:fldCharType="begin"/>
      </w:r>
      <w:r w:rsidRPr="00400193">
        <w:rPr>
          <w:lang w:eastAsia="zh-CN" w:bidi="hi-IN"/>
        </w:rPr>
        <w:instrText xml:space="preserve"> REF _Ref43168116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_Ref43168189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7</w:t>
      </w:r>
      <w:r w:rsidRPr="00400193">
        <w:rPr>
          <w:lang w:eastAsia="zh-CN" w:bidi="hi-IN"/>
        </w:rPr>
        <w:fldChar w:fldCharType="end"/>
      </w:r>
      <w:r w:rsidRPr="00400193">
        <w:rPr>
          <w:lang w:eastAsia="zh-CN" w:bidi="hi-IN"/>
        </w:rPr>
        <w:t>).</w:t>
      </w:r>
    </w:p>
    <w:p w14:paraId="3C70DDE2" w14:textId="77777777" w:rsidR="006E3616" w:rsidRPr="00400193" w:rsidRDefault="006E3616" w:rsidP="008F2086">
      <w:pPr>
        <w:spacing w:after="0" w:line="240" w:lineRule="auto"/>
        <w:rPr>
          <w:lang w:eastAsia="zh-CN" w:bidi="hi-IN"/>
        </w:rPr>
      </w:pPr>
      <w:r w:rsidRPr="00400193">
        <w:rPr>
          <w:noProof/>
          <w:lang w:val="en-US"/>
        </w:rPr>
        <w:lastRenderedPageBreak/>
        <w:drawing>
          <wp:inline distT="0" distB="0" distL="0" distR="0" wp14:anchorId="41E81EEC" wp14:editId="2452F2C4">
            <wp:extent cx="5760000" cy="2880000"/>
            <wp:effectExtent l="19050" t="19050" r="12700" b="15875"/>
            <wp:docPr id="392"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50FD0057" w14:textId="31F1B382" w:rsidR="006E3616" w:rsidRPr="00400193" w:rsidRDefault="006E3616" w:rsidP="006E3616">
      <w:pPr>
        <w:pStyle w:val="Caption"/>
      </w:pPr>
      <w:bookmarkStart w:id="418" w:name="_Ref43168189"/>
      <w:bookmarkStart w:id="419" w:name="_Toc5538758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7</w:t>
      </w:r>
      <w:r w:rsidR="00E35E8C" w:rsidRPr="00400193">
        <w:fldChar w:fldCharType="end"/>
      </w:r>
      <w:bookmarkEnd w:id="418"/>
      <w:r w:rsidRPr="00400193">
        <w:t xml:space="preserve">: Key Internal Threats - Risk Culture and Laziness (KIRC).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19"/>
    </w:p>
    <w:p w14:paraId="1502F043" w14:textId="77777777" w:rsidR="006E3616" w:rsidRPr="00400193" w:rsidRDefault="006E3616" w:rsidP="006E3616">
      <w:pPr>
        <w:rPr>
          <w:lang w:eastAsia="zh-CN" w:bidi="hi-IN"/>
        </w:rPr>
      </w:pPr>
    </w:p>
    <w:p w14:paraId="2CC7E7F9" w14:textId="5612B62F" w:rsidR="006E3616" w:rsidRPr="00400193" w:rsidRDefault="006E3616" w:rsidP="006E3616">
      <w:pPr>
        <w:rPr>
          <w:lang w:eastAsia="zh-CN" w:bidi="hi-IN"/>
        </w:rPr>
      </w:pPr>
      <w:r w:rsidRPr="00400193">
        <w:rPr>
          <w:lang w:eastAsia="zh-CN" w:bidi="hi-IN"/>
        </w:rPr>
        <w:t>The highest mean for Key Internal Threats - Financial Fraud (KIFF) was likely (31.6 (30.4%) respondents. The lowest mean was very unlikely (9.6, 9.2%). Among the sub-variables, the biggest group thought that KIFF5 (Theft of hardware) was likely (38, 36.5% respondents) and the smallest that KIFF6 (Mistakes by employees) was very likely (five, 4.8%) (</w:t>
      </w:r>
      <w:r w:rsidRPr="00400193">
        <w:rPr>
          <w:lang w:eastAsia="zh-CN" w:bidi="hi-IN"/>
        </w:rPr>
        <w:fldChar w:fldCharType="begin"/>
      </w:r>
      <w:r w:rsidRPr="00400193">
        <w:rPr>
          <w:lang w:eastAsia="zh-CN" w:bidi="hi-IN"/>
        </w:rPr>
        <w:instrText xml:space="preserve"> REF _Ref43168116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_Ref43168266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8</w:t>
      </w:r>
      <w:r w:rsidRPr="00400193">
        <w:rPr>
          <w:lang w:eastAsia="zh-CN" w:bidi="hi-IN"/>
        </w:rPr>
        <w:fldChar w:fldCharType="end"/>
      </w:r>
      <w:r w:rsidRPr="00400193">
        <w:rPr>
          <w:lang w:eastAsia="zh-CN" w:bidi="hi-IN"/>
        </w:rPr>
        <w:t>).</w:t>
      </w:r>
    </w:p>
    <w:p w14:paraId="0C1B06B0" w14:textId="77777777" w:rsidR="006E3616" w:rsidRPr="00400193" w:rsidRDefault="006E3616" w:rsidP="006E3616">
      <w:pPr>
        <w:keepNext/>
        <w:spacing w:after="0" w:line="240" w:lineRule="auto"/>
        <w:rPr>
          <w:lang w:eastAsia="zh-CN" w:bidi="hi-IN"/>
        </w:rPr>
      </w:pPr>
      <w:r w:rsidRPr="00400193">
        <w:rPr>
          <w:noProof/>
          <w:lang w:val="en-US"/>
        </w:rPr>
        <w:drawing>
          <wp:inline distT="0" distB="0" distL="0" distR="0" wp14:anchorId="215097EF" wp14:editId="231E2FE0">
            <wp:extent cx="5760000" cy="2880000"/>
            <wp:effectExtent l="19050" t="19050" r="12700" b="15875"/>
            <wp:docPr id="393"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03DC4F81" w14:textId="3D94DE16" w:rsidR="006E3616" w:rsidRPr="00400193" w:rsidRDefault="006E3616" w:rsidP="006E3616">
      <w:pPr>
        <w:pStyle w:val="Caption"/>
        <w:spacing w:after="240"/>
      </w:pPr>
      <w:bookmarkStart w:id="420" w:name="_Ref43168266"/>
      <w:bookmarkStart w:id="421" w:name="_Toc5538758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8</w:t>
      </w:r>
      <w:r w:rsidR="00E35E8C" w:rsidRPr="00400193">
        <w:fldChar w:fldCharType="end"/>
      </w:r>
      <w:bookmarkEnd w:id="420"/>
      <w:r w:rsidRPr="00400193">
        <w:t xml:space="preserve">: Key Internal Threats - Financial Fraud (KIFF).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meaning</w:t>
      </w:r>
      <w:bookmarkEnd w:id="421"/>
    </w:p>
    <w:p w14:paraId="35E2B8DE" w14:textId="6FCC7305" w:rsidR="006E3616" w:rsidRPr="00400193" w:rsidRDefault="006E3616" w:rsidP="006E3616">
      <w:pPr>
        <w:rPr>
          <w:lang w:eastAsia="zh-CN" w:bidi="hi-IN"/>
        </w:rPr>
      </w:pPr>
      <w:r w:rsidRPr="00400193">
        <w:rPr>
          <w:lang w:eastAsia="zh-CN" w:bidi="hi-IN"/>
        </w:rPr>
        <w:lastRenderedPageBreak/>
        <w:t>The highest mean for Key Internal Threats - Criminal Acts (ITCA) was again likely, with a mean frequency of 29.4 (28.3%) respondents. The lowest mean was very unlikely (5.9, 5.6%). The most popular option among the sub-variables was that ITCA2 (Revenge attacks by outsiders) was likely (41, 39.4%), and the least popular was that the same variable was very unlikely (two, 1.9%) (</w:t>
      </w:r>
      <w:r w:rsidRPr="00400193">
        <w:rPr>
          <w:lang w:eastAsia="zh-CN" w:bidi="hi-IN"/>
        </w:rPr>
        <w:fldChar w:fldCharType="begin"/>
      </w:r>
      <w:r w:rsidRPr="00400193">
        <w:rPr>
          <w:lang w:eastAsia="zh-CN" w:bidi="hi-IN"/>
        </w:rPr>
        <w:instrText xml:space="preserve"> REF _Ref43168116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_Ref43168332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9</w:t>
      </w:r>
      <w:r w:rsidRPr="00400193">
        <w:rPr>
          <w:lang w:eastAsia="zh-CN" w:bidi="hi-IN"/>
        </w:rPr>
        <w:fldChar w:fldCharType="end"/>
      </w:r>
      <w:r w:rsidRPr="00400193">
        <w:rPr>
          <w:lang w:eastAsia="zh-CN" w:bidi="hi-IN"/>
        </w:rPr>
        <w:t>).</w:t>
      </w:r>
    </w:p>
    <w:p w14:paraId="55DAEE8B" w14:textId="77777777" w:rsidR="006E3616" w:rsidRPr="00400193" w:rsidRDefault="006E3616" w:rsidP="006E3616">
      <w:pPr>
        <w:keepNext/>
        <w:spacing w:after="0" w:line="240" w:lineRule="auto"/>
        <w:rPr>
          <w:lang w:eastAsia="zh-CN" w:bidi="hi-IN"/>
        </w:rPr>
      </w:pPr>
      <w:r w:rsidRPr="00400193">
        <w:rPr>
          <w:noProof/>
          <w:lang w:val="en-US"/>
        </w:rPr>
        <w:drawing>
          <wp:inline distT="0" distB="0" distL="0" distR="0" wp14:anchorId="00E3C0B6" wp14:editId="04371AC9">
            <wp:extent cx="5760000" cy="2880000"/>
            <wp:effectExtent l="19050" t="19050" r="12700" b="15875"/>
            <wp:docPr id="394"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4AFE38CA" w14:textId="73903C23" w:rsidR="006E3616" w:rsidRPr="00400193" w:rsidRDefault="006E3616" w:rsidP="006E3616">
      <w:pPr>
        <w:pStyle w:val="Caption"/>
        <w:spacing w:after="240"/>
      </w:pPr>
      <w:bookmarkStart w:id="422" w:name="_Ref43168332"/>
      <w:bookmarkStart w:id="423" w:name="_Toc5538758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9</w:t>
      </w:r>
      <w:r w:rsidR="00E35E8C" w:rsidRPr="00400193">
        <w:fldChar w:fldCharType="end"/>
      </w:r>
      <w:bookmarkEnd w:id="422"/>
      <w:r w:rsidRPr="00400193">
        <w:t xml:space="preserve">: Key Internal Threats - Criminal Acts (ITCA).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23"/>
    </w:p>
    <w:p w14:paraId="15D5859C" w14:textId="7F874BD2" w:rsidR="006E3616" w:rsidRPr="00400193" w:rsidRDefault="006E3616" w:rsidP="006E3616">
      <w:pPr>
        <w:rPr>
          <w:lang w:eastAsia="zh-CN" w:bidi="hi-IN"/>
        </w:rPr>
      </w:pPr>
      <w:r w:rsidRPr="00400193">
        <w:rPr>
          <w:lang w:eastAsia="zh-CN" w:bidi="hi-IN"/>
        </w:rPr>
        <w:t>The highest mean for Vulnerabilities and Weaknesses (VW) was likely (31.0, 29.8% of respondents). The lowest mean was very unlikely (10.7, 10.3%). Among the sub-variables, the biggest groups thought that VW5 (We lack a system for independent testing) and VW10 (Utility programs and applications are restricted) were likely (44, 42.3%). The least popular responses were for VW8 (E-mail protection mechanisms are present) being very likely and VW10 being very unlikely, both chosen by a mean of three (2.9%) (</w:t>
      </w:r>
      <w:r w:rsidRPr="00400193">
        <w:rPr>
          <w:lang w:eastAsia="zh-CN" w:bidi="hi-IN"/>
        </w:rPr>
        <w:fldChar w:fldCharType="begin"/>
      </w:r>
      <w:r w:rsidRPr="00400193">
        <w:rPr>
          <w:lang w:eastAsia="zh-CN" w:bidi="hi-IN"/>
        </w:rPr>
        <w:instrText xml:space="preserve"> REF _Ref43168494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4</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_Ref43168462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10</w:t>
      </w:r>
      <w:r w:rsidRPr="00400193">
        <w:rPr>
          <w:lang w:eastAsia="zh-CN" w:bidi="hi-IN"/>
        </w:rPr>
        <w:fldChar w:fldCharType="end"/>
      </w:r>
      <w:r w:rsidRPr="00400193">
        <w:rPr>
          <w:lang w:eastAsia="zh-CN" w:bidi="hi-IN"/>
        </w:rPr>
        <w:t xml:space="preserve">). </w:t>
      </w:r>
    </w:p>
    <w:p w14:paraId="3B737E8D" w14:textId="24EE292B" w:rsidR="006E3616" w:rsidRPr="00400193" w:rsidRDefault="006E3616" w:rsidP="006E3616">
      <w:pPr>
        <w:rPr>
          <w:lang w:eastAsia="zh-CN" w:bidi="hi-IN"/>
        </w:rPr>
      </w:pPr>
      <w:r w:rsidRPr="00400193">
        <w:rPr>
          <w:lang w:eastAsia="zh-CN" w:bidi="hi-IN"/>
        </w:rPr>
        <w:t>The highest mean for organisation vulnerabilities and weaknesses: physical and digital assets (VWP) was for likely (27.4, 26.4%). The lowest mean was very likely (9.9, 9.5%). The most common option among the sub-variables was the neutral response for VWP3 (Hard disks) (37, 35.6%) and the least common was that VW1 (Computers) was unlikely (four, 3.8%) (</w:t>
      </w:r>
      <w:r w:rsidRPr="00400193">
        <w:rPr>
          <w:lang w:eastAsia="zh-CN" w:bidi="hi-IN"/>
        </w:rPr>
        <w:fldChar w:fldCharType="begin"/>
      </w:r>
      <w:r w:rsidRPr="00400193">
        <w:rPr>
          <w:lang w:eastAsia="zh-CN" w:bidi="hi-IN"/>
        </w:rPr>
        <w:instrText xml:space="preserve"> REF _Ref43168494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4</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_Ref43168563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11</w:t>
      </w:r>
      <w:r w:rsidRPr="00400193">
        <w:rPr>
          <w:lang w:eastAsia="zh-CN" w:bidi="hi-IN"/>
        </w:rPr>
        <w:fldChar w:fldCharType="end"/>
      </w:r>
      <w:r w:rsidRPr="00400193">
        <w:rPr>
          <w:lang w:eastAsia="zh-CN" w:bidi="hi-IN"/>
        </w:rPr>
        <w:t>).</w:t>
      </w:r>
    </w:p>
    <w:p w14:paraId="58CAA8A2" w14:textId="77777777" w:rsidR="006E3616" w:rsidRPr="00400193" w:rsidRDefault="006E3616" w:rsidP="0021573F">
      <w:pPr>
        <w:keepNext/>
        <w:spacing w:after="0" w:line="240" w:lineRule="auto"/>
        <w:rPr>
          <w:lang w:eastAsia="zh-CN" w:bidi="hi-IN"/>
        </w:rPr>
      </w:pPr>
      <w:r w:rsidRPr="00400193">
        <w:rPr>
          <w:noProof/>
          <w:lang w:val="en-US"/>
        </w:rPr>
        <w:lastRenderedPageBreak/>
        <w:drawing>
          <wp:inline distT="0" distB="0" distL="0" distR="0" wp14:anchorId="7C7A9D1F" wp14:editId="2A627ABC">
            <wp:extent cx="5760000" cy="2880000"/>
            <wp:effectExtent l="19050" t="19050" r="12700" b="15875"/>
            <wp:docPr id="395"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71B43EA4" w14:textId="7D9FE105" w:rsidR="006E3616" w:rsidRPr="00400193" w:rsidRDefault="006E3616" w:rsidP="006E3616">
      <w:pPr>
        <w:pStyle w:val="Caption"/>
      </w:pPr>
      <w:bookmarkStart w:id="424" w:name="_Ref43168462"/>
      <w:bookmarkStart w:id="425" w:name="_Toc5538758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10</w:t>
      </w:r>
      <w:r w:rsidR="00E35E8C" w:rsidRPr="00400193">
        <w:fldChar w:fldCharType="end"/>
      </w:r>
      <w:bookmarkEnd w:id="424"/>
      <w:r w:rsidRPr="00400193">
        <w:t xml:space="preserve">: Vulnerabilities and Weaknesses (VW).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25"/>
    </w:p>
    <w:p w14:paraId="0570468F" w14:textId="77777777" w:rsidR="008F2086" w:rsidRPr="00400193" w:rsidRDefault="008F2086" w:rsidP="008F2086"/>
    <w:p w14:paraId="25F95EE3" w14:textId="77777777" w:rsidR="006E3616" w:rsidRPr="00400193" w:rsidRDefault="006E3616" w:rsidP="008F2086">
      <w:pPr>
        <w:keepNext/>
        <w:spacing w:after="0" w:line="240" w:lineRule="auto"/>
        <w:rPr>
          <w:lang w:eastAsia="zh-CN" w:bidi="hi-IN"/>
        </w:rPr>
      </w:pPr>
      <w:r w:rsidRPr="00400193">
        <w:rPr>
          <w:noProof/>
          <w:lang w:val="en-US"/>
        </w:rPr>
        <w:drawing>
          <wp:inline distT="0" distB="0" distL="0" distR="0" wp14:anchorId="72A72ED2" wp14:editId="629C2F25">
            <wp:extent cx="5760000" cy="2880000"/>
            <wp:effectExtent l="19050" t="19050" r="12700" b="15875"/>
            <wp:docPr id="396"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6AB9FA56" w14:textId="74FA7CBC" w:rsidR="006E3616" w:rsidRPr="00400193" w:rsidRDefault="006E3616" w:rsidP="006E3616">
      <w:pPr>
        <w:pStyle w:val="Caption"/>
        <w:spacing w:after="240"/>
      </w:pPr>
      <w:bookmarkStart w:id="426" w:name="_Ref43168563"/>
      <w:bookmarkStart w:id="427" w:name="_Toc5538758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11</w:t>
      </w:r>
      <w:r w:rsidR="00E35E8C" w:rsidRPr="00400193">
        <w:fldChar w:fldCharType="end"/>
      </w:r>
      <w:bookmarkEnd w:id="426"/>
      <w:r w:rsidRPr="00400193">
        <w:t xml:space="preserve">: Organisation vulnerabilities and weaknesses: physical and digital assets (VWP). n = 104. See </w:t>
      </w:r>
      <w:r w:rsidR="00F319CB" w:rsidRPr="00400193">
        <w:fldChar w:fldCharType="begin"/>
      </w:r>
      <w:r w:rsidR="00F319CB" w:rsidRPr="00400193">
        <w:instrText xml:space="preserve"> REF _Ref43168116 \h </w:instrText>
      </w:r>
      <w:r w:rsidR="00F319CB"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00F319CB"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27"/>
    </w:p>
    <w:p w14:paraId="7BC5A734" w14:textId="53457D63" w:rsidR="006E3616" w:rsidRPr="00400193" w:rsidRDefault="006E3616" w:rsidP="006E3616">
      <w:pPr>
        <w:rPr>
          <w:lang w:eastAsia="zh-CN" w:bidi="hi-IN"/>
        </w:rPr>
      </w:pPr>
      <w:r w:rsidRPr="00400193">
        <w:rPr>
          <w:lang w:eastAsia="zh-CN" w:bidi="hi-IN"/>
        </w:rPr>
        <w:t>The highest mean for Responses in Place (RP) was likely (35.2, 33.8%). The lowest mean was very unlikely (5.1, 4.9%). The most popular response among sub-variables was that RP7 (Monitor user access logs) was very likely (48, 46.2%) and the least common was that RP18 (Use real-time day-to-day monitoring) was very unlikely (one, 1.0%) (</w:t>
      </w:r>
      <w:r w:rsidRPr="00400193">
        <w:rPr>
          <w:lang w:eastAsia="zh-CN" w:bidi="hi-IN"/>
        </w:rPr>
        <w:fldChar w:fldCharType="begin"/>
      </w:r>
      <w:r w:rsidRPr="00400193">
        <w:rPr>
          <w:lang w:eastAsia="zh-CN" w:bidi="hi-IN"/>
        </w:rPr>
        <w:instrText xml:space="preserve"> REF _Ref43168680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5</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_Ref43168702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12</w:t>
      </w:r>
      <w:r w:rsidRPr="00400193">
        <w:rPr>
          <w:lang w:eastAsia="zh-CN" w:bidi="hi-IN"/>
        </w:rPr>
        <w:fldChar w:fldCharType="end"/>
      </w:r>
      <w:r w:rsidRPr="00400193">
        <w:rPr>
          <w:lang w:eastAsia="zh-CN" w:bidi="hi-IN"/>
        </w:rPr>
        <w:t>).</w:t>
      </w:r>
    </w:p>
    <w:p w14:paraId="3D91B78F" w14:textId="1D8F5068" w:rsidR="0047063F" w:rsidRPr="00400193" w:rsidRDefault="0047063F" w:rsidP="006E3616">
      <w:pPr>
        <w:rPr>
          <w:lang w:eastAsia="zh-CN" w:bidi="hi-IN"/>
        </w:rPr>
      </w:pPr>
    </w:p>
    <w:p w14:paraId="1E0C6B64" w14:textId="77777777" w:rsidR="0047063F" w:rsidRPr="00400193" w:rsidRDefault="0047063F" w:rsidP="006E3616">
      <w:pPr>
        <w:rPr>
          <w:lang w:eastAsia="zh-CN" w:bidi="hi-IN"/>
        </w:rPr>
      </w:pPr>
    </w:p>
    <w:p w14:paraId="68AC80A8" w14:textId="77777777" w:rsidR="006E3616" w:rsidRPr="00400193" w:rsidRDefault="006E3616" w:rsidP="008F2086">
      <w:pPr>
        <w:keepNext/>
        <w:spacing w:after="0" w:line="240" w:lineRule="auto"/>
      </w:pPr>
      <w:r w:rsidRPr="00400193">
        <w:rPr>
          <w:noProof/>
          <w:lang w:val="en-US"/>
        </w:rPr>
        <w:drawing>
          <wp:inline distT="0" distB="0" distL="0" distR="0" wp14:anchorId="5847C9D5" wp14:editId="29C0A71F">
            <wp:extent cx="5760000" cy="2880000"/>
            <wp:effectExtent l="19050" t="19050" r="12700" b="15875"/>
            <wp:docPr id="411" name="Picture 4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3CD09628" w14:textId="1BEEC09D" w:rsidR="006E3616" w:rsidRPr="00400193" w:rsidRDefault="006E3616" w:rsidP="006E3616">
      <w:pPr>
        <w:pStyle w:val="Caption"/>
        <w:rPr>
          <w:lang w:eastAsia="zh-CN" w:bidi="hi-IN"/>
        </w:rPr>
      </w:pPr>
      <w:bookmarkStart w:id="428" w:name="_Ref43168702"/>
      <w:bookmarkStart w:id="429" w:name="_Toc5538759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12</w:t>
      </w:r>
      <w:r w:rsidR="00E35E8C" w:rsidRPr="00400193">
        <w:fldChar w:fldCharType="end"/>
      </w:r>
      <w:bookmarkEnd w:id="428"/>
      <w:r w:rsidRPr="00400193">
        <w:t xml:space="preserve">: Responses in Place (RP).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for Code or item explanation</w:t>
      </w:r>
      <w:bookmarkEnd w:id="429"/>
    </w:p>
    <w:p w14:paraId="291D504E" w14:textId="77777777" w:rsidR="006E3616" w:rsidRPr="00400193" w:rsidRDefault="006E3616" w:rsidP="006E3616">
      <w:pPr>
        <w:spacing w:line="240" w:lineRule="auto"/>
        <w:rPr>
          <w:lang w:eastAsia="zh-CN" w:bidi="hi-IN"/>
        </w:rPr>
      </w:pPr>
    </w:p>
    <w:p w14:paraId="2C3A753C" w14:textId="77777777" w:rsidR="0047063F" w:rsidRPr="00400193" w:rsidRDefault="0047063F" w:rsidP="006E3616">
      <w:pPr>
        <w:rPr>
          <w:lang w:eastAsia="zh-CN" w:bidi="hi-IN"/>
        </w:rPr>
      </w:pPr>
    </w:p>
    <w:p w14:paraId="649E76A8" w14:textId="75FE173F" w:rsidR="006E3616" w:rsidRPr="00400193" w:rsidRDefault="006E3616" w:rsidP="006E3616">
      <w:pPr>
        <w:rPr>
          <w:lang w:eastAsia="zh-CN" w:bidi="hi-IN"/>
        </w:rPr>
      </w:pPr>
      <w:r w:rsidRPr="00400193">
        <w:rPr>
          <w:lang w:eastAsia="zh-CN" w:bidi="hi-IN"/>
        </w:rPr>
        <w:t>The highest mean for Organisational Resilience (OR) was likely (38.0, 36.6%). The lowest mean was very unlikely (2.3, 2.2%). On sub-variables, the biggest groups of respondents (46, 44.2%) thought that OR12 (Monitor user access logs), and OR15 (A formal backup and recovery plan exists for all critical business communications in our organisation) were likely, and the least popular responses were that OR7 (A normal network activity baseline is established), OR12, OR15, OR16 (All internal or external audits and testing are formally tracked and resolved to mitigate risk), and OR17 (The people responsible for analysing and responding to an incident are easily reachable) were very unlikely, each chosen by a mean of just one respondent (1.0%) (</w:t>
      </w:r>
      <w:r w:rsidRPr="00400193">
        <w:rPr>
          <w:lang w:eastAsia="zh-CN" w:bidi="hi-IN"/>
        </w:rPr>
        <w:fldChar w:fldCharType="begin"/>
      </w:r>
      <w:r w:rsidRPr="00400193">
        <w:rPr>
          <w:lang w:eastAsia="zh-CN" w:bidi="hi-IN"/>
        </w:rPr>
        <w:instrText xml:space="preserve"> REF _Ref43168779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6</w:t>
      </w:r>
      <w:r w:rsidRPr="00400193">
        <w:rPr>
          <w:lang w:eastAsia="zh-CN" w:bidi="hi-IN"/>
        </w:rPr>
        <w:fldChar w:fldCharType="end"/>
      </w:r>
      <w:r w:rsidRPr="00400193">
        <w:rPr>
          <w:lang w:eastAsia="zh-CN" w:bidi="hi-IN"/>
        </w:rPr>
        <w:t xml:space="preserve"> of</w:t>
      </w:r>
      <w:r w:rsidR="00215A28" w:rsidRPr="00400193">
        <w:rPr>
          <w:lang w:eastAsia="zh-CN" w:bidi="hi-IN"/>
        </w:rPr>
        <w:t xml:space="preserve"> </w:t>
      </w:r>
      <w:r w:rsidR="00215A28" w:rsidRPr="00400193">
        <w:rPr>
          <w:lang w:eastAsia="zh-CN" w:bidi="hi-IN"/>
        </w:rPr>
        <w:fldChar w:fldCharType="begin"/>
      </w:r>
      <w:r w:rsidR="00215A28" w:rsidRPr="00400193">
        <w:rPr>
          <w:lang w:eastAsia="zh-CN" w:bidi="hi-IN"/>
        </w:rPr>
        <w:instrText xml:space="preserve"> REF _Ref50570492 \h </w:instrText>
      </w:r>
      <w:r w:rsidR="00215A28" w:rsidRPr="00400193">
        <w:rPr>
          <w:lang w:eastAsia="zh-CN" w:bidi="hi-IN"/>
        </w:rPr>
      </w:r>
      <w:r w:rsidR="00215A28" w:rsidRPr="00400193">
        <w:rPr>
          <w:lang w:eastAsia="zh-CN" w:bidi="hi-IN"/>
        </w:rPr>
        <w:fldChar w:fldCharType="separate"/>
      </w:r>
      <w:r w:rsidR="00BB7C18" w:rsidRPr="00400193">
        <w:t xml:space="preserve">Appendix </w:t>
      </w:r>
      <w:r w:rsidR="00BB7C18">
        <w:rPr>
          <w:noProof/>
        </w:rPr>
        <w:t>4</w:t>
      </w:r>
      <w:r w:rsidR="00215A28"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_Ref43166969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13</w:t>
      </w:r>
      <w:r w:rsidRPr="00400193">
        <w:rPr>
          <w:lang w:eastAsia="zh-CN" w:bidi="hi-IN"/>
        </w:rPr>
        <w:fldChar w:fldCharType="end"/>
      </w:r>
      <w:r w:rsidRPr="00400193">
        <w:rPr>
          <w:lang w:eastAsia="zh-CN" w:bidi="hi-IN"/>
        </w:rPr>
        <w:t>).</w:t>
      </w:r>
    </w:p>
    <w:p w14:paraId="38A3289E" w14:textId="77777777" w:rsidR="003F006D" w:rsidRPr="00400193" w:rsidRDefault="003F006D" w:rsidP="003F006D">
      <w:pPr>
        <w:rPr>
          <w:lang w:eastAsia="zh-CN" w:bidi="hi-IN"/>
        </w:rPr>
      </w:pPr>
      <w:r w:rsidRPr="00400193">
        <w:rPr>
          <w:lang w:eastAsia="zh-CN" w:bidi="hi-IN"/>
        </w:rPr>
        <w:t>Most of the main variables were therefore considered ‘likely’ by the largest group of respondents, and ‘very unlikely’ by the smallest group.</w:t>
      </w:r>
    </w:p>
    <w:p w14:paraId="2DA3C5D7" w14:textId="3CFC5DB1" w:rsidR="003F006D" w:rsidRPr="00400193" w:rsidRDefault="003F006D" w:rsidP="006E3616">
      <w:pPr>
        <w:rPr>
          <w:lang w:eastAsia="zh-CN" w:bidi="hi-IN"/>
        </w:rPr>
      </w:pPr>
    </w:p>
    <w:p w14:paraId="2E3AFF52" w14:textId="77777777" w:rsidR="006E3616" w:rsidRPr="00400193" w:rsidRDefault="006E3616" w:rsidP="006E3616">
      <w:pPr>
        <w:keepNext/>
        <w:spacing w:after="0" w:line="240" w:lineRule="auto"/>
        <w:rPr>
          <w:lang w:eastAsia="zh-CN" w:bidi="hi-IN"/>
        </w:rPr>
      </w:pPr>
      <w:r w:rsidRPr="00400193">
        <w:rPr>
          <w:noProof/>
          <w:lang w:val="en-US"/>
        </w:rPr>
        <w:lastRenderedPageBreak/>
        <w:drawing>
          <wp:inline distT="0" distB="0" distL="0" distR="0" wp14:anchorId="6821A373" wp14:editId="36376F2A">
            <wp:extent cx="5760000" cy="2880000"/>
            <wp:effectExtent l="19050" t="19050" r="12700" b="15875"/>
            <wp:docPr id="398"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60000" cy="2880000"/>
                    </a:xfrm>
                    <a:prstGeom prst="rect">
                      <a:avLst/>
                    </a:prstGeom>
                    <a:noFill/>
                    <a:ln w="19050">
                      <a:solidFill>
                        <a:schemeClr val="tx1"/>
                      </a:solidFill>
                    </a:ln>
                  </pic:spPr>
                </pic:pic>
              </a:graphicData>
            </a:graphic>
          </wp:inline>
        </w:drawing>
      </w:r>
    </w:p>
    <w:p w14:paraId="2861C309" w14:textId="3FED486C" w:rsidR="006E3616" w:rsidRPr="00400193" w:rsidRDefault="006E3616" w:rsidP="006E3616">
      <w:pPr>
        <w:pStyle w:val="Caption"/>
        <w:spacing w:after="240"/>
      </w:pPr>
      <w:bookmarkStart w:id="430" w:name="_Ref43166969"/>
      <w:bookmarkStart w:id="431" w:name="_Toc5538759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13</w:t>
      </w:r>
      <w:r w:rsidR="00E35E8C" w:rsidRPr="00400193">
        <w:fldChar w:fldCharType="end"/>
      </w:r>
      <w:bookmarkEnd w:id="430"/>
      <w:r w:rsidRPr="00400193">
        <w:t xml:space="preserve">: Organisation Resilience (OR). n = 104. See </w:t>
      </w:r>
      <w:r w:rsidRPr="00400193">
        <w:fldChar w:fldCharType="begin"/>
      </w:r>
      <w:r w:rsidRPr="00400193">
        <w:instrText xml:space="preserve"> REF _Ref43168116 \h </w:instrText>
      </w:r>
      <w:r w:rsidRPr="00400193">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3</w:t>
      </w:r>
      <w:r w:rsidRPr="00400193">
        <w:fldChar w:fldCharType="end"/>
      </w:r>
      <w:r w:rsidRPr="00400193">
        <w:t xml:space="preserve"> in </w:t>
      </w:r>
      <w:r w:rsidR="00DD0FD9" w:rsidRPr="00400193">
        <w:fldChar w:fldCharType="begin"/>
      </w:r>
      <w:r w:rsidR="00DD0FD9" w:rsidRPr="00400193">
        <w:instrText xml:space="preserve"> REF _Ref50570492 \h </w:instrText>
      </w:r>
      <w:r w:rsidR="00DD0FD9" w:rsidRPr="00400193">
        <w:fldChar w:fldCharType="separate"/>
      </w:r>
      <w:r w:rsidR="00BB7C18" w:rsidRPr="00400193">
        <w:t xml:space="preserve">Appendix </w:t>
      </w:r>
      <w:r w:rsidR="00BB7C18">
        <w:rPr>
          <w:noProof/>
        </w:rPr>
        <w:t>4</w:t>
      </w:r>
      <w:r w:rsidR="00DD0FD9" w:rsidRPr="00400193">
        <w:fldChar w:fldCharType="end"/>
      </w:r>
      <w:r w:rsidRPr="00400193">
        <w:t xml:space="preserve"> for Code or item explanation</w:t>
      </w:r>
      <w:bookmarkEnd w:id="431"/>
      <w:r w:rsidRPr="00400193">
        <w:rPr>
          <w:lang w:eastAsia="zh-CN" w:bidi="hi-IN"/>
        </w:rPr>
        <w:t xml:space="preserve"> </w:t>
      </w:r>
    </w:p>
    <w:p w14:paraId="788336B3" w14:textId="77777777" w:rsidR="006E3616" w:rsidRPr="00400193" w:rsidRDefault="006E3616" w:rsidP="006E3616">
      <w:pPr>
        <w:pStyle w:val="Heading2"/>
        <w:rPr>
          <w:lang w:eastAsia="zh-CN" w:bidi="hi-IN"/>
        </w:rPr>
      </w:pPr>
      <w:bookmarkStart w:id="432" w:name="_Toc61894750"/>
      <w:r w:rsidRPr="00400193">
        <w:rPr>
          <w:lang w:eastAsia="zh-CN" w:bidi="hi-IN"/>
        </w:rPr>
        <w:t>Summary of Descriptive Statistics</w:t>
      </w:r>
      <w:bookmarkEnd w:id="432"/>
    </w:p>
    <w:p w14:paraId="5CD67B0B" w14:textId="77777777" w:rsidR="006E3616" w:rsidRPr="00400193" w:rsidRDefault="006E3616" w:rsidP="006E3616">
      <w:pPr>
        <w:rPr>
          <w:lang w:eastAsia="zh-CN" w:bidi="hi-IN"/>
        </w:rPr>
      </w:pPr>
      <w:r w:rsidRPr="00400193">
        <w:rPr>
          <w:lang w:eastAsia="zh-CN" w:bidi="hi-IN"/>
        </w:rPr>
        <w:t>Missing data was evaluated, and EM was used to substitute missing data. The study data set therefore included no missing values, but four items were under and six items over the limit values (1 and 5), so were estimated again. Little’s MCAR test again showed no significant differences. The second estimations for these values were between 1 and 5 and were considered possible values. Outliers were determined using the absolute value of difference between original mean and 5% trimmed mean. The largest absolute difference was [−0.12] = 0.12. There were therefore no outliers in the research data set, and no variables were removed. The Cronbach’s alpha values were all above 0.75, suggesting that all factors and items should be included. The frequency and percent of each scale was calculated for the five possible answers (very unlikely, unlikely, neutral, likely, and very likely). Most variables did not disturb the assumption of normality using the rule of ±1. A few variables were slightly over this threshold (seven for skewness and 41 for kurtosis) but all had values of less than two for skewness and three for kurtosis, so normality can be assumed.</w:t>
      </w:r>
    </w:p>
    <w:p w14:paraId="32DBC879" w14:textId="77777777" w:rsidR="006E3616" w:rsidRPr="00400193" w:rsidRDefault="006E3616" w:rsidP="006E3616">
      <w:pPr>
        <w:pStyle w:val="Heading2"/>
        <w:rPr>
          <w:lang w:eastAsia="zh-CN" w:bidi="hi-IN"/>
        </w:rPr>
      </w:pPr>
      <w:bookmarkStart w:id="433" w:name="_Ref51178955"/>
      <w:bookmarkStart w:id="434" w:name="_Toc61894751"/>
      <w:r w:rsidRPr="00400193">
        <w:rPr>
          <w:lang w:eastAsia="zh-CN" w:bidi="hi-IN"/>
        </w:rPr>
        <w:t>Exploratory Factor Analysis (EFA)</w:t>
      </w:r>
      <w:bookmarkEnd w:id="433"/>
      <w:bookmarkEnd w:id="434"/>
    </w:p>
    <w:p w14:paraId="34A6975C" w14:textId="77777777" w:rsidR="006E3616" w:rsidRPr="00400193" w:rsidRDefault="006E3616" w:rsidP="006E3616">
      <w:pPr>
        <w:rPr>
          <w:lang w:eastAsia="zh-CN" w:bidi="hi-IN"/>
        </w:rPr>
      </w:pPr>
      <w:bookmarkStart w:id="435" w:name="_Hlk25836739"/>
      <w:r w:rsidRPr="00400193">
        <w:rPr>
          <w:lang w:eastAsia="zh-CN" w:bidi="hi-IN"/>
        </w:rPr>
        <w:t xml:space="preserve">This section describes the use of exploratory factor analysis (EFA) to evaluate the underlying factor structure of the correlation matrix. The analysis was also used to build the theory. There was very little information about the construct under study, so </w:t>
      </w:r>
      <w:r w:rsidRPr="00400193">
        <w:rPr>
          <w:lang w:eastAsia="zh-CN" w:bidi="hi-IN"/>
        </w:rPr>
        <w:lastRenderedPageBreak/>
        <w:t>the EFA was used to identify the latent factors underlying the manifest variables, as well as the patterns of relationships between latent and manifest variables. After the EFA, a regression analysis was performed using the EFA results.</w:t>
      </w:r>
    </w:p>
    <w:p w14:paraId="7609703F" w14:textId="790C7127" w:rsidR="006E3616" w:rsidRPr="00400193" w:rsidRDefault="006E3616" w:rsidP="006E3616">
      <w:pPr>
        <w:rPr>
          <w:lang w:eastAsia="zh-CN" w:bidi="hi-IN"/>
        </w:rPr>
      </w:pPr>
      <w:r w:rsidRPr="00400193">
        <w:rPr>
          <w:lang w:eastAsia="zh-CN" w:bidi="hi-IN"/>
        </w:rPr>
        <w:t xml:space="preserve">The EFA used the Principal Component Analysis extraction method and Varimax with Kaiser Normalisation rotation on the results from 104 participants to determine the factor structure of the items in the 14 scales. Items with primary factor loadings ≥ 0.50 were retained. Varimax rotation was selected because it is a good method of orthogonal rotations that produces factors that are uncorrelated (i.e., maintain a 90º angle between axes) </w:t>
      </w:r>
      <w:sdt>
        <w:sdtPr>
          <w:rPr>
            <w:lang w:eastAsia="zh-CN" w:bidi="hi-IN"/>
          </w:rPr>
          <w:id w:val="665515696"/>
          <w:citation/>
        </w:sdtPr>
        <w:sdtEndPr/>
        <w:sdtContent>
          <w:r w:rsidRPr="00400193">
            <w:rPr>
              <w:lang w:eastAsia="zh-CN" w:bidi="hi-IN"/>
            </w:rPr>
            <w:fldChar w:fldCharType="begin"/>
          </w:r>
          <w:r w:rsidRPr="00400193">
            <w:rPr>
              <w:lang w:eastAsia="zh-CN" w:bidi="hi-IN"/>
            </w:rPr>
            <w:instrText xml:space="preserve"> CITATION Kai58 \l 2057 </w:instrText>
          </w:r>
          <w:r w:rsidRPr="00400193">
            <w:rPr>
              <w:lang w:eastAsia="zh-CN" w:bidi="hi-IN"/>
            </w:rPr>
            <w:fldChar w:fldCharType="separate"/>
          </w:r>
          <w:r w:rsidR="00E20BC9" w:rsidRPr="00400193">
            <w:rPr>
              <w:noProof/>
              <w:lang w:eastAsia="zh-CN" w:bidi="hi-IN"/>
            </w:rPr>
            <w:t>(Kaiser, 1958)</w:t>
          </w:r>
          <w:r w:rsidRPr="00400193">
            <w:rPr>
              <w:lang w:eastAsia="zh-CN" w:bidi="hi-IN"/>
            </w:rPr>
            <w:fldChar w:fldCharType="end"/>
          </w:r>
        </w:sdtContent>
      </w:sdt>
      <w:r w:rsidRPr="00400193">
        <w:rPr>
          <w:lang w:eastAsia="zh-CN" w:bidi="hi-IN"/>
        </w:rPr>
        <w:t>. Oblique methods allow the factors to correlate (i.e</w:t>
      </w:r>
      <w:r w:rsidRPr="00400193">
        <w:rPr>
          <w:i/>
          <w:iCs/>
          <w:lang w:eastAsia="zh-CN" w:bidi="hi-IN"/>
        </w:rPr>
        <w:t>.</w:t>
      </w:r>
      <w:r w:rsidRPr="00400193">
        <w:rPr>
          <w:lang w:eastAsia="zh-CN" w:bidi="hi-IN"/>
        </w:rPr>
        <w:t xml:space="preserve">, allow the X and Y axes to assume a different angle than 90º) </w:t>
      </w:r>
      <w:r w:rsidR="00337F8A" w:rsidRPr="00400193">
        <w:rPr>
          <w:lang w:eastAsia="zh-CN" w:bidi="hi-IN"/>
        </w:rPr>
        <w:t>(Nunnally and Bernstein, 1994)</w:t>
      </w:r>
      <w:r w:rsidRPr="00400193">
        <w:rPr>
          <w:lang w:eastAsia="zh-CN" w:bidi="hi-IN"/>
        </w:rPr>
        <w:t xml:space="preserve">. There is also an argument that the mathematics is simpler in Varimax rotation, which made a significant difference during much of the 20th century when EFA was performed by hand or with much more limited computing power </w:t>
      </w:r>
      <w:sdt>
        <w:sdtPr>
          <w:rPr>
            <w:lang w:eastAsia="zh-CN" w:bidi="hi-IN"/>
          </w:rPr>
          <w:id w:val="166832312"/>
          <w:citation/>
        </w:sdtPr>
        <w:sdtEndPr/>
        <w:sdtContent>
          <w:r w:rsidRPr="00400193">
            <w:rPr>
              <w:lang w:eastAsia="zh-CN" w:bidi="hi-IN"/>
            </w:rPr>
            <w:fldChar w:fldCharType="begin"/>
          </w:r>
          <w:r w:rsidRPr="00400193">
            <w:rPr>
              <w:lang w:eastAsia="zh-CN" w:bidi="hi-IN"/>
            </w:rPr>
            <w:instrText xml:space="preserve"> CITATION Osb15 \l 2057 </w:instrText>
          </w:r>
          <w:r w:rsidRPr="00400193">
            <w:rPr>
              <w:lang w:eastAsia="zh-CN" w:bidi="hi-IN"/>
            </w:rPr>
            <w:fldChar w:fldCharType="separate"/>
          </w:r>
          <w:r w:rsidR="00E20BC9" w:rsidRPr="00400193">
            <w:rPr>
              <w:noProof/>
              <w:lang w:eastAsia="zh-CN" w:bidi="hi-IN"/>
            </w:rPr>
            <w:t>(Osborne, 2015)</w:t>
          </w:r>
          <w:r w:rsidRPr="00400193">
            <w:rPr>
              <w:lang w:eastAsia="zh-CN" w:bidi="hi-IN"/>
            </w:rPr>
            <w:fldChar w:fldCharType="end"/>
          </w:r>
        </w:sdtContent>
      </w:sdt>
      <w:r w:rsidRPr="00400193">
        <w:rPr>
          <w:lang w:eastAsia="zh-CN" w:bidi="hi-IN"/>
        </w:rPr>
        <w:t xml:space="preserve">. Kaiser </w:t>
      </w:r>
      <w:sdt>
        <w:sdtPr>
          <w:rPr>
            <w:lang w:eastAsia="zh-CN" w:bidi="hi-IN"/>
          </w:rPr>
          <w:id w:val="999461321"/>
          <w:citation/>
        </w:sdtPr>
        <w:sdtEndPr/>
        <w:sdtContent>
          <w:r w:rsidRPr="00400193">
            <w:rPr>
              <w:lang w:eastAsia="zh-CN" w:bidi="hi-IN"/>
            </w:rPr>
            <w:fldChar w:fldCharType="begin"/>
          </w:r>
          <w:r w:rsidRPr="00400193">
            <w:rPr>
              <w:lang w:eastAsia="zh-CN" w:bidi="hi-IN"/>
            </w:rPr>
            <w:instrText xml:space="preserve">CITATION Kai58 \n  \t  \l 2057 </w:instrText>
          </w:r>
          <w:r w:rsidRPr="00400193">
            <w:rPr>
              <w:lang w:eastAsia="zh-CN" w:bidi="hi-IN"/>
            </w:rPr>
            <w:fldChar w:fldCharType="separate"/>
          </w:r>
          <w:r w:rsidR="00E20BC9" w:rsidRPr="00400193">
            <w:rPr>
              <w:noProof/>
              <w:lang w:eastAsia="zh-CN" w:bidi="hi-IN"/>
            </w:rPr>
            <w:t>(1958)</w:t>
          </w:r>
          <w:r w:rsidRPr="00400193">
            <w:rPr>
              <w:lang w:eastAsia="zh-CN" w:bidi="hi-IN"/>
            </w:rPr>
            <w:fldChar w:fldCharType="end"/>
          </w:r>
        </w:sdtContent>
      </w:sdt>
      <w:r w:rsidRPr="00400193">
        <w:rPr>
          <w:lang w:eastAsia="zh-CN" w:bidi="hi-IN"/>
        </w:rPr>
        <w:t xml:space="preserve"> suggested normalizing factor loadings before rotating them, and then de-normalizing them after rotation.</w:t>
      </w:r>
    </w:p>
    <w:p w14:paraId="63241A32" w14:textId="77777777" w:rsidR="006E3616" w:rsidRPr="00400193" w:rsidRDefault="006E3616" w:rsidP="006E3616">
      <w:pPr>
        <w:pStyle w:val="Heading3"/>
        <w:rPr>
          <w:lang w:eastAsia="zh-CN" w:bidi="hi-IN"/>
        </w:rPr>
      </w:pPr>
      <w:bookmarkStart w:id="436" w:name="_Toc61894752"/>
      <w:bookmarkEnd w:id="435"/>
      <w:r w:rsidRPr="00400193">
        <w:rPr>
          <w:lang w:eastAsia="zh-CN" w:bidi="hi-IN"/>
        </w:rPr>
        <w:t>Key External Threats - Cyber Attack (KECA)</w:t>
      </w:r>
      <w:bookmarkEnd w:id="436"/>
    </w:p>
    <w:p w14:paraId="7B0DCCFF" w14:textId="6C4DF061" w:rsidR="006E3616" w:rsidRPr="00400193" w:rsidRDefault="006E3616" w:rsidP="006E3616">
      <w:pPr>
        <w:rPr>
          <w:lang w:eastAsia="zh-CN" w:bidi="hi-IN"/>
        </w:rPr>
      </w:pPr>
      <w:r w:rsidRPr="00400193">
        <w:rPr>
          <w:lang w:eastAsia="zh-CN" w:bidi="hi-IN"/>
        </w:rPr>
        <w:t xml:space="preserve">Principal component analysis was used to reduce the number of variables to a smaller number of components. </w:t>
      </w:r>
      <w:bookmarkStart w:id="437" w:name="_Hlk23592988"/>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_Ref43218630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w:t>
      </w:r>
      <w:r w:rsidRPr="00400193">
        <w:rPr>
          <w:lang w:eastAsia="zh-CN" w:bidi="hi-IN"/>
        </w:rPr>
        <w:fldChar w:fldCharType="end"/>
      </w:r>
      <w:r w:rsidRPr="00400193">
        <w:rPr>
          <w:lang w:eastAsia="zh-CN" w:bidi="hi-IN"/>
        </w:rPr>
        <w:t>) explains the selection of the three main components. Only the first three factors had eigenvalues greater than 1 and explained 68.2% of the variance. This means that these three factors describe 68.2% of the variance in the original problem, resulting in the loss of 31.8% of the original information represented by the 14 initial variables. The cumulative percentage of variance explained by the first, second and third components was 29.9%, 51.6% and 68.2%, or 6.7, 1.8 and 1.0 variables.</w:t>
      </w:r>
      <w:bookmarkEnd w:id="437"/>
    </w:p>
    <w:tbl>
      <w:tblPr>
        <w:tblpPr w:leftFromText="180" w:rightFromText="180" w:vertAnchor="text" w:horzAnchor="margin" w:tblpY="66"/>
        <w:tblW w:w="9059" w:type="dxa"/>
        <w:tblLayout w:type="fixed"/>
        <w:tblCellMar>
          <w:left w:w="0" w:type="dxa"/>
          <w:right w:w="0" w:type="dxa"/>
        </w:tblCellMar>
        <w:tblLook w:val="0000" w:firstRow="0" w:lastRow="0" w:firstColumn="0" w:lastColumn="0" w:noHBand="0" w:noVBand="0"/>
      </w:tblPr>
      <w:tblGrid>
        <w:gridCol w:w="993"/>
        <w:gridCol w:w="708"/>
        <w:gridCol w:w="709"/>
        <w:gridCol w:w="1134"/>
        <w:gridCol w:w="709"/>
        <w:gridCol w:w="992"/>
        <w:gridCol w:w="1134"/>
        <w:gridCol w:w="567"/>
        <w:gridCol w:w="992"/>
        <w:gridCol w:w="1121"/>
      </w:tblGrid>
      <w:tr w:rsidR="006E3616" w:rsidRPr="00400193" w14:paraId="4DB9C898" w14:textId="77777777" w:rsidTr="004C088B">
        <w:trPr>
          <w:cantSplit/>
          <w:trHeight w:val="283"/>
        </w:trPr>
        <w:tc>
          <w:tcPr>
            <w:tcW w:w="993" w:type="dxa"/>
            <w:vMerge w:val="restart"/>
            <w:tcBorders>
              <w:top w:val="single" w:sz="4" w:space="0" w:color="auto"/>
              <w:bottom w:val="single" w:sz="4" w:space="0" w:color="auto"/>
            </w:tcBorders>
            <w:shd w:val="clear" w:color="auto" w:fill="auto"/>
            <w:vAlign w:val="center"/>
          </w:tcPr>
          <w:p w14:paraId="5B7E54DC"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Latent</w:t>
            </w:r>
            <w:r w:rsidRPr="00400193">
              <w:rPr>
                <w:rFonts w:asciiTheme="minorHAnsi" w:hAnsiTheme="minorHAnsi" w:cstheme="minorHAnsi"/>
                <w:sz w:val="20"/>
                <w:szCs w:val="20"/>
                <w:lang w:eastAsia="zh-CN" w:bidi="hi-IN"/>
              </w:rPr>
              <w:t xml:space="preserve"> </w:t>
            </w:r>
            <w:r w:rsidRPr="00400193">
              <w:rPr>
                <w:rFonts w:asciiTheme="minorHAnsi" w:hAnsiTheme="minorHAnsi" w:cstheme="minorHAnsi"/>
                <w:b/>
                <w:bCs/>
                <w:sz w:val="20"/>
                <w:szCs w:val="20"/>
                <w:lang w:eastAsia="zh-CN" w:bidi="hi-IN"/>
              </w:rPr>
              <w:t>Variables</w:t>
            </w:r>
          </w:p>
        </w:tc>
        <w:tc>
          <w:tcPr>
            <w:tcW w:w="2551" w:type="dxa"/>
            <w:gridSpan w:val="3"/>
            <w:tcBorders>
              <w:top w:val="single" w:sz="4" w:space="0" w:color="auto"/>
              <w:bottom w:val="single" w:sz="4" w:space="0" w:color="auto"/>
            </w:tcBorders>
            <w:shd w:val="clear" w:color="auto" w:fill="auto"/>
            <w:vAlign w:val="center"/>
          </w:tcPr>
          <w:p w14:paraId="188A7070"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Initial Eigenvalues</w:t>
            </w:r>
          </w:p>
        </w:tc>
        <w:tc>
          <w:tcPr>
            <w:tcW w:w="2835" w:type="dxa"/>
            <w:gridSpan w:val="3"/>
            <w:tcBorders>
              <w:top w:val="single" w:sz="4" w:space="0" w:color="auto"/>
              <w:bottom w:val="single" w:sz="4" w:space="0" w:color="auto"/>
            </w:tcBorders>
            <w:shd w:val="clear" w:color="auto" w:fill="auto"/>
            <w:vAlign w:val="center"/>
          </w:tcPr>
          <w:p w14:paraId="12083D7A"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Extraction Sums of Squared Loadings</w:t>
            </w:r>
          </w:p>
        </w:tc>
        <w:tc>
          <w:tcPr>
            <w:tcW w:w="2680" w:type="dxa"/>
            <w:gridSpan w:val="3"/>
            <w:tcBorders>
              <w:top w:val="single" w:sz="4" w:space="0" w:color="auto"/>
              <w:bottom w:val="single" w:sz="4" w:space="0" w:color="auto"/>
            </w:tcBorders>
            <w:shd w:val="clear" w:color="auto" w:fill="auto"/>
            <w:vAlign w:val="center"/>
          </w:tcPr>
          <w:p w14:paraId="612B1B0E"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Rotation Sums of Squared Loadings</w:t>
            </w:r>
          </w:p>
        </w:tc>
      </w:tr>
      <w:tr w:rsidR="006E3616" w:rsidRPr="00400193" w14:paraId="2724F270" w14:textId="77777777" w:rsidTr="004C088B">
        <w:trPr>
          <w:cantSplit/>
          <w:trHeight w:val="283"/>
        </w:trPr>
        <w:tc>
          <w:tcPr>
            <w:tcW w:w="993" w:type="dxa"/>
            <w:vMerge/>
            <w:tcBorders>
              <w:top w:val="single" w:sz="4" w:space="0" w:color="auto"/>
              <w:bottom w:val="single" w:sz="4" w:space="0" w:color="auto"/>
            </w:tcBorders>
            <w:shd w:val="clear" w:color="auto" w:fill="auto"/>
            <w:vAlign w:val="center"/>
          </w:tcPr>
          <w:p w14:paraId="6B51474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708" w:type="dxa"/>
            <w:tcBorders>
              <w:top w:val="single" w:sz="4" w:space="0" w:color="auto"/>
              <w:bottom w:val="single" w:sz="4" w:space="0" w:color="auto"/>
            </w:tcBorders>
            <w:shd w:val="clear" w:color="auto" w:fill="auto"/>
            <w:vAlign w:val="center"/>
          </w:tcPr>
          <w:p w14:paraId="2827993A"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Total</w:t>
            </w:r>
          </w:p>
        </w:tc>
        <w:tc>
          <w:tcPr>
            <w:tcW w:w="709" w:type="dxa"/>
            <w:tcBorders>
              <w:top w:val="single" w:sz="4" w:space="0" w:color="auto"/>
              <w:bottom w:val="single" w:sz="4" w:space="0" w:color="auto"/>
            </w:tcBorders>
            <w:shd w:val="clear" w:color="auto" w:fill="auto"/>
            <w:vAlign w:val="center"/>
          </w:tcPr>
          <w:p w14:paraId="122E0F6E"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 of Variance</w:t>
            </w:r>
          </w:p>
        </w:tc>
        <w:tc>
          <w:tcPr>
            <w:tcW w:w="1134" w:type="dxa"/>
            <w:tcBorders>
              <w:top w:val="single" w:sz="4" w:space="0" w:color="auto"/>
              <w:bottom w:val="single" w:sz="4" w:space="0" w:color="auto"/>
            </w:tcBorders>
            <w:shd w:val="clear" w:color="auto" w:fill="auto"/>
            <w:vAlign w:val="center"/>
          </w:tcPr>
          <w:p w14:paraId="0C129BC6"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Cumulative %</w:t>
            </w:r>
          </w:p>
        </w:tc>
        <w:tc>
          <w:tcPr>
            <w:tcW w:w="709" w:type="dxa"/>
            <w:tcBorders>
              <w:top w:val="single" w:sz="4" w:space="0" w:color="auto"/>
              <w:bottom w:val="single" w:sz="4" w:space="0" w:color="auto"/>
            </w:tcBorders>
            <w:shd w:val="clear" w:color="auto" w:fill="auto"/>
            <w:vAlign w:val="center"/>
          </w:tcPr>
          <w:p w14:paraId="40EE9FDF"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Total</w:t>
            </w:r>
          </w:p>
        </w:tc>
        <w:tc>
          <w:tcPr>
            <w:tcW w:w="992" w:type="dxa"/>
            <w:tcBorders>
              <w:top w:val="single" w:sz="4" w:space="0" w:color="auto"/>
              <w:bottom w:val="single" w:sz="4" w:space="0" w:color="auto"/>
            </w:tcBorders>
            <w:shd w:val="clear" w:color="auto" w:fill="auto"/>
            <w:vAlign w:val="center"/>
          </w:tcPr>
          <w:p w14:paraId="1D77F68B"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 of Variance</w:t>
            </w:r>
          </w:p>
        </w:tc>
        <w:tc>
          <w:tcPr>
            <w:tcW w:w="1134" w:type="dxa"/>
            <w:tcBorders>
              <w:top w:val="single" w:sz="4" w:space="0" w:color="auto"/>
              <w:bottom w:val="single" w:sz="4" w:space="0" w:color="auto"/>
            </w:tcBorders>
            <w:shd w:val="clear" w:color="auto" w:fill="auto"/>
            <w:vAlign w:val="center"/>
          </w:tcPr>
          <w:p w14:paraId="1E3A05BE"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Cumulative %</w:t>
            </w:r>
          </w:p>
        </w:tc>
        <w:tc>
          <w:tcPr>
            <w:tcW w:w="567" w:type="dxa"/>
            <w:tcBorders>
              <w:top w:val="single" w:sz="4" w:space="0" w:color="auto"/>
              <w:bottom w:val="single" w:sz="4" w:space="0" w:color="auto"/>
            </w:tcBorders>
            <w:shd w:val="clear" w:color="auto" w:fill="auto"/>
            <w:vAlign w:val="center"/>
          </w:tcPr>
          <w:p w14:paraId="32FB1C4C"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Total</w:t>
            </w:r>
          </w:p>
        </w:tc>
        <w:tc>
          <w:tcPr>
            <w:tcW w:w="992" w:type="dxa"/>
            <w:tcBorders>
              <w:top w:val="single" w:sz="4" w:space="0" w:color="auto"/>
              <w:bottom w:val="single" w:sz="4" w:space="0" w:color="auto"/>
            </w:tcBorders>
            <w:shd w:val="clear" w:color="auto" w:fill="auto"/>
            <w:vAlign w:val="center"/>
          </w:tcPr>
          <w:p w14:paraId="66795404"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 of Variance</w:t>
            </w:r>
          </w:p>
        </w:tc>
        <w:tc>
          <w:tcPr>
            <w:tcW w:w="1121" w:type="dxa"/>
            <w:tcBorders>
              <w:top w:val="single" w:sz="4" w:space="0" w:color="auto"/>
              <w:bottom w:val="single" w:sz="4" w:space="0" w:color="auto"/>
            </w:tcBorders>
            <w:shd w:val="clear" w:color="auto" w:fill="auto"/>
            <w:vAlign w:val="center"/>
          </w:tcPr>
          <w:p w14:paraId="5799176F"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Cumulative %</w:t>
            </w:r>
          </w:p>
        </w:tc>
      </w:tr>
      <w:tr w:rsidR="006E3616" w:rsidRPr="00400193" w14:paraId="49A30BF0" w14:textId="77777777" w:rsidTr="004C088B">
        <w:trPr>
          <w:cantSplit/>
          <w:trHeight w:val="283"/>
        </w:trPr>
        <w:tc>
          <w:tcPr>
            <w:tcW w:w="993" w:type="dxa"/>
            <w:tcBorders>
              <w:top w:val="single" w:sz="4" w:space="0" w:color="auto"/>
            </w:tcBorders>
            <w:shd w:val="clear" w:color="auto" w:fill="auto"/>
            <w:vAlign w:val="center"/>
          </w:tcPr>
          <w:p w14:paraId="4F7588D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708" w:type="dxa"/>
            <w:tcBorders>
              <w:top w:val="single" w:sz="4" w:space="0" w:color="auto"/>
            </w:tcBorders>
            <w:shd w:val="clear" w:color="auto" w:fill="auto"/>
            <w:vAlign w:val="center"/>
          </w:tcPr>
          <w:p w14:paraId="6B100F0D"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6.695</w:t>
            </w:r>
          </w:p>
        </w:tc>
        <w:tc>
          <w:tcPr>
            <w:tcW w:w="709" w:type="dxa"/>
            <w:tcBorders>
              <w:top w:val="single" w:sz="4" w:space="0" w:color="auto"/>
            </w:tcBorders>
            <w:shd w:val="clear" w:color="auto" w:fill="auto"/>
            <w:vAlign w:val="center"/>
          </w:tcPr>
          <w:p w14:paraId="621E493A"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47.821</w:t>
            </w:r>
          </w:p>
        </w:tc>
        <w:tc>
          <w:tcPr>
            <w:tcW w:w="1134" w:type="dxa"/>
            <w:tcBorders>
              <w:top w:val="single" w:sz="4" w:space="0" w:color="auto"/>
            </w:tcBorders>
            <w:shd w:val="clear" w:color="auto" w:fill="auto"/>
            <w:vAlign w:val="center"/>
          </w:tcPr>
          <w:p w14:paraId="3EEC184D"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47.821</w:t>
            </w:r>
          </w:p>
        </w:tc>
        <w:tc>
          <w:tcPr>
            <w:tcW w:w="709" w:type="dxa"/>
            <w:tcBorders>
              <w:top w:val="single" w:sz="4" w:space="0" w:color="auto"/>
            </w:tcBorders>
            <w:shd w:val="clear" w:color="auto" w:fill="auto"/>
            <w:vAlign w:val="center"/>
          </w:tcPr>
          <w:p w14:paraId="026D20D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6.695</w:t>
            </w:r>
          </w:p>
        </w:tc>
        <w:tc>
          <w:tcPr>
            <w:tcW w:w="992" w:type="dxa"/>
            <w:tcBorders>
              <w:top w:val="single" w:sz="4" w:space="0" w:color="auto"/>
            </w:tcBorders>
            <w:shd w:val="clear" w:color="auto" w:fill="auto"/>
            <w:vAlign w:val="center"/>
          </w:tcPr>
          <w:p w14:paraId="2F91639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47.821</w:t>
            </w:r>
          </w:p>
        </w:tc>
        <w:tc>
          <w:tcPr>
            <w:tcW w:w="1134" w:type="dxa"/>
            <w:tcBorders>
              <w:top w:val="single" w:sz="4" w:space="0" w:color="auto"/>
            </w:tcBorders>
            <w:shd w:val="clear" w:color="auto" w:fill="auto"/>
            <w:vAlign w:val="center"/>
          </w:tcPr>
          <w:p w14:paraId="77A5A9DC"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47.821</w:t>
            </w:r>
          </w:p>
        </w:tc>
        <w:tc>
          <w:tcPr>
            <w:tcW w:w="567" w:type="dxa"/>
            <w:tcBorders>
              <w:top w:val="single" w:sz="4" w:space="0" w:color="auto"/>
            </w:tcBorders>
            <w:shd w:val="clear" w:color="auto" w:fill="auto"/>
            <w:vAlign w:val="center"/>
          </w:tcPr>
          <w:p w14:paraId="29725B41"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4.188</w:t>
            </w:r>
          </w:p>
        </w:tc>
        <w:tc>
          <w:tcPr>
            <w:tcW w:w="992" w:type="dxa"/>
            <w:tcBorders>
              <w:top w:val="single" w:sz="4" w:space="0" w:color="auto"/>
            </w:tcBorders>
            <w:shd w:val="clear" w:color="auto" w:fill="auto"/>
            <w:vAlign w:val="center"/>
          </w:tcPr>
          <w:p w14:paraId="232389A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29.918</w:t>
            </w:r>
          </w:p>
        </w:tc>
        <w:tc>
          <w:tcPr>
            <w:tcW w:w="1121" w:type="dxa"/>
            <w:tcBorders>
              <w:top w:val="single" w:sz="4" w:space="0" w:color="auto"/>
            </w:tcBorders>
            <w:shd w:val="clear" w:color="auto" w:fill="auto"/>
            <w:vAlign w:val="center"/>
          </w:tcPr>
          <w:p w14:paraId="2565B37A"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29.918</w:t>
            </w:r>
          </w:p>
        </w:tc>
      </w:tr>
      <w:tr w:rsidR="006E3616" w:rsidRPr="00400193" w14:paraId="126F071E" w14:textId="77777777" w:rsidTr="004C088B">
        <w:trPr>
          <w:cantSplit/>
          <w:trHeight w:val="283"/>
        </w:trPr>
        <w:tc>
          <w:tcPr>
            <w:tcW w:w="993" w:type="dxa"/>
            <w:shd w:val="clear" w:color="auto" w:fill="auto"/>
            <w:vAlign w:val="center"/>
          </w:tcPr>
          <w:p w14:paraId="0F0DCE0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708" w:type="dxa"/>
            <w:shd w:val="clear" w:color="auto" w:fill="auto"/>
            <w:vAlign w:val="center"/>
          </w:tcPr>
          <w:p w14:paraId="1FA4D1B5"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1.842</w:t>
            </w:r>
          </w:p>
        </w:tc>
        <w:tc>
          <w:tcPr>
            <w:tcW w:w="709" w:type="dxa"/>
            <w:shd w:val="clear" w:color="auto" w:fill="auto"/>
            <w:vAlign w:val="center"/>
          </w:tcPr>
          <w:p w14:paraId="110DE253"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13.160</w:t>
            </w:r>
          </w:p>
        </w:tc>
        <w:tc>
          <w:tcPr>
            <w:tcW w:w="1134" w:type="dxa"/>
            <w:shd w:val="clear" w:color="auto" w:fill="auto"/>
            <w:vAlign w:val="center"/>
          </w:tcPr>
          <w:p w14:paraId="5CB04E43"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60.981</w:t>
            </w:r>
          </w:p>
        </w:tc>
        <w:tc>
          <w:tcPr>
            <w:tcW w:w="709" w:type="dxa"/>
            <w:shd w:val="clear" w:color="auto" w:fill="auto"/>
            <w:vAlign w:val="center"/>
          </w:tcPr>
          <w:p w14:paraId="72B73E7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1.842</w:t>
            </w:r>
          </w:p>
        </w:tc>
        <w:tc>
          <w:tcPr>
            <w:tcW w:w="992" w:type="dxa"/>
            <w:shd w:val="clear" w:color="auto" w:fill="auto"/>
            <w:vAlign w:val="center"/>
          </w:tcPr>
          <w:p w14:paraId="7AE3A10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13.160</w:t>
            </w:r>
          </w:p>
        </w:tc>
        <w:tc>
          <w:tcPr>
            <w:tcW w:w="1134" w:type="dxa"/>
            <w:shd w:val="clear" w:color="auto" w:fill="auto"/>
            <w:vAlign w:val="center"/>
          </w:tcPr>
          <w:p w14:paraId="09A4C4D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60.981</w:t>
            </w:r>
          </w:p>
        </w:tc>
        <w:tc>
          <w:tcPr>
            <w:tcW w:w="567" w:type="dxa"/>
            <w:shd w:val="clear" w:color="auto" w:fill="auto"/>
            <w:vAlign w:val="center"/>
          </w:tcPr>
          <w:p w14:paraId="11200A01"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3.031</w:t>
            </w:r>
          </w:p>
        </w:tc>
        <w:tc>
          <w:tcPr>
            <w:tcW w:w="992" w:type="dxa"/>
            <w:shd w:val="clear" w:color="auto" w:fill="auto"/>
            <w:vAlign w:val="center"/>
          </w:tcPr>
          <w:p w14:paraId="152C8E0D"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21.651</w:t>
            </w:r>
          </w:p>
        </w:tc>
        <w:tc>
          <w:tcPr>
            <w:tcW w:w="1121" w:type="dxa"/>
            <w:shd w:val="clear" w:color="auto" w:fill="auto"/>
            <w:vAlign w:val="center"/>
          </w:tcPr>
          <w:p w14:paraId="69523959"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51.569</w:t>
            </w:r>
          </w:p>
        </w:tc>
      </w:tr>
      <w:tr w:rsidR="006E3616" w:rsidRPr="00400193" w14:paraId="3B699A60" w14:textId="77777777" w:rsidTr="004C088B">
        <w:trPr>
          <w:cantSplit/>
          <w:trHeight w:val="283"/>
        </w:trPr>
        <w:tc>
          <w:tcPr>
            <w:tcW w:w="993" w:type="dxa"/>
            <w:shd w:val="clear" w:color="auto" w:fill="auto"/>
            <w:vAlign w:val="center"/>
          </w:tcPr>
          <w:p w14:paraId="4870C01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708" w:type="dxa"/>
            <w:shd w:val="clear" w:color="auto" w:fill="auto"/>
            <w:vAlign w:val="center"/>
          </w:tcPr>
          <w:p w14:paraId="288558E5"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1.013</w:t>
            </w:r>
          </w:p>
        </w:tc>
        <w:tc>
          <w:tcPr>
            <w:tcW w:w="709" w:type="dxa"/>
            <w:shd w:val="clear" w:color="auto" w:fill="auto"/>
            <w:vAlign w:val="center"/>
          </w:tcPr>
          <w:p w14:paraId="1EB00151"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7.234</w:t>
            </w:r>
          </w:p>
        </w:tc>
        <w:tc>
          <w:tcPr>
            <w:tcW w:w="1134" w:type="dxa"/>
            <w:shd w:val="clear" w:color="auto" w:fill="auto"/>
            <w:vAlign w:val="center"/>
          </w:tcPr>
          <w:p w14:paraId="612F35C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68.215</w:t>
            </w:r>
          </w:p>
        </w:tc>
        <w:tc>
          <w:tcPr>
            <w:tcW w:w="709" w:type="dxa"/>
            <w:shd w:val="clear" w:color="auto" w:fill="auto"/>
            <w:vAlign w:val="center"/>
          </w:tcPr>
          <w:p w14:paraId="6B2ED35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1.013</w:t>
            </w:r>
          </w:p>
        </w:tc>
        <w:tc>
          <w:tcPr>
            <w:tcW w:w="992" w:type="dxa"/>
            <w:shd w:val="clear" w:color="auto" w:fill="auto"/>
            <w:vAlign w:val="center"/>
          </w:tcPr>
          <w:p w14:paraId="7E6F2F8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7.234</w:t>
            </w:r>
          </w:p>
        </w:tc>
        <w:tc>
          <w:tcPr>
            <w:tcW w:w="1134" w:type="dxa"/>
            <w:shd w:val="clear" w:color="auto" w:fill="auto"/>
            <w:vAlign w:val="center"/>
          </w:tcPr>
          <w:p w14:paraId="0A7E8C5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68.215</w:t>
            </w:r>
          </w:p>
        </w:tc>
        <w:tc>
          <w:tcPr>
            <w:tcW w:w="567" w:type="dxa"/>
            <w:shd w:val="clear" w:color="auto" w:fill="auto"/>
            <w:vAlign w:val="center"/>
          </w:tcPr>
          <w:p w14:paraId="33DA6754"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2.330</w:t>
            </w:r>
          </w:p>
        </w:tc>
        <w:tc>
          <w:tcPr>
            <w:tcW w:w="992" w:type="dxa"/>
            <w:shd w:val="clear" w:color="auto" w:fill="auto"/>
            <w:vAlign w:val="center"/>
          </w:tcPr>
          <w:p w14:paraId="5CBAE22C"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16.646</w:t>
            </w:r>
          </w:p>
        </w:tc>
        <w:tc>
          <w:tcPr>
            <w:tcW w:w="1121" w:type="dxa"/>
            <w:shd w:val="clear" w:color="auto" w:fill="auto"/>
            <w:vAlign w:val="center"/>
          </w:tcPr>
          <w:p w14:paraId="088397F7"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68.215</w:t>
            </w:r>
          </w:p>
        </w:tc>
      </w:tr>
      <w:tr w:rsidR="006E3616" w:rsidRPr="00400193" w14:paraId="6EB42084" w14:textId="77777777" w:rsidTr="004C088B">
        <w:trPr>
          <w:cantSplit/>
          <w:trHeight w:val="283"/>
        </w:trPr>
        <w:tc>
          <w:tcPr>
            <w:tcW w:w="993" w:type="dxa"/>
            <w:tcBorders>
              <w:bottom w:val="single" w:sz="4" w:space="0" w:color="auto"/>
            </w:tcBorders>
            <w:shd w:val="clear" w:color="auto" w:fill="auto"/>
            <w:vAlign w:val="center"/>
          </w:tcPr>
          <w:p w14:paraId="5D541ED4"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708" w:type="dxa"/>
            <w:tcBorders>
              <w:bottom w:val="single" w:sz="4" w:space="0" w:color="auto"/>
            </w:tcBorders>
            <w:shd w:val="clear" w:color="auto" w:fill="auto"/>
            <w:vAlign w:val="center"/>
          </w:tcPr>
          <w:p w14:paraId="7F2F8F91"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0.703</w:t>
            </w:r>
          </w:p>
        </w:tc>
        <w:tc>
          <w:tcPr>
            <w:tcW w:w="709" w:type="dxa"/>
            <w:tcBorders>
              <w:bottom w:val="single" w:sz="4" w:space="0" w:color="auto"/>
            </w:tcBorders>
            <w:shd w:val="clear" w:color="auto" w:fill="auto"/>
            <w:vAlign w:val="center"/>
          </w:tcPr>
          <w:p w14:paraId="5EA3A4BC"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5.024</w:t>
            </w:r>
          </w:p>
        </w:tc>
        <w:tc>
          <w:tcPr>
            <w:tcW w:w="1134" w:type="dxa"/>
            <w:tcBorders>
              <w:bottom w:val="single" w:sz="4" w:space="0" w:color="auto"/>
            </w:tcBorders>
            <w:shd w:val="clear" w:color="auto" w:fill="auto"/>
            <w:vAlign w:val="center"/>
          </w:tcPr>
          <w:p w14:paraId="46F3B243"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73.239</w:t>
            </w:r>
          </w:p>
        </w:tc>
        <w:tc>
          <w:tcPr>
            <w:tcW w:w="709" w:type="dxa"/>
            <w:tcBorders>
              <w:bottom w:val="single" w:sz="4" w:space="0" w:color="auto"/>
            </w:tcBorders>
            <w:shd w:val="clear" w:color="auto" w:fill="auto"/>
            <w:vAlign w:val="center"/>
          </w:tcPr>
          <w:p w14:paraId="0E0A98B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992" w:type="dxa"/>
            <w:tcBorders>
              <w:bottom w:val="single" w:sz="4" w:space="0" w:color="auto"/>
            </w:tcBorders>
            <w:shd w:val="clear" w:color="auto" w:fill="auto"/>
            <w:vAlign w:val="center"/>
          </w:tcPr>
          <w:p w14:paraId="47929A2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134" w:type="dxa"/>
            <w:tcBorders>
              <w:bottom w:val="single" w:sz="4" w:space="0" w:color="auto"/>
            </w:tcBorders>
            <w:shd w:val="clear" w:color="auto" w:fill="auto"/>
            <w:vAlign w:val="center"/>
          </w:tcPr>
          <w:p w14:paraId="5E307793"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567" w:type="dxa"/>
            <w:tcBorders>
              <w:bottom w:val="single" w:sz="4" w:space="0" w:color="auto"/>
            </w:tcBorders>
            <w:shd w:val="clear" w:color="auto" w:fill="auto"/>
            <w:vAlign w:val="center"/>
          </w:tcPr>
          <w:p w14:paraId="04681F18"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992" w:type="dxa"/>
            <w:tcBorders>
              <w:bottom w:val="single" w:sz="4" w:space="0" w:color="auto"/>
            </w:tcBorders>
            <w:shd w:val="clear" w:color="auto" w:fill="auto"/>
            <w:vAlign w:val="center"/>
          </w:tcPr>
          <w:p w14:paraId="297D8348"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121" w:type="dxa"/>
            <w:tcBorders>
              <w:bottom w:val="single" w:sz="4" w:space="0" w:color="auto"/>
            </w:tcBorders>
            <w:shd w:val="clear" w:color="auto" w:fill="auto"/>
            <w:vAlign w:val="center"/>
          </w:tcPr>
          <w:p w14:paraId="4F223766"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r>
      <w:tr w:rsidR="006E3616" w:rsidRPr="00400193" w14:paraId="15CD90ED" w14:textId="77777777" w:rsidTr="004C088B">
        <w:trPr>
          <w:cantSplit/>
          <w:trHeight w:val="283"/>
        </w:trPr>
        <w:tc>
          <w:tcPr>
            <w:tcW w:w="9059" w:type="dxa"/>
            <w:gridSpan w:val="10"/>
            <w:tcBorders>
              <w:top w:val="single" w:sz="4" w:space="0" w:color="auto"/>
            </w:tcBorders>
            <w:shd w:val="clear" w:color="auto" w:fill="auto"/>
            <w:vAlign w:val="center"/>
          </w:tcPr>
          <w:p w14:paraId="0F504757" w14:textId="77777777" w:rsidR="006E3616" w:rsidRPr="00400193" w:rsidRDefault="006E3616" w:rsidP="004C088B">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Extraction Method: Principal Component Analysis.</w:t>
            </w:r>
          </w:p>
        </w:tc>
      </w:tr>
    </w:tbl>
    <w:p w14:paraId="0A3D900B" w14:textId="5DD2C9B4" w:rsidR="006E3616" w:rsidRPr="00400193" w:rsidRDefault="006E3616" w:rsidP="006E3616">
      <w:pPr>
        <w:pStyle w:val="Caption"/>
        <w:rPr>
          <w:lang w:eastAsia="zh-CN" w:bidi="hi-IN"/>
        </w:rPr>
      </w:pPr>
      <w:bookmarkStart w:id="438" w:name="_Ref43218630"/>
      <w:bookmarkStart w:id="439" w:name="_Toc52901548"/>
      <w:r w:rsidRPr="00400193">
        <w:t xml:space="preserve">Table </w:t>
      </w:r>
      <w:r w:rsidRPr="00400193">
        <w:rPr>
          <w:b w:val="0"/>
          <w:i w:val="0"/>
          <w:iCs w:val="0"/>
        </w:rPr>
        <w:fldChar w:fldCharType="begin"/>
      </w:r>
      <w:r w:rsidRPr="00400193">
        <w:instrText xml:space="preserve"> STYLEREF 1 \s </w:instrText>
      </w:r>
      <w:r w:rsidRPr="00400193">
        <w:rPr>
          <w:b w:val="0"/>
          <w:i w:val="0"/>
          <w:iCs w:val="0"/>
        </w:rPr>
        <w:fldChar w:fldCharType="separate"/>
      </w:r>
      <w:r w:rsidR="00BB7C18">
        <w:rPr>
          <w:noProof/>
          <w:cs/>
        </w:rPr>
        <w:t>‎</w:t>
      </w:r>
      <w:r w:rsidR="00BB7C18">
        <w:rPr>
          <w:noProof/>
        </w:rPr>
        <w:t>5</w:t>
      </w:r>
      <w:r w:rsidRPr="00400193">
        <w:rPr>
          <w:b w:val="0"/>
          <w:i w:val="0"/>
          <w:iCs w:val="0"/>
        </w:rPr>
        <w:fldChar w:fldCharType="end"/>
      </w:r>
      <w:r w:rsidRPr="00400193">
        <w:noBreakHyphen/>
      </w:r>
      <w:r w:rsidRPr="00400193">
        <w:rPr>
          <w:b w:val="0"/>
          <w:i w:val="0"/>
          <w:iCs w:val="0"/>
        </w:rPr>
        <w:fldChar w:fldCharType="begin"/>
      </w:r>
      <w:r w:rsidRPr="00400193">
        <w:instrText xml:space="preserve"> SEQ Table \* ARABIC \s 1 </w:instrText>
      </w:r>
      <w:r w:rsidRPr="00400193">
        <w:rPr>
          <w:b w:val="0"/>
          <w:i w:val="0"/>
          <w:iCs w:val="0"/>
        </w:rPr>
        <w:fldChar w:fldCharType="separate"/>
      </w:r>
      <w:r w:rsidR="00BB7C18">
        <w:rPr>
          <w:noProof/>
        </w:rPr>
        <w:t>3</w:t>
      </w:r>
      <w:r w:rsidRPr="00400193">
        <w:rPr>
          <w:b w:val="0"/>
          <w:i w:val="0"/>
          <w:iCs w:val="0"/>
        </w:rPr>
        <w:fldChar w:fldCharType="end"/>
      </w:r>
      <w:bookmarkEnd w:id="438"/>
      <w:r w:rsidRPr="00400193">
        <w:t>: Total variance explained by the components of KECA</w:t>
      </w:r>
      <w:bookmarkEnd w:id="439"/>
    </w:p>
    <w:p w14:paraId="76CBB575" w14:textId="77777777" w:rsidR="006E3616" w:rsidRPr="00400193" w:rsidRDefault="006E3616" w:rsidP="006E3616">
      <w:pPr>
        <w:rPr>
          <w:lang w:eastAsia="zh-CN" w:bidi="hi-IN"/>
        </w:rPr>
      </w:pPr>
    </w:p>
    <w:p w14:paraId="7FFD43EF" w14:textId="0B6480A1" w:rsidR="006E3616" w:rsidRPr="00400193" w:rsidRDefault="006E3616" w:rsidP="006E3616">
      <w:pPr>
        <w:rPr>
          <w:lang w:eastAsia="zh-CN" w:bidi="hi-IN"/>
        </w:rPr>
      </w:pPr>
      <w:r w:rsidRPr="00400193">
        <w:rPr>
          <w:lang w:eastAsia="zh-CN" w:bidi="hi-IN"/>
        </w:rPr>
        <w:lastRenderedPageBreak/>
        <w:t>The Kaiser–Meyer–Olkin (KMO) value measures the adequacy of the sample and indicates how appropriate it is to apply factor analysis. Values between 0.5 and 1.0 indicate that it is appropriate (Williams et al.,</w:t>
      </w:r>
      <w:r w:rsidR="0019578D" w:rsidRPr="00400193">
        <w:rPr>
          <w:lang w:eastAsia="zh-CN" w:bidi="hi-IN"/>
        </w:rPr>
        <w:t xml:space="preserve"> </w:t>
      </w:r>
      <w:r w:rsidRPr="00400193">
        <w:rPr>
          <w:lang w:eastAsia="zh-CN" w:bidi="hi-IN"/>
        </w:rPr>
        <w:t>2010, Eyduran et al.,</w:t>
      </w:r>
      <w:r w:rsidR="0019578D" w:rsidRPr="00400193">
        <w:rPr>
          <w:lang w:eastAsia="zh-CN" w:bidi="hi-IN"/>
        </w:rPr>
        <w:t xml:space="preserve"> </w:t>
      </w:r>
      <w:r w:rsidRPr="00400193">
        <w:rPr>
          <w:lang w:eastAsia="zh-CN" w:bidi="hi-IN"/>
        </w:rPr>
        <w:t>2010). Bartlett’s Sphericity Test measures the adequacy of data for factor analysis. It is used to test the null hypothesis that the variables are not correlated in the population, and therefore checks if the correlation matrix is an identity matrix. Results with a high-test value and a reliability of less than 0.05 can be considered valid  (Hidayah et al</w:t>
      </w:r>
      <w:r w:rsidR="0019578D" w:rsidRPr="00400193">
        <w:rPr>
          <w:lang w:eastAsia="zh-CN" w:bidi="hi-IN"/>
        </w:rPr>
        <w:t>.</w:t>
      </w:r>
      <w:r w:rsidRPr="00400193">
        <w:rPr>
          <w:lang w:eastAsia="zh-CN" w:bidi="hi-IN"/>
        </w:rPr>
        <w:t xml:space="preserve"> 2020; Iqrammah and Rijanto 2019). The KMO value of 0.851 was within the scope of factor analysis. For Bartlett’s test of sphericity, the Chi-square value was 839.6 with 91 degrees of freedom and the result was significant at ≤0.001 (</w:t>
      </w:r>
      <w:r w:rsidRPr="00400193">
        <w:rPr>
          <w:lang w:eastAsia="zh-CN" w:bidi="hi-IN"/>
        </w:rPr>
        <w:fldChar w:fldCharType="begin"/>
      </w:r>
      <w:r w:rsidRPr="00400193">
        <w:rPr>
          <w:lang w:eastAsia="zh-CN" w:bidi="hi-IN"/>
        </w:rPr>
        <w:instrText xml:space="preserve"> REF _Ref43218736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w:t>
      </w:r>
      <w:r w:rsidRPr="00400193">
        <w:rPr>
          <w:lang w:eastAsia="zh-CN" w:bidi="hi-IN"/>
        </w:rPr>
        <w:fldChar w:fldCharType="end"/>
      </w:r>
      <w:r w:rsidRPr="00400193">
        <w:rPr>
          <w:lang w:eastAsia="zh-CN" w:bidi="hi-IN"/>
        </w:rPr>
        <w:t>). This showed that the data were suitable for factor analysis.</w:t>
      </w:r>
    </w:p>
    <w:tbl>
      <w:tblPr>
        <w:tblStyle w:val="TableGrid"/>
        <w:tblW w:w="0" w:type="auto"/>
        <w:tblLook w:val="04A0" w:firstRow="1" w:lastRow="0" w:firstColumn="1" w:lastColumn="0" w:noHBand="0" w:noVBand="1"/>
      </w:tblPr>
      <w:tblGrid>
        <w:gridCol w:w="4531"/>
        <w:gridCol w:w="2835"/>
        <w:gridCol w:w="1650"/>
      </w:tblGrid>
      <w:tr w:rsidR="00A0618E" w:rsidRPr="00400193" w14:paraId="527FA82C" w14:textId="77777777" w:rsidTr="004C088B">
        <w:trPr>
          <w:trHeight w:val="283"/>
        </w:trPr>
        <w:tc>
          <w:tcPr>
            <w:tcW w:w="7366" w:type="dxa"/>
            <w:gridSpan w:val="2"/>
            <w:vAlign w:val="center"/>
          </w:tcPr>
          <w:p w14:paraId="3224208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650" w:type="dxa"/>
            <w:vAlign w:val="center"/>
          </w:tcPr>
          <w:p w14:paraId="2F00F339"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rPr>
              <w:t>0.851</w:t>
            </w:r>
          </w:p>
        </w:tc>
      </w:tr>
      <w:tr w:rsidR="00A0618E" w:rsidRPr="00400193" w14:paraId="05CED465" w14:textId="77777777" w:rsidTr="004C088B">
        <w:trPr>
          <w:trHeight w:val="283"/>
        </w:trPr>
        <w:tc>
          <w:tcPr>
            <w:tcW w:w="4531" w:type="dxa"/>
            <w:vMerge w:val="restart"/>
            <w:tcBorders>
              <w:right w:val="single" w:sz="4" w:space="0" w:color="FFFFFF" w:themeColor="background1"/>
            </w:tcBorders>
            <w:vAlign w:val="center"/>
          </w:tcPr>
          <w:p w14:paraId="0663915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835" w:type="dxa"/>
            <w:tcBorders>
              <w:left w:val="single" w:sz="4" w:space="0" w:color="FFFFFF" w:themeColor="background1"/>
            </w:tcBorders>
            <w:vAlign w:val="center"/>
          </w:tcPr>
          <w:p w14:paraId="34CBFCB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rPr>
              <w:t>Approximation Chi-Square:</w:t>
            </w:r>
          </w:p>
        </w:tc>
        <w:tc>
          <w:tcPr>
            <w:tcW w:w="1650" w:type="dxa"/>
            <w:vAlign w:val="center"/>
          </w:tcPr>
          <w:p w14:paraId="10AADC3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rPr>
              <w:t>839.6</w:t>
            </w:r>
          </w:p>
        </w:tc>
      </w:tr>
      <w:tr w:rsidR="00A0618E" w:rsidRPr="00400193" w14:paraId="586B6292" w14:textId="77777777" w:rsidTr="004C088B">
        <w:trPr>
          <w:trHeight w:val="283"/>
        </w:trPr>
        <w:tc>
          <w:tcPr>
            <w:tcW w:w="4531" w:type="dxa"/>
            <w:vMerge/>
            <w:tcBorders>
              <w:right w:val="single" w:sz="4" w:space="0" w:color="FFFFFF" w:themeColor="background1"/>
            </w:tcBorders>
          </w:tcPr>
          <w:p w14:paraId="6AB6D2D2"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835" w:type="dxa"/>
            <w:tcBorders>
              <w:left w:val="single" w:sz="4" w:space="0" w:color="FFFFFF" w:themeColor="background1"/>
            </w:tcBorders>
            <w:vAlign w:val="center"/>
          </w:tcPr>
          <w:p w14:paraId="02C2C1F9"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rPr>
              <w:t>Degree of freedom:</w:t>
            </w:r>
          </w:p>
        </w:tc>
        <w:tc>
          <w:tcPr>
            <w:tcW w:w="1650" w:type="dxa"/>
            <w:vAlign w:val="center"/>
          </w:tcPr>
          <w:p w14:paraId="04980E5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rPr>
              <w:t>91</w:t>
            </w:r>
          </w:p>
        </w:tc>
      </w:tr>
      <w:tr w:rsidR="00A0618E" w:rsidRPr="00400193" w14:paraId="3F836222" w14:textId="77777777" w:rsidTr="004C088B">
        <w:trPr>
          <w:trHeight w:val="283"/>
        </w:trPr>
        <w:tc>
          <w:tcPr>
            <w:tcW w:w="4531" w:type="dxa"/>
            <w:vMerge/>
            <w:tcBorders>
              <w:right w:val="single" w:sz="4" w:space="0" w:color="FFFFFF" w:themeColor="background1"/>
            </w:tcBorders>
          </w:tcPr>
          <w:p w14:paraId="2AB15DA3"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835" w:type="dxa"/>
            <w:tcBorders>
              <w:left w:val="single" w:sz="4" w:space="0" w:color="FFFFFF" w:themeColor="background1"/>
            </w:tcBorders>
            <w:vAlign w:val="center"/>
          </w:tcPr>
          <w:p w14:paraId="71620244"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rPr>
              <w:t>Significance:</w:t>
            </w:r>
          </w:p>
        </w:tc>
        <w:tc>
          <w:tcPr>
            <w:tcW w:w="1650" w:type="dxa"/>
            <w:vAlign w:val="center"/>
          </w:tcPr>
          <w:p w14:paraId="57FDD28D"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rPr>
              <w:t>0.000</w:t>
            </w:r>
          </w:p>
        </w:tc>
      </w:tr>
    </w:tbl>
    <w:p w14:paraId="2E58964F" w14:textId="4A3F932B" w:rsidR="006E3616" w:rsidRPr="00400193" w:rsidRDefault="006E3616" w:rsidP="006E3616">
      <w:pPr>
        <w:pStyle w:val="Caption"/>
        <w:spacing w:after="240"/>
        <w:rPr>
          <w:lang w:eastAsia="zh-CN" w:bidi="hi-IN"/>
        </w:rPr>
      </w:pPr>
      <w:bookmarkStart w:id="440" w:name="_Ref43218736"/>
      <w:bookmarkStart w:id="441" w:name="_Toc5290154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w:t>
      </w:r>
      <w:r w:rsidRPr="00400193">
        <w:fldChar w:fldCharType="end"/>
      </w:r>
      <w:bookmarkEnd w:id="440"/>
      <w:r w:rsidRPr="00400193">
        <w:t>: Kaiser–Meyer–Olkin test and Bartlett's test for sphericity for KECA</w:t>
      </w:r>
      <w:bookmarkEnd w:id="441"/>
      <w:r w:rsidRPr="00400193">
        <w:t xml:space="preserve"> </w:t>
      </w:r>
    </w:p>
    <w:p w14:paraId="178B1404" w14:textId="55440A7B"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_Ref43218809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w:t>
      </w:r>
      <w:r w:rsidRPr="00400193">
        <w:rPr>
          <w:lang w:eastAsia="zh-CN" w:bidi="hi-IN"/>
        </w:rPr>
        <w:fldChar w:fldCharType="end"/>
      </w:r>
      <w:r w:rsidRPr="00400193">
        <w:rPr>
          <w:lang w:eastAsia="zh-CN" w:bidi="hi-IN"/>
        </w:rPr>
        <w:t xml:space="preserve"> shows the matrix of factors and factor loads, that is, the correlation between each variable and that factor. Loads indicate the degree of correspondence between the variable and the factor. High loads indicate that the variable is representative of the factor. For example, the variable KECA1 (Breaches making computers and internet unusable) is attributable to Factor 1, because KECA1 has the greatest load in that factor (0.792). KECA8 (Social networking) is attributable to Factor 2 with a factor load of 0.807. It is desirable that each variable should load to a single factor, ideally with a load of more than 0.5 and hopefully close to 1 (Finch,</w:t>
      </w:r>
      <w:r w:rsidR="0019578D" w:rsidRPr="00400193">
        <w:rPr>
          <w:lang w:eastAsia="zh-CN" w:bidi="hi-IN"/>
        </w:rPr>
        <w:t xml:space="preserve"> </w:t>
      </w:r>
      <w:r w:rsidRPr="00400193">
        <w:rPr>
          <w:lang w:eastAsia="zh-CN" w:bidi="hi-IN"/>
        </w:rPr>
        <w:t>2019; Kline,</w:t>
      </w:r>
      <w:r w:rsidR="0019578D" w:rsidRPr="00400193">
        <w:rPr>
          <w:lang w:eastAsia="zh-CN" w:bidi="hi-IN"/>
        </w:rPr>
        <w:t xml:space="preserve"> </w:t>
      </w:r>
      <w:r w:rsidRPr="00400193">
        <w:rPr>
          <w:lang w:eastAsia="zh-CN" w:bidi="hi-IN"/>
        </w:rPr>
        <w:t>2014). However, values of 0.4 are considered reasonable.</w:t>
      </w:r>
    </w:p>
    <w:p w14:paraId="4D8BA396" w14:textId="612026F2" w:rsidR="006E3616" w:rsidRPr="00400193" w:rsidRDefault="006E3616" w:rsidP="006E3616">
      <w:pPr>
        <w:rPr>
          <w:lang w:eastAsia="zh-CN" w:bidi="hi-IN"/>
        </w:rPr>
      </w:pPr>
      <w:bookmarkStart w:id="442" w:name="_Hlk29770252"/>
      <w:r w:rsidRPr="00400193">
        <w:rPr>
          <w:lang w:eastAsia="zh-CN" w:bidi="hi-IN"/>
        </w:rPr>
        <w:t xml:space="preserve">Assigning each variable to the component or factor with the largest loading gives </w:t>
      </w:r>
      <w:r w:rsidRPr="00400193">
        <w:rPr>
          <w:lang w:eastAsia="zh-CN" w:bidi="hi-IN"/>
        </w:rPr>
        <w:fldChar w:fldCharType="begin"/>
      </w:r>
      <w:r w:rsidRPr="00400193">
        <w:rPr>
          <w:lang w:eastAsia="zh-CN" w:bidi="hi-IN"/>
        </w:rPr>
        <w:instrText xml:space="preserve"> REF _Ref43218809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w:t>
      </w:r>
      <w:r w:rsidRPr="00400193">
        <w:rPr>
          <w:lang w:eastAsia="zh-CN" w:bidi="hi-IN"/>
        </w:rPr>
        <w:fldChar w:fldCharType="end"/>
      </w:r>
      <w:r w:rsidRPr="00400193">
        <w:rPr>
          <w:lang w:eastAsia="zh-CN" w:bidi="hi-IN"/>
        </w:rPr>
        <w:t xml:space="preserve">. This study found three new latent clusters of Key External Threats - Cyber Attack (KECA). The elements that cause each cluster are shown in </w:t>
      </w:r>
      <w:r w:rsidRPr="00400193">
        <w:rPr>
          <w:lang w:eastAsia="zh-CN" w:bidi="hi-IN"/>
        </w:rPr>
        <w:fldChar w:fldCharType="begin"/>
      </w:r>
      <w:r w:rsidRPr="00400193">
        <w:rPr>
          <w:lang w:eastAsia="zh-CN" w:bidi="hi-IN"/>
        </w:rPr>
        <w:instrText xml:space="preserve"> REF _Ref43218809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w:t>
      </w:r>
      <w:r w:rsidRPr="00400193">
        <w:rPr>
          <w:lang w:eastAsia="zh-CN" w:bidi="hi-IN"/>
        </w:rPr>
        <w:fldChar w:fldCharType="end"/>
      </w:r>
      <w:r w:rsidRPr="00400193">
        <w:rPr>
          <w:lang w:eastAsia="zh-CN" w:bidi="hi-IN"/>
        </w:rPr>
        <w:t>. There were seven variables allocated to the first new latent cluster (KECAN1), on ‘attack systems’, four assigned to the second new latent cluster (KECAN2), on ‘social interaction’ and three to the third (KECAN3), on ‘direct interaction’. The three new latent clusters had a reliability of &gt;0.8, which is considered satisfactory (Finch,</w:t>
      </w:r>
      <w:r w:rsidR="0019578D" w:rsidRPr="00400193">
        <w:rPr>
          <w:lang w:eastAsia="zh-CN" w:bidi="hi-IN"/>
        </w:rPr>
        <w:t xml:space="preserve"> </w:t>
      </w:r>
      <w:r w:rsidRPr="00400193">
        <w:rPr>
          <w:lang w:eastAsia="zh-CN" w:bidi="hi-IN"/>
        </w:rPr>
        <w:t>2019; Kline,</w:t>
      </w:r>
      <w:r w:rsidR="0019578D" w:rsidRPr="00400193">
        <w:rPr>
          <w:lang w:eastAsia="zh-CN" w:bidi="hi-IN"/>
        </w:rPr>
        <w:t xml:space="preserve"> </w:t>
      </w:r>
      <w:r w:rsidRPr="00400193">
        <w:rPr>
          <w:lang w:eastAsia="zh-CN" w:bidi="hi-IN"/>
        </w:rPr>
        <w:t xml:space="preserve">2014). </w:t>
      </w:r>
      <w:bookmarkEnd w:id="442"/>
    </w:p>
    <w:tbl>
      <w:tblPr>
        <w:tblpPr w:leftFromText="180" w:rightFromText="180" w:vertAnchor="text" w:horzAnchor="margin" w:tblpY="-74"/>
        <w:tblW w:w="8971" w:type="dxa"/>
        <w:tblLayout w:type="fixed"/>
        <w:tblCellMar>
          <w:left w:w="0" w:type="dxa"/>
          <w:right w:w="0" w:type="dxa"/>
        </w:tblCellMar>
        <w:tblLook w:val="0000" w:firstRow="0" w:lastRow="0" w:firstColumn="0" w:lastColumn="0" w:noHBand="0" w:noVBand="0"/>
      </w:tblPr>
      <w:tblGrid>
        <w:gridCol w:w="1248"/>
        <w:gridCol w:w="33"/>
        <w:gridCol w:w="743"/>
        <w:gridCol w:w="809"/>
        <w:gridCol w:w="945"/>
        <w:gridCol w:w="1297"/>
        <w:gridCol w:w="1297"/>
        <w:gridCol w:w="1297"/>
        <w:gridCol w:w="1302"/>
      </w:tblGrid>
      <w:tr w:rsidR="006E3616" w:rsidRPr="00400193" w14:paraId="6DC6E958" w14:textId="77777777" w:rsidTr="004C088B">
        <w:trPr>
          <w:cantSplit/>
          <w:trHeight w:val="283"/>
        </w:trPr>
        <w:tc>
          <w:tcPr>
            <w:tcW w:w="1248" w:type="dxa"/>
            <w:vMerge w:val="restart"/>
            <w:tcBorders>
              <w:top w:val="single" w:sz="4" w:space="0" w:color="auto"/>
              <w:bottom w:val="single" w:sz="4" w:space="0" w:color="auto"/>
            </w:tcBorders>
            <w:shd w:val="clear" w:color="auto" w:fill="FFFFFF"/>
            <w:vAlign w:val="bottom"/>
          </w:tcPr>
          <w:p w14:paraId="010F8BEF"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lastRenderedPageBreak/>
              <w:t>Item</w:t>
            </w:r>
          </w:p>
        </w:tc>
        <w:tc>
          <w:tcPr>
            <w:tcW w:w="2530" w:type="dxa"/>
            <w:gridSpan w:val="4"/>
            <w:tcBorders>
              <w:top w:val="single" w:sz="4" w:space="0" w:color="auto"/>
            </w:tcBorders>
            <w:shd w:val="clear" w:color="auto" w:fill="FFFFFF"/>
          </w:tcPr>
          <w:p w14:paraId="4C780C84"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 xml:space="preserve">Component matrix </w:t>
            </w:r>
            <w:r w:rsidRPr="00400193">
              <w:rPr>
                <w:rFonts w:asciiTheme="minorHAnsi" w:hAnsiTheme="minorHAnsi" w:cstheme="minorHAnsi"/>
                <w:b/>
                <w:bCs/>
                <w:sz w:val="20"/>
                <w:szCs w:val="20"/>
                <w:vertAlign w:val="superscript"/>
                <w:lang w:eastAsia="zh-CN" w:bidi="hi-IN"/>
              </w:rPr>
              <w:t>a b</w:t>
            </w:r>
          </w:p>
        </w:tc>
        <w:tc>
          <w:tcPr>
            <w:tcW w:w="5192" w:type="dxa"/>
            <w:gridSpan w:val="4"/>
            <w:tcBorders>
              <w:top w:val="single" w:sz="4" w:space="0" w:color="auto"/>
              <w:bottom w:val="single" w:sz="4" w:space="0" w:color="auto"/>
            </w:tcBorders>
            <w:shd w:val="clear" w:color="auto" w:fill="FFFFFF"/>
            <w:vAlign w:val="bottom"/>
          </w:tcPr>
          <w:p w14:paraId="348502BD"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2A684B4D" w14:textId="77777777" w:rsidTr="004C088B">
        <w:trPr>
          <w:cantSplit/>
          <w:trHeight w:val="283"/>
        </w:trPr>
        <w:tc>
          <w:tcPr>
            <w:tcW w:w="1248" w:type="dxa"/>
            <w:vMerge/>
            <w:tcBorders>
              <w:bottom w:val="single" w:sz="4" w:space="0" w:color="auto"/>
            </w:tcBorders>
            <w:shd w:val="clear" w:color="auto" w:fill="FFFFFF"/>
            <w:vAlign w:val="bottom"/>
          </w:tcPr>
          <w:p w14:paraId="02F2C943"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p>
        </w:tc>
        <w:tc>
          <w:tcPr>
            <w:tcW w:w="776" w:type="dxa"/>
            <w:gridSpan w:val="2"/>
            <w:tcBorders>
              <w:bottom w:val="single" w:sz="4" w:space="0" w:color="auto"/>
            </w:tcBorders>
            <w:shd w:val="clear" w:color="auto" w:fill="FFFFFF"/>
            <w:vAlign w:val="bottom"/>
          </w:tcPr>
          <w:p w14:paraId="371FBF38"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1</w:t>
            </w:r>
          </w:p>
        </w:tc>
        <w:tc>
          <w:tcPr>
            <w:tcW w:w="809" w:type="dxa"/>
            <w:tcBorders>
              <w:bottom w:val="single" w:sz="4" w:space="0" w:color="auto"/>
            </w:tcBorders>
            <w:shd w:val="clear" w:color="auto" w:fill="FFFFFF"/>
            <w:vAlign w:val="bottom"/>
          </w:tcPr>
          <w:p w14:paraId="57F7A3CE"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2</w:t>
            </w:r>
          </w:p>
        </w:tc>
        <w:tc>
          <w:tcPr>
            <w:tcW w:w="944" w:type="dxa"/>
            <w:tcBorders>
              <w:bottom w:val="single" w:sz="4" w:space="0" w:color="auto"/>
            </w:tcBorders>
            <w:shd w:val="clear" w:color="auto" w:fill="FFFFFF"/>
            <w:vAlign w:val="bottom"/>
          </w:tcPr>
          <w:p w14:paraId="52540C39" w14:textId="77777777" w:rsidR="006E3616" w:rsidRPr="00400193" w:rsidRDefault="006E3616" w:rsidP="004C088B">
            <w:pPr>
              <w:spacing w:after="0" w:line="240" w:lineRule="auto"/>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3</w:t>
            </w:r>
          </w:p>
        </w:tc>
        <w:tc>
          <w:tcPr>
            <w:tcW w:w="1297" w:type="dxa"/>
            <w:tcBorders>
              <w:top w:val="single" w:sz="4" w:space="0" w:color="auto"/>
              <w:bottom w:val="single" w:sz="4" w:space="0" w:color="auto"/>
            </w:tcBorders>
            <w:shd w:val="clear" w:color="auto" w:fill="FFFFFF"/>
            <w:vAlign w:val="bottom"/>
          </w:tcPr>
          <w:p w14:paraId="7D65C03E"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Cronbach’s Alpha</w:t>
            </w:r>
          </w:p>
        </w:tc>
        <w:tc>
          <w:tcPr>
            <w:tcW w:w="1297" w:type="dxa"/>
            <w:tcBorders>
              <w:top w:val="single" w:sz="4" w:space="0" w:color="auto"/>
              <w:bottom w:val="single" w:sz="4" w:space="0" w:color="auto"/>
            </w:tcBorders>
            <w:shd w:val="clear" w:color="auto" w:fill="FFFFFF"/>
            <w:vAlign w:val="bottom"/>
          </w:tcPr>
          <w:p w14:paraId="438D0D0C" w14:textId="77777777" w:rsidR="006E3616" w:rsidRPr="00400193" w:rsidRDefault="006E3616" w:rsidP="004C088B">
            <w:pPr>
              <w:spacing w:after="0" w:line="240" w:lineRule="auto"/>
              <w:jc w:val="center"/>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No of Questions</w:t>
            </w:r>
          </w:p>
        </w:tc>
        <w:tc>
          <w:tcPr>
            <w:tcW w:w="1297" w:type="dxa"/>
            <w:tcBorders>
              <w:top w:val="single" w:sz="4" w:space="0" w:color="auto"/>
              <w:bottom w:val="single" w:sz="4" w:space="0" w:color="auto"/>
            </w:tcBorders>
            <w:shd w:val="clear" w:color="auto" w:fill="FFFFFF"/>
            <w:vAlign w:val="bottom"/>
          </w:tcPr>
          <w:p w14:paraId="153A6F63" w14:textId="77777777" w:rsidR="006E3616" w:rsidRPr="00400193" w:rsidRDefault="006E3616" w:rsidP="004C088B">
            <w:pPr>
              <w:spacing w:after="0" w:line="240" w:lineRule="auto"/>
              <w:jc w:val="left"/>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New Code</w:t>
            </w:r>
          </w:p>
        </w:tc>
        <w:tc>
          <w:tcPr>
            <w:tcW w:w="1298" w:type="dxa"/>
            <w:tcBorders>
              <w:top w:val="single" w:sz="4" w:space="0" w:color="auto"/>
              <w:bottom w:val="single" w:sz="4" w:space="0" w:color="auto"/>
            </w:tcBorders>
            <w:shd w:val="clear" w:color="auto" w:fill="FFFFFF"/>
            <w:vAlign w:val="bottom"/>
          </w:tcPr>
          <w:p w14:paraId="7DCFDD43" w14:textId="77777777" w:rsidR="006E3616" w:rsidRPr="00400193" w:rsidRDefault="006E3616" w:rsidP="004C088B">
            <w:pPr>
              <w:spacing w:after="0" w:line="240" w:lineRule="auto"/>
              <w:jc w:val="left"/>
              <w:rPr>
                <w:rFonts w:asciiTheme="minorHAnsi" w:hAnsiTheme="minorHAnsi" w:cstheme="minorHAnsi"/>
                <w:b/>
                <w:bCs/>
                <w:sz w:val="20"/>
                <w:szCs w:val="20"/>
                <w:lang w:eastAsia="zh-CN" w:bidi="hi-IN"/>
              </w:rPr>
            </w:pPr>
            <w:r w:rsidRPr="00400193">
              <w:rPr>
                <w:rFonts w:asciiTheme="minorHAnsi" w:hAnsiTheme="minorHAnsi" w:cstheme="minorHAnsi"/>
                <w:b/>
                <w:bCs/>
                <w:sz w:val="20"/>
                <w:szCs w:val="20"/>
                <w:lang w:eastAsia="zh-CN" w:bidi="hi-IN"/>
              </w:rPr>
              <w:t>New Description</w:t>
            </w:r>
          </w:p>
        </w:tc>
      </w:tr>
      <w:tr w:rsidR="006E3616" w:rsidRPr="00400193" w14:paraId="36CDB10D" w14:textId="77777777" w:rsidTr="004C088B">
        <w:trPr>
          <w:cantSplit/>
          <w:trHeight w:val="283"/>
        </w:trPr>
        <w:tc>
          <w:tcPr>
            <w:tcW w:w="1281" w:type="dxa"/>
            <w:gridSpan w:val="2"/>
            <w:tcBorders>
              <w:top w:val="single" w:sz="4" w:space="0" w:color="auto"/>
            </w:tcBorders>
            <w:shd w:val="clear" w:color="auto" w:fill="auto"/>
          </w:tcPr>
          <w:p w14:paraId="7E1D9B77"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w:t>
            </w:r>
          </w:p>
        </w:tc>
        <w:tc>
          <w:tcPr>
            <w:tcW w:w="743" w:type="dxa"/>
            <w:tcBorders>
              <w:top w:val="single" w:sz="4" w:space="0" w:color="auto"/>
            </w:tcBorders>
            <w:shd w:val="clear" w:color="auto" w:fill="FFFFFF"/>
          </w:tcPr>
          <w:p w14:paraId="50E223E8"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0.792</w:t>
            </w:r>
          </w:p>
        </w:tc>
        <w:tc>
          <w:tcPr>
            <w:tcW w:w="809" w:type="dxa"/>
            <w:tcBorders>
              <w:top w:val="single" w:sz="4" w:space="0" w:color="auto"/>
            </w:tcBorders>
            <w:shd w:val="clear" w:color="auto" w:fill="FFFFFF"/>
          </w:tcPr>
          <w:p w14:paraId="0E8868E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tcBorders>
              <w:top w:val="single" w:sz="4" w:space="0" w:color="auto"/>
            </w:tcBorders>
            <w:shd w:val="clear" w:color="auto" w:fill="FFFFFF"/>
          </w:tcPr>
          <w:p w14:paraId="222D35CB"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val="restart"/>
            <w:tcBorders>
              <w:top w:val="single" w:sz="4" w:space="0" w:color="auto"/>
            </w:tcBorders>
            <w:shd w:val="clear" w:color="auto" w:fill="FFFFFF"/>
            <w:vAlign w:val="center"/>
          </w:tcPr>
          <w:p w14:paraId="3B757859"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0.885</w:t>
            </w:r>
          </w:p>
        </w:tc>
        <w:tc>
          <w:tcPr>
            <w:tcW w:w="1297" w:type="dxa"/>
            <w:vMerge w:val="restart"/>
            <w:tcBorders>
              <w:top w:val="single" w:sz="4" w:space="0" w:color="auto"/>
            </w:tcBorders>
            <w:shd w:val="clear" w:color="auto" w:fill="FFFFFF"/>
            <w:vAlign w:val="center"/>
          </w:tcPr>
          <w:p w14:paraId="2496D2BD"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w:t>
            </w:r>
          </w:p>
        </w:tc>
        <w:tc>
          <w:tcPr>
            <w:tcW w:w="1297" w:type="dxa"/>
            <w:vMerge w:val="restart"/>
            <w:tcBorders>
              <w:top w:val="single" w:sz="4" w:space="0" w:color="auto"/>
            </w:tcBorders>
            <w:shd w:val="clear" w:color="auto" w:fill="FFFFFF"/>
            <w:vAlign w:val="center"/>
          </w:tcPr>
          <w:p w14:paraId="491F5F6C"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KEKAN1</w:t>
            </w:r>
          </w:p>
        </w:tc>
        <w:tc>
          <w:tcPr>
            <w:tcW w:w="1298" w:type="dxa"/>
            <w:vMerge w:val="restart"/>
            <w:tcBorders>
              <w:top w:val="single" w:sz="4" w:space="0" w:color="auto"/>
            </w:tcBorders>
            <w:shd w:val="clear" w:color="auto" w:fill="FFFFFF"/>
            <w:vAlign w:val="center"/>
          </w:tcPr>
          <w:p w14:paraId="539C8601"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Attack systems</w:t>
            </w:r>
          </w:p>
        </w:tc>
      </w:tr>
      <w:tr w:rsidR="006E3616" w:rsidRPr="00400193" w14:paraId="1BFF854E" w14:textId="77777777" w:rsidTr="004C088B">
        <w:trPr>
          <w:cantSplit/>
          <w:trHeight w:val="283"/>
        </w:trPr>
        <w:tc>
          <w:tcPr>
            <w:tcW w:w="1281" w:type="dxa"/>
            <w:gridSpan w:val="2"/>
            <w:shd w:val="clear" w:color="auto" w:fill="auto"/>
          </w:tcPr>
          <w:p w14:paraId="0C0E0DA7"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KECA3</w:t>
            </w:r>
          </w:p>
        </w:tc>
        <w:tc>
          <w:tcPr>
            <w:tcW w:w="743" w:type="dxa"/>
            <w:shd w:val="clear" w:color="auto" w:fill="FFFFFF"/>
          </w:tcPr>
          <w:p w14:paraId="122E6F8D"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0.778</w:t>
            </w:r>
          </w:p>
        </w:tc>
        <w:tc>
          <w:tcPr>
            <w:tcW w:w="809" w:type="dxa"/>
            <w:shd w:val="clear" w:color="auto" w:fill="FFFFFF"/>
          </w:tcPr>
          <w:p w14:paraId="1A7A2A53"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5BB66B2C"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003A5998"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598BD131"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63E52EC0"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6A3F5DD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71FA3C59" w14:textId="77777777" w:rsidTr="004C088B">
        <w:trPr>
          <w:cantSplit/>
          <w:trHeight w:val="283"/>
        </w:trPr>
        <w:tc>
          <w:tcPr>
            <w:tcW w:w="1281" w:type="dxa"/>
            <w:gridSpan w:val="2"/>
            <w:shd w:val="clear" w:color="auto" w:fill="auto"/>
          </w:tcPr>
          <w:p w14:paraId="34A9BB68"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KECA4</w:t>
            </w:r>
          </w:p>
        </w:tc>
        <w:tc>
          <w:tcPr>
            <w:tcW w:w="743" w:type="dxa"/>
            <w:shd w:val="clear" w:color="auto" w:fill="FFFFFF"/>
          </w:tcPr>
          <w:p w14:paraId="6E8755DA"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0.732</w:t>
            </w:r>
          </w:p>
        </w:tc>
        <w:tc>
          <w:tcPr>
            <w:tcW w:w="809" w:type="dxa"/>
            <w:shd w:val="clear" w:color="auto" w:fill="FFFFFF"/>
          </w:tcPr>
          <w:p w14:paraId="58F57A90"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5C6BD59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2FED84D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460E8339"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35CD0E5B"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16AC7B13"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34B2FA25" w14:textId="77777777" w:rsidTr="004C088B">
        <w:trPr>
          <w:cantSplit/>
          <w:trHeight w:val="283"/>
        </w:trPr>
        <w:tc>
          <w:tcPr>
            <w:tcW w:w="1281" w:type="dxa"/>
            <w:gridSpan w:val="2"/>
            <w:shd w:val="clear" w:color="auto" w:fill="auto"/>
          </w:tcPr>
          <w:p w14:paraId="27EA283B"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KECA5</w:t>
            </w:r>
          </w:p>
        </w:tc>
        <w:tc>
          <w:tcPr>
            <w:tcW w:w="743" w:type="dxa"/>
            <w:shd w:val="clear" w:color="auto" w:fill="FFFFFF"/>
          </w:tcPr>
          <w:p w14:paraId="5D1629B0"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0.723</w:t>
            </w:r>
          </w:p>
        </w:tc>
        <w:tc>
          <w:tcPr>
            <w:tcW w:w="809" w:type="dxa"/>
            <w:shd w:val="clear" w:color="auto" w:fill="FFFFFF"/>
          </w:tcPr>
          <w:p w14:paraId="364A1F01"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54942993"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530BDFC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09953E19"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3D7C064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5A095FF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77B3082B" w14:textId="77777777" w:rsidTr="004C088B">
        <w:trPr>
          <w:cantSplit/>
          <w:trHeight w:val="283"/>
        </w:trPr>
        <w:tc>
          <w:tcPr>
            <w:tcW w:w="1281" w:type="dxa"/>
            <w:gridSpan w:val="2"/>
            <w:shd w:val="clear" w:color="auto" w:fill="auto"/>
          </w:tcPr>
          <w:p w14:paraId="51332380"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KECA14</w:t>
            </w:r>
          </w:p>
        </w:tc>
        <w:tc>
          <w:tcPr>
            <w:tcW w:w="743" w:type="dxa"/>
            <w:shd w:val="clear" w:color="auto" w:fill="FFFFFF"/>
          </w:tcPr>
          <w:p w14:paraId="31E5B8F9"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0.709</w:t>
            </w:r>
          </w:p>
        </w:tc>
        <w:tc>
          <w:tcPr>
            <w:tcW w:w="809" w:type="dxa"/>
            <w:shd w:val="clear" w:color="auto" w:fill="FFFFFF"/>
          </w:tcPr>
          <w:p w14:paraId="54F5E94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7902DA79"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7D844F10"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57DA036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61C2A572"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0351E461"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60FF8155" w14:textId="77777777" w:rsidTr="004C088B">
        <w:trPr>
          <w:cantSplit/>
          <w:trHeight w:val="283"/>
        </w:trPr>
        <w:tc>
          <w:tcPr>
            <w:tcW w:w="1281" w:type="dxa"/>
            <w:gridSpan w:val="2"/>
            <w:shd w:val="clear" w:color="auto" w:fill="auto"/>
          </w:tcPr>
          <w:p w14:paraId="2A4D5CE6"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KECA2</w:t>
            </w:r>
          </w:p>
        </w:tc>
        <w:tc>
          <w:tcPr>
            <w:tcW w:w="743" w:type="dxa"/>
            <w:shd w:val="clear" w:color="auto" w:fill="FFFFFF"/>
          </w:tcPr>
          <w:p w14:paraId="74F1B719"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0.690</w:t>
            </w:r>
          </w:p>
        </w:tc>
        <w:tc>
          <w:tcPr>
            <w:tcW w:w="809" w:type="dxa"/>
            <w:shd w:val="clear" w:color="auto" w:fill="FFFFFF"/>
          </w:tcPr>
          <w:p w14:paraId="780A2839"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38B61382"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3C17455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63CC99C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3B358DAA"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1088891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6984D960" w14:textId="77777777" w:rsidTr="004C088B">
        <w:trPr>
          <w:cantSplit/>
          <w:trHeight w:val="283"/>
        </w:trPr>
        <w:tc>
          <w:tcPr>
            <w:tcW w:w="1281" w:type="dxa"/>
            <w:gridSpan w:val="2"/>
            <w:shd w:val="clear" w:color="auto" w:fill="auto"/>
          </w:tcPr>
          <w:p w14:paraId="45117524"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KECA13</w:t>
            </w:r>
          </w:p>
        </w:tc>
        <w:tc>
          <w:tcPr>
            <w:tcW w:w="743" w:type="dxa"/>
            <w:shd w:val="clear" w:color="auto" w:fill="FFFFFF"/>
          </w:tcPr>
          <w:p w14:paraId="49C7C90F"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0.587</w:t>
            </w:r>
          </w:p>
        </w:tc>
        <w:tc>
          <w:tcPr>
            <w:tcW w:w="809" w:type="dxa"/>
            <w:shd w:val="clear" w:color="auto" w:fill="FFFFFF"/>
          </w:tcPr>
          <w:p w14:paraId="10791C4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113E320D"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1A12CBEE"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5E262D9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tcPr>
          <w:p w14:paraId="79AF182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4D3E490A"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6CA77D6D" w14:textId="77777777" w:rsidTr="004C088B">
        <w:trPr>
          <w:cantSplit/>
          <w:trHeight w:val="283"/>
        </w:trPr>
        <w:tc>
          <w:tcPr>
            <w:tcW w:w="1281" w:type="dxa"/>
            <w:gridSpan w:val="2"/>
            <w:shd w:val="clear" w:color="auto" w:fill="auto"/>
          </w:tcPr>
          <w:p w14:paraId="2894226D"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KECA8</w:t>
            </w:r>
          </w:p>
        </w:tc>
        <w:tc>
          <w:tcPr>
            <w:tcW w:w="743" w:type="dxa"/>
            <w:shd w:val="clear" w:color="auto" w:fill="FFFFFF"/>
          </w:tcPr>
          <w:p w14:paraId="55F96E50"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5D09CE2D"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0.807</w:t>
            </w:r>
          </w:p>
        </w:tc>
        <w:tc>
          <w:tcPr>
            <w:tcW w:w="944" w:type="dxa"/>
            <w:shd w:val="clear" w:color="auto" w:fill="FFFFFF"/>
          </w:tcPr>
          <w:p w14:paraId="5C37696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val="restart"/>
            <w:shd w:val="clear" w:color="auto" w:fill="FFFFFF"/>
            <w:vAlign w:val="center"/>
          </w:tcPr>
          <w:p w14:paraId="54D30163"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0.839</w:t>
            </w:r>
          </w:p>
        </w:tc>
        <w:tc>
          <w:tcPr>
            <w:tcW w:w="1297" w:type="dxa"/>
            <w:vMerge w:val="restart"/>
            <w:shd w:val="clear" w:color="auto" w:fill="FFFFFF"/>
            <w:vAlign w:val="center"/>
          </w:tcPr>
          <w:p w14:paraId="3DE9078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1297" w:type="dxa"/>
            <w:vMerge w:val="restart"/>
            <w:shd w:val="clear" w:color="auto" w:fill="FFFFFF"/>
            <w:vAlign w:val="center"/>
          </w:tcPr>
          <w:p w14:paraId="2FD3D590"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KEKAN2</w:t>
            </w:r>
          </w:p>
        </w:tc>
        <w:tc>
          <w:tcPr>
            <w:tcW w:w="1298" w:type="dxa"/>
            <w:vMerge w:val="restart"/>
            <w:shd w:val="clear" w:color="auto" w:fill="FFFFFF"/>
            <w:vAlign w:val="center"/>
          </w:tcPr>
          <w:p w14:paraId="6CB4BC44" w14:textId="77777777" w:rsidR="006E3616" w:rsidRPr="00400193" w:rsidRDefault="006E3616" w:rsidP="004C088B">
            <w:pPr>
              <w:spacing w:after="0" w:line="240" w:lineRule="auto"/>
              <w:rPr>
                <w:rFonts w:asciiTheme="minorHAnsi" w:hAnsiTheme="minorHAnsi" w:cstheme="minorHAnsi"/>
                <w:sz w:val="20"/>
                <w:szCs w:val="20"/>
                <w:lang w:eastAsia="zh-CN" w:bidi="hi-IN"/>
              </w:rPr>
            </w:pPr>
            <w:bookmarkStart w:id="443" w:name="_Hlk32064437"/>
            <w:r w:rsidRPr="00400193">
              <w:rPr>
                <w:rFonts w:asciiTheme="minorHAnsi" w:hAnsiTheme="minorHAnsi" w:cstheme="minorHAnsi"/>
                <w:sz w:val="20"/>
                <w:szCs w:val="20"/>
                <w:lang w:eastAsia="zh-CN" w:bidi="hi-IN"/>
              </w:rPr>
              <w:t>Social interaction</w:t>
            </w:r>
            <w:bookmarkEnd w:id="443"/>
          </w:p>
        </w:tc>
      </w:tr>
      <w:tr w:rsidR="006E3616" w:rsidRPr="00400193" w14:paraId="53E8E1F5" w14:textId="77777777" w:rsidTr="004C088B">
        <w:trPr>
          <w:cantSplit/>
          <w:trHeight w:val="283"/>
        </w:trPr>
        <w:tc>
          <w:tcPr>
            <w:tcW w:w="1281" w:type="dxa"/>
            <w:gridSpan w:val="2"/>
            <w:shd w:val="clear" w:color="auto" w:fill="auto"/>
          </w:tcPr>
          <w:p w14:paraId="7083C132"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KECA9</w:t>
            </w:r>
          </w:p>
        </w:tc>
        <w:tc>
          <w:tcPr>
            <w:tcW w:w="743" w:type="dxa"/>
            <w:shd w:val="clear" w:color="auto" w:fill="FFFFFF"/>
          </w:tcPr>
          <w:p w14:paraId="09978C16"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15E5D148"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0.741</w:t>
            </w:r>
          </w:p>
        </w:tc>
        <w:tc>
          <w:tcPr>
            <w:tcW w:w="944" w:type="dxa"/>
            <w:shd w:val="clear" w:color="auto" w:fill="FFFFFF"/>
          </w:tcPr>
          <w:p w14:paraId="2C9A6DDB"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vAlign w:val="center"/>
          </w:tcPr>
          <w:p w14:paraId="3B7534F7"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1A7DA95F"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61D7597B"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vAlign w:val="center"/>
          </w:tcPr>
          <w:p w14:paraId="1D90B7D3"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41B78BFE" w14:textId="77777777" w:rsidTr="004C088B">
        <w:trPr>
          <w:cantSplit/>
          <w:trHeight w:val="283"/>
        </w:trPr>
        <w:tc>
          <w:tcPr>
            <w:tcW w:w="1281" w:type="dxa"/>
            <w:gridSpan w:val="2"/>
            <w:shd w:val="clear" w:color="auto" w:fill="auto"/>
          </w:tcPr>
          <w:p w14:paraId="283158B6"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KECA7</w:t>
            </w:r>
          </w:p>
        </w:tc>
        <w:tc>
          <w:tcPr>
            <w:tcW w:w="743" w:type="dxa"/>
            <w:shd w:val="clear" w:color="auto" w:fill="FFFFFF"/>
          </w:tcPr>
          <w:p w14:paraId="0824F66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0D0D1D9E"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0.697</w:t>
            </w:r>
          </w:p>
        </w:tc>
        <w:tc>
          <w:tcPr>
            <w:tcW w:w="944" w:type="dxa"/>
            <w:shd w:val="clear" w:color="auto" w:fill="FFFFFF"/>
          </w:tcPr>
          <w:p w14:paraId="4B35EE3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vAlign w:val="center"/>
          </w:tcPr>
          <w:p w14:paraId="6F00C08B"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0AE78B69"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6FDBF8CF"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vAlign w:val="center"/>
          </w:tcPr>
          <w:p w14:paraId="64E509D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26AEB0AC" w14:textId="77777777" w:rsidTr="004C088B">
        <w:trPr>
          <w:cantSplit/>
          <w:trHeight w:val="283"/>
        </w:trPr>
        <w:tc>
          <w:tcPr>
            <w:tcW w:w="1281" w:type="dxa"/>
            <w:gridSpan w:val="2"/>
            <w:shd w:val="clear" w:color="auto" w:fill="auto"/>
          </w:tcPr>
          <w:p w14:paraId="39827806"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KECA6</w:t>
            </w:r>
          </w:p>
        </w:tc>
        <w:tc>
          <w:tcPr>
            <w:tcW w:w="743" w:type="dxa"/>
            <w:shd w:val="clear" w:color="auto" w:fill="FFFFFF"/>
          </w:tcPr>
          <w:p w14:paraId="5D43557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7B32CDE2"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0.613</w:t>
            </w:r>
          </w:p>
        </w:tc>
        <w:tc>
          <w:tcPr>
            <w:tcW w:w="944" w:type="dxa"/>
            <w:shd w:val="clear" w:color="auto" w:fill="FFFFFF"/>
          </w:tcPr>
          <w:p w14:paraId="6711498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vAlign w:val="center"/>
          </w:tcPr>
          <w:p w14:paraId="1D3E34E2"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767F731A"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p>
        </w:tc>
        <w:tc>
          <w:tcPr>
            <w:tcW w:w="1297" w:type="dxa"/>
            <w:vMerge/>
            <w:shd w:val="clear" w:color="auto" w:fill="FFFFFF"/>
            <w:vAlign w:val="center"/>
          </w:tcPr>
          <w:p w14:paraId="126FA4B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vAlign w:val="center"/>
          </w:tcPr>
          <w:p w14:paraId="600E7BC2"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7ABE64EF" w14:textId="77777777" w:rsidTr="004C088B">
        <w:trPr>
          <w:cantSplit/>
          <w:trHeight w:val="283"/>
        </w:trPr>
        <w:tc>
          <w:tcPr>
            <w:tcW w:w="1281" w:type="dxa"/>
            <w:gridSpan w:val="2"/>
            <w:shd w:val="clear" w:color="auto" w:fill="auto"/>
          </w:tcPr>
          <w:p w14:paraId="16BC7F3E"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KECA10</w:t>
            </w:r>
          </w:p>
        </w:tc>
        <w:tc>
          <w:tcPr>
            <w:tcW w:w="743" w:type="dxa"/>
            <w:shd w:val="clear" w:color="auto" w:fill="FFFFFF"/>
          </w:tcPr>
          <w:p w14:paraId="586A2F4F"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7CA5D5F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010E76FF"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0.840</w:t>
            </w:r>
          </w:p>
        </w:tc>
        <w:tc>
          <w:tcPr>
            <w:tcW w:w="1297" w:type="dxa"/>
            <w:vMerge w:val="restart"/>
            <w:shd w:val="clear" w:color="auto" w:fill="FFFFFF"/>
            <w:vAlign w:val="center"/>
          </w:tcPr>
          <w:p w14:paraId="22F7B755"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0.817</w:t>
            </w:r>
          </w:p>
        </w:tc>
        <w:tc>
          <w:tcPr>
            <w:tcW w:w="1297" w:type="dxa"/>
            <w:vMerge w:val="restart"/>
            <w:shd w:val="clear" w:color="auto" w:fill="FFFFFF"/>
            <w:vAlign w:val="center"/>
          </w:tcPr>
          <w:p w14:paraId="1440EF2E" w14:textId="77777777" w:rsidR="006E3616" w:rsidRPr="00400193" w:rsidRDefault="006E3616" w:rsidP="004C088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1297" w:type="dxa"/>
            <w:vMerge w:val="restart"/>
            <w:shd w:val="clear" w:color="auto" w:fill="FFFFFF"/>
            <w:vAlign w:val="center"/>
          </w:tcPr>
          <w:p w14:paraId="1A2478A4"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KEKAN3</w:t>
            </w:r>
          </w:p>
        </w:tc>
        <w:tc>
          <w:tcPr>
            <w:tcW w:w="1298" w:type="dxa"/>
            <w:vMerge w:val="restart"/>
            <w:shd w:val="clear" w:color="auto" w:fill="FFFFFF"/>
            <w:vAlign w:val="center"/>
          </w:tcPr>
          <w:p w14:paraId="0434DAE6"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Direct interaction</w:t>
            </w:r>
          </w:p>
        </w:tc>
      </w:tr>
      <w:tr w:rsidR="006E3616" w:rsidRPr="00400193" w14:paraId="1957DC5B" w14:textId="77777777" w:rsidTr="004C088B">
        <w:trPr>
          <w:cantSplit/>
          <w:trHeight w:val="283"/>
        </w:trPr>
        <w:tc>
          <w:tcPr>
            <w:tcW w:w="1281" w:type="dxa"/>
            <w:gridSpan w:val="2"/>
            <w:shd w:val="clear" w:color="auto" w:fill="auto"/>
          </w:tcPr>
          <w:p w14:paraId="75330FEE"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KECA12</w:t>
            </w:r>
          </w:p>
        </w:tc>
        <w:tc>
          <w:tcPr>
            <w:tcW w:w="743" w:type="dxa"/>
            <w:shd w:val="clear" w:color="auto" w:fill="FFFFFF"/>
          </w:tcPr>
          <w:p w14:paraId="42F723A8"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shd w:val="clear" w:color="auto" w:fill="FFFFFF"/>
          </w:tcPr>
          <w:p w14:paraId="1E1FCA29"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shd w:val="clear" w:color="auto" w:fill="FFFFFF"/>
          </w:tcPr>
          <w:p w14:paraId="449B5079"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0.653</w:t>
            </w:r>
          </w:p>
        </w:tc>
        <w:tc>
          <w:tcPr>
            <w:tcW w:w="1297" w:type="dxa"/>
            <w:vMerge/>
            <w:shd w:val="clear" w:color="auto" w:fill="FFFFFF"/>
          </w:tcPr>
          <w:p w14:paraId="156B1A09"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48D28A36"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shd w:val="clear" w:color="auto" w:fill="FFFFFF"/>
          </w:tcPr>
          <w:p w14:paraId="500D0345"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shd w:val="clear" w:color="auto" w:fill="FFFFFF"/>
          </w:tcPr>
          <w:p w14:paraId="1E435D1D"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09A13D1A" w14:textId="77777777" w:rsidTr="004C088B">
        <w:trPr>
          <w:cantSplit/>
          <w:trHeight w:val="283"/>
        </w:trPr>
        <w:tc>
          <w:tcPr>
            <w:tcW w:w="1281" w:type="dxa"/>
            <w:gridSpan w:val="2"/>
            <w:tcBorders>
              <w:bottom w:val="single" w:sz="4" w:space="0" w:color="auto"/>
            </w:tcBorders>
            <w:shd w:val="clear" w:color="auto" w:fill="auto"/>
          </w:tcPr>
          <w:p w14:paraId="5AAD5916"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KECA11</w:t>
            </w:r>
          </w:p>
        </w:tc>
        <w:tc>
          <w:tcPr>
            <w:tcW w:w="743" w:type="dxa"/>
            <w:tcBorders>
              <w:bottom w:val="single" w:sz="4" w:space="0" w:color="auto"/>
            </w:tcBorders>
            <w:shd w:val="clear" w:color="auto" w:fill="FFFFFF"/>
          </w:tcPr>
          <w:p w14:paraId="473F8C8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809" w:type="dxa"/>
            <w:tcBorders>
              <w:bottom w:val="single" w:sz="4" w:space="0" w:color="auto"/>
            </w:tcBorders>
            <w:shd w:val="clear" w:color="auto" w:fill="FFFFFF"/>
          </w:tcPr>
          <w:p w14:paraId="6BFE7087"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944" w:type="dxa"/>
            <w:tcBorders>
              <w:bottom w:val="single" w:sz="4" w:space="0" w:color="auto"/>
            </w:tcBorders>
            <w:shd w:val="clear" w:color="auto" w:fill="FFFFFF"/>
          </w:tcPr>
          <w:p w14:paraId="1B2FDD50" w14:textId="77777777" w:rsidR="006E3616" w:rsidRPr="00400193" w:rsidRDefault="006E3616" w:rsidP="004C088B">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0.634</w:t>
            </w:r>
          </w:p>
        </w:tc>
        <w:tc>
          <w:tcPr>
            <w:tcW w:w="1297" w:type="dxa"/>
            <w:vMerge/>
            <w:tcBorders>
              <w:bottom w:val="single" w:sz="4" w:space="0" w:color="auto"/>
            </w:tcBorders>
            <w:shd w:val="clear" w:color="auto" w:fill="FFFFFF"/>
          </w:tcPr>
          <w:p w14:paraId="1649F9B1"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tcBorders>
              <w:bottom w:val="single" w:sz="4" w:space="0" w:color="auto"/>
            </w:tcBorders>
            <w:shd w:val="clear" w:color="auto" w:fill="FFFFFF"/>
          </w:tcPr>
          <w:p w14:paraId="2EFCB48C"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7" w:type="dxa"/>
            <w:vMerge/>
            <w:tcBorders>
              <w:bottom w:val="single" w:sz="4" w:space="0" w:color="auto"/>
            </w:tcBorders>
            <w:shd w:val="clear" w:color="auto" w:fill="FFFFFF"/>
          </w:tcPr>
          <w:p w14:paraId="2FA73002"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c>
          <w:tcPr>
            <w:tcW w:w="1298" w:type="dxa"/>
            <w:vMerge/>
            <w:tcBorders>
              <w:bottom w:val="single" w:sz="4" w:space="0" w:color="auto"/>
            </w:tcBorders>
            <w:shd w:val="clear" w:color="auto" w:fill="FFFFFF"/>
          </w:tcPr>
          <w:p w14:paraId="3BE98BB4" w14:textId="77777777" w:rsidR="006E3616" w:rsidRPr="00400193" w:rsidRDefault="006E3616" w:rsidP="004C088B">
            <w:pPr>
              <w:spacing w:after="0" w:line="240" w:lineRule="auto"/>
              <w:rPr>
                <w:rFonts w:asciiTheme="minorHAnsi" w:hAnsiTheme="minorHAnsi" w:cstheme="minorHAnsi"/>
                <w:sz w:val="20"/>
                <w:szCs w:val="20"/>
                <w:lang w:eastAsia="zh-CN" w:bidi="hi-IN"/>
              </w:rPr>
            </w:pPr>
          </w:p>
        </w:tc>
      </w:tr>
      <w:tr w:rsidR="006E3616" w:rsidRPr="00400193" w14:paraId="06A80709" w14:textId="77777777" w:rsidTr="004C088B">
        <w:trPr>
          <w:cantSplit/>
          <w:trHeight w:val="283"/>
        </w:trPr>
        <w:tc>
          <w:tcPr>
            <w:tcW w:w="8971" w:type="dxa"/>
            <w:gridSpan w:val="9"/>
            <w:tcBorders>
              <w:top w:val="single" w:sz="4" w:space="0" w:color="auto"/>
            </w:tcBorders>
            <w:shd w:val="clear" w:color="auto" w:fill="FFFFFF"/>
          </w:tcPr>
          <w:p w14:paraId="15AC6898" w14:textId="2CBB569A" w:rsidR="006E3616" w:rsidRPr="00400193" w:rsidRDefault="006E3616" w:rsidP="004C088B">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 xml:space="preserve">a </w:t>
            </w:r>
            <w:r w:rsidRPr="00400193">
              <w:rPr>
                <w:rFonts w:asciiTheme="minorHAnsi" w:hAnsiTheme="minorHAnsi" w:cstheme="minorHAnsi"/>
                <w:sz w:val="20"/>
                <w:szCs w:val="20"/>
                <w:lang w:eastAsia="zh-CN" w:bidi="hi-IN"/>
              </w:rPr>
              <w:t>Rotation converged in 15 iterations</w:t>
            </w:r>
          </w:p>
          <w:p w14:paraId="09B1D794" w14:textId="12355E45" w:rsidR="001A0FC9" w:rsidRPr="00400193" w:rsidRDefault="001A0FC9" w:rsidP="004C088B">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 xml:space="preserve">b </w:t>
            </w:r>
            <w:r w:rsidRPr="00400193">
              <w:rPr>
                <w:rFonts w:asciiTheme="minorHAnsi" w:hAnsiTheme="minorHAnsi" w:cstheme="minorHAnsi"/>
                <w:sz w:val="20"/>
                <w:szCs w:val="20"/>
                <w:lang w:eastAsia="zh-CN" w:bidi="hi-IN"/>
              </w:rPr>
              <w:t>Extraction Method: Principal Component Analysis. Rotation Method: Varimax with Kaiser Normalisation.</w:t>
            </w:r>
          </w:p>
        </w:tc>
      </w:tr>
    </w:tbl>
    <w:p w14:paraId="77229592" w14:textId="204C868D" w:rsidR="006E3616" w:rsidRPr="00400193" w:rsidRDefault="006E3616" w:rsidP="006E3616">
      <w:pPr>
        <w:pStyle w:val="Caption"/>
        <w:spacing w:after="240"/>
      </w:pPr>
      <w:bookmarkStart w:id="444" w:name="_Ref43218809"/>
      <w:bookmarkStart w:id="445" w:name="_Toc5290155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w:t>
      </w:r>
      <w:r w:rsidRPr="00400193">
        <w:fldChar w:fldCharType="end"/>
      </w:r>
      <w:bookmarkEnd w:id="444"/>
      <w:r w:rsidRPr="00400193">
        <w:t>: Cronbach’s alpha, number of questions and rotated component matrix for KECA</w:t>
      </w:r>
      <w:bookmarkEnd w:id="445"/>
    </w:p>
    <w:p w14:paraId="04D0EFD0" w14:textId="77777777" w:rsidR="006E3616" w:rsidRPr="00400193" w:rsidRDefault="006E3616" w:rsidP="006E3616">
      <w:pPr>
        <w:rPr>
          <w:lang w:eastAsia="zh-CN" w:bidi="hi-IN"/>
        </w:rPr>
      </w:pPr>
      <w:r w:rsidRPr="00400193">
        <w:rPr>
          <w:lang w:eastAsia="zh-CN" w:bidi="hi-IN"/>
        </w:rPr>
        <w:t>It is necessary to establish convergent and discriminant validity as well as reliability to check the EFA. If the factors do not have adequate validity and reliability, then testing the causal model will be useless. Measures that are used for establishing validity and reliability include composite reliability (CR), average variance extracted (AVE), maximum shared variance (MSV) and average shared variance (ASV).</w:t>
      </w:r>
    </w:p>
    <w:p w14:paraId="5E8CB615" w14:textId="7E4CD284" w:rsidR="006E3616" w:rsidRPr="00400193" w:rsidRDefault="006E3616" w:rsidP="006E3616">
      <w:pPr>
        <w:rPr>
          <w:lang w:eastAsia="zh-CN" w:bidi="hi-IN"/>
        </w:rPr>
      </w:pPr>
      <w:r w:rsidRPr="00400193">
        <w:rPr>
          <w:lang w:eastAsia="zh-CN" w:bidi="hi-IN"/>
        </w:rPr>
        <w:t xml:space="preserve">CR is a measure of the reliability of the survey. Its cut-off value is &gt;0.7. AVE is a strict measure of convergent validity. It is a more conservative measure than the CR. The cut-off value is &gt;0.5 (Hasani and Pasdar 2017). Discriminant validity is assumed if MSV &lt; AVE or ASV &lt; AVE. </w:t>
      </w:r>
      <w:r w:rsidRPr="00400193">
        <w:rPr>
          <w:lang w:eastAsia="zh-CN" w:bidi="hi-IN"/>
        </w:rPr>
        <w:fldChar w:fldCharType="begin"/>
      </w:r>
      <w:r w:rsidRPr="00400193">
        <w:rPr>
          <w:lang w:eastAsia="zh-CN" w:bidi="hi-IN"/>
        </w:rPr>
        <w:instrText xml:space="preserve"> REF _Ref43218942 \h  \* MERGEFORMAT </w:instrText>
      </w:r>
      <w:r w:rsidRPr="00400193">
        <w:rPr>
          <w:lang w:eastAsia="zh-CN" w:bidi="hi-IN"/>
        </w:rPr>
      </w:r>
      <w:r w:rsidRPr="00400193">
        <w:rPr>
          <w:lang w:eastAsia="zh-CN" w:bidi="hi-IN"/>
        </w:rPr>
        <w:fldChar w:fldCharType="separate"/>
      </w:r>
      <w:r w:rsidR="00BB7C18" w:rsidRPr="00400193">
        <w:rPr>
          <w:lang w:eastAsia="zh-CN" w:bidi="hi-IN"/>
        </w:rPr>
        <w:t xml:space="preserve">Table </w:t>
      </w:r>
      <w:r w:rsidR="00BB7C18">
        <w:rPr>
          <w:cs/>
          <w:lang w:eastAsia="zh-CN" w:bidi="hi-IN"/>
        </w:rPr>
        <w:t>‎</w:t>
      </w:r>
      <w:r w:rsidR="00BB7C18">
        <w:rPr>
          <w:noProof/>
        </w:rPr>
        <w:t>5</w:t>
      </w:r>
      <w:r w:rsidR="00BB7C18" w:rsidRPr="00400193">
        <w:noBreakHyphen/>
      </w:r>
      <w:r w:rsidR="00BB7C18">
        <w:rPr>
          <w:noProof/>
        </w:rPr>
        <w:t>6</w:t>
      </w:r>
      <w:r w:rsidRPr="00400193">
        <w:rPr>
          <w:lang w:eastAsia="zh-CN" w:bidi="hi-IN"/>
        </w:rPr>
        <w:fldChar w:fldCharType="end"/>
      </w:r>
      <w:r w:rsidRPr="00400193">
        <w:rPr>
          <w:lang w:eastAsia="zh-CN" w:bidi="hi-IN"/>
        </w:rPr>
        <w:t xml:space="preserve"> shows CR and AVE for each factor and MSW and ASV values. CR varied from 0.755 to 0.881, but all values were higher than 0.7. AVE ranged from 0.511 to 0.516, and all values were higher than 0.5. MSV (0.566) &gt; AVE and ASV (0.477) &lt; AVE. (Hasani and Pasdar 2017; Ettis and Kefi,</w:t>
      </w:r>
      <w:r w:rsidR="0019578D" w:rsidRPr="00400193">
        <w:rPr>
          <w:lang w:eastAsia="zh-CN" w:bidi="hi-IN"/>
        </w:rPr>
        <w:t xml:space="preserve"> </w:t>
      </w:r>
      <w:r w:rsidRPr="00400193">
        <w:rPr>
          <w:lang w:eastAsia="zh-CN" w:bidi="hi-IN"/>
        </w:rPr>
        <w:t xml:space="preserve">2016; Hamari and Koivisto, 2014). There were therefore no problems with either convergent or discriminant validity. If there are problems with convergent validity, it means that the factor is not well-explain by its component variables. If discriminant validity problems arise, this means that one or more variables have a greater correlation with variables outside their parent factor than with those within their parent factor. In this case, </w:t>
      </w:r>
      <w:r w:rsidR="007F6606" w:rsidRPr="00400193">
        <w:rPr>
          <w:lang w:eastAsia="zh-CN" w:bidi="hi-IN"/>
        </w:rPr>
        <w:t xml:space="preserve">as </w:t>
      </w:r>
      <w:r w:rsidR="007F6606" w:rsidRPr="00400193">
        <w:rPr>
          <w:lang w:eastAsia="zh-CN" w:bidi="hi-IN"/>
        </w:rPr>
        <w:fldChar w:fldCharType="begin"/>
      </w:r>
      <w:r w:rsidR="007F6606" w:rsidRPr="00400193">
        <w:rPr>
          <w:lang w:eastAsia="zh-CN" w:bidi="hi-IN"/>
        </w:rPr>
        <w:instrText xml:space="preserve"> REF _Ref43218942 \h </w:instrText>
      </w:r>
      <w:r w:rsidR="007F6606" w:rsidRPr="00400193">
        <w:rPr>
          <w:lang w:eastAsia="zh-CN" w:bidi="hi-IN"/>
        </w:rPr>
      </w:r>
      <w:r w:rsidR="007F660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w:t>
      </w:r>
      <w:r w:rsidR="007F6606" w:rsidRPr="00400193">
        <w:rPr>
          <w:lang w:eastAsia="zh-CN" w:bidi="hi-IN"/>
        </w:rPr>
        <w:fldChar w:fldCharType="end"/>
      </w:r>
      <w:r w:rsidR="007F6606" w:rsidRPr="00400193">
        <w:rPr>
          <w:lang w:eastAsia="zh-CN" w:bidi="hi-IN"/>
        </w:rPr>
        <w:t xml:space="preserve"> shows, </w:t>
      </w:r>
      <w:r w:rsidRPr="00400193">
        <w:rPr>
          <w:lang w:eastAsia="zh-CN" w:bidi="hi-IN"/>
        </w:rPr>
        <w:t>MSV was slightly greater than AVE (Ettis and Kefi,</w:t>
      </w:r>
      <w:r w:rsidR="0019578D" w:rsidRPr="00400193">
        <w:rPr>
          <w:lang w:eastAsia="zh-CN" w:bidi="hi-IN"/>
        </w:rPr>
        <w:t xml:space="preserve"> </w:t>
      </w:r>
      <w:r w:rsidRPr="00400193">
        <w:rPr>
          <w:lang w:eastAsia="zh-CN" w:bidi="hi-IN"/>
        </w:rPr>
        <w:t xml:space="preserve">2016; Hamari </w:t>
      </w:r>
      <w:r w:rsidRPr="00400193">
        <w:rPr>
          <w:lang w:eastAsia="zh-CN" w:bidi="hi-IN"/>
        </w:rPr>
        <w:lastRenderedPageBreak/>
        <w:t xml:space="preserve">and Koivisto, 2014). These indices were calculated following Fornell and Larcker </w:t>
      </w:r>
      <w:sdt>
        <w:sdtPr>
          <w:rPr>
            <w:lang w:eastAsia="zh-CN" w:bidi="hi-IN"/>
          </w:rPr>
          <w:id w:val="1493602820"/>
          <w:citation/>
        </w:sdtPr>
        <w:sdtEndPr/>
        <w:sdtContent>
          <w:r w:rsidRPr="00400193">
            <w:rPr>
              <w:lang w:eastAsia="zh-CN" w:bidi="hi-IN"/>
            </w:rPr>
            <w:fldChar w:fldCharType="begin"/>
          </w:r>
          <w:r w:rsidRPr="00400193">
            <w:rPr>
              <w:lang w:eastAsia="zh-CN" w:bidi="hi-IN"/>
            </w:rPr>
            <w:instrText xml:space="preserve">CITATION For81 \n  \t  \l 2057 </w:instrText>
          </w:r>
          <w:r w:rsidRPr="00400193">
            <w:rPr>
              <w:lang w:eastAsia="zh-CN" w:bidi="hi-IN"/>
            </w:rPr>
            <w:fldChar w:fldCharType="separate"/>
          </w:r>
          <w:r w:rsidR="00E20BC9" w:rsidRPr="00400193">
            <w:rPr>
              <w:noProof/>
              <w:lang w:eastAsia="zh-CN" w:bidi="hi-IN"/>
            </w:rPr>
            <w:t>(1981)</w:t>
          </w:r>
          <w:r w:rsidRPr="00400193">
            <w:rPr>
              <w:lang w:eastAsia="zh-CN" w:bidi="hi-IN"/>
            </w:rPr>
            <w:fldChar w:fldCharType="end"/>
          </w:r>
        </w:sdtContent>
      </w:sdt>
      <w:r w:rsidRPr="00400193">
        <w:rPr>
          <w:lang w:eastAsia="zh-CN" w:bidi="hi-IN"/>
        </w:rPr>
        <w:t xml:space="preserve"> using Excel for Windows 2019.</w:t>
      </w:r>
    </w:p>
    <w:tbl>
      <w:tblPr>
        <w:tblStyle w:val="TableGrid"/>
        <w:tblW w:w="0" w:type="auto"/>
        <w:tblLook w:val="04A0" w:firstRow="1" w:lastRow="0" w:firstColumn="1" w:lastColumn="0" w:noHBand="0" w:noVBand="1"/>
      </w:tblPr>
      <w:tblGrid>
        <w:gridCol w:w="3539"/>
        <w:gridCol w:w="1825"/>
        <w:gridCol w:w="1826"/>
        <w:gridCol w:w="1826"/>
      </w:tblGrid>
      <w:tr w:rsidR="00A0618E" w:rsidRPr="00400193" w14:paraId="0ABA3D37" w14:textId="77777777" w:rsidTr="003B5486">
        <w:trPr>
          <w:trHeight w:val="284"/>
        </w:trPr>
        <w:tc>
          <w:tcPr>
            <w:tcW w:w="3539" w:type="dxa"/>
            <w:tcBorders>
              <w:right w:val="single" w:sz="4" w:space="0" w:color="FFFFFF" w:themeColor="background1"/>
            </w:tcBorders>
            <w:vAlign w:val="center"/>
          </w:tcPr>
          <w:p w14:paraId="57323452"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rPr>
              <w:t>Parameters</w:t>
            </w:r>
          </w:p>
        </w:tc>
        <w:tc>
          <w:tcPr>
            <w:tcW w:w="1825" w:type="dxa"/>
            <w:tcBorders>
              <w:left w:val="single" w:sz="4" w:space="0" w:color="FFFFFF" w:themeColor="background1"/>
              <w:right w:val="single" w:sz="4" w:space="0" w:color="FFFFFF" w:themeColor="background1"/>
            </w:tcBorders>
            <w:vAlign w:val="center"/>
          </w:tcPr>
          <w:p w14:paraId="3C0E0ED2"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rPr>
              <w:t>Factor 1</w:t>
            </w:r>
          </w:p>
        </w:tc>
        <w:tc>
          <w:tcPr>
            <w:tcW w:w="1826" w:type="dxa"/>
            <w:tcBorders>
              <w:left w:val="single" w:sz="4" w:space="0" w:color="FFFFFF" w:themeColor="background1"/>
              <w:right w:val="single" w:sz="4" w:space="0" w:color="FFFFFF" w:themeColor="background1"/>
            </w:tcBorders>
            <w:vAlign w:val="center"/>
          </w:tcPr>
          <w:p w14:paraId="025B70C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rPr>
              <w:t>Factor 2</w:t>
            </w:r>
          </w:p>
        </w:tc>
        <w:tc>
          <w:tcPr>
            <w:tcW w:w="1826" w:type="dxa"/>
            <w:tcBorders>
              <w:left w:val="single" w:sz="4" w:space="0" w:color="FFFFFF" w:themeColor="background1"/>
            </w:tcBorders>
            <w:vAlign w:val="center"/>
          </w:tcPr>
          <w:p w14:paraId="09011CCB"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rPr>
              <w:t>Factor 3</w:t>
            </w:r>
          </w:p>
        </w:tc>
      </w:tr>
      <w:tr w:rsidR="00A0618E" w:rsidRPr="00400193" w14:paraId="71F66DBC" w14:textId="77777777" w:rsidTr="003B5486">
        <w:trPr>
          <w:trHeight w:val="284"/>
        </w:trPr>
        <w:tc>
          <w:tcPr>
            <w:tcW w:w="3539" w:type="dxa"/>
            <w:tcBorders>
              <w:bottom w:val="single" w:sz="4" w:space="0" w:color="FFFFFF" w:themeColor="background1"/>
              <w:right w:val="single" w:sz="4" w:space="0" w:color="FFFFFF" w:themeColor="background1"/>
            </w:tcBorders>
          </w:tcPr>
          <w:p w14:paraId="25CB2A8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Composite reliability</w:t>
            </w:r>
          </w:p>
        </w:tc>
        <w:tc>
          <w:tcPr>
            <w:tcW w:w="1825" w:type="dxa"/>
            <w:tcBorders>
              <w:left w:val="single" w:sz="4" w:space="0" w:color="FFFFFF" w:themeColor="background1"/>
              <w:bottom w:val="single" w:sz="4" w:space="0" w:color="FFFFFF" w:themeColor="background1"/>
              <w:right w:val="single" w:sz="4" w:space="0" w:color="FFFFFF" w:themeColor="background1"/>
            </w:tcBorders>
            <w:vAlign w:val="center"/>
          </w:tcPr>
          <w:p w14:paraId="7E2C746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0.881</w:t>
            </w:r>
          </w:p>
        </w:tc>
        <w:tc>
          <w:tcPr>
            <w:tcW w:w="1826" w:type="dxa"/>
            <w:tcBorders>
              <w:left w:val="single" w:sz="4" w:space="0" w:color="FFFFFF" w:themeColor="background1"/>
              <w:bottom w:val="single" w:sz="4" w:space="0" w:color="FFFFFF" w:themeColor="background1"/>
              <w:right w:val="single" w:sz="4" w:space="0" w:color="FFFFFF" w:themeColor="background1"/>
            </w:tcBorders>
            <w:vAlign w:val="center"/>
          </w:tcPr>
          <w:p w14:paraId="0A79D50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0.808</w:t>
            </w:r>
          </w:p>
        </w:tc>
        <w:tc>
          <w:tcPr>
            <w:tcW w:w="1826" w:type="dxa"/>
            <w:tcBorders>
              <w:left w:val="single" w:sz="4" w:space="0" w:color="FFFFFF" w:themeColor="background1"/>
              <w:bottom w:val="single" w:sz="4" w:space="0" w:color="FFFFFF" w:themeColor="background1"/>
            </w:tcBorders>
            <w:vAlign w:val="center"/>
          </w:tcPr>
          <w:p w14:paraId="7EED558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0.755</w:t>
            </w:r>
          </w:p>
        </w:tc>
      </w:tr>
      <w:tr w:rsidR="00A0618E" w:rsidRPr="00400193" w14:paraId="6FE8AD2B" w14:textId="77777777" w:rsidTr="003B5486">
        <w:trPr>
          <w:trHeight w:val="284"/>
        </w:trPr>
        <w:tc>
          <w:tcPr>
            <w:tcW w:w="3539" w:type="dxa"/>
            <w:tcBorders>
              <w:top w:val="single" w:sz="4" w:space="0" w:color="FFFFFF" w:themeColor="background1"/>
              <w:bottom w:val="single" w:sz="4" w:space="0" w:color="FFFFFF" w:themeColor="background1"/>
              <w:right w:val="single" w:sz="4" w:space="0" w:color="FFFFFF" w:themeColor="background1"/>
            </w:tcBorders>
          </w:tcPr>
          <w:p w14:paraId="15DCBBE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Average variance extracted</w:t>
            </w:r>
          </w:p>
        </w:tc>
        <w:tc>
          <w:tcPr>
            <w:tcW w:w="18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021A1C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0.516</w:t>
            </w:r>
          </w:p>
        </w:tc>
        <w:tc>
          <w:tcPr>
            <w:tcW w:w="18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5490C3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0.515</w:t>
            </w:r>
          </w:p>
        </w:tc>
        <w:tc>
          <w:tcPr>
            <w:tcW w:w="1826" w:type="dxa"/>
            <w:tcBorders>
              <w:top w:val="single" w:sz="4" w:space="0" w:color="FFFFFF" w:themeColor="background1"/>
              <w:left w:val="single" w:sz="4" w:space="0" w:color="FFFFFF" w:themeColor="background1"/>
              <w:bottom w:val="single" w:sz="4" w:space="0" w:color="FFFFFF" w:themeColor="background1"/>
            </w:tcBorders>
          </w:tcPr>
          <w:p w14:paraId="4E67670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0.511</w:t>
            </w:r>
          </w:p>
        </w:tc>
      </w:tr>
      <w:tr w:rsidR="00A0618E" w:rsidRPr="00400193" w14:paraId="3A71BD66" w14:textId="77777777" w:rsidTr="003B5486">
        <w:trPr>
          <w:trHeight w:val="284"/>
        </w:trPr>
        <w:tc>
          <w:tcPr>
            <w:tcW w:w="3539" w:type="dxa"/>
            <w:tcBorders>
              <w:top w:val="single" w:sz="4" w:space="0" w:color="FFFFFF" w:themeColor="background1"/>
              <w:bottom w:val="single" w:sz="4" w:space="0" w:color="FFFFFF" w:themeColor="background1"/>
              <w:right w:val="single" w:sz="4" w:space="0" w:color="FFFFFF" w:themeColor="background1"/>
            </w:tcBorders>
          </w:tcPr>
          <w:p w14:paraId="4C482FD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Maximum shared variance</w:t>
            </w:r>
          </w:p>
        </w:tc>
        <w:tc>
          <w:tcPr>
            <w:tcW w:w="18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6080F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0.566</w:t>
            </w:r>
          </w:p>
        </w:tc>
        <w:tc>
          <w:tcPr>
            <w:tcW w:w="18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400AC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826" w:type="dxa"/>
            <w:tcBorders>
              <w:top w:val="single" w:sz="4" w:space="0" w:color="FFFFFF" w:themeColor="background1"/>
              <w:left w:val="single" w:sz="4" w:space="0" w:color="FFFFFF" w:themeColor="background1"/>
              <w:bottom w:val="single" w:sz="4" w:space="0" w:color="FFFFFF" w:themeColor="background1"/>
            </w:tcBorders>
            <w:vAlign w:val="center"/>
          </w:tcPr>
          <w:p w14:paraId="28EA2A9E"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A0618E" w:rsidRPr="00400193" w14:paraId="1DD4CEC3" w14:textId="77777777" w:rsidTr="003B5486">
        <w:trPr>
          <w:trHeight w:val="284"/>
        </w:trPr>
        <w:tc>
          <w:tcPr>
            <w:tcW w:w="3539" w:type="dxa"/>
            <w:tcBorders>
              <w:top w:val="single" w:sz="4" w:space="0" w:color="FFFFFF" w:themeColor="background1"/>
              <w:right w:val="single" w:sz="4" w:space="0" w:color="FFFFFF" w:themeColor="background1"/>
            </w:tcBorders>
          </w:tcPr>
          <w:p w14:paraId="387BCF4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Average shared variance</w:t>
            </w:r>
          </w:p>
        </w:tc>
        <w:tc>
          <w:tcPr>
            <w:tcW w:w="1825" w:type="dxa"/>
            <w:tcBorders>
              <w:top w:val="single" w:sz="4" w:space="0" w:color="FFFFFF" w:themeColor="background1"/>
              <w:left w:val="single" w:sz="4" w:space="0" w:color="FFFFFF" w:themeColor="background1"/>
              <w:right w:val="single" w:sz="4" w:space="0" w:color="FFFFFF" w:themeColor="background1"/>
            </w:tcBorders>
            <w:vAlign w:val="center"/>
          </w:tcPr>
          <w:p w14:paraId="00CB3C0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0.477</w:t>
            </w:r>
          </w:p>
        </w:tc>
        <w:tc>
          <w:tcPr>
            <w:tcW w:w="1826" w:type="dxa"/>
            <w:tcBorders>
              <w:top w:val="single" w:sz="4" w:space="0" w:color="FFFFFF" w:themeColor="background1"/>
              <w:left w:val="single" w:sz="4" w:space="0" w:color="FFFFFF" w:themeColor="background1"/>
              <w:right w:val="single" w:sz="4" w:space="0" w:color="FFFFFF" w:themeColor="background1"/>
            </w:tcBorders>
            <w:vAlign w:val="center"/>
          </w:tcPr>
          <w:p w14:paraId="0FCB51C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826" w:type="dxa"/>
            <w:tcBorders>
              <w:top w:val="single" w:sz="4" w:space="0" w:color="FFFFFF" w:themeColor="background1"/>
              <w:left w:val="single" w:sz="4" w:space="0" w:color="FFFFFF" w:themeColor="background1"/>
            </w:tcBorders>
            <w:vAlign w:val="center"/>
          </w:tcPr>
          <w:p w14:paraId="060C3834" w14:textId="77777777" w:rsidR="006E3616" w:rsidRPr="00400193" w:rsidRDefault="006E3616" w:rsidP="003B5486">
            <w:pPr>
              <w:keepNext/>
              <w:spacing w:line="240" w:lineRule="auto"/>
              <w:jc w:val="center"/>
              <w:rPr>
                <w:rFonts w:asciiTheme="minorHAnsi" w:hAnsiTheme="minorHAnsi" w:cstheme="minorHAnsi"/>
                <w:sz w:val="20"/>
                <w:lang w:eastAsia="zh-CN" w:bidi="hi-IN"/>
              </w:rPr>
            </w:pPr>
          </w:p>
        </w:tc>
      </w:tr>
    </w:tbl>
    <w:p w14:paraId="080CE2F3" w14:textId="7849DA7E" w:rsidR="006E3616" w:rsidRPr="00400193" w:rsidRDefault="006E3616" w:rsidP="006E3616">
      <w:pPr>
        <w:pStyle w:val="Caption"/>
        <w:spacing w:after="240"/>
        <w:rPr>
          <w:b w:val="0"/>
          <w:bCs/>
          <w:lang w:eastAsia="zh-CN" w:bidi="hi-IN"/>
        </w:rPr>
      </w:pPr>
      <w:bookmarkStart w:id="446" w:name="_Ref43218942"/>
      <w:bookmarkStart w:id="447" w:name="_Toc5290155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w:t>
      </w:r>
      <w:r w:rsidRPr="00400193">
        <w:fldChar w:fldCharType="end"/>
      </w:r>
      <w:bookmarkEnd w:id="446"/>
      <w:r w:rsidRPr="00400193">
        <w:t>: Average variance extracted (AVE), composite reliability (CR), maximum shared variance (MSV) and average shared variance (ASV) of the scale KECA.</w:t>
      </w:r>
      <w:bookmarkEnd w:id="447"/>
    </w:p>
    <w:p w14:paraId="716B46C6" w14:textId="39C4A8A8" w:rsidR="006E3616" w:rsidRPr="00400193" w:rsidRDefault="006E3616" w:rsidP="006E3616">
      <w:pPr>
        <w:rPr>
          <w:lang w:eastAsia="zh-CN" w:bidi="hi-IN"/>
        </w:rPr>
      </w:pPr>
      <w:r w:rsidRPr="00400193">
        <w:rPr>
          <w:lang w:eastAsia="zh-CN" w:bidi="hi-IN"/>
        </w:rPr>
        <w:t xml:space="preserve">The second latent variable cluster KECAN2 has previously been described in the literature. Dutt, Moisan, and Gonzalez (2016) noted that in business areas where automation or computerisation can realistically replace human interaction, such as network intrusion detection, human error is almost eliminated. However, in most systems and processes, the human element still represents both the weakness and the vulnerability of the system. In fact, </w:t>
      </w:r>
      <w:r w:rsidRPr="00400193">
        <w:rPr>
          <w:i/>
          <w:iCs/>
          <w:lang w:eastAsia="zh-CN" w:bidi="hi-IN"/>
        </w:rPr>
        <w:t>“Considering usability and security in tandem creates an intractable problem”</w:t>
      </w:r>
      <w:r w:rsidRPr="00400193">
        <w:rPr>
          <w:lang w:eastAsia="zh-CN" w:bidi="hi-IN"/>
        </w:rPr>
        <w:t xml:space="preserve"> (Richards </w:t>
      </w:r>
      <w:r w:rsidR="00337F8A" w:rsidRPr="00400193">
        <w:rPr>
          <w:lang w:eastAsia="zh-CN" w:bidi="hi-IN"/>
        </w:rPr>
        <w:t>and</w:t>
      </w:r>
      <w:r w:rsidRPr="00400193">
        <w:rPr>
          <w:lang w:eastAsia="zh-CN" w:bidi="hi-IN"/>
        </w:rPr>
        <w:t xml:space="preserve"> Norcio, 2016, p. 305), and the requirements of human-centred computing and human–computer interaction do not fully overcome that problem. </w:t>
      </w:r>
    </w:p>
    <w:p w14:paraId="3B870EDB" w14:textId="167EF79F" w:rsidR="006E3616" w:rsidRPr="00400193" w:rsidRDefault="006E3616" w:rsidP="006E3616">
      <w:pPr>
        <w:rPr>
          <w:lang w:eastAsia="zh-CN" w:bidi="hi-IN"/>
        </w:rPr>
      </w:pPr>
      <w:r w:rsidRPr="00400193">
        <w:rPr>
          <w:lang w:eastAsia="zh-CN" w:bidi="hi-IN"/>
        </w:rPr>
        <w:t>The researcher’s 18 years of experience in public sector organisations suggests that applying best practice and security procedures in these organisations is not an easy task. Many factors affect the quality of organisations’ best practice, such as employee retention, lack of awareness, social interaction among colleagues, bureaucratic culture, routines, data access control and executives’ lack of awareness (Chang and Lin, 2007; Knapp, 2006; Chang and Ho,</w:t>
      </w:r>
      <w:r w:rsidR="0019578D" w:rsidRPr="00400193">
        <w:rPr>
          <w:lang w:eastAsia="zh-CN" w:bidi="hi-IN"/>
        </w:rPr>
        <w:t xml:space="preserve"> </w:t>
      </w:r>
      <w:r w:rsidRPr="00400193">
        <w:rPr>
          <w:lang w:eastAsia="zh-CN" w:bidi="hi-IN"/>
        </w:rPr>
        <w:t>2016).</w:t>
      </w:r>
    </w:p>
    <w:p w14:paraId="4751BF99" w14:textId="77777777" w:rsidR="006E3616" w:rsidRPr="00400193" w:rsidRDefault="006E3616" w:rsidP="006E3616">
      <w:pPr>
        <w:pStyle w:val="Heading3"/>
        <w:rPr>
          <w:lang w:eastAsia="zh-CN" w:bidi="hi-IN"/>
        </w:rPr>
      </w:pPr>
      <w:bookmarkStart w:id="448" w:name="_Toc61894753"/>
      <w:r w:rsidRPr="00400193">
        <w:rPr>
          <w:lang w:eastAsia="zh-CN" w:bidi="hi-IN"/>
        </w:rPr>
        <w:t>Key External Threats – Hacktivism (KEH)</w:t>
      </w:r>
      <w:bookmarkEnd w:id="448"/>
    </w:p>
    <w:p w14:paraId="26303AD5" w14:textId="136718E4" w:rsidR="006E3616" w:rsidRPr="00400193" w:rsidRDefault="006E3616" w:rsidP="006E3616">
      <w:pPr>
        <w:rPr>
          <w:lang w:eastAsia="zh-CN" w:bidi="hi-IN"/>
        </w:rPr>
      </w:pPr>
      <w:r w:rsidRPr="00400193">
        <w:rPr>
          <w:lang w:eastAsia="zh-CN" w:bidi="hi-IN"/>
        </w:rPr>
        <w:t>The total variance table (</w:t>
      </w:r>
      <w:r w:rsidR="007F6606" w:rsidRPr="00400193">
        <w:rPr>
          <w:lang w:eastAsia="zh-CN" w:bidi="hi-IN"/>
        </w:rPr>
        <w:fldChar w:fldCharType="begin"/>
      </w:r>
      <w:r w:rsidR="007F6606" w:rsidRPr="00400193">
        <w:rPr>
          <w:lang w:eastAsia="zh-CN" w:bidi="hi-IN"/>
        </w:rPr>
        <w:instrText xml:space="preserve"> REF _Ref43219662 \h </w:instrText>
      </w:r>
      <w:r w:rsidR="007F6606" w:rsidRPr="00400193">
        <w:rPr>
          <w:lang w:eastAsia="zh-CN" w:bidi="hi-IN"/>
        </w:rPr>
      </w:r>
      <w:r w:rsidR="007F660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w:t>
      </w:r>
      <w:r w:rsidR="007F6606" w:rsidRPr="00400193">
        <w:rPr>
          <w:lang w:eastAsia="zh-CN" w:bidi="hi-IN"/>
        </w:rPr>
        <w:fldChar w:fldCharType="end"/>
      </w:r>
      <w:r w:rsidRPr="00400193">
        <w:rPr>
          <w:lang w:eastAsia="zh-CN" w:bidi="hi-IN"/>
        </w:rPr>
        <w:t>) explains the selection of two main components for this element. Only the first two factors had eigenvalues greater than 1 and explained 62.3% of the variance, resulting in the loss of 37.7% of the original information represented by the 15 initial variables. In other words, only two factors are relevant to summarise the original variables of the problem. The cumulative percentage of variance explained by the first and second components was 37.7% and 62.3%, across 8.3 and 1 variables.</w:t>
      </w:r>
    </w:p>
    <w:tbl>
      <w:tblPr>
        <w:tblW w:w="90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1"/>
        <w:gridCol w:w="567"/>
        <w:gridCol w:w="850"/>
        <w:gridCol w:w="1134"/>
        <w:gridCol w:w="567"/>
        <w:gridCol w:w="851"/>
        <w:gridCol w:w="1134"/>
        <w:gridCol w:w="850"/>
        <w:gridCol w:w="1134"/>
        <w:gridCol w:w="1121"/>
      </w:tblGrid>
      <w:tr w:rsidR="006E3616" w:rsidRPr="00400193" w14:paraId="4800A75F" w14:textId="77777777" w:rsidTr="004C088B">
        <w:trPr>
          <w:cantSplit/>
          <w:trHeight w:val="283"/>
        </w:trPr>
        <w:tc>
          <w:tcPr>
            <w:tcW w:w="851" w:type="dxa"/>
            <w:vMerge w:val="restart"/>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234DC696"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lastRenderedPageBreak/>
              <w:t>Latent Variables</w:t>
            </w:r>
          </w:p>
        </w:tc>
        <w:tc>
          <w:tcPr>
            <w:tcW w:w="2551" w:type="dxa"/>
            <w:gridSpan w:val="3"/>
            <w:tcBorders>
              <w:top w:val="nil"/>
              <w:left w:val="single" w:sz="4" w:space="0" w:color="FFFFFF" w:themeColor="background1"/>
              <w:bottom w:val="single" w:sz="4" w:space="0" w:color="auto"/>
              <w:right w:val="single" w:sz="4" w:space="0" w:color="000000" w:themeColor="text1"/>
            </w:tcBorders>
            <w:shd w:val="clear" w:color="auto" w:fill="auto"/>
            <w:vAlign w:val="center"/>
          </w:tcPr>
          <w:p w14:paraId="79C82DB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Initial Eigenvalues</w:t>
            </w:r>
          </w:p>
        </w:tc>
        <w:tc>
          <w:tcPr>
            <w:tcW w:w="2552" w:type="dxa"/>
            <w:gridSpan w:val="3"/>
            <w:tcBorders>
              <w:top w:val="nil"/>
              <w:left w:val="single" w:sz="4" w:space="0" w:color="000000" w:themeColor="text1"/>
              <w:bottom w:val="single" w:sz="4" w:space="0" w:color="auto"/>
              <w:right w:val="single" w:sz="4" w:space="0" w:color="000000" w:themeColor="text1"/>
            </w:tcBorders>
            <w:shd w:val="clear" w:color="auto" w:fill="auto"/>
            <w:vAlign w:val="center"/>
          </w:tcPr>
          <w:p w14:paraId="0F8F0C1E"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Extraction Sums of Squared Loadings</w:t>
            </w:r>
          </w:p>
        </w:tc>
        <w:tc>
          <w:tcPr>
            <w:tcW w:w="3105" w:type="dxa"/>
            <w:gridSpan w:val="3"/>
            <w:tcBorders>
              <w:top w:val="nil"/>
              <w:left w:val="single" w:sz="4" w:space="0" w:color="000000" w:themeColor="text1"/>
              <w:bottom w:val="single" w:sz="4" w:space="0" w:color="auto"/>
              <w:right w:val="single" w:sz="4" w:space="0" w:color="FFFFFF" w:themeColor="background1"/>
            </w:tcBorders>
            <w:shd w:val="clear" w:color="auto" w:fill="auto"/>
            <w:vAlign w:val="center"/>
          </w:tcPr>
          <w:p w14:paraId="7DD0A2C0"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Rotation Sums of Squared Loadings</w:t>
            </w:r>
          </w:p>
        </w:tc>
      </w:tr>
      <w:tr w:rsidR="006E3616" w:rsidRPr="00400193" w14:paraId="112FB231" w14:textId="77777777" w:rsidTr="004C088B">
        <w:trPr>
          <w:cantSplit/>
          <w:trHeight w:val="283"/>
        </w:trPr>
        <w:tc>
          <w:tcPr>
            <w:tcW w:w="851" w:type="dxa"/>
            <w:vMerge/>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5C21B8A8"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567"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14B5FA5F"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850"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2452D33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134" w:type="dxa"/>
            <w:tcBorders>
              <w:top w:val="single" w:sz="4" w:space="0" w:color="auto"/>
              <w:left w:val="single" w:sz="4" w:space="0" w:color="FFFFFF" w:themeColor="background1"/>
              <w:bottom w:val="single" w:sz="4" w:space="0" w:color="auto"/>
              <w:right w:val="single" w:sz="4" w:space="0" w:color="000000" w:themeColor="text1"/>
            </w:tcBorders>
            <w:shd w:val="clear" w:color="auto" w:fill="auto"/>
            <w:vAlign w:val="center"/>
          </w:tcPr>
          <w:p w14:paraId="187DFAD7"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c>
          <w:tcPr>
            <w:tcW w:w="567" w:type="dxa"/>
            <w:tcBorders>
              <w:top w:val="single" w:sz="4" w:space="0" w:color="auto"/>
              <w:left w:val="single" w:sz="4" w:space="0" w:color="000000" w:themeColor="text1"/>
              <w:bottom w:val="single" w:sz="4" w:space="0" w:color="auto"/>
              <w:right w:val="single" w:sz="4" w:space="0" w:color="FFFFFF" w:themeColor="background1"/>
            </w:tcBorders>
            <w:shd w:val="clear" w:color="auto" w:fill="auto"/>
            <w:vAlign w:val="center"/>
          </w:tcPr>
          <w:p w14:paraId="340CC85F"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851"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696FBC2D"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134" w:type="dxa"/>
            <w:tcBorders>
              <w:top w:val="single" w:sz="4" w:space="0" w:color="auto"/>
              <w:left w:val="single" w:sz="4" w:space="0" w:color="FFFFFF" w:themeColor="background1"/>
              <w:bottom w:val="single" w:sz="4" w:space="0" w:color="auto"/>
              <w:right w:val="single" w:sz="4" w:space="0" w:color="000000" w:themeColor="text1"/>
            </w:tcBorders>
            <w:shd w:val="clear" w:color="auto" w:fill="auto"/>
            <w:vAlign w:val="center"/>
          </w:tcPr>
          <w:p w14:paraId="7E92F81D"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c>
          <w:tcPr>
            <w:tcW w:w="850" w:type="dxa"/>
            <w:tcBorders>
              <w:top w:val="single" w:sz="4" w:space="0" w:color="auto"/>
              <w:left w:val="single" w:sz="4" w:space="0" w:color="000000" w:themeColor="text1"/>
              <w:bottom w:val="single" w:sz="4" w:space="0" w:color="auto"/>
              <w:right w:val="single" w:sz="4" w:space="0" w:color="FFFFFF" w:themeColor="background1"/>
            </w:tcBorders>
            <w:shd w:val="clear" w:color="auto" w:fill="auto"/>
            <w:vAlign w:val="center"/>
          </w:tcPr>
          <w:p w14:paraId="674574B5"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1134"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6E9B2D7A"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121"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tcPr>
          <w:p w14:paraId="522C867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r>
      <w:tr w:rsidR="006E3616" w:rsidRPr="00400193" w14:paraId="54D651FB" w14:textId="77777777" w:rsidTr="004C088B">
        <w:trPr>
          <w:cantSplit/>
          <w:trHeight w:val="283"/>
        </w:trPr>
        <w:tc>
          <w:tcPr>
            <w:tcW w:w="851"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DD3BA4B"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56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E9ECDCC"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8.324</w:t>
            </w:r>
          </w:p>
        </w:tc>
        <w:tc>
          <w:tcPr>
            <w:tcW w:w="850"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D4A035E"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55.493</w:t>
            </w:r>
          </w:p>
        </w:tc>
        <w:tc>
          <w:tcPr>
            <w:tcW w:w="1134" w:type="dxa"/>
            <w:tcBorders>
              <w:top w:val="single" w:sz="4" w:space="0" w:color="auto"/>
              <w:left w:val="single" w:sz="4" w:space="0" w:color="FFFFFF" w:themeColor="background1"/>
              <w:bottom w:val="single" w:sz="4" w:space="0" w:color="FFFFFF" w:themeColor="background1"/>
              <w:right w:val="single" w:sz="4" w:space="0" w:color="000000" w:themeColor="text1"/>
            </w:tcBorders>
            <w:shd w:val="clear" w:color="auto" w:fill="auto"/>
            <w:vAlign w:val="center"/>
          </w:tcPr>
          <w:p w14:paraId="7B701B84"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55.493</w:t>
            </w:r>
          </w:p>
        </w:tc>
        <w:tc>
          <w:tcPr>
            <w:tcW w:w="567" w:type="dxa"/>
            <w:tcBorders>
              <w:top w:val="single" w:sz="4" w:space="0" w:color="auto"/>
              <w:left w:val="single" w:sz="4" w:space="0" w:color="000000" w:themeColor="text1"/>
              <w:bottom w:val="single" w:sz="4" w:space="0" w:color="FFFFFF" w:themeColor="background1"/>
              <w:right w:val="single" w:sz="4" w:space="0" w:color="FFFFFF" w:themeColor="background1"/>
            </w:tcBorders>
            <w:shd w:val="clear" w:color="auto" w:fill="auto"/>
            <w:vAlign w:val="center"/>
          </w:tcPr>
          <w:p w14:paraId="16DC8626"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8.324</w:t>
            </w:r>
          </w:p>
        </w:tc>
        <w:tc>
          <w:tcPr>
            <w:tcW w:w="851"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5132890"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55.493</w:t>
            </w:r>
          </w:p>
        </w:tc>
        <w:tc>
          <w:tcPr>
            <w:tcW w:w="1134" w:type="dxa"/>
            <w:tcBorders>
              <w:top w:val="single" w:sz="4" w:space="0" w:color="auto"/>
              <w:left w:val="single" w:sz="4" w:space="0" w:color="FFFFFF" w:themeColor="background1"/>
              <w:bottom w:val="single" w:sz="4" w:space="0" w:color="FFFFFF" w:themeColor="background1"/>
              <w:right w:val="single" w:sz="4" w:space="0" w:color="000000" w:themeColor="text1"/>
            </w:tcBorders>
            <w:shd w:val="clear" w:color="auto" w:fill="auto"/>
            <w:vAlign w:val="center"/>
          </w:tcPr>
          <w:p w14:paraId="6B07DE1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55.493</w:t>
            </w:r>
          </w:p>
        </w:tc>
        <w:tc>
          <w:tcPr>
            <w:tcW w:w="850" w:type="dxa"/>
            <w:tcBorders>
              <w:top w:val="single" w:sz="4" w:space="0" w:color="auto"/>
              <w:left w:val="single" w:sz="4" w:space="0" w:color="000000" w:themeColor="text1"/>
              <w:bottom w:val="single" w:sz="4" w:space="0" w:color="FFFFFF" w:themeColor="background1"/>
              <w:right w:val="single" w:sz="4" w:space="0" w:color="FFFFFF" w:themeColor="background1"/>
            </w:tcBorders>
            <w:shd w:val="clear" w:color="auto" w:fill="auto"/>
            <w:vAlign w:val="center"/>
          </w:tcPr>
          <w:p w14:paraId="27E0515B"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5.662</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39DD5AA"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37.748</w:t>
            </w:r>
          </w:p>
        </w:tc>
        <w:tc>
          <w:tcPr>
            <w:tcW w:w="1121"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91AD125"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37.748</w:t>
            </w:r>
          </w:p>
        </w:tc>
      </w:tr>
      <w:tr w:rsidR="006E3616" w:rsidRPr="00400193" w14:paraId="264BB461" w14:textId="77777777" w:rsidTr="004C088B">
        <w:trPr>
          <w:cantSplit/>
          <w:trHeight w:val="283"/>
        </w:trPr>
        <w:tc>
          <w:tcPr>
            <w:tcW w:w="8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D13E65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F78A7D8"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1.017</w:t>
            </w:r>
          </w:p>
        </w:tc>
        <w:tc>
          <w:tcPr>
            <w:tcW w:w="8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2CBD633"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6.777</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shd w:val="clear" w:color="auto" w:fill="auto"/>
            <w:vAlign w:val="center"/>
          </w:tcPr>
          <w:p w14:paraId="30E51601"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62.270</w:t>
            </w:r>
          </w:p>
        </w:tc>
        <w:tc>
          <w:tcPr>
            <w:tcW w:w="567"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shd w:val="clear" w:color="auto" w:fill="auto"/>
            <w:vAlign w:val="center"/>
          </w:tcPr>
          <w:p w14:paraId="5F89F60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1.017</w:t>
            </w:r>
          </w:p>
        </w:tc>
        <w:tc>
          <w:tcPr>
            <w:tcW w:w="8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AB090A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6.777</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shd w:val="clear" w:color="auto" w:fill="auto"/>
            <w:vAlign w:val="center"/>
          </w:tcPr>
          <w:p w14:paraId="72AA719E"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62.270</w:t>
            </w:r>
          </w:p>
        </w:tc>
        <w:tc>
          <w:tcPr>
            <w:tcW w:w="850"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shd w:val="clear" w:color="auto" w:fill="auto"/>
            <w:vAlign w:val="center"/>
          </w:tcPr>
          <w:p w14:paraId="0FD5AC84"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3.678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3481002"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24.522</w:t>
            </w:r>
          </w:p>
        </w:tc>
        <w:tc>
          <w:tcPr>
            <w:tcW w:w="112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E9ADE37"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62.270</w:t>
            </w:r>
          </w:p>
        </w:tc>
      </w:tr>
      <w:tr w:rsidR="006E3616" w:rsidRPr="00400193" w14:paraId="221835CA" w14:textId="77777777" w:rsidTr="004C088B">
        <w:trPr>
          <w:cantSplit/>
          <w:trHeight w:val="283"/>
        </w:trPr>
        <w:tc>
          <w:tcPr>
            <w:tcW w:w="85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4153C342"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56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45768288"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0.906</w:t>
            </w:r>
          </w:p>
        </w:tc>
        <w:tc>
          <w:tcPr>
            <w:tcW w:w="85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6E7A8727"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6.037</w:t>
            </w:r>
          </w:p>
        </w:tc>
        <w:tc>
          <w:tcPr>
            <w:tcW w:w="1134"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shd w:val="clear" w:color="auto" w:fill="auto"/>
            <w:vAlign w:val="center"/>
          </w:tcPr>
          <w:p w14:paraId="6D9FC4A6" w14:textId="77777777" w:rsidR="006E3616" w:rsidRPr="00400193" w:rsidRDefault="006E3616" w:rsidP="004C088B">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68.307</w:t>
            </w:r>
          </w:p>
        </w:tc>
        <w:tc>
          <w:tcPr>
            <w:tcW w:w="567" w:type="dxa"/>
            <w:tcBorders>
              <w:top w:val="single" w:sz="4" w:space="0" w:color="FFFFFF" w:themeColor="background1"/>
              <w:left w:val="single" w:sz="4" w:space="0" w:color="000000" w:themeColor="text1"/>
              <w:bottom w:val="single" w:sz="4" w:space="0" w:color="000000" w:themeColor="text1"/>
              <w:right w:val="single" w:sz="4" w:space="0" w:color="FFFFFF" w:themeColor="background1"/>
            </w:tcBorders>
            <w:shd w:val="clear" w:color="auto" w:fill="auto"/>
            <w:vAlign w:val="center"/>
          </w:tcPr>
          <w:p w14:paraId="2547FA49"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85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55597E3D"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1134"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shd w:val="clear" w:color="auto" w:fill="auto"/>
            <w:vAlign w:val="center"/>
          </w:tcPr>
          <w:p w14:paraId="654CBB15"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850" w:type="dxa"/>
            <w:tcBorders>
              <w:top w:val="single" w:sz="4" w:space="0" w:color="FFFFFF" w:themeColor="background1"/>
              <w:left w:val="single" w:sz="4" w:space="0" w:color="000000" w:themeColor="text1"/>
              <w:bottom w:val="single" w:sz="4" w:space="0" w:color="000000" w:themeColor="text1"/>
              <w:right w:val="single" w:sz="4" w:space="0" w:color="FFFFFF" w:themeColor="background1"/>
            </w:tcBorders>
            <w:shd w:val="clear" w:color="auto" w:fill="auto"/>
            <w:vAlign w:val="center"/>
          </w:tcPr>
          <w:p w14:paraId="4BB1F510"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1134"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051337E4"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c>
          <w:tcPr>
            <w:tcW w:w="112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4D53C778" w14:textId="77777777" w:rsidR="006E3616" w:rsidRPr="00400193" w:rsidRDefault="006E3616" w:rsidP="004C088B">
            <w:pPr>
              <w:spacing w:line="240" w:lineRule="auto"/>
              <w:jc w:val="left"/>
              <w:rPr>
                <w:rFonts w:asciiTheme="minorHAnsi" w:hAnsiTheme="minorHAnsi" w:cstheme="minorHAnsi"/>
                <w:sz w:val="20"/>
                <w:szCs w:val="20"/>
                <w:lang w:eastAsia="zh-CN" w:bidi="hi-IN"/>
              </w:rPr>
            </w:pPr>
          </w:p>
        </w:tc>
      </w:tr>
      <w:tr w:rsidR="006E3616" w:rsidRPr="00400193" w14:paraId="0CECD9DE" w14:textId="77777777" w:rsidTr="004C088B">
        <w:trPr>
          <w:cantSplit/>
          <w:trHeight w:val="283"/>
        </w:trPr>
        <w:tc>
          <w:tcPr>
            <w:tcW w:w="9059" w:type="dxa"/>
            <w:gridSpan w:val="10"/>
            <w:tcBorders>
              <w:top w:val="single" w:sz="4" w:space="0" w:color="auto"/>
              <w:left w:val="single" w:sz="4" w:space="0" w:color="FFFFFF" w:themeColor="background1"/>
              <w:bottom w:val="single" w:sz="4" w:space="0" w:color="000000" w:themeColor="text1"/>
              <w:right w:val="single" w:sz="4" w:space="0" w:color="FFFFFF" w:themeColor="background1"/>
            </w:tcBorders>
            <w:shd w:val="clear" w:color="auto" w:fill="auto"/>
            <w:vAlign w:val="center"/>
          </w:tcPr>
          <w:p w14:paraId="15D44F24" w14:textId="77777777" w:rsidR="006E3616" w:rsidRPr="00400193" w:rsidRDefault="006E3616" w:rsidP="004C088B">
            <w:pPr>
              <w:keepNext/>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Extraction Method: Principal Component Analysis.</w:t>
            </w:r>
          </w:p>
        </w:tc>
      </w:tr>
    </w:tbl>
    <w:p w14:paraId="756EDF8E" w14:textId="136EF2B0" w:rsidR="006E3616" w:rsidRPr="00400193" w:rsidRDefault="006E3616" w:rsidP="006E3616">
      <w:pPr>
        <w:pStyle w:val="Caption"/>
        <w:spacing w:after="240"/>
      </w:pPr>
      <w:bookmarkStart w:id="449" w:name="_Ref43219662"/>
      <w:bookmarkStart w:id="450" w:name="_Toc5290155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w:t>
      </w:r>
      <w:r w:rsidRPr="00400193">
        <w:fldChar w:fldCharType="end"/>
      </w:r>
      <w:bookmarkEnd w:id="449"/>
      <w:r w:rsidRPr="00400193">
        <w:t>: Total variance explained by the components of KEH</w:t>
      </w:r>
      <w:bookmarkEnd w:id="450"/>
    </w:p>
    <w:p w14:paraId="3983367C" w14:textId="3B6857CB" w:rsidR="006E3616" w:rsidRPr="00400193" w:rsidRDefault="006E3616" w:rsidP="006E3616">
      <w:pPr>
        <w:rPr>
          <w:lang w:eastAsia="zh-CN" w:bidi="hi-IN"/>
        </w:rPr>
      </w:pPr>
      <w:r w:rsidRPr="00400193">
        <w:rPr>
          <w:lang w:eastAsia="zh-CN" w:bidi="hi-IN"/>
        </w:rPr>
        <w:t>The KMO value of 0.930 was within the scope of factor analysis (0.5–1.0). For Bartlett’s test of sphericity, the Chi-square value was 1012.6 with 105 degrees of freedom and the result was significant at ≤0.001 (</w:t>
      </w:r>
      <w:r w:rsidRPr="00400193">
        <w:rPr>
          <w:lang w:eastAsia="zh-CN" w:bidi="hi-IN"/>
        </w:rPr>
        <w:fldChar w:fldCharType="begin"/>
      </w:r>
      <w:r w:rsidRPr="00400193">
        <w:rPr>
          <w:lang w:eastAsia="zh-CN" w:bidi="hi-IN"/>
        </w:rPr>
        <w:instrText xml:space="preserve"> REF _Ref43219749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w:t>
      </w:r>
      <w:r w:rsidRPr="00400193">
        <w:rPr>
          <w:lang w:eastAsia="zh-CN" w:bidi="hi-IN"/>
        </w:rPr>
        <w:fldChar w:fldCharType="end"/>
      </w:r>
      <w:r w:rsidRPr="00400193">
        <w:rPr>
          <w:lang w:eastAsia="zh-CN" w:bidi="hi-IN"/>
        </w:rPr>
        <w:t>). The data were therefore suitable for factor analysis.</w:t>
      </w:r>
    </w:p>
    <w:tbl>
      <w:tblPr>
        <w:tblW w:w="88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20"/>
        <w:gridCol w:w="2486"/>
        <w:gridCol w:w="1574"/>
      </w:tblGrid>
      <w:tr w:rsidR="006E3616" w:rsidRPr="00400193" w14:paraId="26E09ABF" w14:textId="77777777" w:rsidTr="003B5486">
        <w:trPr>
          <w:cantSplit/>
          <w:trHeight w:val="284"/>
        </w:trPr>
        <w:tc>
          <w:tcPr>
            <w:tcW w:w="7306" w:type="dxa"/>
            <w:gridSpan w:val="2"/>
            <w:tcBorders>
              <w:top w:val="single" w:sz="4" w:space="0" w:color="auto"/>
              <w:left w:val="nil"/>
              <w:bottom w:val="single" w:sz="4" w:space="0" w:color="auto"/>
              <w:right w:val="nil"/>
            </w:tcBorders>
            <w:shd w:val="clear" w:color="auto" w:fill="auto"/>
            <w:vAlign w:val="center"/>
          </w:tcPr>
          <w:p w14:paraId="79CDFC1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574" w:type="dxa"/>
            <w:tcBorders>
              <w:top w:val="single" w:sz="4" w:space="0" w:color="auto"/>
              <w:left w:val="nil"/>
              <w:bottom w:val="single" w:sz="4" w:space="0" w:color="auto"/>
              <w:right w:val="nil"/>
            </w:tcBorders>
            <w:shd w:val="clear" w:color="auto" w:fill="auto"/>
            <w:vAlign w:val="center"/>
          </w:tcPr>
          <w:p w14:paraId="6E4D4F1A" w14:textId="77777777" w:rsidR="006E3616" w:rsidRPr="00400193" w:rsidRDefault="006E3616" w:rsidP="003B5486">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0.930</w:t>
            </w:r>
          </w:p>
        </w:tc>
      </w:tr>
      <w:tr w:rsidR="006E3616" w:rsidRPr="00400193" w14:paraId="6FBF96C1" w14:textId="77777777" w:rsidTr="003B5486">
        <w:trPr>
          <w:cantSplit/>
          <w:trHeight w:val="284"/>
        </w:trPr>
        <w:tc>
          <w:tcPr>
            <w:tcW w:w="4820" w:type="dxa"/>
            <w:vMerge w:val="restart"/>
            <w:tcBorders>
              <w:top w:val="single" w:sz="4" w:space="0" w:color="auto"/>
              <w:left w:val="nil"/>
              <w:bottom w:val="single" w:sz="4" w:space="0" w:color="auto"/>
              <w:right w:val="nil"/>
            </w:tcBorders>
            <w:shd w:val="clear" w:color="auto" w:fill="auto"/>
            <w:vAlign w:val="center"/>
          </w:tcPr>
          <w:p w14:paraId="119D666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486" w:type="dxa"/>
            <w:tcBorders>
              <w:top w:val="single" w:sz="4" w:space="0" w:color="auto"/>
              <w:left w:val="nil"/>
              <w:bottom w:val="single" w:sz="8" w:space="0" w:color="AEAEAE"/>
              <w:right w:val="nil"/>
            </w:tcBorders>
            <w:shd w:val="clear" w:color="auto" w:fill="auto"/>
            <w:vAlign w:val="center"/>
          </w:tcPr>
          <w:p w14:paraId="5E6F6A04"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574" w:type="dxa"/>
            <w:tcBorders>
              <w:top w:val="single" w:sz="4" w:space="0" w:color="auto"/>
              <w:left w:val="nil"/>
              <w:bottom w:val="single" w:sz="8" w:space="0" w:color="AEAEAE"/>
              <w:right w:val="nil"/>
            </w:tcBorders>
            <w:shd w:val="clear" w:color="auto" w:fill="auto"/>
            <w:vAlign w:val="center"/>
          </w:tcPr>
          <w:p w14:paraId="73431668" w14:textId="77777777" w:rsidR="006E3616" w:rsidRPr="00400193" w:rsidRDefault="006E3616" w:rsidP="003B5486">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1012.6</w:t>
            </w:r>
          </w:p>
        </w:tc>
      </w:tr>
      <w:tr w:rsidR="006E3616" w:rsidRPr="00400193" w14:paraId="714C0DF9" w14:textId="77777777" w:rsidTr="003B5486">
        <w:trPr>
          <w:cantSplit/>
          <w:trHeight w:val="284"/>
        </w:trPr>
        <w:tc>
          <w:tcPr>
            <w:tcW w:w="4820" w:type="dxa"/>
            <w:vMerge/>
            <w:tcBorders>
              <w:top w:val="single" w:sz="8" w:space="0" w:color="152935"/>
              <w:left w:val="nil"/>
              <w:bottom w:val="single" w:sz="4" w:space="0" w:color="auto"/>
              <w:right w:val="nil"/>
            </w:tcBorders>
            <w:shd w:val="clear" w:color="auto" w:fill="auto"/>
            <w:vAlign w:val="center"/>
          </w:tcPr>
          <w:p w14:paraId="2407577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486" w:type="dxa"/>
            <w:tcBorders>
              <w:top w:val="single" w:sz="8" w:space="0" w:color="AEAEAE"/>
              <w:left w:val="nil"/>
              <w:bottom w:val="single" w:sz="8" w:space="0" w:color="AEAEAE"/>
              <w:right w:val="nil"/>
            </w:tcBorders>
            <w:shd w:val="clear" w:color="auto" w:fill="auto"/>
            <w:vAlign w:val="center"/>
          </w:tcPr>
          <w:p w14:paraId="48B217C3"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574" w:type="dxa"/>
            <w:tcBorders>
              <w:top w:val="single" w:sz="8" w:space="0" w:color="AEAEAE"/>
              <w:left w:val="nil"/>
              <w:bottom w:val="single" w:sz="8" w:space="0" w:color="AEAEAE"/>
              <w:right w:val="nil"/>
            </w:tcBorders>
            <w:shd w:val="clear" w:color="auto" w:fill="auto"/>
            <w:vAlign w:val="center"/>
          </w:tcPr>
          <w:p w14:paraId="734676E4" w14:textId="77777777" w:rsidR="006E3616" w:rsidRPr="00400193" w:rsidRDefault="006E3616" w:rsidP="003B5486">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105</w:t>
            </w:r>
          </w:p>
        </w:tc>
      </w:tr>
      <w:tr w:rsidR="006E3616" w:rsidRPr="00400193" w14:paraId="431426AD" w14:textId="77777777" w:rsidTr="003B5486">
        <w:trPr>
          <w:cantSplit/>
          <w:trHeight w:val="284"/>
        </w:trPr>
        <w:tc>
          <w:tcPr>
            <w:tcW w:w="4820" w:type="dxa"/>
            <w:vMerge/>
            <w:tcBorders>
              <w:top w:val="single" w:sz="8" w:space="0" w:color="152935"/>
              <w:left w:val="nil"/>
              <w:bottom w:val="single" w:sz="4" w:space="0" w:color="auto"/>
              <w:right w:val="nil"/>
            </w:tcBorders>
            <w:shd w:val="clear" w:color="auto" w:fill="auto"/>
            <w:vAlign w:val="center"/>
          </w:tcPr>
          <w:p w14:paraId="0DC1011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486" w:type="dxa"/>
            <w:tcBorders>
              <w:top w:val="single" w:sz="8" w:space="0" w:color="AEAEAE"/>
              <w:left w:val="nil"/>
              <w:bottom w:val="single" w:sz="4" w:space="0" w:color="auto"/>
              <w:right w:val="nil"/>
            </w:tcBorders>
            <w:shd w:val="clear" w:color="auto" w:fill="auto"/>
            <w:vAlign w:val="center"/>
          </w:tcPr>
          <w:p w14:paraId="4054B8E2"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574" w:type="dxa"/>
            <w:tcBorders>
              <w:top w:val="single" w:sz="8" w:space="0" w:color="AEAEAE"/>
              <w:left w:val="nil"/>
              <w:bottom w:val="single" w:sz="4" w:space="0" w:color="auto"/>
              <w:right w:val="nil"/>
            </w:tcBorders>
            <w:shd w:val="clear" w:color="auto" w:fill="auto"/>
            <w:vAlign w:val="center"/>
          </w:tcPr>
          <w:p w14:paraId="0D459FE7" w14:textId="77777777" w:rsidR="006E3616" w:rsidRPr="00400193" w:rsidRDefault="006E3616" w:rsidP="003B5486">
            <w:pPr>
              <w:keepNext/>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71C98CE" w14:textId="2CB83C50" w:rsidR="006E3616" w:rsidRPr="00400193" w:rsidRDefault="006E3616" w:rsidP="006E3616">
      <w:pPr>
        <w:pStyle w:val="Caption"/>
        <w:spacing w:after="240"/>
      </w:pPr>
      <w:bookmarkStart w:id="451" w:name="_Ref43219749"/>
      <w:bookmarkStart w:id="452" w:name="_Toc5290155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w:t>
      </w:r>
      <w:r w:rsidRPr="00400193">
        <w:fldChar w:fldCharType="end"/>
      </w:r>
      <w:bookmarkEnd w:id="451"/>
      <w:r w:rsidRPr="00400193">
        <w:t>: Kaiser–Meyer–Olkin test and Bartlett's test of sphericity for KEH</w:t>
      </w:r>
      <w:bookmarkEnd w:id="452"/>
      <w:r w:rsidRPr="00400193">
        <w:t xml:space="preserve"> </w:t>
      </w:r>
    </w:p>
    <w:p w14:paraId="14C70087" w14:textId="77777777" w:rsidR="009B134A" w:rsidRPr="00400193" w:rsidRDefault="009B134A" w:rsidP="006E3616">
      <w:pPr>
        <w:rPr>
          <w:lang w:eastAsia="zh-CN" w:bidi="hi-IN"/>
        </w:rPr>
      </w:pPr>
    </w:p>
    <w:p w14:paraId="1F1F0E80" w14:textId="214A5DA6" w:rsidR="006E3616" w:rsidRPr="00400193" w:rsidRDefault="007F6606" w:rsidP="006E3616">
      <w:pPr>
        <w:rPr>
          <w:lang w:eastAsia="zh-CN" w:bidi="hi-IN"/>
        </w:rPr>
      </w:pPr>
      <w:r w:rsidRPr="00400193">
        <w:rPr>
          <w:lang w:eastAsia="zh-CN" w:bidi="hi-IN"/>
        </w:rPr>
        <w:fldChar w:fldCharType="begin"/>
      </w:r>
      <w:r w:rsidRPr="00400193">
        <w:rPr>
          <w:lang w:eastAsia="zh-CN" w:bidi="hi-IN"/>
        </w:rPr>
        <w:instrText xml:space="preserve"> REF _Ref43219774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w:t>
      </w:r>
      <w:r w:rsidRPr="00400193">
        <w:rPr>
          <w:lang w:eastAsia="zh-CN" w:bidi="hi-IN"/>
        </w:rPr>
        <w:fldChar w:fldCharType="end"/>
      </w:r>
      <w:r w:rsidR="006E3616" w:rsidRPr="00400193">
        <w:rPr>
          <w:lang w:eastAsia="zh-CN" w:bidi="hi-IN"/>
        </w:rPr>
        <w:t xml:space="preserve"> shows the factor loads. For example, the variable KEH4 (Improper software integration can be used as a cyber-attacking backdoor) is attributable to Factor 1, with a load of 0.821. KEH14 (Lack of sufficiently skilled IT staff and security tools) is attributable to Factor 2 with a factor load of 0.768. All items had loads greater than 0.5.</w:t>
      </w:r>
    </w:p>
    <w:p w14:paraId="1484D7AC" w14:textId="77777777" w:rsidR="009B134A" w:rsidRPr="00400193" w:rsidRDefault="009B134A" w:rsidP="006E3616">
      <w:pPr>
        <w:rPr>
          <w:lang w:eastAsia="zh-CN" w:bidi="hi-IN"/>
        </w:rPr>
      </w:pPr>
    </w:p>
    <w:p w14:paraId="057BFB20" w14:textId="1292B57F" w:rsidR="006E3616" w:rsidRPr="00400193" w:rsidRDefault="006E3616" w:rsidP="006E3616">
      <w:pPr>
        <w:rPr>
          <w:lang w:eastAsia="zh-CN" w:bidi="hi-IN"/>
        </w:rPr>
      </w:pPr>
      <w:r w:rsidRPr="00400193">
        <w:rPr>
          <w:lang w:eastAsia="zh-CN" w:bidi="hi-IN"/>
        </w:rPr>
        <w:t xml:space="preserve">Assigning each variable to the component or factor with the largest loading gave </w:t>
      </w:r>
      <w:r w:rsidRPr="00400193">
        <w:rPr>
          <w:lang w:eastAsia="zh-CN" w:bidi="hi-IN"/>
        </w:rPr>
        <w:fldChar w:fldCharType="begin"/>
      </w:r>
      <w:r w:rsidRPr="00400193">
        <w:rPr>
          <w:lang w:eastAsia="zh-CN" w:bidi="hi-IN"/>
        </w:rPr>
        <w:instrText xml:space="preserve"> REF _Ref43219774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w:t>
      </w:r>
      <w:r w:rsidRPr="00400193">
        <w:rPr>
          <w:lang w:eastAsia="zh-CN" w:bidi="hi-IN"/>
        </w:rPr>
        <w:fldChar w:fldCharType="end"/>
      </w:r>
      <w:r w:rsidRPr="00400193">
        <w:rPr>
          <w:lang w:eastAsia="zh-CN" w:bidi="hi-IN"/>
        </w:rPr>
        <w:t xml:space="preserve">. This found two new latent clusters for Key External Threats - Hacktivism (KEH). There were 11 variables assigned to the first new latent cluster (KEHN1), ‘non-violent use of digital tools’, and four to the second (KEHN2), ‘lack of preparedness’. The two new latent clusters had a reliability of &gt;0.8, which was satisfactory. </w:t>
      </w:r>
    </w:p>
    <w:p w14:paraId="1DDE4E78" w14:textId="74750511" w:rsidR="0047063F" w:rsidRPr="00400193" w:rsidRDefault="0047063F" w:rsidP="006E3616">
      <w:pPr>
        <w:rPr>
          <w:lang w:eastAsia="zh-CN" w:bidi="hi-IN"/>
        </w:rPr>
      </w:pPr>
    </w:p>
    <w:p w14:paraId="48505536" w14:textId="4CE1D228" w:rsidR="0047063F" w:rsidRPr="00400193" w:rsidRDefault="0047063F" w:rsidP="006E3616">
      <w:pPr>
        <w:rPr>
          <w:lang w:eastAsia="zh-CN" w:bidi="hi-IN"/>
        </w:rPr>
      </w:pPr>
    </w:p>
    <w:tbl>
      <w:tblPr>
        <w:tblStyle w:val="TableGrid"/>
        <w:tblW w:w="0" w:type="auto"/>
        <w:tblLook w:val="04A0" w:firstRow="1" w:lastRow="0" w:firstColumn="1" w:lastColumn="0" w:noHBand="0" w:noVBand="1"/>
      </w:tblPr>
      <w:tblGrid>
        <w:gridCol w:w="1244"/>
        <w:gridCol w:w="1238"/>
        <w:gridCol w:w="1234"/>
        <w:gridCol w:w="1317"/>
        <w:gridCol w:w="1275"/>
        <w:gridCol w:w="1246"/>
        <w:gridCol w:w="1462"/>
      </w:tblGrid>
      <w:tr w:rsidR="00A0618E" w:rsidRPr="00400193" w14:paraId="4DB97A60" w14:textId="77777777" w:rsidTr="003B5486">
        <w:trPr>
          <w:trHeight w:val="284"/>
        </w:trPr>
        <w:tc>
          <w:tcPr>
            <w:tcW w:w="1244" w:type="dxa"/>
            <w:vMerge w:val="restart"/>
            <w:vAlign w:val="center"/>
          </w:tcPr>
          <w:p w14:paraId="005DBE1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lastRenderedPageBreak/>
              <w:t>Item</w:t>
            </w:r>
          </w:p>
        </w:tc>
        <w:tc>
          <w:tcPr>
            <w:tcW w:w="2472" w:type="dxa"/>
            <w:gridSpan w:val="2"/>
            <w:tcBorders>
              <w:bottom w:val="single" w:sz="4" w:space="0" w:color="FFFFFF" w:themeColor="background1"/>
            </w:tcBorders>
            <w:vAlign w:val="center"/>
          </w:tcPr>
          <w:p w14:paraId="27513193"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317" w:type="dxa"/>
            <w:vMerge w:val="restart"/>
            <w:vAlign w:val="center"/>
          </w:tcPr>
          <w:p w14:paraId="70E78BF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275" w:type="dxa"/>
            <w:vMerge w:val="restart"/>
            <w:vAlign w:val="center"/>
          </w:tcPr>
          <w:p w14:paraId="7DF2BBA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246" w:type="dxa"/>
            <w:vMerge w:val="restart"/>
            <w:vAlign w:val="center"/>
          </w:tcPr>
          <w:p w14:paraId="641700C3"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462" w:type="dxa"/>
            <w:vMerge w:val="restart"/>
            <w:vAlign w:val="center"/>
          </w:tcPr>
          <w:p w14:paraId="61853119"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4260E406" w14:textId="77777777" w:rsidTr="003B5486">
        <w:trPr>
          <w:trHeight w:val="284"/>
        </w:trPr>
        <w:tc>
          <w:tcPr>
            <w:tcW w:w="1244" w:type="dxa"/>
            <w:vMerge/>
            <w:vAlign w:val="center"/>
          </w:tcPr>
          <w:p w14:paraId="5F989D1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38" w:type="dxa"/>
            <w:tcBorders>
              <w:top w:val="single" w:sz="4" w:space="0" w:color="FFFFFF" w:themeColor="background1"/>
            </w:tcBorders>
            <w:vAlign w:val="center"/>
          </w:tcPr>
          <w:p w14:paraId="7CCFBB5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1234" w:type="dxa"/>
            <w:tcBorders>
              <w:top w:val="single" w:sz="4" w:space="0" w:color="FFFFFF" w:themeColor="background1"/>
            </w:tcBorders>
            <w:vAlign w:val="center"/>
          </w:tcPr>
          <w:p w14:paraId="4852209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1317" w:type="dxa"/>
            <w:vMerge/>
            <w:vAlign w:val="center"/>
          </w:tcPr>
          <w:p w14:paraId="11B8242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6050D9D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18C1105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419D15F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19EF882" w14:textId="77777777" w:rsidTr="003B5486">
        <w:trPr>
          <w:trHeight w:val="284"/>
        </w:trPr>
        <w:tc>
          <w:tcPr>
            <w:tcW w:w="1244" w:type="dxa"/>
            <w:tcBorders>
              <w:bottom w:val="single" w:sz="4" w:space="0" w:color="FFFFFF" w:themeColor="background1"/>
            </w:tcBorders>
          </w:tcPr>
          <w:p w14:paraId="1A18899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w:t>
            </w:r>
          </w:p>
        </w:tc>
        <w:tc>
          <w:tcPr>
            <w:tcW w:w="1238" w:type="dxa"/>
            <w:tcBorders>
              <w:bottom w:val="single" w:sz="4" w:space="0" w:color="FFFFFF" w:themeColor="background1"/>
            </w:tcBorders>
            <w:vAlign w:val="center"/>
          </w:tcPr>
          <w:p w14:paraId="3A63C77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0.580</w:t>
            </w:r>
          </w:p>
        </w:tc>
        <w:tc>
          <w:tcPr>
            <w:tcW w:w="1234" w:type="dxa"/>
            <w:tcBorders>
              <w:bottom w:val="single" w:sz="4" w:space="0" w:color="FFFFFF" w:themeColor="background1"/>
            </w:tcBorders>
            <w:vAlign w:val="center"/>
          </w:tcPr>
          <w:p w14:paraId="20E7F70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restart"/>
            <w:vAlign w:val="center"/>
          </w:tcPr>
          <w:p w14:paraId="7DFB7B8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0.929</w:t>
            </w:r>
          </w:p>
        </w:tc>
        <w:tc>
          <w:tcPr>
            <w:tcW w:w="1275" w:type="dxa"/>
            <w:vMerge w:val="restart"/>
            <w:vAlign w:val="center"/>
          </w:tcPr>
          <w:p w14:paraId="33BE397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11</w:t>
            </w:r>
          </w:p>
        </w:tc>
        <w:tc>
          <w:tcPr>
            <w:tcW w:w="1246" w:type="dxa"/>
            <w:vMerge w:val="restart"/>
            <w:vAlign w:val="center"/>
          </w:tcPr>
          <w:p w14:paraId="23B055A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KEHN1</w:t>
            </w:r>
          </w:p>
        </w:tc>
        <w:tc>
          <w:tcPr>
            <w:tcW w:w="1462" w:type="dxa"/>
            <w:vMerge w:val="restart"/>
            <w:vAlign w:val="center"/>
          </w:tcPr>
          <w:p w14:paraId="3ED2374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Non-violent use of digital tools</w:t>
            </w:r>
          </w:p>
        </w:tc>
      </w:tr>
      <w:tr w:rsidR="00A0618E" w:rsidRPr="00400193" w14:paraId="72E95804" w14:textId="77777777" w:rsidTr="003B5486">
        <w:trPr>
          <w:trHeight w:val="284"/>
        </w:trPr>
        <w:tc>
          <w:tcPr>
            <w:tcW w:w="1244" w:type="dxa"/>
            <w:tcBorders>
              <w:top w:val="single" w:sz="4" w:space="0" w:color="FFFFFF" w:themeColor="background1"/>
              <w:bottom w:val="single" w:sz="4" w:space="0" w:color="FFFFFF" w:themeColor="background1"/>
            </w:tcBorders>
          </w:tcPr>
          <w:p w14:paraId="6AB04DA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KEH3</w:t>
            </w:r>
          </w:p>
        </w:tc>
        <w:tc>
          <w:tcPr>
            <w:tcW w:w="1238" w:type="dxa"/>
            <w:tcBorders>
              <w:top w:val="single" w:sz="4" w:space="0" w:color="FFFFFF" w:themeColor="background1"/>
              <w:bottom w:val="single" w:sz="4" w:space="0" w:color="FFFFFF" w:themeColor="background1"/>
            </w:tcBorders>
            <w:vAlign w:val="center"/>
          </w:tcPr>
          <w:p w14:paraId="08A08D0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0.748</w:t>
            </w:r>
          </w:p>
        </w:tc>
        <w:tc>
          <w:tcPr>
            <w:tcW w:w="1234" w:type="dxa"/>
            <w:tcBorders>
              <w:top w:val="single" w:sz="4" w:space="0" w:color="FFFFFF" w:themeColor="background1"/>
              <w:bottom w:val="single" w:sz="4" w:space="0" w:color="FFFFFF" w:themeColor="background1"/>
            </w:tcBorders>
            <w:vAlign w:val="center"/>
          </w:tcPr>
          <w:p w14:paraId="124F6C0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0BF05FF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1F9EB0F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25F7E7F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3289FE3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318D6CA" w14:textId="77777777" w:rsidTr="003B5486">
        <w:trPr>
          <w:trHeight w:val="284"/>
        </w:trPr>
        <w:tc>
          <w:tcPr>
            <w:tcW w:w="1244" w:type="dxa"/>
            <w:tcBorders>
              <w:top w:val="single" w:sz="4" w:space="0" w:color="FFFFFF" w:themeColor="background1"/>
              <w:bottom w:val="single" w:sz="4" w:space="0" w:color="FFFFFF" w:themeColor="background1"/>
            </w:tcBorders>
          </w:tcPr>
          <w:p w14:paraId="7CE296D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KEH4</w:t>
            </w:r>
          </w:p>
        </w:tc>
        <w:tc>
          <w:tcPr>
            <w:tcW w:w="1238" w:type="dxa"/>
            <w:tcBorders>
              <w:top w:val="single" w:sz="4" w:space="0" w:color="FFFFFF" w:themeColor="background1"/>
              <w:bottom w:val="single" w:sz="4" w:space="0" w:color="FFFFFF" w:themeColor="background1"/>
            </w:tcBorders>
            <w:vAlign w:val="center"/>
          </w:tcPr>
          <w:p w14:paraId="1BC102C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0.821</w:t>
            </w:r>
          </w:p>
        </w:tc>
        <w:tc>
          <w:tcPr>
            <w:tcW w:w="1234" w:type="dxa"/>
            <w:tcBorders>
              <w:top w:val="single" w:sz="4" w:space="0" w:color="FFFFFF" w:themeColor="background1"/>
              <w:bottom w:val="single" w:sz="4" w:space="0" w:color="FFFFFF" w:themeColor="background1"/>
            </w:tcBorders>
            <w:vAlign w:val="center"/>
          </w:tcPr>
          <w:p w14:paraId="56947C4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1971D1B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3E88473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0D20864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33CC63AE"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4675D64" w14:textId="77777777" w:rsidTr="003B5486">
        <w:trPr>
          <w:trHeight w:val="284"/>
        </w:trPr>
        <w:tc>
          <w:tcPr>
            <w:tcW w:w="1244" w:type="dxa"/>
            <w:tcBorders>
              <w:top w:val="single" w:sz="4" w:space="0" w:color="FFFFFF" w:themeColor="background1"/>
              <w:bottom w:val="single" w:sz="4" w:space="0" w:color="FFFFFF" w:themeColor="background1"/>
            </w:tcBorders>
          </w:tcPr>
          <w:p w14:paraId="2AF4CF4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KEH5</w:t>
            </w:r>
          </w:p>
        </w:tc>
        <w:tc>
          <w:tcPr>
            <w:tcW w:w="1238" w:type="dxa"/>
            <w:tcBorders>
              <w:top w:val="single" w:sz="4" w:space="0" w:color="FFFFFF" w:themeColor="background1"/>
              <w:bottom w:val="single" w:sz="4" w:space="0" w:color="FFFFFF" w:themeColor="background1"/>
            </w:tcBorders>
            <w:vAlign w:val="center"/>
          </w:tcPr>
          <w:p w14:paraId="0CC0FD7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0.668</w:t>
            </w:r>
          </w:p>
        </w:tc>
        <w:tc>
          <w:tcPr>
            <w:tcW w:w="1234" w:type="dxa"/>
            <w:tcBorders>
              <w:top w:val="single" w:sz="4" w:space="0" w:color="FFFFFF" w:themeColor="background1"/>
              <w:bottom w:val="single" w:sz="4" w:space="0" w:color="FFFFFF" w:themeColor="background1"/>
            </w:tcBorders>
            <w:vAlign w:val="center"/>
          </w:tcPr>
          <w:p w14:paraId="62C763F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1652D00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02025E9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2FF4022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3F04561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370630B" w14:textId="77777777" w:rsidTr="003B5486">
        <w:trPr>
          <w:trHeight w:val="284"/>
        </w:trPr>
        <w:tc>
          <w:tcPr>
            <w:tcW w:w="1244" w:type="dxa"/>
            <w:tcBorders>
              <w:top w:val="single" w:sz="4" w:space="0" w:color="FFFFFF" w:themeColor="background1"/>
              <w:bottom w:val="single" w:sz="4" w:space="0" w:color="FFFFFF" w:themeColor="background1"/>
            </w:tcBorders>
          </w:tcPr>
          <w:p w14:paraId="2C767F2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KEH6</w:t>
            </w:r>
          </w:p>
        </w:tc>
        <w:tc>
          <w:tcPr>
            <w:tcW w:w="1238" w:type="dxa"/>
            <w:tcBorders>
              <w:top w:val="single" w:sz="4" w:space="0" w:color="FFFFFF" w:themeColor="background1"/>
              <w:bottom w:val="single" w:sz="4" w:space="0" w:color="FFFFFF" w:themeColor="background1"/>
            </w:tcBorders>
            <w:vAlign w:val="center"/>
          </w:tcPr>
          <w:p w14:paraId="58F99D8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0.795</w:t>
            </w:r>
          </w:p>
        </w:tc>
        <w:tc>
          <w:tcPr>
            <w:tcW w:w="1234" w:type="dxa"/>
            <w:tcBorders>
              <w:top w:val="single" w:sz="4" w:space="0" w:color="FFFFFF" w:themeColor="background1"/>
              <w:bottom w:val="single" w:sz="4" w:space="0" w:color="FFFFFF" w:themeColor="background1"/>
            </w:tcBorders>
            <w:vAlign w:val="center"/>
          </w:tcPr>
          <w:p w14:paraId="7B1CA55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14FF28D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1BCF535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7BBC2AA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7CBC6B6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F13D6F8" w14:textId="77777777" w:rsidTr="003B5486">
        <w:trPr>
          <w:trHeight w:val="284"/>
        </w:trPr>
        <w:tc>
          <w:tcPr>
            <w:tcW w:w="1244" w:type="dxa"/>
            <w:tcBorders>
              <w:top w:val="single" w:sz="4" w:space="0" w:color="FFFFFF" w:themeColor="background1"/>
              <w:bottom w:val="single" w:sz="4" w:space="0" w:color="FFFFFF" w:themeColor="background1"/>
            </w:tcBorders>
          </w:tcPr>
          <w:p w14:paraId="6994921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KEH7</w:t>
            </w:r>
          </w:p>
        </w:tc>
        <w:tc>
          <w:tcPr>
            <w:tcW w:w="1238" w:type="dxa"/>
            <w:tcBorders>
              <w:top w:val="single" w:sz="4" w:space="0" w:color="FFFFFF" w:themeColor="background1"/>
              <w:bottom w:val="single" w:sz="4" w:space="0" w:color="FFFFFF" w:themeColor="background1"/>
            </w:tcBorders>
            <w:vAlign w:val="center"/>
          </w:tcPr>
          <w:p w14:paraId="03B6125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0.648</w:t>
            </w:r>
          </w:p>
        </w:tc>
        <w:tc>
          <w:tcPr>
            <w:tcW w:w="1234" w:type="dxa"/>
            <w:tcBorders>
              <w:top w:val="single" w:sz="4" w:space="0" w:color="FFFFFF" w:themeColor="background1"/>
              <w:bottom w:val="single" w:sz="4" w:space="0" w:color="FFFFFF" w:themeColor="background1"/>
            </w:tcBorders>
            <w:vAlign w:val="center"/>
          </w:tcPr>
          <w:p w14:paraId="7AEA691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0DCEC79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50CBA7B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2FEE431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628FBB5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6E35CDF" w14:textId="77777777" w:rsidTr="003B5486">
        <w:trPr>
          <w:trHeight w:val="284"/>
        </w:trPr>
        <w:tc>
          <w:tcPr>
            <w:tcW w:w="1244" w:type="dxa"/>
            <w:tcBorders>
              <w:top w:val="single" w:sz="4" w:space="0" w:color="FFFFFF" w:themeColor="background1"/>
              <w:bottom w:val="single" w:sz="4" w:space="0" w:color="FFFFFF" w:themeColor="background1"/>
            </w:tcBorders>
          </w:tcPr>
          <w:p w14:paraId="772ACF6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KEH8</w:t>
            </w:r>
          </w:p>
        </w:tc>
        <w:tc>
          <w:tcPr>
            <w:tcW w:w="1238" w:type="dxa"/>
            <w:tcBorders>
              <w:top w:val="single" w:sz="4" w:space="0" w:color="FFFFFF" w:themeColor="background1"/>
              <w:bottom w:val="single" w:sz="4" w:space="0" w:color="FFFFFF" w:themeColor="background1"/>
            </w:tcBorders>
            <w:vAlign w:val="center"/>
          </w:tcPr>
          <w:p w14:paraId="4064283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0.734</w:t>
            </w:r>
          </w:p>
        </w:tc>
        <w:tc>
          <w:tcPr>
            <w:tcW w:w="1234" w:type="dxa"/>
            <w:tcBorders>
              <w:top w:val="single" w:sz="4" w:space="0" w:color="FFFFFF" w:themeColor="background1"/>
              <w:bottom w:val="single" w:sz="4" w:space="0" w:color="FFFFFF" w:themeColor="background1"/>
            </w:tcBorders>
            <w:vAlign w:val="center"/>
          </w:tcPr>
          <w:p w14:paraId="5D67B8F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6F30E18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41480E0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044EAEE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5998D2F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5CA9796" w14:textId="77777777" w:rsidTr="003B5486">
        <w:trPr>
          <w:trHeight w:val="284"/>
        </w:trPr>
        <w:tc>
          <w:tcPr>
            <w:tcW w:w="1244" w:type="dxa"/>
            <w:tcBorders>
              <w:top w:val="single" w:sz="4" w:space="0" w:color="FFFFFF" w:themeColor="background1"/>
              <w:bottom w:val="single" w:sz="4" w:space="0" w:color="FFFFFF" w:themeColor="background1"/>
            </w:tcBorders>
          </w:tcPr>
          <w:p w14:paraId="6B6EC7D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KEH9</w:t>
            </w:r>
          </w:p>
        </w:tc>
        <w:tc>
          <w:tcPr>
            <w:tcW w:w="1238" w:type="dxa"/>
            <w:tcBorders>
              <w:top w:val="single" w:sz="4" w:space="0" w:color="FFFFFF" w:themeColor="background1"/>
              <w:bottom w:val="single" w:sz="4" w:space="0" w:color="FFFFFF" w:themeColor="background1"/>
            </w:tcBorders>
            <w:vAlign w:val="center"/>
          </w:tcPr>
          <w:p w14:paraId="13F5E52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0.549</w:t>
            </w:r>
          </w:p>
        </w:tc>
        <w:tc>
          <w:tcPr>
            <w:tcW w:w="1234" w:type="dxa"/>
            <w:tcBorders>
              <w:top w:val="single" w:sz="4" w:space="0" w:color="FFFFFF" w:themeColor="background1"/>
              <w:bottom w:val="single" w:sz="4" w:space="0" w:color="FFFFFF" w:themeColor="background1"/>
            </w:tcBorders>
            <w:vAlign w:val="center"/>
          </w:tcPr>
          <w:p w14:paraId="5B65568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59B60DF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384316D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00D0534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5318B45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B838F1F" w14:textId="77777777" w:rsidTr="003B5486">
        <w:trPr>
          <w:trHeight w:val="284"/>
        </w:trPr>
        <w:tc>
          <w:tcPr>
            <w:tcW w:w="1244" w:type="dxa"/>
            <w:tcBorders>
              <w:top w:val="single" w:sz="4" w:space="0" w:color="FFFFFF" w:themeColor="background1"/>
              <w:bottom w:val="single" w:sz="4" w:space="0" w:color="FFFFFF" w:themeColor="background1"/>
            </w:tcBorders>
          </w:tcPr>
          <w:p w14:paraId="78264D1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KEH10</w:t>
            </w:r>
          </w:p>
        </w:tc>
        <w:tc>
          <w:tcPr>
            <w:tcW w:w="1238" w:type="dxa"/>
            <w:tcBorders>
              <w:top w:val="single" w:sz="4" w:space="0" w:color="FFFFFF" w:themeColor="background1"/>
              <w:bottom w:val="single" w:sz="4" w:space="0" w:color="FFFFFF" w:themeColor="background1"/>
            </w:tcBorders>
            <w:vAlign w:val="center"/>
          </w:tcPr>
          <w:p w14:paraId="7067CE3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0.669</w:t>
            </w:r>
          </w:p>
        </w:tc>
        <w:tc>
          <w:tcPr>
            <w:tcW w:w="1234" w:type="dxa"/>
            <w:tcBorders>
              <w:top w:val="single" w:sz="4" w:space="0" w:color="FFFFFF" w:themeColor="background1"/>
              <w:bottom w:val="single" w:sz="4" w:space="0" w:color="FFFFFF" w:themeColor="background1"/>
            </w:tcBorders>
            <w:vAlign w:val="center"/>
          </w:tcPr>
          <w:p w14:paraId="595EAE4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2050D0B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57636D5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1C66AEA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2A46DC7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7C255E2" w14:textId="77777777" w:rsidTr="003B5486">
        <w:trPr>
          <w:trHeight w:val="284"/>
        </w:trPr>
        <w:tc>
          <w:tcPr>
            <w:tcW w:w="1244" w:type="dxa"/>
            <w:tcBorders>
              <w:top w:val="single" w:sz="4" w:space="0" w:color="FFFFFF" w:themeColor="background1"/>
            </w:tcBorders>
          </w:tcPr>
          <w:p w14:paraId="0116A1A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KEH15</w:t>
            </w:r>
          </w:p>
        </w:tc>
        <w:tc>
          <w:tcPr>
            <w:tcW w:w="1238" w:type="dxa"/>
            <w:tcBorders>
              <w:top w:val="single" w:sz="4" w:space="0" w:color="FFFFFF" w:themeColor="background1"/>
            </w:tcBorders>
            <w:vAlign w:val="center"/>
          </w:tcPr>
          <w:p w14:paraId="5C456F2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0.636</w:t>
            </w:r>
          </w:p>
        </w:tc>
        <w:tc>
          <w:tcPr>
            <w:tcW w:w="1234" w:type="dxa"/>
            <w:tcBorders>
              <w:top w:val="single" w:sz="4" w:space="0" w:color="FFFFFF" w:themeColor="background1"/>
            </w:tcBorders>
            <w:vAlign w:val="center"/>
          </w:tcPr>
          <w:p w14:paraId="6EC5BD9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7" w:type="dxa"/>
            <w:vMerge/>
            <w:vAlign w:val="center"/>
          </w:tcPr>
          <w:p w14:paraId="3307961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4516900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0D9F5C6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35A9377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AF4A20E" w14:textId="77777777" w:rsidTr="003B5486">
        <w:trPr>
          <w:trHeight w:val="284"/>
        </w:trPr>
        <w:tc>
          <w:tcPr>
            <w:tcW w:w="1244" w:type="dxa"/>
            <w:tcBorders>
              <w:bottom w:val="single" w:sz="4" w:space="0" w:color="FFFFFF" w:themeColor="background1"/>
            </w:tcBorders>
          </w:tcPr>
          <w:p w14:paraId="35657DA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KEH11</w:t>
            </w:r>
          </w:p>
        </w:tc>
        <w:tc>
          <w:tcPr>
            <w:tcW w:w="1238" w:type="dxa"/>
            <w:tcBorders>
              <w:bottom w:val="single" w:sz="4" w:space="0" w:color="FFFFFF" w:themeColor="background1"/>
            </w:tcBorders>
          </w:tcPr>
          <w:p w14:paraId="1192D64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34" w:type="dxa"/>
            <w:tcBorders>
              <w:bottom w:val="single" w:sz="4" w:space="0" w:color="FFFFFF" w:themeColor="background1"/>
            </w:tcBorders>
          </w:tcPr>
          <w:p w14:paraId="4933FEE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0.738</w:t>
            </w:r>
          </w:p>
        </w:tc>
        <w:tc>
          <w:tcPr>
            <w:tcW w:w="1317" w:type="dxa"/>
            <w:vMerge w:val="restart"/>
            <w:vAlign w:val="center"/>
          </w:tcPr>
          <w:p w14:paraId="6AC6767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0.844</w:t>
            </w:r>
          </w:p>
        </w:tc>
        <w:tc>
          <w:tcPr>
            <w:tcW w:w="1275" w:type="dxa"/>
            <w:vMerge w:val="restart"/>
            <w:vAlign w:val="center"/>
          </w:tcPr>
          <w:p w14:paraId="5ABCE82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4</w:t>
            </w:r>
          </w:p>
        </w:tc>
        <w:tc>
          <w:tcPr>
            <w:tcW w:w="1246" w:type="dxa"/>
            <w:vMerge w:val="restart"/>
            <w:vAlign w:val="center"/>
          </w:tcPr>
          <w:p w14:paraId="1C22664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KEHN2</w:t>
            </w:r>
          </w:p>
        </w:tc>
        <w:tc>
          <w:tcPr>
            <w:tcW w:w="1462" w:type="dxa"/>
            <w:vMerge w:val="restart"/>
            <w:vAlign w:val="center"/>
          </w:tcPr>
          <w:p w14:paraId="6EB96F6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Lack of Preparedness</w:t>
            </w:r>
          </w:p>
        </w:tc>
      </w:tr>
      <w:tr w:rsidR="00A0618E" w:rsidRPr="00400193" w14:paraId="4D01C878" w14:textId="77777777" w:rsidTr="003B5486">
        <w:trPr>
          <w:trHeight w:val="284"/>
        </w:trPr>
        <w:tc>
          <w:tcPr>
            <w:tcW w:w="1244" w:type="dxa"/>
            <w:tcBorders>
              <w:top w:val="single" w:sz="4" w:space="0" w:color="FFFFFF" w:themeColor="background1"/>
              <w:bottom w:val="single" w:sz="4" w:space="0" w:color="FFFFFF" w:themeColor="background1"/>
            </w:tcBorders>
            <w:vAlign w:val="center"/>
          </w:tcPr>
          <w:p w14:paraId="75F9DDD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KEH12</w:t>
            </w:r>
          </w:p>
        </w:tc>
        <w:tc>
          <w:tcPr>
            <w:tcW w:w="1238" w:type="dxa"/>
            <w:tcBorders>
              <w:top w:val="single" w:sz="4" w:space="0" w:color="FFFFFF" w:themeColor="background1"/>
              <w:bottom w:val="single" w:sz="4" w:space="0" w:color="FFFFFF" w:themeColor="background1"/>
            </w:tcBorders>
            <w:vAlign w:val="center"/>
          </w:tcPr>
          <w:p w14:paraId="0DC1148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34" w:type="dxa"/>
            <w:tcBorders>
              <w:top w:val="single" w:sz="4" w:space="0" w:color="FFFFFF" w:themeColor="background1"/>
              <w:bottom w:val="single" w:sz="4" w:space="0" w:color="FFFFFF" w:themeColor="background1"/>
            </w:tcBorders>
            <w:vAlign w:val="center"/>
          </w:tcPr>
          <w:p w14:paraId="433DE73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0.758</w:t>
            </w:r>
          </w:p>
        </w:tc>
        <w:tc>
          <w:tcPr>
            <w:tcW w:w="1317" w:type="dxa"/>
            <w:vMerge/>
            <w:vAlign w:val="center"/>
          </w:tcPr>
          <w:p w14:paraId="38DD320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18D6189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6879C94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232B3E4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95ADC35" w14:textId="77777777" w:rsidTr="003B5486">
        <w:trPr>
          <w:trHeight w:val="284"/>
        </w:trPr>
        <w:tc>
          <w:tcPr>
            <w:tcW w:w="1244" w:type="dxa"/>
            <w:tcBorders>
              <w:top w:val="single" w:sz="4" w:space="0" w:color="FFFFFF" w:themeColor="background1"/>
              <w:bottom w:val="single" w:sz="4" w:space="0" w:color="FFFFFF" w:themeColor="background1"/>
            </w:tcBorders>
          </w:tcPr>
          <w:p w14:paraId="58747BC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KEH13</w:t>
            </w:r>
          </w:p>
        </w:tc>
        <w:tc>
          <w:tcPr>
            <w:tcW w:w="1238" w:type="dxa"/>
            <w:tcBorders>
              <w:top w:val="single" w:sz="4" w:space="0" w:color="FFFFFF" w:themeColor="background1"/>
              <w:bottom w:val="single" w:sz="4" w:space="0" w:color="FFFFFF" w:themeColor="background1"/>
            </w:tcBorders>
          </w:tcPr>
          <w:p w14:paraId="07BD9FD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34" w:type="dxa"/>
            <w:tcBorders>
              <w:top w:val="single" w:sz="4" w:space="0" w:color="FFFFFF" w:themeColor="background1"/>
              <w:bottom w:val="single" w:sz="4" w:space="0" w:color="FFFFFF" w:themeColor="background1"/>
            </w:tcBorders>
          </w:tcPr>
          <w:p w14:paraId="10A9E26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0.766</w:t>
            </w:r>
          </w:p>
        </w:tc>
        <w:tc>
          <w:tcPr>
            <w:tcW w:w="1317" w:type="dxa"/>
            <w:vMerge/>
            <w:vAlign w:val="center"/>
          </w:tcPr>
          <w:p w14:paraId="6060824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7173DD3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04F9D8D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7FFFF4A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5056669" w14:textId="77777777" w:rsidTr="003B5486">
        <w:trPr>
          <w:trHeight w:val="284"/>
        </w:trPr>
        <w:tc>
          <w:tcPr>
            <w:tcW w:w="1244" w:type="dxa"/>
            <w:tcBorders>
              <w:top w:val="single" w:sz="4" w:space="0" w:color="FFFFFF" w:themeColor="background1"/>
            </w:tcBorders>
          </w:tcPr>
          <w:p w14:paraId="4DBE8FD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rPr>
              <w:t>KEH14</w:t>
            </w:r>
          </w:p>
        </w:tc>
        <w:tc>
          <w:tcPr>
            <w:tcW w:w="1238" w:type="dxa"/>
            <w:tcBorders>
              <w:top w:val="single" w:sz="4" w:space="0" w:color="FFFFFF" w:themeColor="background1"/>
            </w:tcBorders>
          </w:tcPr>
          <w:p w14:paraId="22A0A92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34" w:type="dxa"/>
            <w:tcBorders>
              <w:top w:val="single" w:sz="4" w:space="0" w:color="FFFFFF" w:themeColor="background1"/>
            </w:tcBorders>
          </w:tcPr>
          <w:p w14:paraId="0886480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rPr>
              <w:t>0.768</w:t>
            </w:r>
          </w:p>
        </w:tc>
        <w:tc>
          <w:tcPr>
            <w:tcW w:w="1317" w:type="dxa"/>
            <w:vMerge/>
            <w:vAlign w:val="center"/>
          </w:tcPr>
          <w:p w14:paraId="228564D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75" w:type="dxa"/>
            <w:vMerge/>
            <w:vAlign w:val="center"/>
          </w:tcPr>
          <w:p w14:paraId="72799BE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46" w:type="dxa"/>
            <w:vMerge/>
            <w:vAlign w:val="center"/>
          </w:tcPr>
          <w:p w14:paraId="3E60234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62" w:type="dxa"/>
            <w:vMerge/>
            <w:vAlign w:val="center"/>
          </w:tcPr>
          <w:p w14:paraId="093518C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9AE12B0" w14:textId="77777777" w:rsidTr="003B5486">
        <w:trPr>
          <w:trHeight w:val="284"/>
        </w:trPr>
        <w:tc>
          <w:tcPr>
            <w:tcW w:w="9016" w:type="dxa"/>
            <w:gridSpan w:val="7"/>
          </w:tcPr>
          <w:p w14:paraId="1796DE4F" w14:textId="2F5B4473"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p>
          <w:p w14:paraId="4B36A03D" w14:textId="11DB4934" w:rsidR="001A0FC9" w:rsidRPr="00400193" w:rsidRDefault="001A0FC9"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760FAB32" w14:textId="5BF950B5" w:rsidR="006E3616" w:rsidRPr="00400193" w:rsidRDefault="006E3616" w:rsidP="006E3616">
      <w:pPr>
        <w:pStyle w:val="Caption"/>
        <w:spacing w:after="240"/>
        <w:rPr>
          <w:lang w:eastAsia="zh-CN" w:bidi="hi-IN"/>
        </w:rPr>
      </w:pPr>
      <w:bookmarkStart w:id="453" w:name="_Ref43219774"/>
      <w:bookmarkStart w:id="454" w:name="_Toc5290155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w:t>
      </w:r>
      <w:r w:rsidRPr="00400193">
        <w:fldChar w:fldCharType="end"/>
      </w:r>
      <w:bookmarkEnd w:id="453"/>
      <w:r w:rsidRPr="00400193">
        <w:t>: Cronbach’s alpha, number of questions and rotated component matrix for KEH</w:t>
      </w:r>
      <w:bookmarkEnd w:id="454"/>
    </w:p>
    <w:p w14:paraId="5227A562" w14:textId="0B1462A0"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_Ref43219959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w:t>
      </w:r>
      <w:r w:rsidRPr="00400193">
        <w:rPr>
          <w:lang w:eastAsia="zh-CN" w:bidi="hi-IN"/>
        </w:rPr>
        <w:fldChar w:fldCharType="end"/>
      </w:r>
      <w:r w:rsidRPr="00400193">
        <w:rPr>
          <w:lang w:eastAsia="zh-CN" w:bidi="hi-IN"/>
        </w:rPr>
        <w:t xml:space="preserve"> shows CR and AVE for each factor and MSW and ASV values. CR varied from 0.843 to 0.908, with all values higher than 0.7. AVE ranged from 0.477 to 0.574, with the value for Factor 1 lower than 0.5. MSV (0.694) &gt; AVE and ASV (0.554) &lt; AVE (Factor 2). There were therefore problems with convergent validity for Factor 1 but not for Factor 2, and no problems with discriminant validity, because MSV &gt; AVE. This suggests that Factor 1 may not be well explained by its observed variables, although this problem is only small.</w:t>
      </w:r>
    </w:p>
    <w:tbl>
      <w:tblPr>
        <w:tblStyle w:val="TableGrid"/>
        <w:tblW w:w="0" w:type="auto"/>
        <w:tblLook w:val="04A0" w:firstRow="1" w:lastRow="0" w:firstColumn="1" w:lastColumn="0" w:noHBand="0" w:noVBand="1"/>
      </w:tblPr>
      <w:tblGrid>
        <w:gridCol w:w="4673"/>
        <w:gridCol w:w="2171"/>
        <w:gridCol w:w="2172"/>
      </w:tblGrid>
      <w:tr w:rsidR="00A0618E" w:rsidRPr="00400193" w14:paraId="7C2306A7" w14:textId="77777777" w:rsidTr="003B5486">
        <w:trPr>
          <w:trHeight w:val="284"/>
        </w:trPr>
        <w:tc>
          <w:tcPr>
            <w:tcW w:w="4673" w:type="dxa"/>
            <w:tcBorders>
              <w:top w:val="single" w:sz="4" w:space="0" w:color="auto"/>
              <w:bottom w:val="single" w:sz="4" w:space="0" w:color="auto"/>
              <w:right w:val="single" w:sz="4" w:space="0" w:color="FFFFFF" w:themeColor="background1"/>
            </w:tcBorders>
          </w:tcPr>
          <w:p w14:paraId="3DD117EA"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Parameters</w:t>
            </w:r>
          </w:p>
        </w:tc>
        <w:tc>
          <w:tcPr>
            <w:tcW w:w="2171"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198F3F68"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Factor 1</w:t>
            </w:r>
          </w:p>
        </w:tc>
        <w:tc>
          <w:tcPr>
            <w:tcW w:w="2172" w:type="dxa"/>
            <w:tcBorders>
              <w:top w:val="single" w:sz="4" w:space="0" w:color="auto"/>
              <w:left w:val="single" w:sz="4" w:space="0" w:color="FFFFFF" w:themeColor="background1"/>
              <w:bottom w:val="single" w:sz="4" w:space="0" w:color="auto"/>
            </w:tcBorders>
            <w:vAlign w:val="center"/>
          </w:tcPr>
          <w:p w14:paraId="278032A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Factor 2</w:t>
            </w:r>
          </w:p>
        </w:tc>
      </w:tr>
      <w:tr w:rsidR="00A0618E" w:rsidRPr="00400193" w14:paraId="4CE270EF" w14:textId="77777777" w:rsidTr="003B5486">
        <w:trPr>
          <w:trHeight w:val="284"/>
        </w:trPr>
        <w:tc>
          <w:tcPr>
            <w:tcW w:w="4673" w:type="dxa"/>
            <w:tcBorders>
              <w:top w:val="single" w:sz="4" w:space="0" w:color="auto"/>
              <w:bottom w:val="single" w:sz="4" w:space="0" w:color="FFFFFF" w:themeColor="background1"/>
              <w:right w:val="single" w:sz="4" w:space="0" w:color="FFFFFF" w:themeColor="background1"/>
            </w:tcBorders>
          </w:tcPr>
          <w:p w14:paraId="66C32F6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Composite reliability</w:t>
            </w:r>
          </w:p>
        </w:tc>
        <w:tc>
          <w:tcPr>
            <w:tcW w:w="2171"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68FE4A4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0.908</w:t>
            </w:r>
          </w:p>
        </w:tc>
        <w:tc>
          <w:tcPr>
            <w:tcW w:w="2172" w:type="dxa"/>
            <w:tcBorders>
              <w:top w:val="single" w:sz="4" w:space="0" w:color="auto"/>
              <w:left w:val="single" w:sz="4" w:space="0" w:color="FFFFFF" w:themeColor="background1"/>
              <w:bottom w:val="single" w:sz="4" w:space="0" w:color="FFFFFF" w:themeColor="background1"/>
            </w:tcBorders>
            <w:vAlign w:val="center"/>
          </w:tcPr>
          <w:p w14:paraId="7E7440A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0.843</w:t>
            </w:r>
          </w:p>
        </w:tc>
      </w:tr>
      <w:tr w:rsidR="00A0618E" w:rsidRPr="00400193" w14:paraId="3DC1D5D3" w14:textId="77777777" w:rsidTr="003B5486">
        <w:trPr>
          <w:trHeight w:val="284"/>
        </w:trPr>
        <w:tc>
          <w:tcPr>
            <w:tcW w:w="4673" w:type="dxa"/>
            <w:tcBorders>
              <w:top w:val="single" w:sz="4" w:space="0" w:color="FFFFFF" w:themeColor="background1"/>
              <w:bottom w:val="single" w:sz="4" w:space="0" w:color="FFFFFF" w:themeColor="background1"/>
              <w:right w:val="single" w:sz="4" w:space="0" w:color="FFFFFF" w:themeColor="background1"/>
            </w:tcBorders>
          </w:tcPr>
          <w:p w14:paraId="2613684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Average variance extracted</w:t>
            </w:r>
          </w:p>
        </w:tc>
        <w:tc>
          <w:tcPr>
            <w:tcW w:w="21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9525E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0.477</w:t>
            </w:r>
          </w:p>
        </w:tc>
        <w:tc>
          <w:tcPr>
            <w:tcW w:w="2172" w:type="dxa"/>
            <w:tcBorders>
              <w:top w:val="single" w:sz="4" w:space="0" w:color="FFFFFF" w:themeColor="background1"/>
              <w:left w:val="single" w:sz="4" w:space="0" w:color="FFFFFF" w:themeColor="background1"/>
              <w:bottom w:val="single" w:sz="4" w:space="0" w:color="FFFFFF" w:themeColor="background1"/>
            </w:tcBorders>
            <w:vAlign w:val="center"/>
          </w:tcPr>
          <w:p w14:paraId="61DB867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0.574</w:t>
            </w:r>
          </w:p>
        </w:tc>
      </w:tr>
      <w:tr w:rsidR="00A0618E" w:rsidRPr="00400193" w14:paraId="5EA6035B" w14:textId="77777777" w:rsidTr="003B5486">
        <w:trPr>
          <w:trHeight w:val="284"/>
        </w:trPr>
        <w:tc>
          <w:tcPr>
            <w:tcW w:w="4673" w:type="dxa"/>
            <w:tcBorders>
              <w:top w:val="single" w:sz="4" w:space="0" w:color="FFFFFF" w:themeColor="background1"/>
              <w:bottom w:val="single" w:sz="4" w:space="0" w:color="FFFFFF" w:themeColor="background1"/>
              <w:right w:val="single" w:sz="4" w:space="0" w:color="FFFFFF" w:themeColor="background1"/>
            </w:tcBorders>
          </w:tcPr>
          <w:p w14:paraId="5034D6A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Maximum shared variance</w:t>
            </w:r>
          </w:p>
        </w:tc>
        <w:tc>
          <w:tcPr>
            <w:tcW w:w="21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1B4D5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0.694</w:t>
            </w:r>
          </w:p>
        </w:tc>
        <w:tc>
          <w:tcPr>
            <w:tcW w:w="2172" w:type="dxa"/>
            <w:tcBorders>
              <w:top w:val="single" w:sz="4" w:space="0" w:color="FFFFFF" w:themeColor="background1"/>
              <w:left w:val="single" w:sz="4" w:space="0" w:color="FFFFFF" w:themeColor="background1"/>
              <w:bottom w:val="single" w:sz="4" w:space="0" w:color="FFFFFF" w:themeColor="background1"/>
            </w:tcBorders>
            <w:vAlign w:val="center"/>
          </w:tcPr>
          <w:p w14:paraId="30739EF6"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A0618E" w:rsidRPr="00400193" w14:paraId="06103BAB" w14:textId="77777777" w:rsidTr="003B5486">
        <w:trPr>
          <w:trHeight w:val="284"/>
        </w:trPr>
        <w:tc>
          <w:tcPr>
            <w:tcW w:w="4673" w:type="dxa"/>
            <w:tcBorders>
              <w:top w:val="single" w:sz="4" w:space="0" w:color="FFFFFF" w:themeColor="background1"/>
              <w:bottom w:val="single" w:sz="4" w:space="0" w:color="auto"/>
              <w:right w:val="single" w:sz="4" w:space="0" w:color="FFFFFF" w:themeColor="background1"/>
            </w:tcBorders>
          </w:tcPr>
          <w:p w14:paraId="21DB988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Average shared variance</w:t>
            </w:r>
          </w:p>
        </w:tc>
        <w:tc>
          <w:tcPr>
            <w:tcW w:w="217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0077E83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0.554</w:t>
            </w:r>
          </w:p>
        </w:tc>
        <w:tc>
          <w:tcPr>
            <w:tcW w:w="2172" w:type="dxa"/>
            <w:tcBorders>
              <w:top w:val="single" w:sz="4" w:space="0" w:color="FFFFFF" w:themeColor="background1"/>
              <w:left w:val="single" w:sz="4" w:space="0" w:color="FFFFFF" w:themeColor="background1"/>
            </w:tcBorders>
            <w:vAlign w:val="center"/>
          </w:tcPr>
          <w:p w14:paraId="13141FAF" w14:textId="77777777" w:rsidR="006E3616" w:rsidRPr="00400193" w:rsidRDefault="006E3616" w:rsidP="003B5486">
            <w:pPr>
              <w:keepNext/>
              <w:spacing w:line="240" w:lineRule="auto"/>
              <w:jc w:val="center"/>
              <w:rPr>
                <w:rFonts w:asciiTheme="minorHAnsi" w:hAnsiTheme="minorHAnsi" w:cstheme="minorHAnsi"/>
                <w:sz w:val="20"/>
                <w:lang w:eastAsia="zh-CN" w:bidi="hi-IN"/>
              </w:rPr>
            </w:pPr>
          </w:p>
        </w:tc>
      </w:tr>
    </w:tbl>
    <w:p w14:paraId="37CDCBDA" w14:textId="583A4F09" w:rsidR="006E3616" w:rsidRPr="00400193" w:rsidRDefault="006E3616" w:rsidP="006E3616">
      <w:pPr>
        <w:pStyle w:val="Caption"/>
        <w:spacing w:after="240"/>
      </w:pPr>
      <w:bookmarkStart w:id="455" w:name="_Ref43219959"/>
      <w:bookmarkStart w:id="456" w:name="_Toc5290155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w:t>
      </w:r>
      <w:r w:rsidRPr="00400193">
        <w:fldChar w:fldCharType="end"/>
      </w:r>
      <w:bookmarkEnd w:id="455"/>
      <w:r w:rsidRPr="00400193">
        <w:t>: Average variance extracted (AVE), composite reliability (CR), maximum shared variance (MSV) and average shared variance (ASV) for KEH</w:t>
      </w:r>
      <w:bookmarkEnd w:id="456"/>
    </w:p>
    <w:p w14:paraId="6D123948" w14:textId="7CDA1AA4" w:rsidR="006E3616" w:rsidRPr="00400193" w:rsidRDefault="006E3616" w:rsidP="006E3616">
      <w:pPr>
        <w:rPr>
          <w:lang w:eastAsia="zh-CN" w:bidi="hi-IN"/>
        </w:rPr>
      </w:pPr>
      <w:r w:rsidRPr="00400193">
        <w:rPr>
          <w:lang w:eastAsia="zh-CN" w:bidi="hi-IN"/>
        </w:rPr>
        <w:t xml:space="preserve">Both new latent clusters have been identified in previous studies. Halupka (2014) noted that non-violent use of digital tools can be a form of ‘legitimate protest’, to promote an idea or protest against a new public policy or law, but that this can lead to unfortunate results for the target. Lack of preparedness inside the organisation is often related to lack of proper assessment of the organisation’s cyber-security, before any threat is identified (Atoum, Otoom </w:t>
      </w:r>
      <w:r w:rsidR="00337F8A" w:rsidRPr="00400193">
        <w:rPr>
          <w:lang w:eastAsia="zh-CN" w:bidi="hi-IN"/>
        </w:rPr>
        <w:t>and</w:t>
      </w:r>
      <w:r w:rsidRPr="00400193">
        <w:rPr>
          <w:lang w:eastAsia="zh-CN" w:bidi="hi-IN"/>
        </w:rPr>
        <w:t xml:space="preserve"> Abu Ali, 2014). </w:t>
      </w:r>
    </w:p>
    <w:p w14:paraId="6F2C6176" w14:textId="77777777" w:rsidR="006E3616" w:rsidRPr="00400193" w:rsidRDefault="006E3616" w:rsidP="006E3616">
      <w:pPr>
        <w:pStyle w:val="Heading3"/>
        <w:rPr>
          <w:lang w:eastAsia="zh-CN" w:bidi="hi-IN"/>
        </w:rPr>
      </w:pPr>
      <w:bookmarkStart w:id="457" w:name="_Toc61894754"/>
      <w:r w:rsidRPr="00400193">
        <w:rPr>
          <w:lang w:eastAsia="zh-CN" w:bidi="hi-IN"/>
        </w:rPr>
        <w:lastRenderedPageBreak/>
        <w:t>Key External Threats – Phishing (KEP)</w:t>
      </w:r>
      <w:bookmarkEnd w:id="457"/>
    </w:p>
    <w:p w14:paraId="14A3D1B3" w14:textId="4A82D5FC" w:rsidR="006E3616" w:rsidRPr="00400193" w:rsidRDefault="006E3616" w:rsidP="009B134A">
      <w:pPr>
        <w:spacing w:after="0"/>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_Ref43221137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w:t>
      </w:r>
      <w:r w:rsidRPr="00400193">
        <w:rPr>
          <w:lang w:eastAsia="zh-CN" w:bidi="hi-IN"/>
        </w:rPr>
        <w:fldChar w:fldCharType="end"/>
      </w:r>
      <w:r w:rsidRPr="00400193">
        <w:rPr>
          <w:lang w:eastAsia="zh-CN" w:bidi="hi-IN"/>
        </w:rPr>
        <w:t xml:space="preserve">) explains the selection of the single main component. Only the first factor had an eigenvalue greater than 1, but this </w:t>
      </w:r>
      <w:r w:rsidR="001F0C59" w:rsidRPr="00400193">
        <w:rPr>
          <w:lang w:eastAsia="zh-CN" w:bidi="hi-IN"/>
        </w:rPr>
        <w:t>expressed</w:t>
      </w:r>
      <w:r w:rsidR="001F0C59" w:rsidRPr="00400193" w:rsidDel="001F0C59">
        <w:rPr>
          <w:lang w:eastAsia="zh-CN" w:bidi="hi-IN"/>
        </w:rPr>
        <w:t xml:space="preserve"> </w:t>
      </w:r>
      <w:r w:rsidRPr="00400193">
        <w:rPr>
          <w:lang w:eastAsia="zh-CN" w:bidi="hi-IN"/>
        </w:rPr>
        <w:t>71.2% of the variance, resulting in the loss of only 28.8% of the original information represented by the eight initial variables. This factor also covered 5.7 variables.</w:t>
      </w:r>
    </w:p>
    <w:tbl>
      <w:tblPr>
        <w:tblStyle w:val="TableGrid"/>
        <w:tblW w:w="0" w:type="auto"/>
        <w:tblLook w:val="04A0" w:firstRow="1" w:lastRow="0" w:firstColumn="1" w:lastColumn="0" w:noHBand="0" w:noVBand="1"/>
      </w:tblPr>
      <w:tblGrid>
        <w:gridCol w:w="1106"/>
        <w:gridCol w:w="1182"/>
        <w:gridCol w:w="1245"/>
        <w:gridCol w:w="1528"/>
        <w:gridCol w:w="1182"/>
        <w:gridCol w:w="1245"/>
        <w:gridCol w:w="1528"/>
      </w:tblGrid>
      <w:tr w:rsidR="00A0618E" w:rsidRPr="00400193" w14:paraId="0F8D3574" w14:textId="77777777" w:rsidTr="003B5486">
        <w:trPr>
          <w:trHeight w:val="284"/>
        </w:trPr>
        <w:tc>
          <w:tcPr>
            <w:tcW w:w="1106" w:type="dxa"/>
            <w:vMerge w:val="restart"/>
            <w:tcBorders>
              <w:left w:val="single" w:sz="4" w:space="0" w:color="FFFFFF" w:themeColor="background1"/>
              <w:right w:val="single" w:sz="4" w:space="0" w:color="FFFFFF" w:themeColor="background1"/>
            </w:tcBorders>
            <w:vAlign w:val="center"/>
          </w:tcPr>
          <w:p w14:paraId="6BB06DCE"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Latent Variables</w:t>
            </w:r>
          </w:p>
        </w:tc>
        <w:tc>
          <w:tcPr>
            <w:tcW w:w="3955" w:type="dxa"/>
            <w:gridSpan w:val="3"/>
            <w:tcBorders>
              <w:left w:val="single" w:sz="4" w:space="0" w:color="FFFFFF" w:themeColor="background1"/>
              <w:bottom w:val="single" w:sz="4" w:space="0" w:color="FFFFFF" w:themeColor="background1"/>
              <w:right w:val="single" w:sz="4" w:space="0" w:color="FFFFFF" w:themeColor="background1"/>
            </w:tcBorders>
            <w:vAlign w:val="center"/>
          </w:tcPr>
          <w:p w14:paraId="6A71775D"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Initial Eigenvalues</w:t>
            </w:r>
          </w:p>
        </w:tc>
        <w:tc>
          <w:tcPr>
            <w:tcW w:w="3955" w:type="dxa"/>
            <w:gridSpan w:val="3"/>
            <w:tcBorders>
              <w:left w:val="single" w:sz="4" w:space="0" w:color="FFFFFF" w:themeColor="background1"/>
              <w:bottom w:val="single" w:sz="4" w:space="0" w:color="FFFFFF" w:themeColor="background1"/>
              <w:right w:val="single" w:sz="4" w:space="0" w:color="FFFFFF" w:themeColor="background1"/>
            </w:tcBorders>
            <w:vAlign w:val="center"/>
          </w:tcPr>
          <w:p w14:paraId="1DFD0A9F"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Extraction Sums of Squared Loadings</w:t>
            </w:r>
          </w:p>
        </w:tc>
      </w:tr>
      <w:tr w:rsidR="00A0618E" w:rsidRPr="00400193" w14:paraId="13995435" w14:textId="77777777" w:rsidTr="003B5486">
        <w:trPr>
          <w:trHeight w:val="284"/>
        </w:trPr>
        <w:tc>
          <w:tcPr>
            <w:tcW w:w="1106" w:type="dxa"/>
            <w:vMerge/>
            <w:tcBorders>
              <w:left w:val="single" w:sz="4" w:space="0" w:color="FFFFFF" w:themeColor="background1"/>
              <w:right w:val="single" w:sz="4" w:space="0" w:color="FFFFFF" w:themeColor="background1"/>
            </w:tcBorders>
            <w:vAlign w:val="center"/>
          </w:tcPr>
          <w:p w14:paraId="374865C1" w14:textId="77777777" w:rsidR="006E3616" w:rsidRPr="00400193" w:rsidRDefault="006E3616" w:rsidP="003B5486">
            <w:pPr>
              <w:spacing w:line="240" w:lineRule="auto"/>
              <w:jc w:val="center"/>
              <w:rPr>
                <w:sz w:val="20"/>
                <w:szCs w:val="18"/>
                <w:lang w:eastAsia="zh-CN" w:bidi="hi-IN"/>
              </w:rPr>
            </w:pPr>
          </w:p>
        </w:tc>
        <w:tc>
          <w:tcPr>
            <w:tcW w:w="118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6F7462F2"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Total</w:t>
            </w:r>
          </w:p>
        </w:tc>
        <w:tc>
          <w:tcPr>
            <w:tcW w:w="124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5F04C2D7"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 of Variance</w:t>
            </w:r>
          </w:p>
        </w:tc>
        <w:tc>
          <w:tcPr>
            <w:tcW w:w="152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54B3A5B8"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Cumulative %</w:t>
            </w:r>
          </w:p>
        </w:tc>
        <w:tc>
          <w:tcPr>
            <w:tcW w:w="118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0AE9681A"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Total</w:t>
            </w:r>
          </w:p>
        </w:tc>
        <w:tc>
          <w:tcPr>
            <w:tcW w:w="124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374B6245"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 of Variance</w:t>
            </w:r>
          </w:p>
        </w:tc>
        <w:tc>
          <w:tcPr>
            <w:tcW w:w="152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bottom"/>
          </w:tcPr>
          <w:p w14:paraId="6205CD14"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Cumulative %</w:t>
            </w:r>
          </w:p>
        </w:tc>
      </w:tr>
      <w:tr w:rsidR="00A0618E" w:rsidRPr="00400193" w14:paraId="61B094A6" w14:textId="77777777" w:rsidTr="003B5486">
        <w:trPr>
          <w:trHeight w:val="284"/>
        </w:trPr>
        <w:tc>
          <w:tcPr>
            <w:tcW w:w="1106"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C4023DB"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1</w:t>
            </w:r>
          </w:p>
        </w:tc>
        <w:tc>
          <w:tcPr>
            <w:tcW w:w="118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3AC8803"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5.693</w:t>
            </w:r>
          </w:p>
        </w:tc>
        <w:tc>
          <w:tcPr>
            <w:tcW w:w="1245"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CEAB3E1"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71.158</w:t>
            </w:r>
          </w:p>
        </w:tc>
        <w:tc>
          <w:tcPr>
            <w:tcW w:w="1528"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303A1F1"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71.158</w:t>
            </w:r>
          </w:p>
        </w:tc>
        <w:tc>
          <w:tcPr>
            <w:tcW w:w="118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D688746"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5.693</w:t>
            </w:r>
          </w:p>
        </w:tc>
        <w:tc>
          <w:tcPr>
            <w:tcW w:w="1245"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E1A5169"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71.158</w:t>
            </w:r>
          </w:p>
        </w:tc>
        <w:tc>
          <w:tcPr>
            <w:tcW w:w="1528"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2B1FFD6"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71.158</w:t>
            </w:r>
          </w:p>
        </w:tc>
      </w:tr>
      <w:tr w:rsidR="00A0618E" w:rsidRPr="00400193" w14:paraId="2893DDD5" w14:textId="77777777" w:rsidTr="003B5486">
        <w:trPr>
          <w:trHeight w:val="284"/>
        </w:trPr>
        <w:tc>
          <w:tcPr>
            <w:tcW w:w="1106" w:type="dxa"/>
            <w:tcBorders>
              <w:top w:val="single" w:sz="4" w:space="0" w:color="FFFFFF" w:themeColor="background1"/>
              <w:left w:val="single" w:sz="4" w:space="0" w:color="FFFFFF" w:themeColor="background1"/>
              <w:right w:val="single" w:sz="4" w:space="0" w:color="FFFFFF" w:themeColor="background1"/>
            </w:tcBorders>
            <w:vAlign w:val="center"/>
          </w:tcPr>
          <w:p w14:paraId="4E439153" w14:textId="77777777" w:rsidR="006E3616" w:rsidRPr="00400193" w:rsidRDefault="006E3616" w:rsidP="003B5486">
            <w:pPr>
              <w:spacing w:line="240" w:lineRule="auto"/>
              <w:jc w:val="center"/>
              <w:rPr>
                <w:sz w:val="20"/>
                <w:szCs w:val="18"/>
                <w:lang w:eastAsia="zh-CN" w:bidi="hi-IN"/>
              </w:rPr>
            </w:pPr>
            <w:r w:rsidRPr="00400193">
              <w:rPr>
                <w:sz w:val="20"/>
                <w:szCs w:val="18"/>
              </w:rPr>
              <w:t>2</w:t>
            </w:r>
          </w:p>
        </w:tc>
        <w:tc>
          <w:tcPr>
            <w:tcW w:w="1182" w:type="dxa"/>
            <w:tcBorders>
              <w:top w:val="single" w:sz="4" w:space="0" w:color="FFFFFF" w:themeColor="background1"/>
              <w:left w:val="single" w:sz="4" w:space="0" w:color="FFFFFF" w:themeColor="background1"/>
              <w:right w:val="single" w:sz="4" w:space="0" w:color="FFFFFF" w:themeColor="background1"/>
            </w:tcBorders>
            <w:vAlign w:val="center"/>
          </w:tcPr>
          <w:p w14:paraId="112B0202" w14:textId="77777777" w:rsidR="006E3616" w:rsidRPr="00400193" w:rsidRDefault="006E3616" w:rsidP="003B5486">
            <w:pPr>
              <w:spacing w:line="240" w:lineRule="auto"/>
              <w:jc w:val="center"/>
              <w:rPr>
                <w:sz w:val="20"/>
                <w:szCs w:val="18"/>
                <w:lang w:eastAsia="zh-CN" w:bidi="hi-IN"/>
              </w:rPr>
            </w:pPr>
            <w:r w:rsidRPr="00400193">
              <w:rPr>
                <w:sz w:val="20"/>
                <w:szCs w:val="18"/>
              </w:rPr>
              <w:t>0.678</w:t>
            </w:r>
          </w:p>
        </w:tc>
        <w:tc>
          <w:tcPr>
            <w:tcW w:w="1245" w:type="dxa"/>
            <w:tcBorders>
              <w:top w:val="single" w:sz="4" w:space="0" w:color="FFFFFF" w:themeColor="background1"/>
              <w:left w:val="single" w:sz="4" w:space="0" w:color="FFFFFF" w:themeColor="background1"/>
              <w:right w:val="single" w:sz="4" w:space="0" w:color="FFFFFF" w:themeColor="background1"/>
            </w:tcBorders>
            <w:vAlign w:val="center"/>
          </w:tcPr>
          <w:p w14:paraId="39F8CCEF" w14:textId="77777777" w:rsidR="006E3616" w:rsidRPr="00400193" w:rsidRDefault="006E3616" w:rsidP="003B5486">
            <w:pPr>
              <w:spacing w:line="240" w:lineRule="auto"/>
              <w:jc w:val="center"/>
              <w:rPr>
                <w:sz w:val="20"/>
                <w:szCs w:val="18"/>
                <w:lang w:eastAsia="zh-CN" w:bidi="hi-IN"/>
              </w:rPr>
            </w:pPr>
            <w:r w:rsidRPr="00400193">
              <w:rPr>
                <w:sz w:val="20"/>
                <w:szCs w:val="18"/>
              </w:rPr>
              <w:t>8.477</w:t>
            </w:r>
          </w:p>
        </w:tc>
        <w:tc>
          <w:tcPr>
            <w:tcW w:w="1528" w:type="dxa"/>
            <w:tcBorders>
              <w:top w:val="single" w:sz="4" w:space="0" w:color="FFFFFF" w:themeColor="background1"/>
              <w:left w:val="single" w:sz="4" w:space="0" w:color="FFFFFF" w:themeColor="background1"/>
              <w:right w:val="single" w:sz="4" w:space="0" w:color="FFFFFF" w:themeColor="background1"/>
            </w:tcBorders>
            <w:vAlign w:val="center"/>
          </w:tcPr>
          <w:p w14:paraId="18DACE3C" w14:textId="77777777" w:rsidR="006E3616" w:rsidRPr="00400193" w:rsidRDefault="006E3616" w:rsidP="003B5486">
            <w:pPr>
              <w:spacing w:line="240" w:lineRule="auto"/>
              <w:jc w:val="center"/>
              <w:rPr>
                <w:sz w:val="20"/>
                <w:szCs w:val="18"/>
                <w:lang w:eastAsia="zh-CN" w:bidi="hi-IN"/>
              </w:rPr>
            </w:pPr>
            <w:r w:rsidRPr="00400193">
              <w:rPr>
                <w:sz w:val="20"/>
                <w:szCs w:val="18"/>
              </w:rPr>
              <w:t>79.635</w:t>
            </w:r>
          </w:p>
        </w:tc>
        <w:tc>
          <w:tcPr>
            <w:tcW w:w="1182" w:type="dxa"/>
            <w:tcBorders>
              <w:top w:val="single" w:sz="4" w:space="0" w:color="FFFFFF" w:themeColor="background1"/>
              <w:left w:val="single" w:sz="4" w:space="0" w:color="FFFFFF" w:themeColor="background1"/>
              <w:right w:val="single" w:sz="4" w:space="0" w:color="FFFFFF" w:themeColor="background1"/>
            </w:tcBorders>
            <w:vAlign w:val="center"/>
          </w:tcPr>
          <w:p w14:paraId="1D268C5F" w14:textId="77777777" w:rsidR="006E3616" w:rsidRPr="00400193" w:rsidRDefault="006E3616" w:rsidP="003B5486">
            <w:pPr>
              <w:spacing w:line="240" w:lineRule="auto"/>
              <w:jc w:val="center"/>
              <w:rPr>
                <w:sz w:val="20"/>
                <w:szCs w:val="18"/>
                <w:lang w:eastAsia="zh-CN" w:bidi="hi-IN"/>
              </w:rPr>
            </w:pPr>
          </w:p>
        </w:tc>
        <w:tc>
          <w:tcPr>
            <w:tcW w:w="1245" w:type="dxa"/>
            <w:tcBorders>
              <w:top w:val="single" w:sz="4" w:space="0" w:color="FFFFFF" w:themeColor="background1"/>
              <w:left w:val="single" w:sz="4" w:space="0" w:color="FFFFFF" w:themeColor="background1"/>
              <w:right w:val="single" w:sz="4" w:space="0" w:color="FFFFFF" w:themeColor="background1"/>
            </w:tcBorders>
            <w:vAlign w:val="center"/>
          </w:tcPr>
          <w:p w14:paraId="6AE3D14E" w14:textId="77777777" w:rsidR="006E3616" w:rsidRPr="00400193" w:rsidRDefault="006E3616" w:rsidP="003B5486">
            <w:pPr>
              <w:spacing w:line="240" w:lineRule="auto"/>
              <w:jc w:val="center"/>
              <w:rPr>
                <w:sz w:val="20"/>
                <w:szCs w:val="18"/>
                <w:lang w:eastAsia="zh-CN" w:bidi="hi-IN"/>
              </w:rPr>
            </w:pPr>
          </w:p>
        </w:tc>
        <w:tc>
          <w:tcPr>
            <w:tcW w:w="1528" w:type="dxa"/>
            <w:tcBorders>
              <w:top w:val="single" w:sz="4" w:space="0" w:color="FFFFFF" w:themeColor="background1"/>
              <w:left w:val="single" w:sz="4" w:space="0" w:color="FFFFFF" w:themeColor="background1"/>
              <w:right w:val="single" w:sz="4" w:space="0" w:color="FFFFFF" w:themeColor="background1"/>
            </w:tcBorders>
            <w:vAlign w:val="center"/>
          </w:tcPr>
          <w:p w14:paraId="40E19166" w14:textId="77777777" w:rsidR="006E3616" w:rsidRPr="00400193" w:rsidRDefault="006E3616" w:rsidP="003B5486">
            <w:pPr>
              <w:spacing w:line="240" w:lineRule="auto"/>
              <w:jc w:val="center"/>
              <w:rPr>
                <w:sz w:val="20"/>
                <w:szCs w:val="18"/>
                <w:lang w:eastAsia="zh-CN" w:bidi="hi-IN"/>
              </w:rPr>
            </w:pPr>
          </w:p>
        </w:tc>
      </w:tr>
      <w:tr w:rsidR="00A0618E" w:rsidRPr="00400193" w14:paraId="0662C857" w14:textId="77777777" w:rsidTr="003B5486">
        <w:trPr>
          <w:trHeight w:val="284"/>
        </w:trPr>
        <w:tc>
          <w:tcPr>
            <w:tcW w:w="9016" w:type="dxa"/>
            <w:gridSpan w:val="7"/>
            <w:tcBorders>
              <w:left w:val="single" w:sz="4" w:space="0" w:color="FFFFFF" w:themeColor="background1"/>
              <w:right w:val="single" w:sz="4" w:space="0" w:color="FFFFFF" w:themeColor="background1"/>
            </w:tcBorders>
            <w:vAlign w:val="center"/>
          </w:tcPr>
          <w:p w14:paraId="4BB1FDCF" w14:textId="77777777" w:rsidR="006E3616" w:rsidRPr="00400193" w:rsidRDefault="006E3616" w:rsidP="003B5486">
            <w:pPr>
              <w:keepNext/>
              <w:spacing w:line="240" w:lineRule="auto"/>
              <w:jc w:val="left"/>
              <w:rPr>
                <w:sz w:val="20"/>
                <w:szCs w:val="18"/>
                <w:lang w:eastAsia="zh-CN" w:bidi="hi-IN"/>
              </w:rPr>
            </w:pPr>
            <w:r w:rsidRPr="00400193">
              <w:rPr>
                <w:sz w:val="20"/>
                <w:szCs w:val="18"/>
                <w:lang w:eastAsia="zh-CN" w:bidi="hi-IN"/>
              </w:rPr>
              <w:t>Extraction Method: Principal Component Analysis.</w:t>
            </w:r>
          </w:p>
        </w:tc>
      </w:tr>
    </w:tbl>
    <w:p w14:paraId="16AC78CA" w14:textId="6CA5FC2E" w:rsidR="006E3616" w:rsidRPr="00400193" w:rsidRDefault="006E3616" w:rsidP="009B134A">
      <w:pPr>
        <w:pStyle w:val="Caption"/>
        <w:rPr>
          <w:lang w:eastAsia="zh-CN" w:bidi="hi-IN"/>
        </w:rPr>
      </w:pPr>
      <w:bookmarkStart w:id="458" w:name="_Ref43221137"/>
      <w:bookmarkStart w:id="459" w:name="_Toc5290155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w:t>
      </w:r>
      <w:r w:rsidRPr="00400193">
        <w:fldChar w:fldCharType="end"/>
      </w:r>
      <w:bookmarkEnd w:id="458"/>
      <w:r w:rsidRPr="00400193">
        <w:t>: Total variance explained by the components of KEP</w:t>
      </w:r>
      <w:bookmarkEnd w:id="459"/>
    </w:p>
    <w:p w14:paraId="71A2A649" w14:textId="37345E53" w:rsidR="006E3616" w:rsidRPr="00400193" w:rsidRDefault="006E3616" w:rsidP="009B134A">
      <w:pPr>
        <w:spacing w:after="0"/>
        <w:rPr>
          <w:lang w:eastAsia="zh-CN" w:bidi="hi-IN"/>
        </w:rPr>
      </w:pPr>
      <w:r w:rsidRPr="00400193">
        <w:rPr>
          <w:lang w:eastAsia="zh-CN" w:bidi="hi-IN"/>
        </w:rPr>
        <w:t xml:space="preserve">The </w:t>
      </w:r>
      <w:bookmarkStart w:id="460" w:name="_Hlk25836899"/>
      <w:r w:rsidRPr="00400193">
        <w:rPr>
          <w:lang w:eastAsia="zh-CN" w:bidi="hi-IN"/>
        </w:rPr>
        <w:t>KMO value of 0.890 obtained was within the range for factor analysis (0.5–1.0). Bartlett’s test of sphericity gave a Chi-square value of 706.7</w:t>
      </w:r>
      <w:bookmarkEnd w:id="460"/>
      <w:r w:rsidRPr="00400193">
        <w:rPr>
          <w:lang w:eastAsia="zh-CN" w:bidi="hi-IN"/>
        </w:rPr>
        <w:t xml:space="preserve"> with 28 degrees of freedom and was significant at ≤0.001 (</w:t>
      </w:r>
      <w:r w:rsidRPr="00400193">
        <w:rPr>
          <w:lang w:eastAsia="zh-CN" w:bidi="hi-IN"/>
        </w:rPr>
        <w:fldChar w:fldCharType="begin"/>
      </w:r>
      <w:r w:rsidRPr="00400193">
        <w:rPr>
          <w:lang w:eastAsia="zh-CN" w:bidi="hi-IN"/>
        </w:rPr>
        <w:instrText xml:space="preserve"> REF _Ref43225838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12</w:t>
      </w:r>
      <w:r w:rsidRPr="00400193">
        <w:rPr>
          <w:lang w:eastAsia="zh-CN" w:bidi="hi-IN"/>
        </w:rPr>
        <w:fldChar w:fldCharType="end"/>
      </w:r>
      <w:r w:rsidRPr="00400193">
        <w:rPr>
          <w:lang w:eastAsia="zh-CN" w:bidi="hi-IN"/>
        </w:rPr>
        <w:t xml:space="preserve">). </w:t>
      </w:r>
      <w:bookmarkStart w:id="461" w:name="_Hlk25837074"/>
      <w:r w:rsidRPr="00400193">
        <w:rPr>
          <w:lang w:eastAsia="zh-CN" w:bidi="hi-IN"/>
        </w:rPr>
        <w:t>The data were therefore suitable for factor analysis.</w:t>
      </w:r>
    </w:p>
    <w:tbl>
      <w:tblPr>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62"/>
        <w:gridCol w:w="2431"/>
        <w:gridCol w:w="1592"/>
      </w:tblGrid>
      <w:tr w:rsidR="006E3616" w:rsidRPr="00400193" w14:paraId="741B89E3" w14:textId="77777777" w:rsidTr="003B5486">
        <w:trPr>
          <w:cantSplit/>
          <w:trHeight w:val="284"/>
        </w:trPr>
        <w:tc>
          <w:tcPr>
            <w:tcW w:w="7393" w:type="dxa"/>
            <w:gridSpan w:val="2"/>
            <w:tcBorders>
              <w:top w:val="single" w:sz="4" w:space="0" w:color="auto"/>
              <w:left w:val="nil"/>
              <w:bottom w:val="single" w:sz="4" w:space="0" w:color="auto"/>
              <w:right w:val="nil"/>
            </w:tcBorders>
            <w:shd w:val="clear" w:color="auto" w:fill="auto"/>
            <w:vAlign w:val="center"/>
          </w:tcPr>
          <w:bookmarkEnd w:id="461"/>
          <w:p w14:paraId="07D2349C"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592" w:type="dxa"/>
            <w:tcBorders>
              <w:top w:val="single" w:sz="4" w:space="0" w:color="auto"/>
              <w:left w:val="nil"/>
              <w:bottom w:val="single" w:sz="4" w:space="0" w:color="auto"/>
              <w:right w:val="nil"/>
            </w:tcBorders>
            <w:shd w:val="clear" w:color="auto" w:fill="auto"/>
            <w:vAlign w:val="center"/>
          </w:tcPr>
          <w:p w14:paraId="2639025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0.890</w:t>
            </w:r>
          </w:p>
        </w:tc>
      </w:tr>
      <w:tr w:rsidR="006E3616" w:rsidRPr="00400193" w14:paraId="4AC38D5A" w14:textId="77777777" w:rsidTr="003B5486">
        <w:trPr>
          <w:cantSplit/>
          <w:trHeight w:val="284"/>
        </w:trPr>
        <w:tc>
          <w:tcPr>
            <w:tcW w:w="4962" w:type="dxa"/>
            <w:vMerge w:val="restart"/>
            <w:tcBorders>
              <w:top w:val="single" w:sz="4" w:space="0" w:color="auto"/>
              <w:left w:val="nil"/>
              <w:bottom w:val="single" w:sz="4" w:space="0" w:color="auto"/>
              <w:right w:val="nil"/>
            </w:tcBorders>
            <w:shd w:val="clear" w:color="auto" w:fill="auto"/>
            <w:vAlign w:val="center"/>
          </w:tcPr>
          <w:p w14:paraId="5F85B1D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431" w:type="dxa"/>
            <w:tcBorders>
              <w:top w:val="single" w:sz="4" w:space="0" w:color="auto"/>
              <w:left w:val="nil"/>
              <w:bottom w:val="single" w:sz="8" w:space="0" w:color="AEAEAE"/>
              <w:right w:val="nil"/>
            </w:tcBorders>
            <w:shd w:val="clear" w:color="auto" w:fill="auto"/>
            <w:vAlign w:val="center"/>
          </w:tcPr>
          <w:p w14:paraId="27045FFF"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592" w:type="dxa"/>
            <w:tcBorders>
              <w:top w:val="single" w:sz="4" w:space="0" w:color="auto"/>
              <w:left w:val="nil"/>
              <w:bottom w:val="single" w:sz="8" w:space="0" w:color="AEAEAE"/>
              <w:right w:val="nil"/>
            </w:tcBorders>
            <w:shd w:val="clear" w:color="auto" w:fill="auto"/>
            <w:vAlign w:val="center"/>
          </w:tcPr>
          <w:p w14:paraId="6DE379C6" w14:textId="77777777" w:rsidR="006E3616" w:rsidRPr="00400193" w:rsidRDefault="006E3616" w:rsidP="003B5486">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706.7</w:t>
            </w:r>
          </w:p>
        </w:tc>
      </w:tr>
      <w:tr w:rsidR="006E3616" w:rsidRPr="00400193" w14:paraId="728DC03E" w14:textId="77777777" w:rsidTr="003B5486">
        <w:trPr>
          <w:cantSplit/>
          <w:trHeight w:val="284"/>
        </w:trPr>
        <w:tc>
          <w:tcPr>
            <w:tcW w:w="4962" w:type="dxa"/>
            <w:vMerge/>
            <w:tcBorders>
              <w:top w:val="single" w:sz="8" w:space="0" w:color="152935"/>
              <w:left w:val="nil"/>
              <w:bottom w:val="single" w:sz="4" w:space="0" w:color="auto"/>
              <w:right w:val="nil"/>
            </w:tcBorders>
            <w:shd w:val="clear" w:color="auto" w:fill="auto"/>
            <w:vAlign w:val="center"/>
          </w:tcPr>
          <w:p w14:paraId="4B12893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431" w:type="dxa"/>
            <w:tcBorders>
              <w:top w:val="single" w:sz="8" w:space="0" w:color="AEAEAE"/>
              <w:left w:val="nil"/>
              <w:bottom w:val="single" w:sz="8" w:space="0" w:color="AEAEAE"/>
              <w:right w:val="nil"/>
            </w:tcBorders>
            <w:shd w:val="clear" w:color="auto" w:fill="auto"/>
            <w:vAlign w:val="center"/>
          </w:tcPr>
          <w:p w14:paraId="2127D74F"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592" w:type="dxa"/>
            <w:tcBorders>
              <w:top w:val="single" w:sz="8" w:space="0" w:color="AEAEAE"/>
              <w:left w:val="nil"/>
              <w:bottom w:val="single" w:sz="8" w:space="0" w:color="AEAEAE"/>
              <w:right w:val="nil"/>
            </w:tcBorders>
            <w:shd w:val="clear" w:color="auto" w:fill="auto"/>
            <w:vAlign w:val="center"/>
          </w:tcPr>
          <w:p w14:paraId="107BA5A1" w14:textId="77777777" w:rsidR="006E3616" w:rsidRPr="00400193" w:rsidRDefault="006E3616" w:rsidP="003B5486">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w:t>
            </w:r>
          </w:p>
        </w:tc>
      </w:tr>
      <w:tr w:rsidR="006E3616" w:rsidRPr="00400193" w14:paraId="3F62E6FF" w14:textId="77777777" w:rsidTr="003B5486">
        <w:trPr>
          <w:cantSplit/>
          <w:trHeight w:val="284"/>
        </w:trPr>
        <w:tc>
          <w:tcPr>
            <w:tcW w:w="4962" w:type="dxa"/>
            <w:vMerge/>
            <w:tcBorders>
              <w:top w:val="single" w:sz="8" w:space="0" w:color="152935"/>
              <w:left w:val="nil"/>
              <w:bottom w:val="single" w:sz="4" w:space="0" w:color="auto"/>
              <w:right w:val="nil"/>
            </w:tcBorders>
            <w:shd w:val="clear" w:color="auto" w:fill="auto"/>
            <w:vAlign w:val="center"/>
          </w:tcPr>
          <w:p w14:paraId="4314F18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431" w:type="dxa"/>
            <w:tcBorders>
              <w:top w:val="single" w:sz="8" w:space="0" w:color="AEAEAE"/>
              <w:left w:val="nil"/>
              <w:bottom w:val="single" w:sz="4" w:space="0" w:color="auto"/>
              <w:right w:val="nil"/>
            </w:tcBorders>
            <w:shd w:val="clear" w:color="auto" w:fill="auto"/>
            <w:vAlign w:val="center"/>
          </w:tcPr>
          <w:p w14:paraId="15837EC6" w14:textId="77777777" w:rsidR="006E3616" w:rsidRPr="00400193" w:rsidRDefault="006E3616" w:rsidP="003B5486">
            <w:pPr>
              <w:spacing w:after="0"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592" w:type="dxa"/>
            <w:tcBorders>
              <w:top w:val="single" w:sz="8" w:space="0" w:color="AEAEAE"/>
              <w:left w:val="nil"/>
              <w:bottom w:val="single" w:sz="4" w:space="0" w:color="auto"/>
              <w:right w:val="nil"/>
            </w:tcBorders>
            <w:shd w:val="clear" w:color="auto" w:fill="auto"/>
            <w:vAlign w:val="center"/>
          </w:tcPr>
          <w:p w14:paraId="70A32F85" w14:textId="77777777" w:rsidR="006E3616" w:rsidRPr="00400193" w:rsidRDefault="006E3616" w:rsidP="003B5486">
            <w:pPr>
              <w:keepNext/>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50448AD8" w14:textId="1CFD49FD" w:rsidR="006E3616" w:rsidRPr="00400193" w:rsidRDefault="006E3616" w:rsidP="009B134A">
      <w:pPr>
        <w:pStyle w:val="Caption"/>
      </w:pPr>
      <w:bookmarkStart w:id="462" w:name="_Ref43225838"/>
      <w:bookmarkStart w:id="463" w:name="_Toc5290155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12</w:t>
      </w:r>
      <w:r w:rsidRPr="00400193">
        <w:fldChar w:fldCharType="end"/>
      </w:r>
      <w:bookmarkEnd w:id="462"/>
      <w:r w:rsidRPr="00400193">
        <w:t>: Kaiser–Meyer–Olkin test and Bartlett's test of sphericity for KEP</w:t>
      </w:r>
      <w:bookmarkEnd w:id="463"/>
      <w:r w:rsidRPr="00400193">
        <w:t xml:space="preserve"> </w:t>
      </w:r>
    </w:p>
    <w:p w14:paraId="708F61DF" w14:textId="2A19383A" w:rsidR="006E3616" w:rsidRPr="00400193" w:rsidRDefault="006E3616" w:rsidP="009B134A">
      <w:pPr>
        <w:spacing w:after="0"/>
        <w:rPr>
          <w:lang w:eastAsia="zh-CN" w:bidi="hi-IN"/>
        </w:rPr>
      </w:pPr>
      <w:r w:rsidRPr="00400193">
        <w:rPr>
          <w:lang w:eastAsia="zh-CN" w:bidi="hi-IN"/>
        </w:rPr>
        <w:fldChar w:fldCharType="begin"/>
      </w:r>
      <w:r w:rsidRPr="00400193">
        <w:rPr>
          <w:lang w:eastAsia="zh-CN" w:bidi="hi-IN"/>
        </w:rPr>
        <w:instrText xml:space="preserve"> REF _Ref43225911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13</w:t>
      </w:r>
      <w:r w:rsidRPr="00400193">
        <w:rPr>
          <w:lang w:eastAsia="zh-CN" w:bidi="hi-IN"/>
        </w:rPr>
        <w:fldChar w:fldCharType="end"/>
      </w:r>
      <w:r w:rsidRPr="00400193">
        <w:rPr>
          <w:lang w:eastAsia="zh-CN" w:bidi="hi-IN"/>
        </w:rPr>
        <w:t xml:space="preserve"> shows the factor loads. All items had a load of more than 0.7. There was only one new latent cluster for Key External Threats - Phishing (KEP), with eight variables allocated to this cluster, named ‘electronic phishing’. The new latent cluster had a reliability of &gt;0.9, which is excellent.</w:t>
      </w:r>
    </w:p>
    <w:tbl>
      <w:tblPr>
        <w:tblStyle w:val="TableGrid"/>
        <w:tblW w:w="0" w:type="auto"/>
        <w:tblLook w:val="04A0" w:firstRow="1" w:lastRow="0" w:firstColumn="1" w:lastColumn="0" w:noHBand="0" w:noVBand="1"/>
      </w:tblPr>
      <w:tblGrid>
        <w:gridCol w:w="1502"/>
        <w:gridCol w:w="1502"/>
        <w:gridCol w:w="1503"/>
        <w:gridCol w:w="1503"/>
        <w:gridCol w:w="1503"/>
        <w:gridCol w:w="1503"/>
      </w:tblGrid>
      <w:tr w:rsidR="00A0618E" w:rsidRPr="00400193" w14:paraId="7B857D52" w14:textId="77777777" w:rsidTr="0068572F">
        <w:trPr>
          <w:trHeight w:val="283"/>
        </w:trPr>
        <w:tc>
          <w:tcPr>
            <w:tcW w:w="1502" w:type="dxa"/>
            <w:tcBorders>
              <w:left w:val="single" w:sz="4" w:space="0" w:color="FFFFFF" w:themeColor="background1"/>
              <w:bottom w:val="single" w:sz="4" w:space="0" w:color="FFFFFF" w:themeColor="background1"/>
              <w:right w:val="single" w:sz="4" w:space="0" w:color="FFFFFF" w:themeColor="background1"/>
            </w:tcBorders>
          </w:tcPr>
          <w:p w14:paraId="47AAAD4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9C78EE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 b</w:t>
            </w:r>
          </w:p>
        </w:tc>
        <w:tc>
          <w:tcPr>
            <w:tcW w:w="1503" w:type="dxa"/>
            <w:vMerge w:val="restart"/>
            <w:tcBorders>
              <w:left w:val="single" w:sz="4" w:space="0" w:color="FFFFFF" w:themeColor="background1"/>
              <w:right w:val="single" w:sz="4" w:space="0" w:color="FFFFFF" w:themeColor="background1"/>
            </w:tcBorders>
            <w:vAlign w:val="center"/>
          </w:tcPr>
          <w:p w14:paraId="77C33B7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Cronbach’s Alpha</w:t>
            </w:r>
          </w:p>
        </w:tc>
        <w:tc>
          <w:tcPr>
            <w:tcW w:w="1503" w:type="dxa"/>
            <w:vMerge w:val="restart"/>
            <w:tcBorders>
              <w:left w:val="single" w:sz="4" w:space="0" w:color="FFFFFF" w:themeColor="background1"/>
              <w:right w:val="single" w:sz="4" w:space="0" w:color="FFFFFF" w:themeColor="background1"/>
            </w:tcBorders>
            <w:vAlign w:val="center"/>
          </w:tcPr>
          <w:p w14:paraId="17CE348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No. of Questions</w:t>
            </w:r>
          </w:p>
        </w:tc>
        <w:tc>
          <w:tcPr>
            <w:tcW w:w="1503" w:type="dxa"/>
            <w:vMerge w:val="restart"/>
            <w:tcBorders>
              <w:left w:val="single" w:sz="4" w:space="0" w:color="FFFFFF" w:themeColor="background1"/>
              <w:right w:val="single" w:sz="4" w:space="0" w:color="FFFFFF" w:themeColor="background1"/>
            </w:tcBorders>
            <w:vAlign w:val="center"/>
          </w:tcPr>
          <w:p w14:paraId="5CC109B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Code</w:t>
            </w:r>
          </w:p>
        </w:tc>
        <w:tc>
          <w:tcPr>
            <w:tcW w:w="1503" w:type="dxa"/>
            <w:vMerge w:val="restart"/>
            <w:tcBorders>
              <w:left w:val="single" w:sz="4" w:space="0" w:color="FFFFFF" w:themeColor="background1"/>
              <w:right w:val="single" w:sz="4" w:space="0" w:color="FFFFFF" w:themeColor="background1"/>
            </w:tcBorders>
            <w:vAlign w:val="center"/>
          </w:tcPr>
          <w:p w14:paraId="749E649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Description</w:t>
            </w:r>
          </w:p>
        </w:tc>
      </w:tr>
      <w:tr w:rsidR="00A0618E" w:rsidRPr="00400193" w14:paraId="66F4F5F8" w14:textId="77777777" w:rsidTr="0068572F">
        <w:trPr>
          <w:trHeight w:val="283"/>
        </w:trPr>
        <w:tc>
          <w:tcPr>
            <w:tcW w:w="1502" w:type="dxa"/>
            <w:tcBorders>
              <w:top w:val="single" w:sz="4" w:space="0" w:color="FFFFFF" w:themeColor="background1"/>
              <w:left w:val="single" w:sz="4" w:space="0" w:color="FFFFFF" w:themeColor="background1"/>
              <w:right w:val="single" w:sz="4" w:space="0" w:color="FFFFFF" w:themeColor="background1"/>
            </w:tcBorders>
          </w:tcPr>
          <w:p w14:paraId="4B25A0DC" w14:textId="77777777" w:rsidR="006E3616" w:rsidRPr="00400193" w:rsidRDefault="006E3616" w:rsidP="003B5486">
            <w:pPr>
              <w:spacing w:line="240" w:lineRule="auto"/>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Item</w:t>
            </w:r>
          </w:p>
        </w:tc>
        <w:tc>
          <w:tcPr>
            <w:tcW w:w="1502" w:type="dxa"/>
            <w:tcBorders>
              <w:top w:val="single" w:sz="4" w:space="0" w:color="FFFFFF" w:themeColor="background1"/>
              <w:left w:val="single" w:sz="4" w:space="0" w:color="FFFFFF" w:themeColor="background1"/>
              <w:right w:val="single" w:sz="4" w:space="0" w:color="FFFFFF" w:themeColor="background1"/>
            </w:tcBorders>
            <w:vAlign w:val="center"/>
          </w:tcPr>
          <w:p w14:paraId="7D98EB5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1503" w:type="dxa"/>
            <w:vMerge/>
            <w:tcBorders>
              <w:left w:val="single" w:sz="4" w:space="0" w:color="FFFFFF" w:themeColor="background1"/>
              <w:right w:val="single" w:sz="4" w:space="0" w:color="FFFFFF" w:themeColor="background1"/>
            </w:tcBorders>
          </w:tcPr>
          <w:p w14:paraId="6E8862A2"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013CC363"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13205B0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5B51AA09"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4A6A9165" w14:textId="77777777" w:rsidTr="0068572F">
        <w:trPr>
          <w:trHeight w:val="283"/>
        </w:trPr>
        <w:tc>
          <w:tcPr>
            <w:tcW w:w="1502" w:type="dxa"/>
            <w:tcBorders>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E8D136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KEP1</w:t>
            </w:r>
          </w:p>
        </w:tc>
        <w:tc>
          <w:tcPr>
            <w:tcW w:w="1502" w:type="dxa"/>
            <w:tcBorders>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52DDD8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0.839</w:t>
            </w:r>
          </w:p>
        </w:tc>
        <w:tc>
          <w:tcPr>
            <w:tcW w:w="1503" w:type="dxa"/>
            <w:vMerge w:val="restart"/>
            <w:tcBorders>
              <w:left w:val="single" w:sz="4" w:space="0" w:color="FFFFFF" w:themeColor="background1"/>
              <w:right w:val="single" w:sz="4" w:space="0" w:color="FFFFFF" w:themeColor="background1"/>
            </w:tcBorders>
            <w:shd w:val="clear" w:color="auto" w:fill="FFFFFF"/>
            <w:vAlign w:val="center"/>
          </w:tcPr>
          <w:p w14:paraId="2B98B46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0.941</w:t>
            </w:r>
          </w:p>
        </w:tc>
        <w:tc>
          <w:tcPr>
            <w:tcW w:w="1503" w:type="dxa"/>
            <w:vMerge w:val="restart"/>
            <w:tcBorders>
              <w:left w:val="single" w:sz="4" w:space="0" w:color="FFFFFF" w:themeColor="background1"/>
              <w:right w:val="single" w:sz="4" w:space="0" w:color="FFFFFF" w:themeColor="background1"/>
            </w:tcBorders>
            <w:shd w:val="clear" w:color="auto" w:fill="FFFFFF"/>
            <w:vAlign w:val="center"/>
          </w:tcPr>
          <w:p w14:paraId="1C4E836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w:t>
            </w:r>
          </w:p>
        </w:tc>
        <w:tc>
          <w:tcPr>
            <w:tcW w:w="1503" w:type="dxa"/>
            <w:vMerge w:val="restart"/>
            <w:tcBorders>
              <w:left w:val="single" w:sz="4" w:space="0" w:color="FFFFFF" w:themeColor="background1"/>
              <w:right w:val="single" w:sz="4" w:space="0" w:color="FFFFFF" w:themeColor="background1"/>
            </w:tcBorders>
            <w:shd w:val="clear" w:color="auto" w:fill="FFFFFF"/>
            <w:vAlign w:val="center"/>
          </w:tcPr>
          <w:p w14:paraId="0B13DD0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KEPN1</w:t>
            </w:r>
          </w:p>
        </w:tc>
        <w:tc>
          <w:tcPr>
            <w:tcW w:w="1503" w:type="dxa"/>
            <w:vMerge w:val="restart"/>
            <w:tcBorders>
              <w:left w:val="single" w:sz="4" w:space="0" w:color="FFFFFF" w:themeColor="background1"/>
              <w:right w:val="single" w:sz="4" w:space="0" w:color="FFFFFF" w:themeColor="background1"/>
            </w:tcBorders>
            <w:shd w:val="clear" w:color="auto" w:fill="FFFFFF"/>
            <w:vAlign w:val="center"/>
          </w:tcPr>
          <w:p w14:paraId="14137B3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Electronic Phishing</w:t>
            </w:r>
          </w:p>
        </w:tc>
      </w:tr>
      <w:tr w:rsidR="00A0618E" w:rsidRPr="00400193" w14:paraId="6464AC75"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558B42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KEP2</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704C5B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0.867</w:t>
            </w:r>
          </w:p>
        </w:tc>
        <w:tc>
          <w:tcPr>
            <w:tcW w:w="1503" w:type="dxa"/>
            <w:vMerge/>
            <w:tcBorders>
              <w:left w:val="single" w:sz="4" w:space="0" w:color="FFFFFF" w:themeColor="background1"/>
              <w:right w:val="single" w:sz="4" w:space="0" w:color="FFFFFF" w:themeColor="background1"/>
            </w:tcBorders>
          </w:tcPr>
          <w:p w14:paraId="3D21CD21"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54C7480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7C23E520"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0819E4A1"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4833B50E"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538F8A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KEP3</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5A79A3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0.892</w:t>
            </w:r>
          </w:p>
        </w:tc>
        <w:tc>
          <w:tcPr>
            <w:tcW w:w="1503" w:type="dxa"/>
            <w:vMerge/>
            <w:tcBorders>
              <w:left w:val="single" w:sz="4" w:space="0" w:color="FFFFFF" w:themeColor="background1"/>
              <w:right w:val="single" w:sz="4" w:space="0" w:color="FFFFFF" w:themeColor="background1"/>
            </w:tcBorders>
          </w:tcPr>
          <w:p w14:paraId="39D54797"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46284A7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12BE8710"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325028A3"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3E5A4590"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2B5AAA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KEP4</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E5FECC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0.827</w:t>
            </w:r>
          </w:p>
        </w:tc>
        <w:tc>
          <w:tcPr>
            <w:tcW w:w="1503" w:type="dxa"/>
            <w:vMerge/>
            <w:tcBorders>
              <w:left w:val="single" w:sz="4" w:space="0" w:color="FFFFFF" w:themeColor="background1"/>
              <w:right w:val="single" w:sz="4" w:space="0" w:color="FFFFFF" w:themeColor="background1"/>
            </w:tcBorders>
          </w:tcPr>
          <w:p w14:paraId="110C8085"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27AB2517"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6BBAB4BA"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74B42772"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46DA09BE"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82B769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KEP5</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6721B9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0.862</w:t>
            </w:r>
          </w:p>
        </w:tc>
        <w:tc>
          <w:tcPr>
            <w:tcW w:w="1503" w:type="dxa"/>
            <w:vMerge/>
            <w:tcBorders>
              <w:left w:val="single" w:sz="4" w:space="0" w:color="FFFFFF" w:themeColor="background1"/>
              <w:right w:val="single" w:sz="4" w:space="0" w:color="FFFFFF" w:themeColor="background1"/>
            </w:tcBorders>
          </w:tcPr>
          <w:p w14:paraId="029905F7"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4386783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18BFE67A"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14F99BC8"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218E4D68"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5B49FC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KEP6</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D637D3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0.813</w:t>
            </w:r>
          </w:p>
        </w:tc>
        <w:tc>
          <w:tcPr>
            <w:tcW w:w="1503" w:type="dxa"/>
            <w:vMerge/>
            <w:tcBorders>
              <w:left w:val="single" w:sz="4" w:space="0" w:color="FFFFFF" w:themeColor="background1"/>
              <w:right w:val="single" w:sz="4" w:space="0" w:color="FFFFFF" w:themeColor="background1"/>
            </w:tcBorders>
          </w:tcPr>
          <w:p w14:paraId="1CC8CACE"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5E19107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029A421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72E6F693"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19EDE824" w14:textId="77777777" w:rsidTr="0068572F">
        <w:trPr>
          <w:trHeight w:val="283"/>
        </w:trPr>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B3C5DD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KEP7</w:t>
            </w:r>
          </w:p>
        </w:tc>
        <w:tc>
          <w:tcPr>
            <w:tcW w:w="15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5E8800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0.852</w:t>
            </w:r>
          </w:p>
        </w:tc>
        <w:tc>
          <w:tcPr>
            <w:tcW w:w="1503" w:type="dxa"/>
            <w:vMerge/>
            <w:tcBorders>
              <w:left w:val="single" w:sz="4" w:space="0" w:color="FFFFFF" w:themeColor="background1"/>
              <w:right w:val="single" w:sz="4" w:space="0" w:color="FFFFFF" w:themeColor="background1"/>
            </w:tcBorders>
          </w:tcPr>
          <w:p w14:paraId="4385849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743D213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68316026"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49429228"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5D861347" w14:textId="77777777" w:rsidTr="0068572F">
        <w:trPr>
          <w:trHeight w:val="283"/>
        </w:trPr>
        <w:tc>
          <w:tcPr>
            <w:tcW w:w="150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center"/>
          </w:tcPr>
          <w:p w14:paraId="56EF7E3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KEP8</w:t>
            </w:r>
          </w:p>
        </w:tc>
        <w:tc>
          <w:tcPr>
            <w:tcW w:w="150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FF"/>
            <w:vAlign w:val="center"/>
          </w:tcPr>
          <w:p w14:paraId="3CCA460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0.792</w:t>
            </w:r>
          </w:p>
        </w:tc>
        <w:tc>
          <w:tcPr>
            <w:tcW w:w="1503" w:type="dxa"/>
            <w:vMerge/>
            <w:tcBorders>
              <w:left w:val="single" w:sz="4" w:space="0" w:color="FFFFFF" w:themeColor="background1"/>
              <w:right w:val="single" w:sz="4" w:space="0" w:color="FFFFFF" w:themeColor="background1"/>
            </w:tcBorders>
          </w:tcPr>
          <w:p w14:paraId="36EDFF12"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635F1EAB"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53286AC0"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left w:val="single" w:sz="4" w:space="0" w:color="FFFFFF" w:themeColor="background1"/>
              <w:right w:val="single" w:sz="4" w:space="0" w:color="FFFFFF" w:themeColor="background1"/>
            </w:tcBorders>
          </w:tcPr>
          <w:p w14:paraId="50941F6A"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071FC5AC" w14:textId="77777777" w:rsidTr="0068572F">
        <w:trPr>
          <w:trHeight w:val="283"/>
        </w:trPr>
        <w:tc>
          <w:tcPr>
            <w:tcW w:w="9016" w:type="dxa"/>
            <w:gridSpan w:val="6"/>
            <w:tcBorders>
              <w:left w:val="single" w:sz="4" w:space="0" w:color="FFFFFF" w:themeColor="background1"/>
              <w:right w:val="single" w:sz="4" w:space="0" w:color="FFFFFF" w:themeColor="background1"/>
            </w:tcBorders>
            <w:vAlign w:val="center"/>
          </w:tcPr>
          <w:p w14:paraId="24F8A702" w14:textId="01D24538"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1 component extracted</w:t>
            </w:r>
          </w:p>
          <w:p w14:paraId="7B9E689A" w14:textId="722BC247" w:rsidR="001A0FC9" w:rsidRPr="00400193" w:rsidRDefault="001A0FC9"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68EF1659" w14:textId="11390259" w:rsidR="006E3616" w:rsidRPr="00400193" w:rsidRDefault="006E3616" w:rsidP="006E3616">
      <w:pPr>
        <w:pStyle w:val="Caption"/>
        <w:spacing w:after="240"/>
      </w:pPr>
      <w:bookmarkStart w:id="464" w:name="_Ref43225911"/>
      <w:bookmarkStart w:id="465" w:name="_Toc5290155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13</w:t>
      </w:r>
      <w:r w:rsidRPr="00400193">
        <w:fldChar w:fldCharType="end"/>
      </w:r>
      <w:bookmarkEnd w:id="464"/>
      <w:r w:rsidRPr="00400193">
        <w:t>: Cronbach’s alpha, number of questions and rotated component matrix for KEP</w:t>
      </w:r>
      <w:bookmarkEnd w:id="465"/>
    </w:p>
    <w:p w14:paraId="37393D62" w14:textId="3C47D19B" w:rsidR="006E3616" w:rsidRPr="00400193" w:rsidRDefault="006E3616" w:rsidP="006E3616">
      <w:pPr>
        <w:rPr>
          <w:lang w:eastAsia="zh-CN" w:bidi="hi-IN"/>
        </w:rPr>
      </w:pPr>
      <w:r w:rsidRPr="00400193">
        <w:rPr>
          <w:lang w:eastAsia="zh-CN" w:bidi="hi-IN"/>
        </w:rPr>
        <w:lastRenderedPageBreak/>
        <w:fldChar w:fldCharType="begin"/>
      </w:r>
      <w:r w:rsidRPr="00400193">
        <w:rPr>
          <w:lang w:eastAsia="zh-CN" w:bidi="hi-IN"/>
        </w:rPr>
        <w:instrText xml:space="preserve"> REF _Ref43226028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14</w:t>
      </w:r>
      <w:r w:rsidRPr="00400193">
        <w:rPr>
          <w:lang w:eastAsia="zh-CN" w:bidi="hi-IN"/>
        </w:rPr>
        <w:fldChar w:fldCharType="end"/>
      </w:r>
      <w:r w:rsidRPr="00400193">
        <w:rPr>
          <w:lang w:eastAsia="zh-CN" w:bidi="hi-IN"/>
        </w:rPr>
        <w:t xml:space="preserve"> shows CR and AVE for the only factor and MSW and ASV values. CR was 0.952, which is higher than 0.7, and AVE was 0.712, which is higher than 0.5. MSV (0.788) &gt; AVE and ASV (0.711) &lt; AVE (Factor 12). There were therefore no problems with convergent validity. For discriminant validity, MSV &gt; AVE, but ASV was lower than AVE. According to Button and Cross (2017), electronic phishing is a ‘human factor’, and plays a key role in loss of confidential information for fraudulent purposes.</w:t>
      </w:r>
    </w:p>
    <w:tbl>
      <w:tblPr>
        <w:tblStyle w:val="TableGrid"/>
        <w:tblW w:w="0" w:type="auto"/>
        <w:tblLook w:val="04A0" w:firstRow="1" w:lastRow="0" w:firstColumn="1" w:lastColumn="0" w:noHBand="0" w:noVBand="1"/>
      </w:tblPr>
      <w:tblGrid>
        <w:gridCol w:w="5524"/>
        <w:gridCol w:w="3492"/>
      </w:tblGrid>
      <w:tr w:rsidR="00A0618E" w:rsidRPr="00400193" w14:paraId="52251B9F" w14:textId="77777777" w:rsidTr="0077263B">
        <w:trPr>
          <w:trHeight w:val="283"/>
        </w:trPr>
        <w:tc>
          <w:tcPr>
            <w:tcW w:w="5524" w:type="dxa"/>
            <w:tcBorders>
              <w:top w:val="single" w:sz="4" w:space="0" w:color="auto"/>
              <w:left w:val="single" w:sz="4" w:space="0" w:color="FFFFFF" w:themeColor="background1"/>
              <w:bottom w:val="single" w:sz="4" w:space="0" w:color="000000" w:themeColor="text1"/>
              <w:right w:val="single" w:sz="4" w:space="0" w:color="000000" w:themeColor="text1"/>
            </w:tcBorders>
            <w:vAlign w:val="center"/>
          </w:tcPr>
          <w:p w14:paraId="29F4A568"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3492" w:type="dxa"/>
            <w:tcBorders>
              <w:top w:val="single" w:sz="4" w:space="0" w:color="auto"/>
              <w:left w:val="single" w:sz="4" w:space="0" w:color="000000" w:themeColor="text1"/>
              <w:bottom w:val="single" w:sz="4" w:space="0" w:color="000000" w:themeColor="text1"/>
              <w:right w:val="single" w:sz="4" w:space="0" w:color="FFFFFF" w:themeColor="background1"/>
            </w:tcBorders>
            <w:vAlign w:val="center"/>
          </w:tcPr>
          <w:p w14:paraId="297A413A"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r>
      <w:tr w:rsidR="00A0618E" w:rsidRPr="00400193" w14:paraId="2C3CA9F9" w14:textId="77777777" w:rsidTr="0077263B">
        <w:trPr>
          <w:trHeight w:val="283"/>
        </w:trPr>
        <w:tc>
          <w:tcPr>
            <w:tcW w:w="5524" w:type="dxa"/>
            <w:tcBorders>
              <w:top w:val="single" w:sz="4" w:space="0" w:color="000000" w:themeColor="text1"/>
              <w:left w:val="single" w:sz="4" w:space="0" w:color="FFFFFF" w:themeColor="background1"/>
              <w:bottom w:val="single" w:sz="4" w:space="0" w:color="FFFFFF" w:themeColor="background1"/>
              <w:right w:val="single" w:sz="4" w:space="0" w:color="000000" w:themeColor="text1"/>
            </w:tcBorders>
            <w:vAlign w:val="center"/>
          </w:tcPr>
          <w:p w14:paraId="74A17C8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3492" w:type="dxa"/>
            <w:tcBorders>
              <w:top w:val="single" w:sz="4" w:space="0" w:color="000000" w:themeColor="text1"/>
              <w:left w:val="single" w:sz="4" w:space="0" w:color="000000" w:themeColor="text1"/>
              <w:bottom w:val="single" w:sz="4" w:space="0" w:color="FFFFFF" w:themeColor="background1"/>
              <w:right w:val="single" w:sz="4" w:space="0" w:color="FFFFFF" w:themeColor="background1"/>
            </w:tcBorders>
            <w:vAlign w:val="center"/>
          </w:tcPr>
          <w:p w14:paraId="723311B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0.952</w:t>
            </w:r>
          </w:p>
        </w:tc>
      </w:tr>
      <w:tr w:rsidR="00A0618E" w:rsidRPr="00400193" w14:paraId="6235DEC3" w14:textId="77777777" w:rsidTr="0077263B">
        <w:trPr>
          <w:trHeight w:val="283"/>
        </w:trPr>
        <w:tc>
          <w:tcPr>
            <w:tcW w:w="5524"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vAlign w:val="center"/>
          </w:tcPr>
          <w:p w14:paraId="2E518A5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349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vAlign w:val="center"/>
          </w:tcPr>
          <w:p w14:paraId="093570D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0.712</w:t>
            </w:r>
          </w:p>
        </w:tc>
      </w:tr>
      <w:tr w:rsidR="00A0618E" w:rsidRPr="00400193" w14:paraId="2B642E8A" w14:textId="77777777" w:rsidTr="0077263B">
        <w:trPr>
          <w:trHeight w:val="283"/>
        </w:trPr>
        <w:tc>
          <w:tcPr>
            <w:tcW w:w="5524"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vAlign w:val="center"/>
          </w:tcPr>
          <w:p w14:paraId="47AFBAB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349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vAlign w:val="center"/>
          </w:tcPr>
          <w:p w14:paraId="3B9A596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0.788</w:t>
            </w:r>
          </w:p>
        </w:tc>
      </w:tr>
      <w:tr w:rsidR="00A0618E" w:rsidRPr="00400193" w14:paraId="1DB6C491" w14:textId="77777777" w:rsidTr="0077263B">
        <w:trPr>
          <w:trHeight w:val="283"/>
        </w:trPr>
        <w:tc>
          <w:tcPr>
            <w:tcW w:w="5524" w:type="dxa"/>
            <w:tcBorders>
              <w:top w:val="single" w:sz="4" w:space="0" w:color="FFFFFF" w:themeColor="background1"/>
              <w:left w:val="single" w:sz="4" w:space="0" w:color="FFFFFF" w:themeColor="background1"/>
              <w:bottom w:val="single" w:sz="4" w:space="0" w:color="auto"/>
              <w:right w:val="single" w:sz="4" w:space="0" w:color="000000" w:themeColor="text1"/>
            </w:tcBorders>
            <w:vAlign w:val="center"/>
          </w:tcPr>
          <w:p w14:paraId="3D5A3C7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3492" w:type="dxa"/>
            <w:tcBorders>
              <w:top w:val="single" w:sz="4" w:space="0" w:color="FFFFFF" w:themeColor="background1"/>
              <w:left w:val="single" w:sz="4" w:space="0" w:color="000000" w:themeColor="text1"/>
              <w:bottom w:val="single" w:sz="4" w:space="0" w:color="auto"/>
              <w:right w:val="single" w:sz="4" w:space="0" w:color="FFFFFF" w:themeColor="background1"/>
            </w:tcBorders>
            <w:vAlign w:val="center"/>
          </w:tcPr>
          <w:p w14:paraId="49CECDB7"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0.711</w:t>
            </w:r>
          </w:p>
        </w:tc>
      </w:tr>
    </w:tbl>
    <w:p w14:paraId="079FB569" w14:textId="1CE9F199" w:rsidR="006E3616" w:rsidRPr="00400193" w:rsidRDefault="006E3616" w:rsidP="006E3616">
      <w:pPr>
        <w:pStyle w:val="Caption"/>
        <w:spacing w:after="240"/>
      </w:pPr>
      <w:bookmarkStart w:id="466" w:name="_Ref43226028"/>
      <w:bookmarkStart w:id="467" w:name="_Toc5290155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14</w:t>
      </w:r>
      <w:r w:rsidRPr="00400193">
        <w:fldChar w:fldCharType="end"/>
      </w:r>
      <w:bookmarkEnd w:id="466"/>
      <w:r w:rsidRPr="00400193">
        <w:t>: Average variance extracted (AVE), composite reliability (CR), maximum shared variance (MSV) and average shared variance (ASV) for KEP</w:t>
      </w:r>
      <w:bookmarkEnd w:id="467"/>
    </w:p>
    <w:p w14:paraId="14FF429B" w14:textId="77777777" w:rsidR="006E3616" w:rsidRPr="00400193" w:rsidRDefault="006E3616" w:rsidP="006E3616">
      <w:pPr>
        <w:pStyle w:val="Heading3"/>
        <w:rPr>
          <w:lang w:eastAsia="zh-CN" w:bidi="hi-IN"/>
        </w:rPr>
      </w:pPr>
      <w:bookmarkStart w:id="468" w:name="_Toc61894755"/>
      <w:r w:rsidRPr="00400193">
        <w:rPr>
          <w:lang w:eastAsia="zh-CN" w:bidi="hi-IN"/>
        </w:rPr>
        <w:t>Key External Threats - Financial Fraud (KEFF)</w:t>
      </w:r>
      <w:bookmarkEnd w:id="468"/>
    </w:p>
    <w:p w14:paraId="7CBB6278" w14:textId="7579F09B"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_Ref43252185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15</w:t>
      </w:r>
      <w:r w:rsidRPr="00400193">
        <w:rPr>
          <w:lang w:eastAsia="zh-CN" w:bidi="hi-IN"/>
        </w:rPr>
        <w:fldChar w:fldCharType="end"/>
      </w:r>
      <w:r w:rsidRPr="00400193">
        <w:rPr>
          <w:lang w:eastAsia="zh-CN" w:bidi="hi-IN"/>
        </w:rPr>
        <w:t xml:space="preserve">) </w:t>
      </w:r>
      <w:r w:rsidR="001F0C59" w:rsidRPr="00400193">
        <w:rPr>
          <w:lang w:eastAsia="zh-CN" w:bidi="hi-IN"/>
        </w:rPr>
        <w:t>clarifies</w:t>
      </w:r>
      <w:r w:rsidRPr="00400193">
        <w:rPr>
          <w:lang w:eastAsia="zh-CN" w:bidi="hi-IN"/>
        </w:rPr>
        <w:t xml:space="preserve"> the selection of two main components. Only the first two factors had eigenvalues greater than 1 and explained 68.6% of the variance, resulting in the loss of 31.4% of the original information represented by the 13 initial variables. The cumulative percentage of variance explained by the first and second components was 46.3% and 68.6%, across 7.8 and 1.2 variables.</w:t>
      </w:r>
    </w:p>
    <w:tbl>
      <w:tblPr>
        <w:tblStyle w:val="TableGrid"/>
        <w:tblW w:w="0" w:type="auto"/>
        <w:tblLayout w:type="fixed"/>
        <w:tblLook w:val="04A0" w:firstRow="1" w:lastRow="0" w:firstColumn="1" w:lastColumn="0" w:noHBand="0" w:noVBand="1"/>
      </w:tblPr>
      <w:tblGrid>
        <w:gridCol w:w="846"/>
        <w:gridCol w:w="709"/>
        <w:gridCol w:w="1134"/>
        <w:gridCol w:w="850"/>
        <w:gridCol w:w="709"/>
        <w:gridCol w:w="1134"/>
        <w:gridCol w:w="850"/>
        <w:gridCol w:w="709"/>
        <w:gridCol w:w="1134"/>
        <w:gridCol w:w="946"/>
      </w:tblGrid>
      <w:tr w:rsidR="006E3616" w:rsidRPr="00400193" w14:paraId="781818BC" w14:textId="77777777" w:rsidTr="003B5486">
        <w:trPr>
          <w:trHeight w:val="284"/>
        </w:trPr>
        <w:tc>
          <w:tcPr>
            <w:tcW w:w="846" w:type="dxa"/>
            <w:vMerge w:val="restart"/>
            <w:tcBorders>
              <w:left w:val="single" w:sz="4" w:space="0" w:color="FFFFFF" w:themeColor="background1"/>
              <w:right w:val="single" w:sz="4" w:space="0" w:color="FFFFFF" w:themeColor="background1"/>
            </w:tcBorders>
            <w:textDirection w:val="btLr"/>
            <w:vAlign w:val="center"/>
          </w:tcPr>
          <w:p w14:paraId="3BBD975F" w14:textId="77777777" w:rsidR="006E3616" w:rsidRPr="00400193" w:rsidRDefault="006E3616" w:rsidP="003B5486">
            <w:pPr>
              <w:spacing w:line="240" w:lineRule="auto"/>
              <w:ind w:left="113" w:right="113"/>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Latent Variables</w:t>
            </w:r>
          </w:p>
        </w:tc>
        <w:tc>
          <w:tcPr>
            <w:tcW w:w="2693" w:type="dxa"/>
            <w:gridSpan w:val="3"/>
            <w:tcBorders>
              <w:top w:val="single" w:sz="4" w:space="0" w:color="auto"/>
              <w:left w:val="single" w:sz="4" w:space="0" w:color="FFFFFF" w:themeColor="background1"/>
              <w:bottom w:val="single" w:sz="4" w:space="0" w:color="auto"/>
              <w:right w:val="nil"/>
            </w:tcBorders>
            <w:shd w:val="clear" w:color="auto" w:fill="auto"/>
            <w:vAlign w:val="center"/>
          </w:tcPr>
          <w:p w14:paraId="7364E21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Initial Eigenvalues</w:t>
            </w:r>
          </w:p>
        </w:tc>
        <w:tc>
          <w:tcPr>
            <w:tcW w:w="2693" w:type="dxa"/>
            <w:gridSpan w:val="3"/>
            <w:tcBorders>
              <w:top w:val="single" w:sz="4" w:space="0" w:color="auto"/>
              <w:left w:val="single" w:sz="8" w:space="0" w:color="E0E0E0"/>
              <w:bottom w:val="single" w:sz="4" w:space="0" w:color="auto"/>
              <w:right w:val="nil"/>
            </w:tcBorders>
            <w:shd w:val="clear" w:color="auto" w:fill="auto"/>
            <w:vAlign w:val="center"/>
          </w:tcPr>
          <w:p w14:paraId="004175C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Extraction Sums of Squared Loadings</w:t>
            </w:r>
          </w:p>
        </w:tc>
        <w:tc>
          <w:tcPr>
            <w:tcW w:w="2789" w:type="dxa"/>
            <w:gridSpan w:val="3"/>
            <w:tcBorders>
              <w:top w:val="single" w:sz="4" w:space="0" w:color="auto"/>
              <w:left w:val="single" w:sz="8" w:space="0" w:color="E0E0E0"/>
              <w:bottom w:val="single" w:sz="4" w:space="0" w:color="auto"/>
              <w:right w:val="nil"/>
            </w:tcBorders>
            <w:shd w:val="clear" w:color="auto" w:fill="auto"/>
            <w:vAlign w:val="center"/>
          </w:tcPr>
          <w:p w14:paraId="6A4F1CFD"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Rotation Sums of Squared Loadings</w:t>
            </w:r>
          </w:p>
        </w:tc>
      </w:tr>
      <w:tr w:rsidR="006E3616" w:rsidRPr="00400193" w14:paraId="428FF68D" w14:textId="77777777" w:rsidTr="0047063F">
        <w:trPr>
          <w:trHeight w:val="702"/>
        </w:trPr>
        <w:tc>
          <w:tcPr>
            <w:tcW w:w="846" w:type="dxa"/>
            <w:vMerge/>
            <w:tcBorders>
              <w:left w:val="single" w:sz="4" w:space="0" w:color="FFFFFF" w:themeColor="background1"/>
              <w:right w:val="single" w:sz="4" w:space="0" w:color="FFFFFF" w:themeColor="background1"/>
            </w:tcBorders>
          </w:tcPr>
          <w:p w14:paraId="4F79D211" w14:textId="77777777" w:rsidR="006E3616" w:rsidRPr="00400193" w:rsidRDefault="006E3616" w:rsidP="003B5486">
            <w:pPr>
              <w:spacing w:line="240" w:lineRule="auto"/>
              <w:rPr>
                <w:rFonts w:asciiTheme="minorHAnsi" w:hAnsiTheme="minorHAnsi" w:cstheme="minorHAnsi"/>
                <w:sz w:val="20"/>
                <w:lang w:eastAsia="zh-CN" w:bidi="hi-IN"/>
              </w:rPr>
            </w:pPr>
          </w:p>
        </w:tc>
        <w:tc>
          <w:tcPr>
            <w:tcW w:w="709" w:type="dxa"/>
            <w:tcBorders>
              <w:top w:val="single" w:sz="4" w:space="0" w:color="auto"/>
              <w:left w:val="single" w:sz="4" w:space="0" w:color="FFFFFF" w:themeColor="background1"/>
              <w:bottom w:val="single" w:sz="4" w:space="0" w:color="auto"/>
              <w:right w:val="single" w:sz="8" w:space="0" w:color="E0E0E0"/>
            </w:tcBorders>
            <w:shd w:val="clear" w:color="auto" w:fill="auto"/>
            <w:vAlign w:val="center"/>
          </w:tcPr>
          <w:p w14:paraId="0F7CB410"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1134" w:type="dxa"/>
            <w:tcBorders>
              <w:top w:val="single" w:sz="4" w:space="0" w:color="auto"/>
              <w:left w:val="single" w:sz="8" w:space="0" w:color="E0E0E0"/>
              <w:bottom w:val="single" w:sz="4" w:space="0" w:color="auto"/>
              <w:right w:val="single" w:sz="8" w:space="0" w:color="E0E0E0"/>
            </w:tcBorders>
            <w:shd w:val="clear" w:color="auto" w:fill="auto"/>
            <w:vAlign w:val="center"/>
          </w:tcPr>
          <w:p w14:paraId="3E149424"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850" w:type="dxa"/>
            <w:tcBorders>
              <w:top w:val="single" w:sz="4" w:space="0" w:color="auto"/>
              <w:left w:val="single" w:sz="8" w:space="0" w:color="E0E0E0"/>
              <w:bottom w:val="single" w:sz="4" w:space="0" w:color="auto"/>
              <w:right w:val="nil"/>
            </w:tcBorders>
            <w:shd w:val="clear" w:color="auto" w:fill="auto"/>
            <w:vAlign w:val="center"/>
          </w:tcPr>
          <w:p w14:paraId="36840A1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9" w:type="dxa"/>
            <w:tcBorders>
              <w:top w:val="single" w:sz="4" w:space="0" w:color="auto"/>
              <w:left w:val="single" w:sz="8" w:space="0" w:color="E0E0E0"/>
              <w:bottom w:val="single" w:sz="4" w:space="0" w:color="auto"/>
              <w:right w:val="single" w:sz="8" w:space="0" w:color="E0E0E0"/>
            </w:tcBorders>
            <w:shd w:val="clear" w:color="auto" w:fill="auto"/>
            <w:vAlign w:val="center"/>
          </w:tcPr>
          <w:p w14:paraId="0284B6A2"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1134" w:type="dxa"/>
            <w:tcBorders>
              <w:top w:val="single" w:sz="4" w:space="0" w:color="auto"/>
              <w:left w:val="single" w:sz="8" w:space="0" w:color="E0E0E0"/>
              <w:bottom w:val="single" w:sz="4" w:space="0" w:color="auto"/>
              <w:right w:val="single" w:sz="8" w:space="0" w:color="E0E0E0"/>
            </w:tcBorders>
            <w:shd w:val="clear" w:color="auto" w:fill="auto"/>
            <w:vAlign w:val="center"/>
          </w:tcPr>
          <w:p w14:paraId="385F0BE4"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850" w:type="dxa"/>
            <w:tcBorders>
              <w:top w:val="single" w:sz="4" w:space="0" w:color="auto"/>
              <w:left w:val="single" w:sz="8" w:space="0" w:color="E0E0E0"/>
              <w:bottom w:val="single" w:sz="4" w:space="0" w:color="auto"/>
              <w:right w:val="nil"/>
            </w:tcBorders>
            <w:shd w:val="clear" w:color="auto" w:fill="auto"/>
            <w:vAlign w:val="center"/>
          </w:tcPr>
          <w:p w14:paraId="3157F5A9"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9" w:type="dxa"/>
            <w:tcBorders>
              <w:top w:val="single" w:sz="4" w:space="0" w:color="auto"/>
              <w:left w:val="single" w:sz="8" w:space="0" w:color="E0E0E0"/>
              <w:bottom w:val="single" w:sz="4" w:space="0" w:color="auto"/>
              <w:right w:val="single" w:sz="8" w:space="0" w:color="E0E0E0"/>
            </w:tcBorders>
            <w:shd w:val="clear" w:color="auto" w:fill="auto"/>
            <w:vAlign w:val="center"/>
          </w:tcPr>
          <w:p w14:paraId="167817F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1134" w:type="dxa"/>
            <w:tcBorders>
              <w:top w:val="single" w:sz="4" w:space="0" w:color="auto"/>
              <w:left w:val="single" w:sz="8" w:space="0" w:color="E0E0E0"/>
              <w:bottom w:val="single" w:sz="4" w:space="0" w:color="auto"/>
              <w:right w:val="single" w:sz="8" w:space="0" w:color="E0E0E0"/>
            </w:tcBorders>
            <w:shd w:val="clear" w:color="auto" w:fill="auto"/>
            <w:vAlign w:val="center"/>
          </w:tcPr>
          <w:p w14:paraId="183CCBE2"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946" w:type="dxa"/>
            <w:tcBorders>
              <w:top w:val="single" w:sz="4" w:space="0" w:color="auto"/>
              <w:left w:val="single" w:sz="8" w:space="0" w:color="E0E0E0"/>
              <w:bottom w:val="single" w:sz="4" w:space="0" w:color="auto"/>
              <w:right w:val="nil"/>
            </w:tcBorders>
            <w:shd w:val="clear" w:color="auto" w:fill="auto"/>
            <w:vAlign w:val="center"/>
          </w:tcPr>
          <w:p w14:paraId="6F664C74"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r>
      <w:tr w:rsidR="006E3616" w:rsidRPr="00400193" w14:paraId="5B529AE0" w14:textId="77777777" w:rsidTr="003B5486">
        <w:trPr>
          <w:trHeight w:val="284"/>
        </w:trPr>
        <w:tc>
          <w:tcPr>
            <w:tcW w:w="846" w:type="dxa"/>
            <w:tcBorders>
              <w:top w:val="single" w:sz="4" w:space="0" w:color="auto"/>
              <w:left w:val="nil"/>
              <w:bottom w:val="single" w:sz="8" w:space="0" w:color="AEAEAE"/>
              <w:right w:val="nil"/>
            </w:tcBorders>
            <w:shd w:val="clear" w:color="auto" w:fill="auto"/>
            <w:vAlign w:val="center"/>
          </w:tcPr>
          <w:p w14:paraId="27F2552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709" w:type="dxa"/>
            <w:tcBorders>
              <w:top w:val="single" w:sz="4" w:space="0" w:color="auto"/>
              <w:left w:val="nil"/>
              <w:bottom w:val="single" w:sz="8" w:space="0" w:color="AEAEAE"/>
              <w:right w:val="single" w:sz="8" w:space="0" w:color="E0E0E0"/>
            </w:tcBorders>
            <w:shd w:val="clear" w:color="auto" w:fill="auto"/>
            <w:vAlign w:val="center"/>
          </w:tcPr>
          <w:p w14:paraId="16BA133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7.771</w:t>
            </w:r>
          </w:p>
        </w:tc>
        <w:tc>
          <w:tcPr>
            <w:tcW w:w="1134" w:type="dxa"/>
            <w:tcBorders>
              <w:top w:val="single" w:sz="4" w:space="0" w:color="auto"/>
              <w:left w:val="single" w:sz="8" w:space="0" w:color="E0E0E0"/>
              <w:bottom w:val="single" w:sz="8" w:space="0" w:color="AEAEAE"/>
              <w:right w:val="single" w:sz="8" w:space="0" w:color="E0E0E0"/>
            </w:tcBorders>
            <w:shd w:val="clear" w:color="auto" w:fill="auto"/>
            <w:vAlign w:val="center"/>
          </w:tcPr>
          <w:p w14:paraId="7B7FC81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59.779</w:t>
            </w:r>
          </w:p>
        </w:tc>
        <w:tc>
          <w:tcPr>
            <w:tcW w:w="850" w:type="dxa"/>
            <w:tcBorders>
              <w:top w:val="single" w:sz="4" w:space="0" w:color="auto"/>
              <w:left w:val="single" w:sz="8" w:space="0" w:color="E0E0E0"/>
              <w:bottom w:val="single" w:sz="8" w:space="0" w:color="AEAEAE"/>
              <w:right w:val="nil"/>
            </w:tcBorders>
            <w:shd w:val="clear" w:color="auto" w:fill="auto"/>
            <w:vAlign w:val="center"/>
          </w:tcPr>
          <w:p w14:paraId="702D2E5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59.779</w:t>
            </w:r>
          </w:p>
        </w:tc>
        <w:tc>
          <w:tcPr>
            <w:tcW w:w="709" w:type="dxa"/>
            <w:tcBorders>
              <w:top w:val="single" w:sz="4" w:space="0" w:color="auto"/>
              <w:left w:val="single" w:sz="8" w:space="0" w:color="E0E0E0"/>
              <w:bottom w:val="single" w:sz="8" w:space="0" w:color="AEAEAE"/>
              <w:right w:val="single" w:sz="8" w:space="0" w:color="E0E0E0"/>
            </w:tcBorders>
            <w:shd w:val="clear" w:color="auto" w:fill="auto"/>
            <w:vAlign w:val="center"/>
          </w:tcPr>
          <w:p w14:paraId="1058B59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7.771</w:t>
            </w:r>
          </w:p>
        </w:tc>
        <w:tc>
          <w:tcPr>
            <w:tcW w:w="1134" w:type="dxa"/>
            <w:tcBorders>
              <w:top w:val="single" w:sz="4" w:space="0" w:color="auto"/>
              <w:left w:val="single" w:sz="8" w:space="0" w:color="E0E0E0"/>
              <w:bottom w:val="single" w:sz="8" w:space="0" w:color="AEAEAE"/>
              <w:right w:val="single" w:sz="8" w:space="0" w:color="E0E0E0"/>
            </w:tcBorders>
            <w:shd w:val="clear" w:color="auto" w:fill="auto"/>
            <w:vAlign w:val="center"/>
          </w:tcPr>
          <w:p w14:paraId="363A91C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59.779</w:t>
            </w:r>
          </w:p>
        </w:tc>
        <w:tc>
          <w:tcPr>
            <w:tcW w:w="850" w:type="dxa"/>
            <w:tcBorders>
              <w:top w:val="single" w:sz="4" w:space="0" w:color="auto"/>
              <w:left w:val="single" w:sz="8" w:space="0" w:color="E0E0E0"/>
              <w:bottom w:val="single" w:sz="8" w:space="0" w:color="AEAEAE"/>
              <w:right w:val="nil"/>
            </w:tcBorders>
            <w:shd w:val="clear" w:color="auto" w:fill="auto"/>
            <w:vAlign w:val="center"/>
          </w:tcPr>
          <w:p w14:paraId="7FF692A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59.779</w:t>
            </w:r>
          </w:p>
        </w:tc>
        <w:tc>
          <w:tcPr>
            <w:tcW w:w="709" w:type="dxa"/>
            <w:tcBorders>
              <w:top w:val="single" w:sz="4" w:space="0" w:color="auto"/>
              <w:left w:val="single" w:sz="8" w:space="0" w:color="E0E0E0"/>
              <w:bottom w:val="single" w:sz="8" w:space="0" w:color="AEAEAE"/>
              <w:right w:val="single" w:sz="8" w:space="0" w:color="E0E0E0"/>
            </w:tcBorders>
            <w:shd w:val="clear" w:color="auto" w:fill="auto"/>
            <w:vAlign w:val="center"/>
          </w:tcPr>
          <w:p w14:paraId="3164B59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6.023</w:t>
            </w:r>
          </w:p>
        </w:tc>
        <w:tc>
          <w:tcPr>
            <w:tcW w:w="1134" w:type="dxa"/>
            <w:tcBorders>
              <w:top w:val="single" w:sz="4" w:space="0" w:color="auto"/>
              <w:left w:val="single" w:sz="8" w:space="0" w:color="E0E0E0"/>
              <w:bottom w:val="single" w:sz="8" w:space="0" w:color="AEAEAE"/>
              <w:right w:val="single" w:sz="8" w:space="0" w:color="E0E0E0"/>
            </w:tcBorders>
            <w:shd w:val="clear" w:color="auto" w:fill="auto"/>
            <w:vAlign w:val="center"/>
          </w:tcPr>
          <w:p w14:paraId="7F97EA4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46.330</w:t>
            </w:r>
          </w:p>
        </w:tc>
        <w:tc>
          <w:tcPr>
            <w:tcW w:w="946" w:type="dxa"/>
            <w:tcBorders>
              <w:top w:val="single" w:sz="4" w:space="0" w:color="auto"/>
              <w:left w:val="single" w:sz="8" w:space="0" w:color="E0E0E0"/>
              <w:bottom w:val="single" w:sz="8" w:space="0" w:color="AEAEAE"/>
              <w:right w:val="nil"/>
            </w:tcBorders>
            <w:shd w:val="clear" w:color="auto" w:fill="auto"/>
            <w:vAlign w:val="center"/>
          </w:tcPr>
          <w:p w14:paraId="0203800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46.330</w:t>
            </w:r>
          </w:p>
        </w:tc>
      </w:tr>
      <w:tr w:rsidR="006E3616" w:rsidRPr="00400193" w14:paraId="7C74C60E" w14:textId="77777777" w:rsidTr="003B5486">
        <w:trPr>
          <w:trHeight w:val="284"/>
        </w:trPr>
        <w:tc>
          <w:tcPr>
            <w:tcW w:w="846" w:type="dxa"/>
            <w:tcBorders>
              <w:top w:val="single" w:sz="8" w:space="0" w:color="AEAEAE"/>
              <w:left w:val="nil"/>
              <w:bottom w:val="single" w:sz="8" w:space="0" w:color="AEAEAE"/>
              <w:right w:val="nil"/>
            </w:tcBorders>
            <w:shd w:val="clear" w:color="auto" w:fill="auto"/>
            <w:vAlign w:val="center"/>
          </w:tcPr>
          <w:p w14:paraId="0B0C6E8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709" w:type="dxa"/>
            <w:tcBorders>
              <w:top w:val="single" w:sz="8" w:space="0" w:color="AEAEAE"/>
              <w:left w:val="nil"/>
              <w:bottom w:val="single" w:sz="8" w:space="0" w:color="AEAEAE"/>
              <w:right w:val="single" w:sz="8" w:space="0" w:color="E0E0E0"/>
            </w:tcBorders>
            <w:shd w:val="clear" w:color="auto" w:fill="auto"/>
            <w:vAlign w:val="center"/>
          </w:tcPr>
          <w:p w14:paraId="76F8F1C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1.150</w:t>
            </w: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7605D1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8.849</w:t>
            </w:r>
          </w:p>
        </w:tc>
        <w:tc>
          <w:tcPr>
            <w:tcW w:w="850" w:type="dxa"/>
            <w:tcBorders>
              <w:top w:val="single" w:sz="8" w:space="0" w:color="AEAEAE"/>
              <w:left w:val="single" w:sz="8" w:space="0" w:color="E0E0E0"/>
              <w:bottom w:val="single" w:sz="8" w:space="0" w:color="AEAEAE"/>
              <w:right w:val="nil"/>
            </w:tcBorders>
            <w:shd w:val="clear" w:color="auto" w:fill="auto"/>
            <w:vAlign w:val="center"/>
          </w:tcPr>
          <w:p w14:paraId="56E0610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68.628</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78F6EDF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1.150</w:t>
            </w: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413B47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8.849</w:t>
            </w:r>
          </w:p>
        </w:tc>
        <w:tc>
          <w:tcPr>
            <w:tcW w:w="850" w:type="dxa"/>
            <w:tcBorders>
              <w:top w:val="single" w:sz="8" w:space="0" w:color="AEAEAE"/>
              <w:left w:val="single" w:sz="8" w:space="0" w:color="E0E0E0"/>
              <w:bottom w:val="single" w:sz="8" w:space="0" w:color="AEAEAE"/>
              <w:right w:val="nil"/>
            </w:tcBorders>
            <w:shd w:val="clear" w:color="auto" w:fill="auto"/>
            <w:vAlign w:val="center"/>
          </w:tcPr>
          <w:p w14:paraId="72FFC2D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68.628</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8E2FBD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2.899</w:t>
            </w: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6E3338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22.298</w:t>
            </w:r>
          </w:p>
        </w:tc>
        <w:tc>
          <w:tcPr>
            <w:tcW w:w="946" w:type="dxa"/>
            <w:tcBorders>
              <w:top w:val="single" w:sz="8" w:space="0" w:color="AEAEAE"/>
              <w:left w:val="single" w:sz="8" w:space="0" w:color="E0E0E0"/>
              <w:bottom w:val="single" w:sz="8" w:space="0" w:color="AEAEAE"/>
              <w:right w:val="nil"/>
            </w:tcBorders>
            <w:shd w:val="clear" w:color="auto" w:fill="auto"/>
            <w:vAlign w:val="center"/>
          </w:tcPr>
          <w:p w14:paraId="253BA6A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68.628</w:t>
            </w:r>
          </w:p>
        </w:tc>
      </w:tr>
      <w:tr w:rsidR="006E3616" w:rsidRPr="00400193" w14:paraId="4FD8C5DE" w14:textId="77777777" w:rsidTr="003B5486">
        <w:trPr>
          <w:trHeight w:val="284"/>
        </w:trPr>
        <w:tc>
          <w:tcPr>
            <w:tcW w:w="846" w:type="dxa"/>
            <w:tcBorders>
              <w:top w:val="single" w:sz="8" w:space="0" w:color="AEAEAE"/>
              <w:left w:val="nil"/>
              <w:bottom w:val="single" w:sz="8" w:space="0" w:color="AEAEAE"/>
              <w:right w:val="nil"/>
            </w:tcBorders>
            <w:shd w:val="clear" w:color="auto" w:fill="auto"/>
            <w:vAlign w:val="center"/>
          </w:tcPr>
          <w:p w14:paraId="26DEF72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709" w:type="dxa"/>
            <w:tcBorders>
              <w:top w:val="single" w:sz="8" w:space="0" w:color="AEAEAE"/>
              <w:left w:val="nil"/>
              <w:bottom w:val="single" w:sz="8" w:space="0" w:color="AEAEAE"/>
              <w:right w:val="single" w:sz="8" w:space="0" w:color="E0E0E0"/>
            </w:tcBorders>
            <w:shd w:val="clear" w:color="auto" w:fill="auto"/>
            <w:vAlign w:val="center"/>
          </w:tcPr>
          <w:p w14:paraId="52BD6F5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0.660</w:t>
            </w: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865F97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5.081</w:t>
            </w:r>
          </w:p>
        </w:tc>
        <w:tc>
          <w:tcPr>
            <w:tcW w:w="850" w:type="dxa"/>
            <w:tcBorders>
              <w:top w:val="single" w:sz="8" w:space="0" w:color="AEAEAE"/>
              <w:left w:val="single" w:sz="8" w:space="0" w:color="E0E0E0"/>
              <w:bottom w:val="single" w:sz="8" w:space="0" w:color="AEAEAE"/>
              <w:right w:val="nil"/>
            </w:tcBorders>
            <w:shd w:val="clear" w:color="auto" w:fill="auto"/>
            <w:vAlign w:val="center"/>
          </w:tcPr>
          <w:p w14:paraId="0B20D47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73.708</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58327C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399DBA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50" w:type="dxa"/>
            <w:tcBorders>
              <w:top w:val="single" w:sz="8" w:space="0" w:color="AEAEAE"/>
              <w:left w:val="single" w:sz="8" w:space="0" w:color="E0E0E0"/>
              <w:bottom w:val="single" w:sz="8" w:space="0" w:color="AEAEAE"/>
              <w:right w:val="nil"/>
            </w:tcBorders>
            <w:shd w:val="clear" w:color="auto" w:fill="auto"/>
            <w:vAlign w:val="center"/>
          </w:tcPr>
          <w:p w14:paraId="108B7D4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251620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13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729CB6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46" w:type="dxa"/>
            <w:tcBorders>
              <w:top w:val="single" w:sz="8" w:space="0" w:color="AEAEAE"/>
              <w:left w:val="single" w:sz="8" w:space="0" w:color="E0E0E0"/>
              <w:bottom w:val="single" w:sz="8" w:space="0" w:color="AEAEAE"/>
              <w:right w:val="nil"/>
            </w:tcBorders>
            <w:shd w:val="clear" w:color="auto" w:fill="auto"/>
            <w:vAlign w:val="center"/>
          </w:tcPr>
          <w:p w14:paraId="396E1999"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6E3616" w:rsidRPr="00400193" w14:paraId="099ED896" w14:textId="77777777" w:rsidTr="003B5486">
        <w:trPr>
          <w:trHeight w:val="284"/>
        </w:trPr>
        <w:tc>
          <w:tcPr>
            <w:tcW w:w="9021" w:type="dxa"/>
            <w:gridSpan w:val="10"/>
            <w:tcBorders>
              <w:left w:val="single" w:sz="4" w:space="0" w:color="FFFFFF" w:themeColor="background1"/>
              <w:right w:val="single" w:sz="4" w:space="0" w:color="FFFFFF" w:themeColor="background1"/>
            </w:tcBorders>
          </w:tcPr>
          <w:p w14:paraId="4A2BB3D5" w14:textId="77777777" w:rsidR="006E3616" w:rsidRPr="00400193" w:rsidRDefault="006E3616" w:rsidP="003B5486">
            <w:pPr>
              <w:keepNext/>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Extraction Method: Principal Component Analysis.</w:t>
            </w:r>
          </w:p>
        </w:tc>
      </w:tr>
    </w:tbl>
    <w:p w14:paraId="2DE79CAE" w14:textId="6CF80CFA" w:rsidR="006E3616" w:rsidRPr="00400193" w:rsidRDefault="006E3616" w:rsidP="006E3616">
      <w:pPr>
        <w:pStyle w:val="Caption"/>
      </w:pPr>
      <w:bookmarkStart w:id="469" w:name="_Ref43252185"/>
      <w:bookmarkStart w:id="470" w:name="_Toc5290156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15</w:t>
      </w:r>
      <w:r w:rsidRPr="00400193">
        <w:fldChar w:fldCharType="end"/>
      </w:r>
      <w:bookmarkEnd w:id="469"/>
      <w:r w:rsidRPr="00400193">
        <w:t>: Total variance explained by the components of KEFF</w:t>
      </w:r>
      <w:bookmarkEnd w:id="470"/>
    </w:p>
    <w:p w14:paraId="47BF17CB" w14:textId="01324F49" w:rsidR="009B134A" w:rsidRPr="00400193" w:rsidRDefault="009B134A" w:rsidP="009B134A">
      <w:r w:rsidRPr="00400193">
        <w:rPr>
          <w:lang w:eastAsia="zh-CN" w:bidi="hi-IN"/>
        </w:rPr>
        <w:t>The KMO value of 0.921 obtained was within the range for factor analysis (0.5–1.0). Bartlett’s test of sphericity gave a Chi-square value of 996.7 and 78 degrees of freedom and was significant at ≤0.001 (</w:t>
      </w:r>
      <w:r w:rsidRPr="00400193">
        <w:rPr>
          <w:lang w:eastAsia="zh-CN" w:bidi="hi-IN"/>
        </w:rPr>
        <w:fldChar w:fldCharType="begin"/>
      </w:r>
      <w:r w:rsidRPr="00400193">
        <w:rPr>
          <w:lang w:eastAsia="zh-CN" w:bidi="hi-IN"/>
        </w:rPr>
        <w:instrText xml:space="preserve"> REF _Ref43252225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16</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673"/>
        <w:gridCol w:w="2693"/>
        <w:gridCol w:w="1650"/>
      </w:tblGrid>
      <w:tr w:rsidR="00A0618E" w:rsidRPr="00400193" w14:paraId="1351446A" w14:textId="77777777" w:rsidTr="0077263B">
        <w:trPr>
          <w:trHeight w:val="283"/>
        </w:trPr>
        <w:tc>
          <w:tcPr>
            <w:tcW w:w="7366" w:type="dxa"/>
            <w:gridSpan w:val="2"/>
            <w:tcBorders>
              <w:top w:val="single" w:sz="4" w:space="0" w:color="auto"/>
              <w:left w:val="nil"/>
              <w:bottom w:val="single" w:sz="4" w:space="0" w:color="auto"/>
              <w:right w:val="nil"/>
            </w:tcBorders>
            <w:shd w:val="clear" w:color="auto" w:fill="auto"/>
            <w:vAlign w:val="center"/>
          </w:tcPr>
          <w:p w14:paraId="282AAA2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650" w:type="dxa"/>
            <w:tcBorders>
              <w:top w:val="single" w:sz="4" w:space="0" w:color="auto"/>
              <w:left w:val="nil"/>
              <w:bottom w:val="single" w:sz="4" w:space="0" w:color="auto"/>
              <w:right w:val="single" w:sz="4" w:space="0" w:color="FFFFFF" w:themeColor="background1"/>
            </w:tcBorders>
            <w:shd w:val="clear" w:color="auto" w:fill="auto"/>
            <w:vAlign w:val="center"/>
          </w:tcPr>
          <w:p w14:paraId="07CE604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0.921</w:t>
            </w:r>
          </w:p>
        </w:tc>
      </w:tr>
      <w:tr w:rsidR="00A0618E" w:rsidRPr="00400193" w14:paraId="2EFC1677" w14:textId="77777777" w:rsidTr="0077263B">
        <w:trPr>
          <w:trHeight w:val="283"/>
        </w:trPr>
        <w:tc>
          <w:tcPr>
            <w:tcW w:w="4673" w:type="dxa"/>
            <w:vMerge w:val="restart"/>
            <w:tcBorders>
              <w:left w:val="single" w:sz="4" w:space="0" w:color="FFFFFF" w:themeColor="background1"/>
              <w:right w:val="single" w:sz="4" w:space="0" w:color="FFFFFF" w:themeColor="background1"/>
            </w:tcBorders>
            <w:vAlign w:val="center"/>
          </w:tcPr>
          <w:p w14:paraId="2FBA533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3" w:type="dxa"/>
            <w:tcBorders>
              <w:top w:val="single" w:sz="4" w:space="0" w:color="auto"/>
              <w:left w:val="single" w:sz="4" w:space="0" w:color="FFFFFF" w:themeColor="background1"/>
              <w:bottom w:val="single" w:sz="8" w:space="0" w:color="AEAEAE"/>
              <w:right w:val="nil"/>
            </w:tcBorders>
            <w:shd w:val="clear" w:color="auto" w:fill="auto"/>
            <w:vAlign w:val="center"/>
          </w:tcPr>
          <w:p w14:paraId="1A16AA50"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650" w:type="dxa"/>
            <w:tcBorders>
              <w:top w:val="single" w:sz="4" w:space="0" w:color="auto"/>
              <w:left w:val="nil"/>
              <w:bottom w:val="single" w:sz="8" w:space="0" w:color="AEAEAE"/>
              <w:right w:val="single" w:sz="4" w:space="0" w:color="FFFFFF" w:themeColor="background1"/>
            </w:tcBorders>
            <w:shd w:val="clear" w:color="auto" w:fill="auto"/>
            <w:vAlign w:val="center"/>
          </w:tcPr>
          <w:p w14:paraId="7290904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996.7</w:t>
            </w:r>
          </w:p>
        </w:tc>
      </w:tr>
      <w:tr w:rsidR="00A0618E" w:rsidRPr="00400193" w14:paraId="2EE168D3" w14:textId="77777777" w:rsidTr="0077263B">
        <w:trPr>
          <w:trHeight w:val="283"/>
        </w:trPr>
        <w:tc>
          <w:tcPr>
            <w:tcW w:w="4673" w:type="dxa"/>
            <w:vMerge/>
            <w:tcBorders>
              <w:left w:val="single" w:sz="4" w:space="0" w:color="FFFFFF" w:themeColor="background1"/>
              <w:right w:val="single" w:sz="4" w:space="0" w:color="FFFFFF" w:themeColor="background1"/>
            </w:tcBorders>
            <w:vAlign w:val="center"/>
          </w:tcPr>
          <w:p w14:paraId="17F693E5"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3" w:type="dxa"/>
            <w:tcBorders>
              <w:top w:val="single" w:sz="8" w:space="0" w:color="AEAEAE"/>
              <w:left w:val="single" w:sz="4" w:space="0" w:color="FFFFFF" w:themeColor="background1"/>
              <w:bottom w:val="single" w:sz="8" w:space="0" w:color="AEAEAE"/>
              <w:right w:val="nil"/>
            </w:tcBorders>
            <w:shd w:val="clear" w:color="auto" w:fill="auto"/>
            <w:vAlign w:val="center"/>
          </w:tcPr>
          <w:p w14:paraId="699488AA"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650" w:type="dxa"/>
            <w:tcBorders>
              <w:top w:val="single" w:sz="8" w:space="0" w:color="AEAEAE"/>
              <w:left w:val="nil"/>
              <w:bottom w:val="single" w:sz="8" w:space="0" w:color="AEAEAE"/>
              <w:right w:val="single" w:sz="4" w:space="0" w:color="FFFFFF" w:themeColor="background1"/>
            </w:tcBorders>
            <w:shd w:val="clear" w:color="auto" w:fill="auto"/>
            <w:vAlign w:val="center"/>
          </w:tcPr>
          <w:p w14:paraId="024BBEB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w:t>
            </w:r>
          </w:p>
        </w:tc>
      </w:tr>
      <w:tr w:rsidR="00A0618E" w:rsidRPr="00400193" w14:paraId="1572F428" w14:textId="77777777" w:rsidTr="0077263B">
        <w:trPr>
          <w:trHeight w:val="283"/>
        </w:trPr>
        <w:tc>
          <w:tcPr>
            <w:tcW w:w="4673" w:type="dxa"/>
            <w:vMerge/>
            <w:tcBorders>
              <w:left w:val="single" w:sz="4" w:space="0" w:color="FFFFFF" w:themeColor="background1"/>
              <w:right w:val="single" w:sz="4" w:space="0" w:color="FFFFFF" w:themeColor="background1"/>
            </w:tcBorders>
            <w:vAlign w:val="center"/>
          </w:tcPr>
          <w:p w14:paraId="187F2C6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3" w:type="dxa"/>
            <w:tcBorders>
              <w:top w:val="single" w:sz="8" w:space="0" w:color="AEAEAE"/>
              <w:left w:val="single" w:sz="4" w:space="0" w:color="FFFFFF" w:themeColor="background1"/>
              <w:bottom w:val="single" w:sz="4" w:space="0" w:color="auto"/>
              <w:right w:val="nil"/>
            </w:tcBorders>
            <w:shd w:val="clear" w:color="auto" w:fill="auto"/>
            <w:vAlign w:val="center"/>
          </w:tcPr>
          <w:p w14:paraId="61D7AD1B"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650" w:type="dxa"/>
            <w:tcBorders>
              <w:top w:val="single" w:sz="8" w:space="0" w:color="AEAEAE"/>
              <w:left w:val="nil"/>
              <w:bottom w:val="single" w:sz="4" w:space="0" w:color="auto"/>
              <w:right w:val="single" w:sz="4" w:space="0" w:color="FFFFFF" w:themeColor="background1"/>
            </w:tcBorders>
            <w:shd w:val="clear" w:color="auto" w:fill="auto"/>
            <w:vAlign w:val="center"/>
          </w:tcPr>
          <w:p w14:paraId="2A18D368"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60D5EEC" w14:textId="1855F657" w:rsidR="006E3616" w:rsidRPr="00400193" w:rsidRDefault="006E3616" w:rsidP="006E3616">
      <w:pPr>
        <w:pStyle w:val="Caption"/>
        <w:spacing w:after="240"/>
        <w:rPr>
          <w:lang w:eastAsia="zh-CN" w:bidi="hi-IN"/>
        </w:rPr>
      </w:pPr>
      <w:bookmarkStart w:id="471" w:name="_Ref43252225"/>
      <w:bookmarkStart w:id="472" w:name="_Toc5290156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16</w:t>
      </w:r>
      <w:r w:rsidRPr="00400193">
        <w:fldChar w:fldCharType="end"/>
      </w:r>
      <w:bookmarkEnd w:id="471"/>
      <w:r w:rsidRPr="00400193">
        <w:t>: Kaiser–Meyer–Olkin test and Bartlett's test of sphericity for KEFF</w:t>
      </w:r>
      <w:bookmarkEnd w:id="472"/>
      <w:r w:rsidRPr="00400193">
        <w:t xml:space="preserve"> </w:t>
      </w:r>
    </w:p>
    <w:p w14:paraId="79FF6D01" w14:textId="5AF636A5" w:rsidR="006E3616" w:rsidRPr="00400193" w:rsidRDefault="006E3616" w:rsidP="006E3616">
      <w:pPr>
        <w:rPr>
          <w:lang w:eastAsia="zh-CN" w:bidi="hi-IN"/>
        </w:rPr>
      </w:pPr>
      <w:r w:rsidRPr="00400193">
        <w:rPr>
          <w:lang w:eastAsia="zh-CN" w:bidi="hi-IN"/>
        </w:rPr>
        <w:lastRenderedPageBreak/>
        <w:fldChar w:fldCharType="begin"/>
      </w:r>
      <w:r w:rsidRPr="00400193">
        <w:rPr>
          <w:lang w:eastAsia="zh-CN" w:bidi="hi-IN"/>
        </w:rPr>
        <w:instrText xml:space="preserve"> REF _Ref43252352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17</w:t>
      </w:r>
      <w:r w:rsidRPr="00400193">
        <w:rPr>
          <w:lang w:eastAsia="zh-CN" w:bidi="hi-IN"/>
        </w:rPr>
        <w:fldChar w:fldCharType="end"/>
      </w:r>
      <w:r w:rsidRPr="00400193">
        <w:rPr>
          <w:lang w:eastAsia="zh-CN" w:bidi="hi-IN"/>
        </w:rPr>
        <w:t xml:space="preserve"> shows the factor load. All items had loads higher than 0.6. Each variable was assigned to the component or factor with the largest loading. There were two new latent clusters of Key External Threats - Financial Fraud (KEFF). There were 10 variables allocated to the first (KEFFN1), on ‘economic fraud’ and three assigned to the second (KEFFN2), ‘fiscal scams’. The two new latent clusters had a reliability of &gt;0.8, which was good. </w:t>
      </w:r>
    </w:p>
    <w:tbl>
      <w:tblPr>
        <w:tblStyle w:val="TableGrid"/>
        <w:tblW w:w="0" w:type="auto"/>
        <w:tblLook w:val="04A0" w:firstRow="1" w:lastRow="0" w:firstColumn="1" w:lastColumn="0" w:noHBand="0" w:noVBand="1"/>
      </w:tblPr>
      <w:tblGrid>
        <w:gridCol w:w="1288"/>
        <w:gridCol w:w="1288"/>
        <w:gridCol w:w="1288"/>
        <w:gridCol w:w="1288"/>
        <w:gridCol w:w="1288"/>
        <w:gridCol w:w="1288"/>
        <w:gridCol w:w="1288"/>
      </w:tblGrid>
      <w:tr w:rsidR="00A0618E" w:rsidRPr="00400193" w14:paraId="285B60B0" w14:textId="77777777" w:rsidTr="0077263B">
        <w:trPr>
          <w:trHeight w:val="283"/>
        </w:trPr>
        <w:tc>
          <w:tcPr>
            <w:tcW w:w="1288" w:type="dxa"/>
            <w:tcBorders>
              <w:left w:val="single" w:sz="4" w:space="0" w:color="FFFFFF" w:themeColor="background1"/>
              <w:bottom w:val="single" w:sz="4" w:space="0" w:color="FFFFFF" w:themeColor="background1"/>
              <w:right w:val="single" w:sz="4" w:space="0" w:color="FFFFFF" w:themeColor="background1"/>
            </w:tcBorders>
            <w:vAlign w:val="center"/>
          </w:tcPr>
          <w:p w14:paraId="5705C78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2576" w:type="dxa"/>
            <w:gridSpan w:val="2"/>
            <w:tcBorders>
              <w:left w:val="single" w:sz="4" w:space="0" w:color="FFFFFF" w:themeColor="background1"/>
              <w:bottom w:val="single" w:sz="4" w:space="0" w:color="FFFFFF" w:themeColor="background1"/>
              <w:right w:val="single" w:sz="4" w:space="0" w:color="FFFFFF" w:themeColor="background1"/>
            </w:tcBorders>
            <w:vAlign w:val="center"/>
          </w:tcPr>
          <w:p w14:paraId="13C3A1B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 xml:space="preserve">Component matrix </w:t>
            </w:r>
            <w:r w:rsidRPr="00400193">
              <w:rPr>
                <w:rFonts w:asciiTheme="minorHAnsi" w:hAnsiTheme="minorHAnsi" w:cstheme="minorHAnsi"/>
                <w:sz w:val="20"/>
                <w:vertAlign w:val="superscript"/>
                <w:lang w:eastAsia="zh-CN" w:bidi="hi-IN"/>
              </w:rPr>
              <w:t>a b</w:t>
            </w:r>
          </w:p>
        </w:tc>
        <w:tc>
          <w:tcPr>
            <w:tcW w:w="1288" w:type="dxa"/>
            <w:vMerge w:val="restart"/>
            <w:tcBorders>
              <w:left w:val="single" w:sz="4" w:space="0" w:color="FFFFFF" w:themeColor="background1"/>
              <w:right w:val="single" w:sz="4" w:space="0" w:color="FFFFFF" w:themeColor="background1"/>
            </w:tcBorders>
            <w:vAlign w:val="center"/>
          </w:tcPr>
          <w:p w14:paraId="531FBB0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Cronbach’s Alpha</w:t>
            </w:r>
          </w:p>
        </w:tc>
        <w:tc>
          <w:tcPr>
            <w:tcW w:w="1288" w:type="dxa"/>
            <w:vMerge w:val="restart"/>
            <w:tcBorders>
              <w:left w:val="single" w:sz="4" w:space="0" w:color="FFFFFF" w:themeColor="background1"/>
              <w:right w:val="single" w:sz="4" w:space="0" w:color="FFFFFF" w:themeColor="background1"/>
            </w:tcBorders>
            <w:vAlign w:val="center"/>
          </w:tcPr>
          <w:p w14:paraId="0355E0D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No. of Questions</w:t>
            </w:r>
          </w:p>
        </w:tc>
        <w:tc>
          <w:tcPr>
            <w:tcW w:w="1288" w:type="dxa"/>
            <w:vMerge w:val="restart"/>
            <w:tcBorders>
              <w:left w:val="single" w:sz="4" w:space="0" w:color="FFFFFF" w:themeColor="background1"/>
              <w:right w:val="single" w:sz="4" w:space="0" w:color="FFFFFF" w:themeColor="background1"/>
            </w:tcBorders>
            <w:vAlign w:val="center"/>
          </w:tcPr>
          <w:p w14:paraId="109E886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Code</w:t>
            </w:r>
          </w:p>
        </w:tc>
        <w:tc>
          <w:tcPr>
            <w:tcW w:w="1288" w:type="dxa"/>
            <w:vMerge w:val="restart"/>
            <w:tcBorders>
              <w:left w:val="single" w:sz="4" w:space="0" w:color="FFFFFF" w:themeColor="background1"/>
              <w:right w:val="single" w:sz="4" w:space="0" w:color="FFFFFF" w:themeColor="background1"/>
            </w:tcBorders>
            <w:vAlign w:val="center"/>
          </w:tcPr>
          <w:p w14:paraId="2CE355B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Description</w:t>
            </w:r>
          </w:p>
        </w:tc>
      </w:tr>
      <w:tr w:rsidR="00A0618E" w:rsidRPr="00400193" w14:paraId="60AF04F3" w14:textId="77777777" w:rsidTr="0077263B">
        <w:trPr>
          <w:trHeight w:val="283"/>
        </w:trPr>
        <w:tc>
          <w:tcPr>
            <w:tcW w:w="1288" w:type="dxa"/>
            <w:tcBorders>
              <w:top w:val="single" w:sz="4" w:space="0" w:color="FFFFFF" w:themeColor="background1"/>
              <w:left w:val="single" w:sz="4" w:space="0" w:color="FFFFFF" w:themeColor="background1"/>
              <w:right w:val="single" w:sz="4" w:space="0" w:color="FFFFFF" w:themeColor="background1"/>
            </w:tcBorders>
            <w:vAlign w:val="center"/>
          </w:tcPr>
          <w:p w14:paraId="5498FD4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Item</w:t>
            </w:r>
          </w:p>
        </w:tc>
        <w:tc>
          <w:tcPr>
            <w:tcW w:w="1288" w:type="dxa"/>
            <w:tcBorders>
              <w:top w:val="single" w:sz="4" w:space="0" w:color="FFFFFF" w:themeColor="background1"/>
              <w:left w:val="single" w:sz="4" w:space="0" w:color="FFFFFF" w:themeColor="background1"/>
              <w:right w:val="single" w:sz="4" w:space="0" w:color="FFFFFF" w:themeColor="background1"/>
            </w:tcBorders>
            <w:vAlign w:val="center"/>
          </w:tcPr>
          <w:p w14:paraId="0C3A6A1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1288" w:type="dxa"/>
            <w:tcBorders>
              <w:top w:val="single" w:sz="4" w:space="0" w:color="FFFFFF" w:themeColor="background1"/>
              <w:left w:val="single" w:sz="4" w:space="0" w:color="FFFFFF" w:themeColor="background1"/>
              <w:right w:val="single" w:sz="4" w:space="0" w:color="FFFFFF" w:themeColor="background1"/>
            </w:tcBorders>
            <w:vAlign w:val="center"/>
          </w:tcPr>
          <w:p w14:paraId="380586A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1288" w:type="dxa"/>
            <w:vMerge/>
            <w:tcBorders>
              <w:left w:val="single" w:sz="4" w:space="0" w:color="FFFFFF" w:themeColor="background1"/>
              <w:right w:val="single" w:sz="4" w:space="0" w:color="FFFFFF" w:themeColor="background1"/>
            </w:tcBorders>
            <w:vAlign w:val="center"/>
          </w:tcPr>
          <w:p w14:paraId="470C276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3851BAF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327DA5C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94E01F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3EF562E" w14:textId="77777777" w:rsidTr="0077263B">
        <w:trPr>
          <w:trHeight w:val="283"/>
        </w:trPr>
        <w:tc>
          <w:tcPr>
            <w:tcW w:w="1288" w:type="dxa"/>
            <w:tcBorders>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55DC76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KEFF7</w:t>
            </w:r>
          </w:p>
        </w:tc>
        <w:tc>
          <w:tcPr>
            <w:tcW w:w="1288" w:type="dxa"/>
            <w:tcBorders>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9B78E3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0.856</w:t>
            </w:r>
          </w:p>
        </w:tc>
        <w:tc>
          <w:tcPr>
            <w:tcW w:w="1288" w:type="dxa"/>
            <w:tcBorders>
              <w:left w:val="single" w:sz="4" w:space="0" w:color="FFFFFF" w:themeColor="background1"/>
              <w:bottom w:val="single" w:sz="4" w:space="0" w:color="FFFFFF" w:themeColor="background1"/>
              <w:right w:val="single" w:sz="4" w:space="0" w:color="FFFFFF" w:themeColor="background1"/>
            </w:tcBorders>
            <w:vAlign w:val="center"/>
          </w:tcPr>
          <w:p w14:paraId="41D6A42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62632D8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0.944</w:t>
            </w:r>
          </w:p>
        </w:tc>
        <w:tc>
          <w:tcPr>
            <w:tcW w:w="1288"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11D7507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w:t>
            </w:r>
          </w:p>
        </w:tc>
        <w:tc>
          <w:tcPr>
            <w:tcW w:w="1288"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0C36C1B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KEFFN1</w:t>
            </w:r>
          </w:p>
        </w:tc>
        <w:tc>
          <w:tcPr>
            <w:tcW w:w="1288"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2BB182B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Economic fraud</w:t>
            </w:r>
          </w:p>
        </w:tc>
      </w:tr>
      <w:tr w:rsidR="00A0618E" w:rsidRPr="00400193" w14:paraId="0330AA2E"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FC9FE0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KEFF11</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323FC4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0.853</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93366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489A966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6D890C3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3DA589A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29F454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C145A64"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CFD58D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KEFF13</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E45F77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0.812</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32719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33D330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2DDC81B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7F693D5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03624597"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C28A6A7"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3DC926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KEFF9</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FEA799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0.787</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46E0A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725683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11C085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7B79727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7D2A55C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0E9B99C"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E8E30E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KEFF8</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FF6FEC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0.785</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98477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59F9BAA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5C7980A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3C48D85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51A137E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D1489FF"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1826DB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KEFF6</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3B7C95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0.709</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CB4E45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52A93C4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417ADCC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21751F8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2547585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77F38E2"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7FEE2A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KEFF4</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84A643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0.704</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F4086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4F3DAA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6A18BE3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52472E7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0FCF1C59"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74A1165"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6B5F29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KEFF5</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D2794E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0.686</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88D8F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6F803D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43B780C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71D53FC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CFD2A3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806AE2C"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F8A221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KEFF10</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14B84E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0.685</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9359D7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08E7473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2BA2A53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9A8682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6CB1473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E0D7ECD"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354C50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KEFF12</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61828E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0.682</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E569E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bottom w:val="single" w:sz="4" w:space="0" w:color="FFFFFF" w:themeColor="background1"/>
              <w:right w:val="single" w:sz="4" w:space="0" w:color="FFFFFF" w:themeColor="background1"/>
            </w:tcBorders>
            <w:vAlign w:val="center"/>
          </w:tcPr>
          <w:p w14:paraId="271C89C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bottom w:val="single" w:sz="4" w:space="0" w:color="FFFFFF" w:themeColor="background1"/>
              <w:right w:val="single" w:sz="4" w:space="0" w:color="FFFFFF" w:themeColor="background1"/>
            </w:tcBorders>
            <w:vAlign w:val="center"/>
          </w:tcPr>
          <w:p w14:paraId="0CDF50D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bottom w:val="single" w:sz="4" w:space="0" w:color="FFFFFF" w:themeColor="background1"/>
              <w:right w:val="single" w:sz="4" w:space="0" w:color="FFFFFF" w:themeColor="background1"/>
            </w:tcBorders>
            <w:vAlign w:val="center"/>
          </w:tcPr>
          <w:p w14:paraId="6E2E34D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bottom w:val="single" w:sz="4" w:space="0" w:color="FFFFFF" w:themeColor="background1"/>
              <w:right w:val="single" w:sz="4" w:space="0" w:color="FFFFFF" w:themeColor="background1"/>
            </w:tcBorders>
            <w:vAlign w:val="center"/>
          </w:tcPr>
          <w:p w14:paraId="7DAE981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0662359"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6C64D3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KEFF2</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08D59E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9BDBBD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0.838</w:t>
            </w:r>
          </w:p>
        </w:tc>
        <w:tc>
          <w:tcPr>
            <w:tcW w:w="128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1EDD172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0.792</w:t>
            </w:r>
          </w:p>
        </w:tc>
        <w:tc>
          <w:tcPr>
            <w:tcW w:w="128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22CE156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128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5717C8E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KEFFN2</w:t>
            </w:r>
          </w:p>
        </w:tc>
        <w:tc>
          <w:tcPr>
            <w:tcW w:w="128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4683913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Fiscal Scam</w:t>
            </w:r>
          </w:p>
        </w:tc>
      </w:tr>
      <w:tr w:rsidR="00A0618E" w:rsidRPr="00400193" w14:paraId="705E258A" w14:textId="77777777" w:rsidTr="0077263B">
        <w:trPr>
          <w:trHeight w:val="283"/>
        </w:trPr>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966F4A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KEFF3</w:t>
            </w: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DC4BD6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FA1FEB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0.791</w:t>
            </w:r>
          </w:p>
        </w:tc>
        <w:tc>
          <w:tcPr>
            <w:tcW w:w="1288" w:type="dxa"/>
            <w:vMerge/>
            <w:tcBorders>
              <w:left w:val="single" w:sz="4" w:space="0" w:color="FFFFFF" w:themeColor="background1"/>
              <w:right w:val="single" w:sz="4" w:space="0" w:color="FFFFFF" w:themeColor="background1"/>
            </w:tcBorders>
            <w:vAlign w:val="center"/>
          </w:tcPr>
          <w:p w14:paraId="74B6840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8F40BE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6579BDC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0A72C78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284C03B" w14:textId="77777777" w:rsidTr="0077263B">
        <w:trPr>
          <w:trHeight w:val="283"/>
        </w:trPr>
        <w:tc>
          <w:tcPr>
            <w:tcW w:w="1288" w:type="dxa"/>
            <w:tcBorders>
              <w:top w:val="single" w:sz="4" w:space="0" w:color="FFFFFF" w:themeColor="background1"/>
              <w:left w:val="single" w:sz="4" w:space="0" w:color="FFFFFF" w:themeColor="background1"/>
              <w:right w:val="single" w:sz="4" w:space="0" w:color="FFFFFF" w:themeColor="background1"/>
            </w:tcBorders>
            <w:shd w:val="clear" w:color="auto" w:fill="auto"/>
            <w:vAlign w:val="center"/>
          </w:tcPr>
          <w:p w14:paraId="66D31D9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KEFF1</w:t>
            </w:r>
          </w:p>
        </w:tc>
        <w:tc>
          <w:tcPr>
            <w:tcW w:w="1288" w:type="dxa"/>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4C23DAE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169121E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0.718</w:t>
            </w:r>
          </w:p>
        </w:tc>
        <w:tc>
          <w:tcPr>
            <w:tcW w:w="1288" w:type="dxa"/>
            <w:vMerge/>
            <w:tcBorders>
              <w:left w:val="single" w:sz="4" w:space="0" w:color="FFFFFF" w:themeColor="background1"/>
              <w:right w:val="single" w:sz="4" w:space="0" w:color="FFFFFF" w:themeColor="background1"/>
            </w:tcBorders>
            <w:vAlign w:val="center"/>
          </w:tcPr>
          <w:p w14:paraId="58CED39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1199246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3B171CC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single" w:sz="4" w:space="0" w:color="FFFFFF" w:themeColor="background1"/>
              <w:right w:val="single" w:sz="4" w:space="0" w:color="FFFFFF" w:themeColor="background1"/>
            </w:tcBorders>
            <w:vAlign w:val="center"/>
          </w:tcPr>
          <w:p w14:paraId="00B7B418"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4425E3D" w14:textId="77777777" w:rsidTr="0077263B">
        <w:trPr>
          <w:trHeight w:val="283"/>
        </w:trPr>
        <w:tc>
          <w:tcPr>
            <w:tcW w:w="9016" w:type="dxa"/>
            <w:gridSpan w:val="7"/>
            <w:tcBorders>
              <w:left w:val="single" w:sz="4" w:space="0" w:color="FFFFFF" w:themeColor="background1"/>
            </w:tcBorders>
            <w:vAlign w:val="center"/>
          </w:tcPr>
          <w:p w14:paraId="7F02D6CC" w14:textId="0DFAB03F"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p>
          <w:p w14:paraId="59CF6429" w14:textId="2AF74A2B" w:rsidR="001A0FC9" w:rsidRPr="00400193" w:rsidRDefault="001A0FC9"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01260429" w14:textId="780AE8D1" w:rsidR="006E3616" w:rsidRPr="00400193" w:rsidRDefault="006E3616" w:rsidP="006E3616">
      <w:pPr>
        <w:pStyle w:val="Caption"/>
        <w:spacing w:after="240"/>
        <w:rPr>
          <w:lang w:eastAsia="zh-CN" w:bidi="hi-IN"/>
        </w:rPr>
      </w:pPr>
      <w:bookmarkStart w:id="473" w:name="_Ref43252352"/>
      <w:bookmarkStart w:id="474" w:name="_Toc5290156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17</w:t>
      </w:r>
      <w:r w:rsidRPr="00400193">
        <w:fldChar w:fldCharType="end"/>
      </w:r>
      <w:bookmarkEnd w:id="473"/>
      <w:r w:rsidRPr="00400193">
        <w:t>: Cronbach’s alpha, number of questions and rotated component matrix for KEFF</w:t>
      </w:r>
      <w:bookmarkEnd w:id="474"/>
    </w:p>
    <w:p w14:paraId="2A7A3CA3" w14:textId="0AC9DA8C"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_Ref43252456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18</w:t>
      </w:r>
      <w:r w:rsidRPr="00400193">
        <w:rPr>
          <w:lang w:eastAsia="zh-CN" w:bidi="hi-IN"/>
        </w:rPr>
        <w:fldChar w:fldCharType="end"/>
      </w:r>
      <w:r w:rsidRPr="00400193">
        <w:rPr>
          <w:lang w:eastAsia="zh-CN" w:bidi="hi-IN"/>
        </w:rPr>
        <w:t xml:space="preserve"> shows CR and AVE for each factor and MSW and ASV values. CR varied from 0.826 to 0.931, all higher than 0.7, and AVE ranged from 0.576 to 0.614, again all higher than 0.5. MSV (0.730) &gt; AVE and ASV (0.597) &lt; AVE (Factor 2) but AVE &lt; ASV for Factor 1. There were therefore no problems with convergent validity. However, Factor 1 showed potential problems with discriminant validity. This suggests that some of its variables were more closely correlated with the variables outside the parent factor than with others within it. However, the difference was very small.</w:t>
      </w:r>
    </w:p>
    <w:tbl>
      <w:tblPr>
        <w:tblStyle w:val="TableGrid"/>
        <w:tblW w:w="0" w:type="auto"/>
        <w:tblLook w:val="04A0" w:firstRow="1" w:lastRow="0" w:firstColumn="1" w:lastColumn="0" w:noHBand="0" w:noVBand="1"/>
      </w:tblPr>
      <w:tblGrid>
        <w:gridCol w:w="5240"/>
        <w:gridCol w:w="1843"/>
        <w:gridCol w:w="1933"/>
      </w:tblGrid>
      <w:tr w:rsidR="00A0618E" w:rsidRPr="00400193" w14:paraId="558EB3F2" w14:textId="77777777" w:rsidTr="0077263B">
        <w:trPr>
          <w:trHeight w:val="283"/>
        </w:trPr>
        <w:tc>
          <w:tcPr>
            <w:tcW w:w="5240"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2E750558"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1843"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5A5AD4ED"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1933"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69A76305"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r>
      <w:tr w:rsidR="00A0618E" w:rsidRPr="00400193" w14:paraId="30D83EA7" w14:textId="77777777" w:rsidTr="0077263B">
        <w:trPr>
          <w:trHeight w:val="283"/>
        </w:trPr>
        <w:tc>
          <w:tcPr>
            <w:tcW w:w="5240"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E9A31C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1843"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C74FB4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0.931</w:t>
            </w:r>
          </w:p>
        </w:tc>
        <w:tc>
          <w:tcPr>
            <w:tcW w:w="1933"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0ED8DE6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0.826</w:t>
            </w:r>
          </w:p>
        </w:tc>
      </w:tr>
      <w:tr w:rsidR="00A0618E" w:rsidRPr="00400193" w14:paraId="7C1448DB" w14:textId="77777777" w:rsidTr="0077263B">
        <w:trPr>
          <w:trHeight w:val="283"/>
        </w:trPr>
        <w:tc>
          <w:tcPr>
            <w:tcW w:w="52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E8597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BD316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0.576</w:t>
            </w:r>
          </w:p>
        </w:tc>
        <w:tc>
          <w:tcPr>
            <w:tcW w:w="19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1D09F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0.614</w:t>
            </w:r>
          </w:p>
        </w:tc>
      </w:tr>
      <w:tr w:rsidR="00A0618E" w:rsidRPr="00400193" w14:paraId="7B419556" w14:textId="77777777" w:rsidTr="0077263B">
        <w:trPr>
          <w:trHeight w:val="283"/>
        </w:trPr>
        <w:tc>
          <w:tcPr>
            <w:tcW w:w="52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3BEAA0"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A4D9B5"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0.730</w:t>
            </w:r>
          </w:p>
        </w:tc>
        <w:tc>
          <w:tcPr>
            <w:tcW w:w="19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940EFE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r>
      <w:tr w:rsidR="00A0618E" w:rsidRPr="00400193" w14:paraId="1FB1F8E0" w14:textId="77777777" w:rsidTr="0077263B">
        <w:trPr>
          <w:trHeight w:val="283"/>
        </w:trPr>
        <w:tc>
          <w:tcPr>
            <w:tcW w:w="5240"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1E0B0B91"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1843"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28C76EF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0.597</w:t>
            </w:r>
          </w:p>
        </w:tc>
        <w:tc>
          <w:tcPr>
            <w:tcW w:w="1933" w:type="dxa"/>
            <w:tcBorders>
              <w:top w:val="single" w:sz="4" w:space="0" w:color="FFFFFF" w:themeColor="background1"/>
              <w:left w:val="single" w:sz="4" w:space="0" w:color="FFFFFF" w:themeColor="background1"/>
              <w:right w:val="single" w:sz="4" w:space="0" w:color="FFFFFF" w:themeColor="background1"/>
            </w:tcBorders>
            <w:vAlign w:val="center"/>
          </w:tcPr>
          <w:p w14:paraId="05F83FBD"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p>
        </w:tc>
      </w:tr>
    </w:tbl>
    <w:p w14:paraId="09A55A3B" w14:textId="61E47984" w:rsidR="006E3616" w:rsidRPr="00400193" w:rsidRDefault="006E3616" w:rsidP="0077263B">
      <w:pPr>
        <w:pStyle w:val="Caption"/>
        <w:spacing w:after="240"/>
        <w:rPr>
          <w:lang w:eastAsia="zh-CN" w:bidi="hi-IN"/>
        </w:rPr>
      </w:pPr>
      <w:bookmarkStart w:id="475" w:name="_Ref43252456"/>
      <w:bookmarkStart w:id="476" w:name="_Toc5290156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18</w:t>
      </w:r>
      <w:r w:rsidRPr="00400193">
        <w:fldChar w:fldCharType="end"/>
      </w:r>
      <w:bookmarkEnd w:id="475"/>
      <w:r w:rsidRPr="00400193">
        <w:t>: Average variance extracted (AVE), composite reliability (CR), maximum shared variance (MSV) and average shared variance (ASV) for KEFF</w:t>
      </w:r>
      <w:bookmarkEnd w:id="476"/>
    </w:p>
    <w:p w14:paraId="733CEBDD" w14:textId="77777777" w:rsidR="006E3616" w:rsidRPr="00400193" w:rsidRDefault="006E3616" w:rsidP="006E3616">
      <w:pPr>
        <w:rPr>
          <w:lang w:eastAsia="zh-CN" w:bidi="hi-IN"/>
        </w:rPr>
      </w:pPr>
      <w:r w:rsidRPr="00400193">
        <w:rPr>
          <w:lang w:eastAsia="zh-CN" w:bidi="hi-IN"/>
        </w:rPr>
        <w:lastRenderedPageBreak/>
        <w:t xml:space="preserve">Financial fraud is very similar to electronic phishing. Button and Cross (2017) described many different financial fraud risks such as economic fraud or fiscal scams but emphasised that there is often a level of gullibility involved, returning once more to the ‘human factor’. </w:t>
      </w:r>
    </w:p>
    <w:p w14:paraId="033164C4" w14:textId="77777777" w:rsidR="006E3616" w:rsidRPr="00400193" w:rsidRDefault="006E3616" w:rsidP="006E3616">
      <w:pPr>
        <w:pStyle w:val="Heading3"/>
        <w:rPr>
          <w:lang w:eastAsia="zh-CN" w:bidi="hi-IN"/>
        </w:rPr>
      </w:pPr>
      <w:bookmarkStart w:id="477" w:name="_Toc61894756"/>
      <w:r w:rsidRPr="00400193">
        <w:rPr>
          <w:lang w:eastAsia="zh-CN" w:bidi="hi-IN"/>
        </w:rPr>
        <w:t>Key External Threats - Criminal Acts (ETCA)</w:t>
      </w:r>
      <w:bookmarkEnd w:id="477"/>
    </w:p>
    <w:p w14:paraId="18F360D6" w14:textId="70F86F92"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_Ref43252581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19</w:t>
      </w:r>
      <w:r w:rsidRPr="00400193">
        <w:rPr>
          <w:lang w:eastAsia="zh-CN" w:bidi="hi-IN"/>
        </w:rPr>
        <w:fldChar w:fldCharType="end"/>
      </w:r>
      <w:r w:rsidRPr="00400193">
        <w:rPr>
          <w:lang w:eastAsia="zh-CN" w:bidi="hi-IN"/>
        </w:rPr>
        <w:t xml:space="preserve">) explains the selection of three main components. The first three factors had eigenvalues greater than 1 and </w:t>
      </w:r>
      <w:r w:rsidR="001F0C59" w:rsidRPr="00400193">
        <w:rPr>
          <w:lang w:eastAsia="zh-CN" w:bidi="hi-IN"/>
        </w:rPr>
        <w:t xml:space="preserve">comprise </w:t>
      </w:r>
      <w:r w:rsidRPr="00400193">
        <w:rPr>
          <w:lang w:eastAsia="zh-CN" w:bidi="hi-IN"/>
        </w:rPr>
        <w:t>67.9% of the variance, resulting in the loss of 32.1% of the original information represented by the 21 initial variables. The cumulative percentage of variance explained by the first, second and third components were 29.3%, 49.3% and 67.9%, across 11.7, 1.4 and 1.1 variables.</w:t>
      </w:r>
    </w:p>
    <w:tbl>
      <w:tblPr>
        <w:tblW w:w="89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6"/>
        <w:gridCol w:w="642"/>
        <w:gridCol w:w="992"/>
        <w:gridCol w:w="1134"/>
        <w:gridCol w:w="709"/>
        <w:gridCol w:w="992"/>
        <w:gridCol w:w="1134"/>
        <w:gridCol w:w="685"/>
        <w:gridCol w:w="874"/>
        <w:gridCol w:w="1022"/>
        <w:gridCol w:w="7"/>
      </w:tblGrid>
      <w:tr w:rsidR="006E3616" w:rsidRPr="00400193" w14:paraId="13B997A4" w14:textId="77777777" w:rsidTr="0077263B">
        <w:trPr>
          <w:cantSplit/>
          <w:trHeight w:val="283"/>
        </w:trPr>
        <w:tc>
          <w:tcPr>
            <w:tcW w:w="776" w:type="dxa"/>
            <w:vMerge w:val="restart"/>
            <w:tcBorders>
              <w:top w:val="single" w:sz="4" w:space="0" w:color="auto"/>
              <w:left w:val="nil"/>
              <w:bottom w:val="single" w:sz="4" w:space="0" w:color="auto"/>
              <w:right w:val="nil"/>
            </w:tcBorders>
            <w:shd w:val="clear" w:color="auto" w:fill="auto"/>
            <w:textDirection w:val="btLr"/>
            <w:vAlign w:val="center"/>
          </w:tcPr>
          <w:p w14:paraId="4BD6BCF9" w14:textId="77777777" w:rsidR="006E3616" w:rsidRPr="00400193" w:rsidRDefault="006E3616" w:rsidP="0077263B">
            <w:pPr>
              <w:spacing w:after="0" w:line="240" w:lineRule="auto"/>
              <w:ind w:left="113" w:right="113"/>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Latent Variables</w:t>
            </w:r>
          </w:p>
        </w:tc>
        <w:tc>
          <w:tcPr>
            <w:tcW w:w="2768" w:type="dxa"/>
            <w:gridSpan w:val="3"/>
            <w:tcBorders>
              <w:top w:val="single" w:sz="4" w:space="0" w:color="auto"/>
              <w:left w:val="nil"/>
              <w:bottom w:val="single" w:sz="4" w:space="0" w:color="auto"/>
              <w:right w:val="nil"/>
            </w:tcBorders>
            <w:shd w:val="clear" w:color="auto" w:fill="auto"/>
            <w:vAlign w:val="center"/>
          </w:tcPr>
          <w:p w14:paraId="081C7507"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Initial Eigenvalues</w:t>
            </w:r>
          </w:p>
        </w:tc>
        <w:tc>
          <w:tcPr>
            <w:tcW w:w="2835" w:type="dxa"/>
            <w:gridSpan w:val="3"/>
            <w:tcBorders>
              <w:top w:val="single" w:sz="4" w:space="0" w:color="auto"/>
              <w:left w:val="single" w:sz="8" w:space="0" w:color="E0E0E0"/>
              <w:bottom w:val="single" w:sz="4" w:space="0" w:color="auto"/>
              <w:right w:val="nil"/>
            </w:tcBorders>
            <w:shd w:val="clear" w:color="auto" w:fill="auto"/>
            <w:vAlign w:val="center"/>
          </w:tcPr>
          <w:p w14:paraId="46C2357B"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Extraction Sums of Squared Loadings</w:t>
            </w:r>
          </w:p>
        </w:tc>
        <w:tc>
          <w:tcPr>
            <w:tcW w:w="2588" w:type="dxa"/>
            <w:gridSpan w:val="4"/>
            <w:tcBorders>
              <w:top w:val="single" w:sz="4" w:space="0" w:color="auto"/>
              <w:left w:val="single" w:sz="8" w:space="0" w:color="E0E0E0"/>
              <w:bottom w:val="single" w:sz="4" w:space="0" w:color="auto"/>
              <w:right w:val="nil"/>
            </w:tcBorders>
            <w:shd w:val="clear" w:color="auto" w:fill="auto"/>
            <w:vAlign w:val="center"/>
          </w:tcPr>
          <w:p w14:paraId="238A8268"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Rotation Sums of Squared Loadings</w:t>
            </w:r>
          </w:p>
        </w:tc>
      </w:tr>
      <w:tr w:rsidR="006E3616" w:rsidRPr="00400193" w14:paraId="3C37B857" w14:textId="77777777" w:rsidTr="0077263B">
        <w:trPr>
          <w:gridAfter w:val="1"/>
          <w:wAfter w:w="7" w:type="dxa"/>
          <w:cantSplit/>
          <w:trHeight w:val="283"/>
        </w:trPr>
        <w:tc>
          <w:tcPr>
            <w:tcW w:w="776" w:type="dxa"/>
            <w:vMerge/>
            <w:tcBorders>
              <w:top w:val="single" w:sz="4" w:space="0" w:color="auto"/>
              <w:left w:val="nil"/>
              <w:bottom w:val="single" w:sz="4" w:space="0" w:color="auto"/>
              <w:right w:val="nil"/>
            </w:tcBorders>
            <w:shd w:val="clear" w:color="auto" w:fill="auto"/>
            <w:vAlign w:val="bottom"/>
          </w:tcPr>
          <w:p w14:paraId="51FB2979" w14:textId="77777777" w:rsidR="006E3616" w:rsidRPr="00400193" w:rsidRDefault="006E3616" w:rsidP="0077263B">
            <w:pPr>
              <w:spacing w:after="0" w:line="240" w:lineRule="auto"/>
              <w:rPr>
                <w:rFonts w:asciiTheme="minorHAnsi" w:hAnsiTheme="minorHAnsi" w:cstheme="minorHAnsi"/>
                <w:sz w:val="20"/>
                <w:szCs w:val="20"/>
                <w:lang w:eastAsia="zh-CN" w:bidi="hi-IN"/>
              </w:rPr>
            </w:pPr>
          </w:p>
        </w:tc>
        <w:tc>
          <w:tcPr>
            <w:tcW w:w="642" w:type="dxa"/>
            <w:tcBorders>
              <w:top w:val="single" w:sz="4" w:space="0" w:color="auto"/>
              <w:left w:val="nil"/>
              <w:bottom w:val="single" w:sz="4" w:space="0" w:color="auto"/>
              <w:right w:val="single" w:sz="8" w:space="0" w:color="E0E0E0"/>
            </w:tcBorders>
            <w:shd w:val="clear" w:color="auto" w:fill="auto"/>
            <w:vAlign w:val="center"/>
          </w:tcPr>
          <w:p w14:paraId="2B72D7F5"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992" w:type="dxa"/>
            <w:tcBorders>
              <w:top w:val="single" w:sz="4" w:space="0" w:color="auto"/>
              <w:left w:val="single" w:sz="8" w:space="0" w:color="E0E0E0"/>
              <w:bottom w:val="single" w:sz="4" w:space="0" w:color="auto"/>
              <w:right w:val="single" w:sz="8" w:space="0" w:color="E0E0E0"/>
            </w:tcBorders>
            <w:shd w:val="clear" w:color="auto" w:fill="auto"/>
            <w:vAlign w:val="center"/>
          </w:tcPr>
          <w:p w14:paraId="6FD3930A"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134" w:type="dxa"/>
            <w:tcBorders>
              <w:top w:val="single" w:sz="4" w:space="0" w:color="auto"/>
              <w:left w:val="single" w:sz="8" w:space="0" w:color="E0E0E0"/>
              <w:bottom w:val="single" w:sz="4" w:space="0" w:color="auto"/>
              <w:right w:val="nil"/>
            </w:tcBorders>
            <w:shd w:val="clear" w:color="auto" w:fill="auto"/>
            <w:vAlign w:val="center"/>
          </w:tcPr>
          <w:p w14:paraId="22BCD9F3"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c>
          <w:tcPr>
            <w:tcW w:w="709" w:type="dxa"/>
            <w:tcBorders>
              <w:top w:val="single" w:sz="4" w:space="0" w:color="auto"/>
              <w:left w:val="single" w:sz="8" w:space="0" w:color="E0E0E0"/>
              <w:bottom w:val="single" w:sz="4" w:space="0" w:color="auto"/>
              <w:right w:val="single" w:sz="8" w:space="0" w:color="E0E0E0"/>
            </w:tcBorders>
            <w:shd w:val="clear" w:color="auto" w:fill="auto"/>
            <w:vAlign w:val="center"/>
          </w:tcPr>
          <w:p w14:paraId="420207BC"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992" w:type="dxa"/>
            <w:tcBorders>
              <w:top w:val="single" w:sz="4" w:space="0" w:color="auto"/>
              <w:left w:val="single" w:sz="8" w:space="0" w:color="E0E0E0"/>
              <w:bottom w:val="single" w:sz="4" w:space="0" w:color="auto"/>
              <w:right w:val="single" w:sz="8" w:space="0" w:color="E0E0E0"/>
            </w:tcBorders>
            <w:shd w:val="clear" w:color="auto" w:fill="auto"/>
            <w:vAlign w:val="center"/>
          </w:tcPr>
          <w:p w14:paraId="62EF8392"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134" w:type="dxa"/>
            <w:tcBorders>
              <w:top w:val="single" w:sz="4" w:space="0" w:color="auto"/>
              <w:left w:val="single" w:sz="8" w:space="0" w:color="E0E0E0"/>
              <w:bottom w:val="single" w:sz="4" w:space="0" w:color="auto"/>
              <w:right w:val="nil"/>
            </w:tcBorders>
            <w:shd w:val="clear" w:color="auto" w:fill="auto"/>
            <w:vAlign w:val="center"/>
          </w:tcPr>
          <w:p w14:paraId="199774CC"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c>
          <w:tcPr>
            <w:tcW w:w="685" w:type="dxa"/>
            <w:tcBorders>
              <w:top w:val="single" w:sz="4" w:space="0" w:color="auto"/>
              <w:left w:val="single" w:sz="8" w:space="0" w:color="E0E0E0"/>
              <w:bottom w:val="single" w:sz="4" w:space="0" w:color="auto"/>
              <w:right w:val="single" w:sz="8" w:space="0" w:color="E0E0E0"/>
            </w:tcBorders>
            <w:shd w:val="clear" w:color="auto" w:fill="auto"/>
            <w:vAlign w:val="center"/>
          </w:tcPr>
          <w:p w14:paraId="62687A24"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Total</w:t>
            </w:r>
          </w:p>
        </w:tc>
        <w:tc>
          <w:tcPr>
            <w:tcW w:w="874" w:type="dxa"/>
            <w:tcBorders>
              <w:top w:val="single" w:sz="4" w:space="0" w:color="auto"/>
              <w:left w:val="single" w:sz="8" w:space="0" w:color="E0E0E0"/>
              <w:bottom w:val="single" w:sz="4" w:space="0" w:color="auto"/>
              <w:right w:val="single" w:sz="8" w:space="0" w:color="E0E0E0"/>
            </w:tcBorders>
            <w:shd w:val="clear" w:color="auto" w:fill="auto"/>
            <w:vAlign w:val="center"/>
          </w:tcPr>
          <w:p w14:paraId="5D22B495"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 of Variance</w:t>
            </w:r>
          </w:p>
        </w:tc>
        <w:tc>
          <w:tcPr>
            <w:tcW w:w="1022" w:type="dxa"/>
            <w:tcBorders>
              <w:top w:val="single" w:sz="4" w:space="0" w:color="auto"/>
              <w:left w:val="single" w:sz="8" w:space="0" w:color="E0E0E0"/>
              <w:bottom w:val="single" w:sz="4" w:space="0" w:color="auto"/>
              <w:right w:val="nil"/>
            </w:tcBorders>
            <w:shd w:val="clear" w:color="auto" w:fill="auto"/>
            <w:vAlign w:val="center"/>
          </w:tcPr>
          <w:p w14:paraId="17769B7D"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Cumulative %</w:t>
            </w:r>
          </w:p>
        </w:tc>
      </w:tr>
      <w:tr w:rsidR="006E3616" w:rsidRPr="00400193" w14:paraId="12AC469B" w14:textId="77777777" w:rsidTr="0077263B">
        <w:trPr>
          <w:gridAfter w:val="1"/>
          <w:wAfter w:w="7" w:type="dxa"/>
          <w:cantSplit/>
          <w:trHeight w:val="283"/>
        </w:trPr>
        <w:tc>
          <w:tcPr>
            <w:tcW w:w="776" w:type="dxa"/>
            <w:tcBorders>
              <w:top w:val="single" w:sz="4" w:space="0" w:color="auto"/>
              <w:left w:val="nil"/>
              <w:bottom w:val="single" w:sz="8" w:space="0" w:color="AEAEAE"/>
              <w:right w:val="nil"/>
            </w:tcBorders>
            <w:shd w:val="clear" w:color="auto" w:fill="auto"/>
            <w:vAlign w:val="center"/>
          </w:tcPr>
          <w:p w14:paraId="40A7C8B5"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642" w:type="dxa"/>
            <w:tcBorders>
              <w:top w:val="single" w:sz="4" w:space="0" w:color="auto"/>
              <w:left w:val="nil"/>
              <w:bottom w:val="single" w:sz="8" w:space="0" w:color="AEAEAE"/>
              <w:right w:val="single" w:sz="8" w:space="0" w:color="E0E0E0"/>
            </w:tcBorders>
            <w:shd w:val="clear" w:color="auto" w:fill="auto"/>
            <w:vAlign w:val="center"/>
          </w:tcPr>
          <w:p w14:paraId="7FCB9F31"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11.764</w:t>
            </w:r>
          </w:p>
        </w:tc>
        <w:tc>
          <w:tcPr>
            <w:tcW w:w="992" w:type="dxa"/>
            <w:tcBorders>
              <w:top w:val="single" w:sz="4" w:space="0" w:color="auto"/>
              <w:left w:val="single" w:sz="8" w:space="0" w:color="E0E0E0"/>
              <w:bottom w:val="single" w:sz="8" w:space="0" w:color="AEAEAE"/>
              <w:right w:val="single" w:sz="8" w:space="0" w:color="E0E0E0"/>
            </w:tcBorders>
            <w:shd w:val="clear" w:color="auto" w:fill="auto"/>
            <w:vAlign w:val="center"/>
          </w:tcPr>
          <w:p w14:paraId="41A71A07"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56.018</w:t>
            </w:r>
          </w:p>
        </w:tc>
        <w:tc>
          <w:tcPr>
            <w:tcW w:w="1134" w:type="dxa"/>
            <w:tcBorders>
              <w:top w:val="single" w:sz="4" w:space="0" w:color="auto"/>
              <w:left w:val="single" w:sz="8" w:space="0" w:color="E0E0E0"/>
              <w:bottom w:val="single" w:sz="8" w:space="0" w:color="AEAEAE"/>
              <w:right w:val="nil"/>
            </w:tcBorders>
            <w:shd w:val="clear" w:color="auto" w:fill="auto"/>
            <w:vAlign w:val="center"/>
          </w:tcPr>
          <w:p w14:paraId="429E68DE"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56.018</w:t>
            </w:r>
          </w:p>
        </w:tc>
        <w:tc>
          <w:tcPr>
            <w:tcW w:w="709" w:type="dxa"/>
            <w:tcBorders>
              <w:top w:val="single" w:sz="4" w:space="0" w:color="auto"/>
              <w:left w:val="single" w:sz="8" w:space="0" w:color="E0E0E0"/>
              <w:bottom w:val="single" w:sz="8" w:space="0" w:color="AEAEAE"/>
              <w:right w:val="single" w:sz="8" w:space="0" w:color="E0E0E0"/>
            </w:tcBorders>
            <w:shd w:val="clear" w:color="auto" w:fill="auto"/>
            <w:vAlign w:val="center"/>
          </w:tcPr>
          <w:p w14:paraId="5229DCD2"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11.764</w:t>
            </w:r>
          </w:p>
        </w:tc>
        <w:tc>
          <w:tcPr>
            <w:tcW w:w="992" w:type="dxa"/>
            <w:tcBorders>
              <w:top w:val="single" w:sz="4" w:space="0" w:color="auto"/>
              <w:left w:val="single" w:sz="8" w:space="0" w:color="E0E0E0"/>
              <w:bottom w:val="single" w:sz="8" w:space="0" w:color="AEAEAE"/>
              <w:right w:val="single" w:sz="8" w:space="0" w:color="E0E0E0"/>
            </w:tcBorders>
            <w:shd w:val="clear" w:color="auto" w:fill="auto"/>
            <w:vAlign w:val="center"/>
          </w:tcPr>
          <w:p w14:paraId="2B094BC4"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56.018</w:t>
            </w:r>
          </w:p>
        </w:tc>
        <w:tc>
          <w:tcPr>
            <w:tcW w:w="1134" w:type="dxa"/>
            <w:tcBorders>
              <w:top w:val="single" w:sz="4" w:space="0" w:color="auto"/>
              <w:left w:val="single" w:sz="8" w:space="0" w:color="E0E0E0"/>
              <w:bottom w:val="single" w:sz="8" w:space="0" w:color="AEAEAE"/>
              <w:right w:val="nil"/>
            </w:tcBorders>
            <w:shd w:val="clear" w:color="auto" w:fill="auto"/>
            <w:vAlign w:val="center"/>
          </w:tcPr>
          <w:p w14:paraId="1EAC7220"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56.018</w:t>
            </w:r>
          </w:p>
        </w:tc>
        <w:tc>
          <w:tcPr>
            <w:tcW w:w="685" w:type="dxa"/>
            <w:tcBorders>
              <w:top w:val="single" w:sz="4" w:space="0" w:color="auto"/>
              <w:left w:val="single" w:sz="8" w:space="0" w:color="E0E0E0"/>
              <w:bottom w:val="single" w:sz="8" w:space="0" w:color="AEAEAE"/>
              <w:right w:val="single" w:sz="8" w:space="0" w:color="E0E0E0"/>
            </w:tcBorders>
            <w:shd w:val="clear" w:color="auto" w:fill="auto"/>
            <w:vAlign w:val="center"/>
          </w:tcPr>
          <w:p w14:paraId="58A2F9E2"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6.159</w:t>
            </w:r>
          </w:p>
        </w:tc>
        <w:tc>
          <w:tcPr>
            <w:tcW w:w="874" w:type="dxa"/>
            <w:tcBorders>
              <w:top w:val="single" w:sz="4" w:space="0" w:color="auto"/>
              <w:left w:val="single" w:sz="8" w:space="0" w:color="E0E0E0"/>
              <w:bottom w:val="single" w:sz="8" w:space="0" w:color="AEAEAE"/>
              <w:right w:val="single" w:sz="8" w:space="0" w:color="E0E0E0"/>
            </w:tcBorders>
            <w:shd w:val="clear" w:color="auto" w:fill="auto"/>
            <w:vAlign w:val="center"/>
          </w:tcPr>
          <w:p w14:paraId="7F593F25"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29.327</w:t>
            </w:r>
          </w:p>
        </w:tc>
        <w:tc>
          <w:tcPr>
            <w:tcW w:w="1022" w:type="dxa"/>
            <w:tcBorders>
              <w:top w:val="single" w:sz="4" w:space="0" w:color="auto"/>
              <w:left w:val="single" w:sz="8" w:space="0" w:color="E0E0E0"/>
              <w:bottom w:val="single" w:sz="8" w:space="0" w:color="AEAEAE"/>
              <w:right w:val="nil"/>
            </w:tcBorders>
            <w:shd w:val="clear" w:color="auto" w:fill="auto"/>
            <w:vAlign w:val="center"/>
          </w:tcPr>
          <w:p w14:paraId="1DD86BCD"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29.327</w:t>
            </w:r>
          </w:p>
        </w:tc>
      </w:tr>
      <w:tr w:rsidR="006E3616" w:rsidRPr="00400193" w14:paraId="10EF4ECD" w14:textId="77777777" w:rsidTr="0077263B">
        <w:trPr>
          <w:gridAfter w:val="1"/>
          <w:wAfter w:w="7" w:type="dxa"/>
          <w:cantSplit/>
          <w:trHeight w:val="283"/>
        </w:trPr>
        <w:tc>
          <w:tcPr>
            <w:tcW w:w="776" w:type="dxa"/>
            <w:tcBorders>
              <w:top w:val="single" w:sz="8" w:space="0" w:color="AEAEAE"/>
              <w:left w:val="nil"/>
              <w:bottom w:val="single" w:sz="8" w:space="0" w:color="AEAEAE"/>
              <w:right w:val="nil"/>
            </w:tcBorders>
            <w:shd w:val="clear" w:color="auto" w:fill="auto"/>
            <w:vAlign w:val="center"/>
          </w:tcPr>
          <w:p w14:paraId="761D6572"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642" w:type="dxa"/>
            <w:tcBorders>
              <w:top w:val="single" w:sz="8" w:space="0" w:color="AEAEAE"/>
              <w:left w:val="nil"/>
              <w:bottom w:val="single" w:sz="8" w:space="0" w:color="AEAEAE"/>
              <w:right w:val="single" w:sz="8" w:space="0" w:color="E0E0E0"/>
            </w:tcBorders>
            <w:shd w:val="clear" w:color="auto" w:fill="auto"/>
            <w:vAlign w:val="center"/>
          </w:tcPr>
          <w:p w14:paraId="60C9CF02"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1.400</w:t>
            </w:r>
          </w:p>
        </w:tc>
        <w:tc>
          <w:tcPr>
            <w:tcW w:w="99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9175EA9"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6.667</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5097588E"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62.684</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92D0D49"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1.400</w:t>
            </w:r>
          </w:p>
        </w:tc>
        <w:tc>
          <w:tcPr>
            <w:tcW w:w="99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0639139"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6.667</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76C6FA2A"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62.684</w:t>
            </w:r>
          </w:p>
        </w:tc>
        <w:tc>
          <w:tcPr>
            <w:tcW w:w="685"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A7821E1"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4.191</w:t>
            </w:r>
          </w:p>
        </w:tc>
        <w:tc>
          <w:tcPr>
            <w:tcW w:w="87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7DB8A20E"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19.955</w:t>
            </w:r>
          </w:p>
        </w:tc>
        <w:tc>
          <w:tcPr>
            <w:tcW w:w="1022" w:type="dxa"/>
            <w:tcBorders>
              <w:top w:val="single" w:sz="8" w:space="0" w:color="AEAEAE"/>
              <w:left w:val="single" w:sz="8" w:space="0" w:color="E0E0E0"/>
              <w:bottom w:val="single" w:sz="8" w:space="0" w:color="AEAEAE"/>
              <w:right w:val="nil"/>
            </w:tcBorders>
            <w:shd w:val="clear" w:color="auto" w:fill="auto"/>
            <w:vAlign w:val="center"/>
          </w:tcPr>
          <w:p w14:paraId="2F2DF3D0"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49.283</w:t>
            </w:r>
          </w:p>
        </w:tc>
      </w:tr>
      <w:tr w:rsidR="006E3616" w:rsidRPr="00400193" w14:paraId="1612C335" w14:textId="77777777" w:rsidTr="0077263B">
        <w:trPr>
          <w:gridAfter w:val="1"/>
          <w:wAfter w:w="7" w:type="dxa"/>
          <w:cantSplit/>
          <w:trHeight w:val="283"/>
        </w:trPr>
        <w:tc>
          <w:tcPr>
            <w:tcW w:w="776" w:type="dxa"/>
            <w:tcBorders>
              <w:top w:val="single" w:sz="8" w:space="0" w:color="AEAEAE"/>
              <w:left w:val="nil"/>
              <w:bottom w:val="single" w:sz="8" w:space="0" w:color="AEAEAE"/>
              <w:right w:val="nil"/>
            </w:tcBorders>
            <w:shd w:val="clear" w:color="auto" w:fill="auto"/>
            <w:vAlign w:val="center"/>
          </w:tcPr>
          <w:p w14:paraId="47AED8F4"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642" w:type="dxa"/>
            <w:tcBorders>
              <w:top w:val="single" w:sz="8" w:space="0" w:color="AEAEAE"/>
              <w:left w:val="nil"/>
              <w:bottom w:val="single" w:sz="8" w:space="0" w:color="AEAEAE"/>
              <w:right w:val="single" w:sz="8" w:space="0" w:color="E0E0E0"/>
            </w:tcBorders>
            <w:shd w:val="clear" w:color="auto" w:fill="auto"/>
            <w:vAlign w:val="center"/>
          </w:tcPr>
          <w:p w14:paraId="19C5D140"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1.089</w:t>
            </w:r>
          </w:p>
        </w:tc>
        <w:tc>
          <w:tcPr>
            <w:tcW w:w="99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4F93819"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5.186</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77EA0B98"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67.871</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8CBB15D"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1.089</w:t>
            </w:r>
          </w:p>
        </w:tc>
        <w:tc>
          <w:tcPr>
            <w:tcW w:w="99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9603365"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5.186</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2AA09823"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67.871</w:t>
            </w:r>
          </w:p>
        </w:tc>
        <w:tc>
          <w:tcPr>
            <w:tcW w:w="685"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DF94683"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3.903</w:t>
            </w:r>
          </w:p>
        </w:tc>
        <w:tc>
          <w:tcPr>
            <w:tcW w:w="87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F12FA97"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18.588</w:t>
            </w:r>
          </w:p>
        </w:tc>
        <w:tc>
          <w:tcPr>
            <w:tcW w:w="1022" w:type="dxa"/>
            <w:tcBorders>
              <w:top w:val="single" w:sz="8" w:space="0" w:color="AEAEAE"/>
              <w:left w:val="single" w:sz="8" w:space="0" w:color="E0E0E0"/>
              <w:bottom w:val="single" w:sz="8" w:space="0" w:color="AEAEAE"/>
              <w:right w:val="nil"/>
            </w:tcBorders>
            <w:shd w:val="clear" w:color="auto" w:fill="auto"/>
            <w:vAlign w:val="center"/>
          </w:tcPr>
          <w:p w14:paraId="66243504"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67.871</w:t>
            </w:r>
          </w:p>
        </w:tc>
      </w:tr>
      <w:tr w:rsidR="006E3616" w:rsidRPr="00400193" w14:paraId="333A8D1C" w14:textId="77777777" w:rsidTr="0077263B">
        <w:trPr>
          <w:gridAfter w:val="1"/>
          <w:wAfter w:w="7" w:type="dxa"/>
          <w:cantSplit/>
          <w:trHeight w:val="283"/>
        </w:trPr>
        <w:tc>
          <w:tcPr>
            <w:tcW w:w="776" w:type="dxa"/>
            <w:tcBorders>
              <w:top w:val="single" w:sz="8" w:space="0" w:color="AEAEAE"/>
              <w:left w:val="nil"/>
              <w:bottom w:val="single" w:sz="4" w:space="0" w:color="auto"/>
              <w:right w:val="nil"/>
            </w:tcBorders>
            <w:shd w:val="clear" w:color="auto" w:fill="auto"/>
            <w:vAlign w:val="center"/>
          </w:tcPr>
          <w:p w14:paraId="68D7792E"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642" w:type="dxa"/>
            <w:tcBorders>
              <w:top w:val="single" w:sz="8" w:space="0" w:color="AEAEAE"/>
              <w:left w:val="nil"/>
              <w:bottom w:val="single" w:sz="4" w:space="0" w:color="auto"/>
              <w:right w:val="single" w:sz="8" w:space="0" w:color="E0E0E0"/>
            </w:tcBorders>
            <w:shd w:val="clear" w:color="auto" w:fill="auto"/>
            <w:vAlign w:val="center"/>
          </w:tcPr>
          <w:p w14:paraId="2D50CB01"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0.854</w:t>
            </w:r>
          </w:p>
        </w:tc>
        <w:tc>
          <w:tcPr>
            <w:tcW w:w="992" w:type="dxa"/>
            <w:tcBorders>
              <w:top w:val="single" w:sz="8" w:space="0" w:color="AEAEAE"/>
              <w:left w:val="single" w:sz="8" w:space="0" w:color="E0E0E0"/>
              <w:bottom w:val="single" w:sz="4" w:space="0" w:color="auto"/>
              <w:right w:val="single" w:sz="8" w:space="0" w:color="E0E0E0"/>
            </w:tcBorders>
            <w:shd w:val="clear" w:color="auto" w:fill="auto"/>
            <w:vAlign w:val="center"/>
          </w:tcPr>
          <w:p w14:paraId="0F88B16B"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4.066</w:t>
            </w:r>
          </w:p>
        </w:tc>
        <w:tc>
          <w:tcPr>
            <w:tcW w:w="1134" w:type="dxa"/>
            <w:tcBorders>
              <w:top w:val="single" w:sz="8" w:space="0" w:color="AEAEAE"/>
              <w:left w:val="single" w:sz="8" w:space="0" w:color="E0E0E0"/>
              <w:bottom w:val="single" w:sz="4" w:space="0" w:color="auto"/>
              <w:right w:val="nil"/>
            </w:tcBorders>
            <w:shd w:val="clear" w:color="auto" w:fill="auto"/>
            <w:vAlign w:val="center"/>
          </w:tcPr>
          <w:p w14:paraId="0A0B175D"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71.937</w:t>
            </w:r>
          </w:p>
        </w:tc>
        <w:tc>
          <w:tcPr>
            <w:tcW w:w="709" w:type="dxa"/>
            <w:tcBorders>
              <w:top w:val="single" w:sz="8" w:space="0" w:color="AEAEAE"/>
              <w:left w:val="single" w:sz="8" w:space="0" w:color="E0E0E0"/>
              <w:bottom w:val="single" w:sz="4" w:space="0" w:color="auto"/>
              <w:right w:val="single" w:sz="8" w:space="0" w:color="E0E0E0"/>
            </w:tcBorders>
            <w:shd w:val="clear" w:color="auto" w:fill="auto"/>
            <w:vAlign w:val="center"/>
          </w:tcPr>
          <w:p w14:paraId="668BF4D1"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c>
          <w:tcPr>
            <w:tcW w:w="992" w:type="dxa"/>
            <w:tcBorders>
              <w:top w:val="single" w:sz="8" w:space="0" w:color="AEAEAE"/>
              <w:left w:val="single" w:sz="8" w:space="0" w:color="E0E0E0"/>
              <w:bottom w:val="single" w:sz="4" w:space="0" w:color="auto"/>
              <w:right w:val="single" w:sz="8" w:space="0" w:color="E0E0E0"/>
            </w:tcBorders>
            <w:shd w:val="clear" w:color="auto" w:fill="auto"/>
            <w:vAlign w:val="center"/>
          </w:tcPr>
          <w:p w14:paraId="223BF24F"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c>
          <w:tcPr>
            <w:tcW w:w="1134" w:type="dxa"/>
            <w:tcBorders>
              <w:top w:val="single" w:sz="8" w:space="0" w:color="AEAEAE"/>
              <w:left w:val="single" w:sz="8" w:space="0" w:color="E0E0E0"/>
              <w:bottom w:val="single" w:sz="4" w:space="0" w:color="auto"/>
              <w:right w:val="nil"/>
            </w:tcBorders>
            <w:shd w:val="clear" w:color="auto" w:fill="auto"/>
            <w:vAlign w:val="center"/>
          </w:tcPr>
          <w:p w14:paraId="70CB8841"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c>
          <w:tcPr>
            <w:tcW w:w="685" w:type="dxa"/>
            <w:tcBorders>
              <w:top w:val="single" w:sz="8" w:space="0" w:color="AEAEAE"/>
              <w:left w:val="single" w:sz="8" w:space="0" w:color="E0E0E0"/>
              <w:bottom w:val="single" w:sz="4" w:space="0" w:color="auto"/>
              <w:right w:val="single" w:sz="8" w:space="0" w:color="E0E0E0"/>
            </w:tcBorders>
            <w:shd w:val="clear" w:color="auto" w:fill="auto"/>
            <w:vAlign w:val="center"/>
          </w:tcPr>
          <w:p w14:paraId="4B37115C"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c>
          <w:tcPr>
            <w:tcW w:w="874" w:type="dxa"/>
            <w:tcBorders>
              <w:top w:val="single" w:sz="8" w:space="0" w:color="AEAEAE"/>
              <w:left w:val="single" w:sz="8" w:space="0" w:color="E0E0E0"/>
              <w:bottom w:val="single" w:sz="4" w:space="0" w:color="auto"/>
              <w:right w:val="single" w:sz="8" w:space="0" w:color="E0E0E0"/>
            </w:tcBorders>
            <w:shd w:val="clear" w:color="auto" w:fill="auto"/>
            <w:vAlign w:val="center"/>
          </w:tcPr>
          <w:p w14:paraId="1AA1D80E"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c>
          <w:tcPr>
            <w:tcW w:w="1022" w:type="dxa"/>
            <w:tcBorders>
              <w:top w:val="single" w:sz="8" w:space="0" w:color="AEAEAE"/>
              <w:left w:val="single" w:sz="8" w:space="0" w:color="E0E0E0"/>
              <w:bottom w:val="single" w:sz="4" w:space="0" w:color="auto"/>
              <w:right w:val="nil"/>
            </w:tcBorders>
            <w:shd w:val="clear" w:color="auto" w:fill="auto"/>
            <w:vAlign w:val="center"/>
          </w:tcPr>
          <w:p w14:paraId="4DEA5E90" w14:textId="77777777" w:rsidR="006E3616" w:rsidRPr="00400193" w:rsidRDefault="006E3616" w:rsidP="0077263B">
            <w:pPr>
              <w:spacing w:after="0" w:line="240" w:lineRule="auto"/>
              <w:jc w:val="center"/>
              <w:rPr>
                <w:rFonts w:asciiTheme="minorHAnsi" w:hAnsiTheme="minorHAnsi" w:cstheme="minorHAnsi"/>
                <w:sz w:val="20"/>
                <w:szCs w:val="20"/>
                <w:lang w:eastAsia="zh-CN" w:bidi="hi-IN"/>
              </w:rPr>
            </w:pPr>
          </w:p>
        </w:tc>
      </w:tr>
      <w:tr w:rsidR="006E3616" w:rsidRPr="00400193" w14:paraId="1C71C8C6" w14:textId="77777777" w:rsidTr="0077263B">
        <w:trPr>
          <w:cantSplit/>
          <w:trHeight w:val="283"/>
        </w:trPr>
        <w:tc>
          <w:tcPr>
            <w:tcW w:w="8967" w:type="dxa"/>
            <w:gridSpan w:val="11"/>
            <w:tcBorders>
              <w:top w:val="single" w:sz="4" w:space="0" w:color="auto"/>
              <w:left w:val="nil"/>
              <w:bottom w:val="nil"/>
              <w:right w:val="nil"/>
            </w:tcBorders>
            <w:shd w:val="clear" w:color="auto" w:fill="auto"/>
          </w:tcPr>
          <w:p w14:paraId="684439FF" w14:textId="77777777" w:rsidR="006E3616" w:rsidRPr="00400193" w:rsidRDefault="006E3616" w:rsidP="0077263B">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Extraction Method: Principal Component Analysis.</w:t>
            </w:r>
          </w:p>
        </w:tc>
      </w:tr>
    </w:tbl>
    <w:p w14:paraId="5430254D" w14:textId="62CFE4D8" w:rsidR="006E3616" w:rsidRPr="00400193" w:rsidRDefault="006E3616" w:rsidP="006E3616">
      <w:pPr>
        <w:pStyle w:val="Caption"/>
      </w:pPr>
      <w:bookmarkStart w:id="478" w:name="_Ref43252581"/>
      <w:bookmarkStart w:id="479" w:name="_Toc5290156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19</w:t>
      </w:r>
      <w:r w:rsidRPr="00400193">
        <w:fldChar w:fldCharType="end"/>
      </w:r>
      <w:bookmarkEnd w:id="478"/>
      <w:r w:rsidRPr="00400193">
        <w:t>:</w:t>
      </w:r>
      <w:r w:rsidRPr="00400193">
        <w:rPr>
          <w:lang w:eastAsia="zh-CN" w:bidi="hi-IN"/>
        </w:rPr>
        <w:t xml:space="preserve"> </w:t>
      </w:r>
      <w:r w:rsidRPr="00400193">
        <w:t>Total variance explained by the components of ETCA</w:t>
      </w:r>
      <w:bookmarkEnd w:id="479"/>
      <w:r w:rsidRPr="00400193">
        <w:t xml:space="preserve"> </w:t>
      </w:r>
    </w:p>
    <w:p w14:paraId="5613DEDA" w14:textId="77777777" w:rsidR="006E3616" w:rsidRPr="00400193" w:rsidRDefault="006E3616" w:rsidP="006E3616">
      <w:pPr>
        <w:pStyle w:val="Caption"/>
        <w:rPr>
          <w:lang w:eastAsia="zh-CN" w:bidi="hi-IN"/>
        </w:rPr>
      </w:pPr>
    </w:p>
    <w:p w14:paraId="53592FE7" w14:textId="31789F72" w:rsidR="006E3616" w:rsidRPr="00400193" w:rsidRDefault="006E3616" w:rsidP="006E3616">
      <w:pPr>
        <w:rPr>
          <w:lang w:eastAsia="zh-CN" w:bidi="hi-IN"/>
        </w:rPr>
      </w:pPr>
      <w:r w:rsidRPr="00400193">
        <w:rPr>
          <w:lang w:eastAsia="zh-CN" w:bidi="hi-IN"/>
        </w:rPr>
        <w:t>The KMO value of 0.908 was within the range for factor analysis (0.5–1.0). Bartlett’s test of sphericity gave a Chi-square value of 1798.6, with 210 degrees of freedom and the result was significant at ≤0.001 (</w:t>
      </w:r>
      <w:r w:rsidRPr="00400193">
        <w:rPr>
          <w:lang w:eastAsia="zh-CN" w:bidi="hi-IN"/>
        </w:rPr>
        <w:fldChar w:fldCharType="begin"/>
      </w:r>
      <w:r w:rsidRPr="00400193">
        <w:rPr>
          <w:lang w:eastAsia="zh-CN" w:bidi="hi-IN"/>
        </w:rPr>
        <w:instrText xml:space="preserve"> REF _Ref43252667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20</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531"/>
        <w:gridCol w:w="2694"/>
        <w:gridCol w:w="1791"/>
      </w:tblGrid>
      <w:tr w:rsidR="00A0618E" w:rsidRPr="00400193" w14:paraId="5B5577F4" w14:textId="77777777" w:rsidTr="0077263B">
        <w:trPr>
          <w:trHeight w:val="283"/>
        </w:trPr>
        <w:tc>
          <w:tcPr>
            <w:tcW w:w="7225" w:type="dxa"/>
            <w:gridSpan w:val="2"/>
            <w:tcBorders>
              <w:top w:val="single" w:sz="4" w:space="0" w:color="auto"/>
              <w:left w:val="nil"/>
              <w:bottom w:val="single" w:sz="4" w:space="0" w:color="auto"/>
              <w:right w:val="nil"/>
            </w:tcBorders>
            <w:shd w:val="clear" w:color="auto" w:fill="auto"/>
            <w:vAlign w:val="center"/>
          </w:tcPr>
          <w:p w14:paraId="1F8FA18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791" w:type="dxa"/>
            <w:tcBorders>
              <w:top w:val="single" w:sz="4" w:space="0" w:color="auto"/>
              <w:left w:val="nil"/>
              <w:bottom w:val="single" w:sz="4" w:space="0" w:color="auto"/>
              <w:right w:val="nil"/>
            </w:tcBorders>
            <w:shd w:val="clear" w:color="auto" w:fill="auto"/>
            <w:vAlign w:val="center"/>
          </w:tcPr>
          <w:p w14:paraId="6434DED5"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0.908</w:t>
            </w:r>
          </w:p>
        </w:tc>
      </w:tr>
      <w:tr w:rsidR="00A0618E" w:rsidRPr="00400193" w14:paraId="39064418" w14:textId="77777777" w:rsidTr="0077263B">
        <w:trPr>
          <w:trHeight w:val="283"/>
        </w:trPr>
        <w:tc>
          <w:tcPr>
            <w:tcW w:w="4531" w:type="dxa"/>
            <w:vMerge w:val="restart"/>
            <w:tcBorders>
              <w:left w:val="single" w:sz="4" w:space="0" w:color="FFFFFF" w:themeColor="background1"/>
              <w:right w:val="single" w:sz="4" w:space="0" w:color="FFFFFF" w:themeColor="background1"/>
            </w:tcBorders>
            <w:vAlign w:val="center"/>
          </w:tcPr>
          <w:p w14:paraId="78E7BF0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4" w:type="dxa"/>
            <w:tcBorders>
              <w:top w:val="single" w:sz="4" w:space="0" w:color="auto"/>
              <w:left w:val="single" w:sz="4" w:space="0" w:color="FFFFFF" w:themeColor="background1"/>
              <w:bottom w:val="single" w:sz="8" w:space="0" w:color="AEAEAE"/>
              <w:right w:val="nil"/>
            </w:tcBorders>
            <w:shd w:val="clear" w:color="auto" w:fill="auto"/>
            <w:vAlign w:val="center"/>
          </w:tcPr>
          <w:p w14:paraId="6D986541"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791" w:type="dxa"/>
            <w:tcBorders>
              <w:top w:val="single" w:sz="4" w:space="0" w:color="auto"/>
              <w:left w:val="nil"/>
              <w:bottom w:val="single" w:sz="8" w:space="0" w:color="AEAEAE"/>
              <w:right w:val="nil"/>
            </w:tcBorders>
            <w:shd w:val="clear" w:color="auto" w:fill="auto"/>
            <w:vAlign w:val="center"/>
          </w:tcPr>
          <w:p w14:paraId="0A71563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1798.6</w:t>
            </w:r>
          </w:p>
        </w:tc>
      </w:tr>
      <w:tr w:rsidR="00A0618E" w:rsidRPr="00400193" w14:paraId="7C6A268C" w14:textId="77777777" w:rsidTr="0077263B">
        <w:trPr>
          <w:trHeight w:val="283"/>
        </w:trPr>
        <w:tc>
          <w:tcPr>
            <w:tcW w:w="4531" w:type="dxa"/>
            <w:vMerge/>
            <w:tcBorders>
              <w:left w:val="single" w:sz="4" w:space="0" w:color="FFFFFF" w:themeColor="background1"/>
              <w:right w:val="single" w:sz="4" w:space="0" w:color="FFFFFF" w:themeColor="background1"/>
            </w:tcBorders>
            <w:vAlign w:val="center"/>
          </w:tcPr>
          <w:p w14:paraId="406F0FB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single" w:sz="4" w:space="0" w:color="FFFFFF" w:themeColor="background1"/>
              <w:bottom w:val="single" w:sz="8" w:space="0" w:color="AEAEAE"/>
              <w:right w:val="nil"/>
            </w:tcBorders>
            <w:shd w:val="clear" w:color="auto" w:fill="auto"/>
            <w:vAlign w:val="center"/>
          </w:tcPr>
          <w:p w14:paraId="7FBA5510"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791" w:type="dxa"/>
            <w:tcBorders>
              <w:top w:val="single" w:sz="8" w:space="0" w:color="AEAEAE"/>
              <w:left w:val="nil"/>
              <w:bottom w:val="single" w:sz="8" w:space="0" w:color="AEAEAE"/>
              <w:right w:val="nil"/>
            </w:tcBorders>
            <w:shd w:val="clear" w:color="auto" w:fill="auto"/>
            <w:vAlign w:val="center"/>
          </w:tcPr>
          <w:p w14:paraId="2A5E3D8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210</w:t>
            </w:r>
          </w:p>
        </w:tc>
      </w:tr>
      <w:tr w:rsidR="00A0618E" w:rsidRPr="00400193" w14:paraId="0D544660" w14:textId="77777777" w:rsidTr="0077263B">
        <w:trPr>
          <w:trHeight w:val="283"/>
        </w:trPr>
        <w:tc>
          <w:tcPr>
            <w:tcW w:w="4531" w:type="dxa"/>
            <w:vMerge/>
            <w:tcBorders>
              <w:left w:val="single" w:sz="4" w:space="0" w:color="FFFFFF" w:themeColor="background1"/>
              <w:right w:val="single" w:sz="4" w:space="0" w:color="FFFFFF" w:themeColor="background1"/>
            </w:tcBorders>
            <w:vAlign w:val="center"/>
          </w:tcPr>
          <w:p w14:paraId="0F55BAE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single" w:sz="4" w:space="0" w:color="FFFFFF" w:themeColor="background1"/>
              <w:bottom w:val="single" w:sz="4" w:space="0" w:color="auto"/>
              <w:right w:val="nil"/>
            </w:tcBorders>
            <w:shd w:val="clear" w:color="auto" w:fill="auto"/>
            <w:vAlign w:val="center"/>
          </w:tcPr>
          <w:p w14:paraId="66EFF513"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791" w:type="dxa"/>
            <w:tcBorders>
              <w:top w:val="single" w:sz="8" w:space="0" w:color="AEAEAE"/>
              <w:left w:val="nil"/>
              <w:bottom w:val="single" w:sz="4" w:space="0" w:color="auto"/>
              <w:right w:val="nil"/>
            </w:tcBorders>
            <w:shd w:val="clear" w:color="auto" w:fill="auto"/>
            <w:vAlign w:val="center"/>
          </w:tcPr>
          <w:p w14:paraId="1E99CCD8"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51C846C" w14:textId="679B1AFA" w:rsidR="006E3616" w:rsidRPr="00400193" w:rsidRDefault="006E3616" w:rsidP="0077263B">
      <w:pPr>
        <w:pStyle w:val="Caption"/>
        <w:spacing w:after="240"/>
        <w:rPr>
          <w:lang w:eastAsia="zh-CN" w:bidi="hi-IN"/>
        </w:rPr>
      </w:pPr>
      <w:bookmarkStart w:id="480" w:name="_Ref43252667"/>
      <w:bookmarkStart w:id="481" w:name="_Toc5290156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20</w:t>
      </w:r>
      <w:r w:rsidRPr="00400193">
        <w:fldChar w:fldCharType="end"/>
      </w:r>
      <w:bookmarkEnd w:id="480"/>
      <w:r w:rsidRPr="00400193">
        <w:t>: Kaiser–Meyer–Olkin test and Bartlett's test for sphericity for ETCA</w:t>
      </w:r>
      <w:bookmarkEnd w:id="481"/>
      <w:r w:rsidRPr="00400193">
        <w:t xml:space="preserve"> </w:t>
      </w:r>
    </w:p>
    <w:p w14:paraId="5A165F8B" w14:textId="68655144" w:rsidR="0077263B" w:rsidRPr="00400193" w:rsidRDefault="006E3616" w:rsidP="0077263B">
      <w:pPr>
        <w:rPr>
          <w:lang w:eastAsia="zh-CN" w:bidi="hi-IN"/>
        </w:rPr>
      </w:pPr>
      <w:r w:rsidRPr="00400193">
        <w:rPr>
          <w:lang w:eastAsia="zh-CN" w:bidi="hi-IN"/>
        </w:rPr>
        <w:fldChar w:fldCharType="begin"/>
      </w:r>
      <w:r w:rsidRPr="00400193">
        <w:rPr>
          <w:lang w:eastAsia="zh-CN" w:bidi="hi-IN"/>
        </w:rPr>
        <w:instrText xml:space="preserve"> REF _Ref43252718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21</w:t>
      </w:r>
      <w:r w:rsidRPr="00400193">
        <w:rPr>
          <w:lang w:eastAsia="zh-CN" w:bidi="hi-IN"/>
        </w:rPr>
        <w:fldChar w:fldCharType="end"/>
      </w:r>
      <w:r w:rsidRPr="00400193">
        <w:rPr>
          <w:lang w:eastAsia="zh-CN" w:bidi="hi-IN"/>
        </w:rPr>
        <w:t xml:space="preserve"> shows the factor load. All items had a load higher than 0.5, except ETCA17 (0.489).</w:t>
      </w:r>
      <w:r w:rsidR="0077263B" w:rsidRPr="00400193">
        <w:rPr>
          <w:lang w:eastAsia="zh-CN" w:bidi="hi-IN"/>
        </w:rPr>
        <w:t xml:space="preserve"> There were three new latent clusters of Key External Threats - Criminal Acts (ETCA). Ten variables were assigned to the first new latent cluster (ETCAN1), ‘felonious actions’, five to the second (ETCAN2), ‘unauthorised access’ and six to the third (ETCAN3), ‘criminal acts’. The three new latent clusters had a reliability of &gt;0.87, which was satisfactory (</w:t>
      </w:r>
      <w:r w:rsidR="0077263B" w:rsidRPr="00400193">
        <w:rPr>
          <w:lang w:eastAsia="zh-CN" w:bidi="hi-IN"/>
        </w:rPr>
        <w:fldChar w:fldCharType="begin"/>
      </w:r>
      <w:r w:rsidR="0077263B" w:rsidRPr="00400193">
        <w:rPr>
          <w:lang w:eastAsia="zh-CN" w:bidi="hi-IN"/>
        </w:rPr>
        <w:instrText xml:space="preserve"> REF _Ref43252718 \h </w:instrText>
      </w:r>
      <w:r w:rsidR="0077263B" w:rsidRPr="00400193">
        <w:rPr>
          <w:lang w:eastAsia="zh-CN" w:bidi="hi-IN"/>
        </w:rPr>
      </w:r>
      <w:r w:rsidR="0077263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21</w:t>
      </w:r>
      <w:r w:rsidR="0077263B" w:rsidRPr="00400193">
        <w:rPr>
          <w:lang w:eastAsia="zh-CN" w:bidi="hi-IN"/>
        </w:rPr>
        <w:fldChar w:fldCharType="end"/>
      </w:r>
      <w:r w:rsidR="0077263B" w:rsidRPr="00400193">
        <w:rPr>
          <w:lang w:eastAsia="zh-CN" w:bidi="hi-IN"/>
        </w:rPr>
        <w:t>).</w:t>
      </w:r>
    </w:p>
    <w:tbl>
      <w:tblPr>
        <w:tblStyle w:val="TableGrid"/>
        <w:tblW w:w="0" w:type="auto"/>
        <w:tblLook w:val="04A0" w:firstRow="1" w:lastRow="0" w:firstColumn="1" w:lastColumn="0" w:noHBand="0" w:noVBand="1"/>
      </w:tblPr>
      <w:tblGrid>
        <w:gridCol w:w="1181"/>
        <w:gridCol w:w="1097"/>
        <w:gridCol w:w="990"/>
        <w:gridCol w:w="945"/>
        <w:gridCol w:w="1228"/>
        <w:gridCol w:w="1117"/>
        <w:gridCol w:w="1052"/>
        <w:gridCol w:w="1406"/>
      </w:tblGrid>
      <w:tr w:rsidR="00A0618E" w:rsidRPr="00400193" w14:paraId="37E9DE18" w14:textId="77777777" w:rsidTr="0077263B">
        <w:trPr>
          <w:trHeight w:val="227"/>
        </w:trPr>
        <w:tc>
          <w:tcPr>
            <w:tcW w:w="1181" w:type="dxa"/>
            <w:vMerge w:val="restart"/>
            <w:tcBorders>
              <w:left w:val="single" w:sz="4" w:space="0" w:color="FFFFFF" w:themeColor="background1"/>
              <w:right w:val="single" w:sz="4" w:space="0" w:color="FFFFFF" w:themeColor="background1"/>
            </w:tcBorders>
            <w:vAlign w:val="center"/>
          </w:tcPr>
          <w:p w14:paraId="389F516F"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lastRenderedPageBreak/>
              <w:t>Item</w:t>
            </w:r>
          </w:p>
        </w:tc>
        <w:tc>
          <w:tcPr>
            <w:tcW w:w="3032" w:type="dxa"/>
            <w:gridSpan w:val="3"/>
            <w:tcBorders>
              <w:top w:val="single" w:sz="4" w:space="0" w:color="auto"/>
              <w:left w:val="single" w:sz="4" w:space="0" w:color="FFFFFF" w:themeColor="background1"/>
              <w:right w:val="single" w:sz="4" w:space="0" w:color="FFFFFF" w:themeColor="background1"/>
            </w:tcBorders>
            <w:shd w:val="clear" w:color="auto" w:fill="FFFFFF"/>
            <w:vAlign w:val="center"/>
          </w:tcPr>
          <w:p w14:paraId="5303D36F"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 xml:space="preserve">Component matrix </w:t>
            </w:r>
            <w:r w:rsidRPr="00400193">
              <w:rPr>
                <w:rFonts w:asciiTheme="minorHAnsi" w:hAnsiTheme="minorHAnsi" w:cstheme="minorHAnsi"/>
                <w:sz w:val="20"/>
                <w:vertAlign w:val="superscript"/>
                <w:lang w:eastAsia="zh-CN" w:bidi="hi-IN"/>
              </w:rPr>
              <w:t>ab</w:t>
            </w:r>
          </w:p>
        </w:tc>
        <w:tc>
          <w:tcPr>
            <w:tcW w:w="1228" w:type="dxa"/>
            <w:vMerge w:val="restart"/>
            <w:tcBorders>
              <w:left w:val="single" w:sz="4" w:space="0" w:color="FFFFFF" w:themeColor="background1"/>
              <w:right w:val="single" w:sz="4" w:space="0" w:color="FFFFFF" w:themeColor="background1"/>
            </w:tcBorders>
            <w:vAlign w:val="center"/>
          </w:tcPr>
          <w:p w14:paraId="54D3276F"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Cronbach’s Alpha</w:t>
            </w:r>
          </w:p>
        </w:tc>
        <w:tc>
          <w:tcPr>
            <w:tcW w:w="1117" w:type="dxa"/>
            <w:vMerge w:val="restart"/>
            <w:tcBorders>
              <w:left w:val="single" w:sz="4" w:space="0" w:color="FFFFFF" w:themeColor="background1"/>
              <w:right w:val="single" w:sz="4" w:space="0" w:color="FFFFFF" w:themeColor="background1"/>
            </w:tcBorders>
            <w:vAlign w:val="center"/>
          </w:tcPr>
          <w:p w14:paraId="439CAC8F"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No. of Questions</w:t>
            </w:r>
          </w:p>
        </w:tc>
        <w:tc>
          <w:tcPr>
            <w:tcW w:w="1052" w:type="dxa"/>
            <w:vMerge w:val="restart"/>
            <w:tcBorders>
              <w:left w:val="single" w:sz="4" w:space="0" w:color="FFFFFF" w:themeColor="background1"/>
              <w:right w:val="single" w:sz="4" w:space="0" w:color="FFFFFF" w:themeColor="background1"/>
            </w:tcBorders>
            <w:vAlign w:val="center"/>
          </w:tcPr>
          <w:p w14:paraId="6C94BE9E"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Code</w:t>
            </w:r>
          </w:p>
        </w:tc>
        <w:tc>
          <w:tcPr>
            <w:tcW w:w="1406" w:type="dxa"/>
            <w:vMerge w:val="restart"/>
            <w:tcBorders>
              <w:left w:val="single" w:sz="4" w:space="0" w:color="FFFFFF" w:themeColor="background1"/>
              <w:right w:val="single" w:sz="4" w:space="0" w:color="FFFFFF" w:themeColor="background1"/>
            </w:tcBorders>
            <w:vAlign w:val="center"/>
          </w:tcPr>
          <w:p w14:paraId="216196F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Description</w:t>
            </w:r>
          </w:p>
        </w:tc>
      </w:tr>
      <w:tr w:rsidR="00A0618E" w:rsidRPr="00400193" w14:paraId="307EF680" w14:textId="77777777" w:rsidTr="0077263B">
        <w:trPr>
          <w:trHeight w:val="227"/>
        </w:trPr>
        <w:tc>
          <w:tcPr>
            <w:tcW w:w="1181" w:type="dxa"/>
            <w:vMerge/>
            <w:tcBorders>
              <w:left w:val="single" w:sz="4" w:space="0" w:color="FFFFFF" w:themeColor="background1"/>
              <w:right w:val="single" w:sz="4" w:space="0" w:color="FFFFFF" w:themeColor="background1"/>
            </w:tcBorders>
            <w:vAlign w:val="center"/>
          </w:tcPr>
          <w:p w14:paraId="21FA206D"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97" w:type="dxa"/>
            <w:tcBorders>
              <w:top w:val="single" w:sz="4" w:space="0" w:color="FFFFFF" w:themeColor="background1"/>
              <w:left w:val="single" w:sz="4" w:space="0" w:color="FFFFFF" w:themeColor="background1"/>
              <w:right w:val="single" w:sz="4" w:space="0" w:color="FFFFFF" w:themeColor="background1"/>
            </w:tcBorders>
            <w:vAlign w:val="center"/>
          </w:tcPr>
          <w:p w14:paraId="13BACA0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990" w:type="dxa"/>
            <w:tcBorders>
              <w:top w:val="single" w:sz="4" w:space="0" w:color="FFFFFF" w:themeColor="background1"/>
              <w:left w:val="single" w:sz="4" w:space="0" w:color="FFFFFF" w:themeColor="background1"/>
              <w:right w:val="single" w:sz="4" w:space="0" w:color="FFFFFF" w:themeColor="background1"/>
            </w:tcBorders>
            <w:vAlign w:val="center"/>
          </w:tcPr>
          <w:p w14:paraId="7FE5D6A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945" w:type="dxa"/>
            <w:tcBorders>
              <w:left w:val="single" w:sz="4" w:space="0" w:color="FFFFFF" w:themeColor="background1"/>
              <w:right w:val="single" w:sz="4" w:space="0" w:color="FFFFFF" w:themeColor="background1"/>
            </w:tcBorders>
            <w:vAlign w:val="center"/>
          </w:tcPr>
          <w:p w14:paraId="2F6953AF"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1228" w:type="dxa"/>
            <w:vMerge/>
            <w:tcBorders>
              <w:left w:val="single" w:sz="4" w:space="0" w:color="FFFFFF" w:themeColor="background1"/>
              <w:right w:val="single" w:sz="4" w:space="0" w:color="FFFFFF" w:themeColor="background1"/>
            </w:tcBorders>
          </w:tcPr>
          <w:p w14:paraId="76BC3A4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2E14067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5147D85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4C428F44"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82E94F0" w14:textId="77777777" w:rsidTr="0077263B">
        <w:trPr>
          <w:trHeight w:val="227"/>
        </w:trPr>
        <w:tc>
          <w:tcPr>
            <w:tcW w:w="1181" w:type="dxa"/>
            <w:tcBorders>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1C35B54"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ETCA2</w:t>
            </w:r>
          </w:p>
        </w:tc>
        <w:tc>
          <w:tcPr>
            <w:tcW w:w="1097" w:type="dxa"/>
            <w:tcBorders>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E935C4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0.802</w:t>
            </w:r>
          </w:p>
        </w:tc>
        <w:tc>
          <w:tcPr>
            <w:tcW w:w="990" w:type="dxa"/>
            <w:tcBorders>
              <w:left w:val="single" w:sz="4" w:space="0" w:color="FFFFFF" w:themeColor="background1"/>
              <w:bottom w:val="single" w:sz="4" w:space="0" w:color="FFFFFF" w:themeColor="background1"/>
              <w:right w:val="single" w:sz="4" w:space="0" w:color="FFFFFF" w:themeColor="background1"/>
            </w:tcBorders>
            <w:vAlign w:val="center"/>
          </w:tcPr>
          <w:p w14:paraId="46485441"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left w:val="single" w:sz="4" w:space="0" w:color="FFFFFF" w:themeColor="background1"/>
              <w:bottom w:val="single" w:sz="4" w:space="0" w:color="FFFFFF" w:themeColor="background1"/>
              <w:right w:val="single" w:sz="4" w:space="0" w:color="FFFFFF" w:themeColor="background1"/>
            </w:tcBorders>
            <w:vAlign w:val="center"/>
          </w:tcPr>
          <w:p w14:paraId="5FD5257E"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0F0C317C"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0.942</w:t>
            </w:r>
          </w:p>
        </w:tc>
        <w:tc>
          <w:tcPr>
            <w:tcW w:w="1117"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61D32C4D"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w:t>
            </w:r>
          </w:p>
        </w:tc>
        <w:tc>
          <w:tcPr>
            <w:tcW w:w="1052"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7D576008"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ETCAN1</w:t>
            </w:r>
          </w:p>
        </w:tc>
        <w:tc>
          <w:tcPr>
            <w:tcW w:w="1406" w:type="dxa"/>
            <w:vMerge w:val="restart"/>
            <w:tcBorders>
              <w:top w:val="single" w:sz="4" w:space="0" w:color="auto"/>
              <w:left w:val="single" w:sz="4" w:space="0" w:color="FFFFFF" w:themeColor="background1"/>
              <w:right w:val="single" w:sz="4" w:space="0" w:color="FFFFFF" w:themeColor="background1"/>
            </w:tcBorders>
            <w:shd w:val="clear" w:color="auto" w:fill="FFFFFF"/>
            <w:vAlign w:val="center"/>
          </w:tcPr>
          <w:p w14:paraId="1C0C1FD9"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Felonious actions</w:t>
            </w:r>
          </w:p>
        </w:tc>
      </w:tr>
      <w:tr w:rsidR="00A0618E" w:rsidRPr="00400193" w14:paraId="43378DBA"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E146B24"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ETCA3</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05F2783"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0.798</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7B817D"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237B64"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7A41918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4078DEF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80E1AA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5021FEC4"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0B89B8AA"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5450152"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3507E16"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0.762</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01B68F"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C55801"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6BCDF6DA"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5783F6E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CA35FA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229A10F8"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792C22E5"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D7DF892"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ETCA4</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4B5D654"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0.754</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EC0D75"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0CD4380"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0DA38B66"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5627924F"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4724BAC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671DB16A"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4795C82C"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D43A0E8"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ETCA5</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680A58C"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0.723</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5BA75A"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300A14"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48FF67B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093A0DF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13370265"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4063969C"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491A2400"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82D103B"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ETCA10</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3D495E1"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0.678</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86A88A"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FC7AC4"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5DFE99BA"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0B5C5D5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174EA1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2D44F28F"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CAB9CD6"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AE3FBDB"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ETCA11</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741AA97"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0.644</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3A5F3C"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646EB8"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5EF84E3A"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76DDE88D"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3A2F4F20"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43FB59AA"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6203911D"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EAC7B8E"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ETCA6</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A0CF12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0.624</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8CDEC2"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4A6DAD"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025E5E58"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7955F6EF"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1EF2C0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7F790D63"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7DA56ED4"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DE2F301"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ETCA7</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69155AA"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0.590</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902E9A"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658AD9A"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5308B6C0"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1057BA5F"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1095811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52861A22"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0BF049ED"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E99AB1C"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ETCA9</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84620D1"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0.573</w:t>
            </w: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65F55A"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824840"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bottom w:val="single" w:sz="4" w:space="0" w:color="FFFFFF" w:themeColor="background1"/>
              <w:right w:val="single" w:sz="4" w:space="0" w:color="FFFFFF" w:themeColor="background1"/>
            </w:tcBorders>
          </w:tcPr>
          <w:p w14:paraId="581A8ED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bottom w:val="single" w:sz="4" w:space="0" w:color="FFFFFF" w:themeColor="background1"/>
              <w:right w:val="single" w:sz="4" w:space="0" w:color="FFFFFF" w:themeColor="background1"/>
            </w:tcBorders>
            <w:vAlign w:val="center"/>
          </w:tcPr>
          <w:p w14:paraId="0DE60AC0"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bottom w:val="single" w:sz="4" w:space="0" w:color="FFFFFF" w:themeColor="background1"/>
              <w:right w:val="single" w:sz="4" w:space="0" w:color="FFFFFF" w:themeColor="background1"/>
            </w:tcBorders>
            <w:vAlign w:val="center"/>
          </w:tcPr>
          <w:p w14:paraId="4D370FE9"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bottom w:val="single" w:sz="4" w:space="0" w:color="FFFFFF" w:themeColor="background1"/>
              <w:right w:val="single" w:sz="4" w:space="0" w:color="FFFFFF" w:themeColor="background1"/>
            </w:tcBorders>
            <w:vAlign w:val="center"/>
          </w:tcPr>
          <w:p w14:paraId="546A4545"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166B9FB"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C50C51E"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ETCA16</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1A6D65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8794AD4"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0.761</w:t>
            </w: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387996"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519D4FC6"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0.905</w:t>
            </w:r>
          </w:p>
        </w:tc>
        <w:tc>
          <w:tcPr>
            <w:tcW w:w="1117"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1B0A486E"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w:t>
            </w:r>
          </w:p>
        </w:tc>
        <w:tc>
          <w:tcPr>
            <w:tcW w:w="1052"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74897435"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ETCAN2</w:t>
            </w:r>
          </w:p>
        </w:tc>
        <w:tc>
          <w:tcPr>
            <w:tcW w:w="1406"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583C03B2"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Unauthorised Access</w:t>
            </w:r>
          </w:p>
        </w:tc>
      </w:tr>
      <w:tr w:rsidR="00A0618E" w:rsidRPr="00400193" w14:paraId="79E4F9B9"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CF97E65"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ETCA13</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A72A29C"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AD5242C"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0.738</w:t>
            </w: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D97C3B"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1B7FD1E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11A374B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46C05682"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5BC39982"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DC87AD6"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04D24D1"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ETCA21</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A8A547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7D6702E"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0.701</w:t>
            </w: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9A7B96"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5984127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3AC54B8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3DEE5966"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7BE8671B"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F8EC0FC"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F1D1951"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ETCA15</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A610D66"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84BB4C8"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0.679</w:t>
            </w: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B633560"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right w:val="single" w:sz="4" w:space="0" w:color="FFFFFF" w:themeColor="background1"/>
            </w:tcBorders>
          </w:tcPr>
          <w:p w14:paraId="480359C0"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4396E53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0EE4D10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7B3446D8"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3731902A"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28E4868"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ETCA20</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77C94D9"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1672538"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0.597</w:t>
            </w: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0BADC2" w14:textId="77777777" w:rsidR="006E3616" w:rsidRPr="00400193" w:rsidRDefault="006E3616" w:rsidP="0077263B">
            <w:pPr>
              <w:spacing w:line="240" w:lineRule="auto"/>
              <w:jc w:val="center"/>
              <w:rPr>
                <w:rFonts w:asciiTheme="minorHAnsi" w:hAnsiTheme="minorHAnsi" w:cstheme="minorHAnsi"/>
                <w:sz w:val="20"/>
                <w:lang w:eastAsia="zh-CN" w:bidi="hi-IN"/>
              </w:rPr>
            </w:pPr>
          </w:p>
        </w:tc>
        <w:tc>
          <w:tcPr>
            <w:tcW w:w="1228" w:type="dxa"/>
            <w:vMerge/>
            <w:tcBorders>
              <w:left w:val="single" w:sz="4" w:space="0" w:color="FFFFFF" w:themeColor="background1"/>
              <w:bottom w:val="single" w:sz="4" w:space="0" w:color="FFFFFF" w:themeColor="background1"/>
              <w:right w:val="single" w:sz="4" w:space="0" w:color="FFFFFF" w:themeColor="background1"/>
            </w:tcBorders>
          </w:tcPr>
          <w:p w14:paraId="2415D235"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bottom w:val="single" w:sz="4" w:space="0" w:color="FFFFFF" w:themeColor="background1"/>
              <w:right w:val="single" w:sz="4" w:space="0" w:color="FFFFFF" w:themeColor="background1"/>
            </w:tcBorders>
            <w:vAlign w:val="center"/>
          </w:tcPr>
          <w:p w14:paraId="742DEFDA"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bottom w:val="single" w:sz="4" w:space="0" w:color="FFFFFF" w:themeColor="background1"/>
              <w:right w:val="single" w:sz="4" w:space="0" w:color="FFFFFF" w:themeColor="background1"/>
            </w:tcBorders>
            <w:vAlign w:val="center"/>
          </w:tcPr>
          <w:p w14:paraId="21576BA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bottom w:val="single" w:sz="4" w:space="0" w:color="FFFFFF" w:themeColor="background1"/>
              <w:right w:val="single" w:sz="4" w:space="0" w:color="FFFFFF" w:themeColor="background1"/>
            </w:tcBorders>
            <w:vAlign w:val="center"/>
          </w:tcPr>
          <w:p w14:paraId="31CA4122"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555AB9C8"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3747ACC"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ETCA8</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69787ED"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E466232"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D31DC81"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0.795</w:t>
            </w:r>
          </w:p>
        </w:tc>
        <w:tc>
          <w:tcPr>
            <w:tcW w:w="122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4CE4E727"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0.870</w:t>
            </w:r>
          </w:p>
        </w:tc>
        <w:tc>
          <w:tcPr>
            <w:tcW w:w="1117"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0484960B"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w:t>
            </w:r>
          </w:p>
        </w:tc>
        <w:tc>
          <w:tcPr>
            <w:tcW w:w="1052"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6D7CD36C"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ETCAN3</w:t>
            </w:r>
          </w:p>
        </w:tc>
        <w:tc>
          <w:tcPr>
            <w:tcW w:w="1406"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vAlign w:val="center"/>
          </w:tcPr>
          <w:p w14:paraId="68C7D59C"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Criminal acts</w:t>
            </w:r>
          </w:p>
        </w:tc>
      </w:tr>
      <w:tr w:rsidR="00A0618E" w:rsidRPr="00400193" w14:paraId="3A71BBB5"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4960E04"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ETCA18</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BA4798E"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FD82F13"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392DAB9"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0.706</w:t>
            </w:r>
          </w:p>
        </w:tc>
        <w:tc>
          <w:tcPr>
            <w:tcW w:w="1228" w:type="dxa"/>
            <w:vMerge/>
            <w:tcBorders>
              <w:left w:val="single" w:sz="4" w:space="0" w:color="FFFFFF" w:themeColor="background1"/>
              <w:right w:val="single" w:sz="4" w:space="0" w:color="FFFFFF" w:themeColor="background1"/>
            </w:tcBorders>
          </w:tcPr>
          <w:p w14:paraId="23DDB77C"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0BD4E67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0199411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6F62C022"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3DC6CF92"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83AEE97"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ETCA19</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7DFD68B"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1367B78"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22B96CA"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0.641</w:t>
            </w:r>
          </w:p>
        </w:tc>
        <w:tc>
          <w:tcPr>
            <w:tcW w:w="1228" w:type="dxa"/>
            <w:vMerge/>
            <w:tcBorders>
              <w:left w:val="single" w:sz="4" w:space="0" w:color="FFFFFF" w:themeColor="background1"/>
              <w:right w:val="single" w:sz="4" w:space="0" w:color="FFFFFF" w:themeColor="background1"/>
            </w:tcBorders>
          </w:tcPr>
          <w:p w14:paraId="6D44A84F"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7DF9D23C"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4034B98"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3D77F38A"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8FF408B"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F15F719"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ETCA12</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8B53280"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A5F5016"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59031EF"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0.633</w:t>
            </w:r>
          </w:p>
        </w:tc>
        <w:tc>
          <w:tcPr>
            <w:tcW w:w="1228" w:type="dxa"/>
            <w:vMerge/>
            <w:tcBorders>
              <w:left w:val="single" w:sz="4" w:space="0" w:color="FFFFFF" w:themeColor="background1"/>
              <w:right w:val="single" w:sz="4" w:space="0" w:color="FFFFFF" w:themeColor="background1"/>
            </w:tcBorders>
          </w:tcPr>
          <w:p w14:paraId="37D884C7"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086A8FF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7B2125F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41BA0930"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0771F383" w14:textId="77777777" w:rsidTr="0077263B">
        <w:trPr>
          <w:trHeight w:val="227"/>
        </w:trPr>
        <w:tc>
          <w:tcPr>
            <w:tcW w:w="11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135BE0A0"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ETCA14</w:t>
            </w:r>
          </w:p>
        </w:tc>
        <w:tc>
          <w:tcPr>
            <w:tcW w:w="10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6C52295"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3CC7A69"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680BE2D"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0.562</w:t>
            </w:r>
          </w:p>
        </w:tc>
        <w:tc>
          <w:tcPr>
            <w:tcW w:w="1228" w:type="dxa"/>
            <w:vMerge/>
            <w:tcBorders>
              <w:left w:val="single" w:sz="4" w:space="0" w:color="FFFFFF" w:themeColor="background1"/>
              <w:right w:val="single" w:sz="4" w:space="0" w:color="FFFFFF" w:themeColor="background1"/>
            </w:tcBorders>
          </w:tcPr>
          <w:p w14:paraId="340C8862"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5FD8EEBE"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204BD261"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17D2A789"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48F143AE" w14:textId="77777777" w:rsidTr="0077263B">
        <w:trPr>
          <w:trHeight w:val="227"/>
        </w:trPr>
        <w:tc>
          <w:tcPr>
            <w:tcW w:w="1181"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center"/>
          </w:tcPr>
          <w:p w14:paraId="399799AB" w14:textId="77777777" w:rsidR="006E3616" w:rsidRPr="00400193" w:rsidRDefault="006E3616" w:rsidP="0077263B">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ETCA17</w:t>
            </w:r>
          </w:p>
        </w:tc>
        <w:tc>
          <w:tcPr>
            <w:tcW w:w="1097"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FF"/>
            <w:vAlign w:val="center"/>
          </w:tcPr>
          <w:p w14:paraId="07EF0DFD"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9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FF"/>
            <w:vAlign w:val="center"/>
          </w:tcPr>
          <w:p w14:paraId="78F866B8"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94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FF"/>
            <w:vAlign w:val="center"/>
          </w:tcPr>
          <w:p w14:paraId="6C898971" w14:textId="77777777" w:rsidR="006E3616" w:rsidRPr="00400193" w:rsidRDefault="006E3616" w:rsidP="0077263B">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0.489</w:t>
            </w:r>
          </w:p>
        </w:tc>
        <w:tc>
          <w:tcPr>
            <w:tcW w:w="1228" w:type="dxa"/>
            <w:vMerge/>
            <w:tcBorders>
              <w:left w:val="single" w:sz="4" w:space="0" w:color="FFFFFF" w:themeColor="background1"/>
              <w:right w:val="single" w:sz="4" w:space="0" w:color="FFFFFF" w:themeColor="background1"/>
            </w:tcBorders>
          </w:tcPr>
          <w:p w14:paraId="736AA3C4"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117" w:type="dxa"/>
            <w:vMerge/>
            <w:tcBorders>
              <w:left w:val="single" w:sz="4" w:space="0" w:color="FFFFFF" w:themeColor="background1"/>
              <w:right w:val="single" w:sz="4" w:space="0" w:color="FFFFFF" w:themeColor="background1"/>
            </w:tcBorders>
            <w:vAlign w:val="center"/>
          </w:tcPr>
          <w:p w14:paraId="5D198FCF"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052" w:type="dxa"/>
            <w:vMerge/>
            <w:tcBorders>
              <w:left w:val="single" w:sz="4" w:space="0" w:color="FFFFFF" w:themeColor="background1"/>
              <w:right w:val="single" w:sz="4" w:space="0" w:color="FFFFFF" w:themeColor="background1"/>
            </w:tcBorders>
            <w:vAlign w:val="center"/>
          </w:tcPr>
          <w:p w14:paraId="38AEF0E9" w14:textId="77777777" w:rsidR="006E3616" w:rsidRPr="00400193" w:rsidRDefault="006E3616" w:rsidP="0077263B">
            <w:pPr>
              <w:spacing w:line="240" w:lineRule="auto"/>
              <w:jc w:val="left"/>
              <w:rPr>
                <w:rFonts w:asciiTheme="minorHAnsi" w:hAnsiTheme="minorHAnsi" w:cstheme="minorHAnsi"/>
                <w:sz w:val="20"/>
                <w:lang w:eastAsia="zh-CN" w:bidi="hi-IN"/>
              </w:rPr>
            </w:pPr>
          </w:p>
        </w:tc>
        <w:tc>
          <w:tcPr>
            <w:tcW w:w="1406" w:type="dxa"/>
            <w:vMerge/>
            <w:tcBorders>
              <w:left w:val="single" w:sz="4" w:space="0" w:color="FFFFFF" w:themeColor="background1"/>
              <w:right w:val="single" w:sz="4" w:space="0" w:color="FFFFFF" w:themeColor="background1"/>
            </w:tcBorders>
            <w:vAlign w:val="center"/>
          </w:tcPr>
          <w:p w14:paraId="2A5CE606" w14:textId="77777777" w:rsidR="006E3616" w:rsidRPr="00400193" w:rsidRDefault="006E3616" w:rsidP="0077263B">
            <w:pPr>
              <w:spacing w:line="240" w:lineRule="auto"/>
              <w:jc w:val="left"/>
              <w:rPr>
                <w:rFonts w:asciiTheme="minorHAnsi" w:hAnsiTheme="minorHAnsi" w:cstheme="minorHAnsi"/>
                <w:sz w:val="20"/>
                <w:lang w:eastAsia="zh-CN" w:bidi="hi-IN"/>
              </w:rPr>
            </w:pPr>
          </w:p>
        </w:tc>
      </w:tr>
      <w:tr w:rsidR="00A0618E" w:rsidRPr="00400193" w14:paraId="1EAA6AE4" w14:textId="77777777" w:rsidTr="0077263B">
        <w:trPr>
          <w:trHeight w:val="227"/>
        </w:trPr>
        <w:tc>
          <w:tcPr>
            <w:tcW w:w="9016" w:type="dxa"/>
            <w:gridSpan w:val="8"/>
            <w:tcBorders>
              <w:left w:val="single" w:sz="4" w:space="0" w:color="FFFFFF" w:themeColor="background1"/>
              <w:right w:val="single" w:sz="4" w:space="0" w:color="FFFFFF" w:themeColor="background1"/>
            </w:tcBorders>
            <w:shd w:val="clear" w:color="auto" w:fill="auto"/>
            <w:vAlign w:val="center"/>
          </w:tcPr>
          <w:p w14:paraId="1A11D06E" w14:textId="7EC9CA62" w:rsidR="006E3616" w:rsidRPr="00400193" w:rsidRDefault="006E3616" w:rsidP="0077263B">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10 iterations</w:t>
            </w:r>
          </w:p>
          <w:p w14:paraId="6ABE3955" w14:textId="3875D83D" w:rsidR="001A0FC9" w:rsidRPr="00400193" w:rsidRDefault="001A0FC9" w:rsidP="0077263B">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0AD36DB8" w14:textId="5459860F" w:rsidR="006E3616" w:rsidRPr="00400193" w:rsidRDefault="006E3616" w:rsidP="0077263B">
      <w:pPr>
        <w:pStyle w:val="Caption"/>
        <w:spacing w:after="240"/>
        <w:rPr>
          <w:lang w:eastAsia="zh-CN" w:bidi="hi-IN"/>
        </w:rPr>
      </w:pPr>
      <w:bookmarkStart w:id="482" w:name="_Ref43252718"/>
      <w:bookmarkStart w:id="483" w:name="_Toc5290156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21</w:t>
      </w:r>
      <w:r w:rsidRPr="00400193">
        <w:fldChar w:fldCharType="end"/>
      </w:r>
      <w:bookmarkEnd w:id="482"/>
      <w:r w:rsidRPr="00400193">
        <w:t>: Cronbach’s alpha, number of questions and rotated component matrix for ETCA</w:t>
      </w:r>
      <w:bookmarkEnd w:id="483"/>
    </w:p>
    <w:p w14:paraId="419FE3F4" w14:textId="340A01D6" w:rsidR="0077263B" w:rsidRPr="00400193" w:rsidRDefault="0077263B" w:rsidP="0077263B">
      <w:pPr>
        <w:rPr>
          <w:lang w:eastAsia="zh-CN" w:bidi="hi-IN"/>
        </w:rPr>
      </w:pPr>
      <w:r w:rsidRPr="00400193">
        <w:rPr>
          <w:lang w:eastAsia="zh-CN" w:bidi="hi-IN"/>
        </w:rPr>
        <w:fldChar w:fldCharType="begin"/>
      </w:r>
      <w:r w:rsidRPr="00400193">
        <w:rPr>
          <w:lang w:eastAsia="zh-CN" w:bidi="hi-IN"/>
        </w:rPr>
        <w:instrText xml:space="preserve"> REF _Ref43252847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22</w:t>
      </w:r>
      <w:r w:rsidRPr="00400193">
        <w:rPr>
          <w:lang w:eastAsia="zh-CN" w:bidi="hi-IN"/>
        </w:rPr>
        <w:fldChar w:fldCharType="end"/>
      </w:r>
      <w:r w:rsidRPr="00400193">
        <w:rPr>
          <w:lang w:eastAsia="zh-CN" w:bidi="hi-IN"/>
        </w:rPr>
        <w:t xml:space="preserve"> shows CR and AVE for each factor and MSW and ASV values. CR varied from 0.807 to 0.904, all higher than 0.7, and AVE ranged from 0.416 to 0.489, all below 0.5. MSV (0.686) &gt; AVE and ASV (0.560) &gt; AVE for all factors. There were therefore potential problems for convergent validity and discriminant validity for all factors. </w:t>
      </w:r>
    </w:p>
    <w:p w14:paraId="2DF8F0D7" w14:textId="77777777" w:rsidR="0077263B" w:rsidRPr="00400193" w:rsidRDefault="0077263B" w:rsidP="0077263B">
      <w:pPr>
        <w:rPr>
          <w:lang w:eastAsia="zh-CN" w:bidi="hi-IN"/>
        </w:rPr>
      </w:pPr>
      <w:r w:rsidRPr="00400193">
        <w:rPr>
          <w:lang w:eastAsia="zh-CN" w:bidi="hi-IN"/>
        </w:rPr>
        <w:t>Criminal acts may not be driven by financial gain for the criminal but can still cause large losses for the company attacked. Awareness of the risks is the first step in preventing or mitigating any possible breach or attacks (Amoroso, 2011). Ciolan (2014) noted the importance of improving both the level of individual awareness and protection for critical infrastructure and critical information infrastructure.</w:t>
      </w:r>
    </w:p>
    <w:tbl>
      <w:tblPr>
        <w:tblStyle w:val="TableGrid"/>
        <w:tblW w:w="0" w:type="auto"/>
        <w:tblLook w:val="04A0" w:firstRow="1" w:lastRow="0" w:firstColumn="1" w:lastColumn="0" w:noHBand="0" w:noVBand="1"/>
      </w:tblPr>
      <w:tblGrid>
        <w:gridCol w:w="4390"/>
        <w:gridCol w:w="1542"/>
        <w:gridCol w:w="1542"/>
        <w:gridCol w:w="1542"/>
      </w:tblGrid>
      <w:tr w:rsidR="00A0618E" w:rsidRPr="00400193" w14:paraId="18F50F0B" w14:textId="77777777" w:rsidTr="0077263B">
        <w:trPr>
          <w:trHeight w:val="283"/>
        </w:trPr>
        <w:tc>
          <w:tcPr>
            <w:tcW w:w="4390"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0631216C" w14:textId="77777777" w:rsidR="006E3616" w:rsidRPr="00400193" w:rsidRDefault="006E3616" w:rsidP="003B5486">
            <w:pPr>
              <w:spacing w:line="240" w:lineRule="auto"/>
              <w:jc w:val="left"/>
              <w:rPr>
                <w:b/>
                <w:bCs/>
                <w:sz w:val="20"/>
                <w:szCs w:val="18"/>
                <w:lang w:eastAsia="zh-CN" w:bidi="hi-IN"/>
              </w:rPr>
            </w:pPr>
            <w:r w:rsidRPr="00400193">
              <w:rPr>
                <w:b/>
                <w:bCs/>
                <w:sz w:val="20"/>
                <w:szCs w:val="18"/>
                <w:lang w:eastAsia="zh-CN" w:bidi="hi-IN"/>
              </w:rPr>
              <w:t>Parameters</w:t>
            </w:r>
          </w:p>
        </w:tc>
        <w:tc>
          <w:tcPr>
            <w:tcW w:w="1542"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25DBE76E"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Factor 1</w:t>
            </w:r>
          </w:p>
        </w:tc>
        <w:tc>
          <w:tcPr>
            <w:tcW w:w="1542"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004A2D79"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Factor 2</w:t>
            </w:r>
          </w:p>
        </w:tc>
        <w:tc>
          <w:tcPr>
            <w:tcW w:w="1542" w:type="dxa"/>
            <w:tcBorders>
              <w:top w:val="single" w:sz="4" w:space="0" w:color="auto"/>
              <w:left w:val="single" w:sz="4" w:space="0" w:color="FFFFFF" w:themeColor="background1"/>
              <w:bottom w:val="single" w:sz="4" w:space="0" w:color="auto"/>
              <w:right w:val="single" w:sz="4" w:space="0" w:color="FFFFFF" w:themeColor="background1"/>
            </w:tcBorders>
            <w:vAlign w:val="center"/>
          </w:tcPr>
          <w:p w14:paraId="38BF2B83" w14:textId="77777777" w:rsidR="006E3616" w:rsidRPr="00400193" w:rsidRDefault="006E3616" w:rsidP="003B5486">
            <w:pPr>
              <w:spacing w:line="240" w:lineRule="auto"/>
              <w:jc w:val="center"/>
              <w:rPr>
                <w:b/>
                <w:bCs/>
                <w:sz w:val="20"/>
                <w:szCs w:val="18"/>
                <w:lang w:eastAsia="zh-CN" w:bidi="hi-IN"/>
              </w:rPr>
            </w:pPr>
            <w:r w:rsidRPr="00400193">
              <w:rPr>
                <w:b/>
                <w:bCs/>
                <w:sz w:val="20"/>
                <w:szCs w:val="18"/>
                <w:lang w:eastAsia="zh-CN" w:bidi="hi-IN"/>
              </w:rPr>
              <w:t>Factor 3</w:t>
            </w:r>
          </w:p>
        </w:tc>
      </w:tr>
      <w:tr w:rsidR="00A0618E" w:rsidRPr="00400193" w14:paraId="585C01FC" w14:textId="77777777" w:rsidTr="0077263B">
        <w:trPr>
          <w:trHeight w:val="125"/>
        </w:trPr>
        <w:tc>
          <w:tcPr>
            <w:tcW w:w="4390"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0C4EE1AE" w14:textId="77777777" w:rsidR="006E3616" w:rsidRPr="00400193" w:rsidRDefault="006E3616" w:rsidP="003B5486">
            <w:pPr>
              <w:spacing w:line="240" w:lineRule="auto"/>
              <w:jc w:val="left"/>
              <w:rPr>
                <w:sz w:val="20"/>
                <w:szCs w:val="18"/>
                <w:lang w:eastAsia="zh-CN" w:bidi="hi-IN"/>
              </w:rPr>
            </w:pPr>
            <w:r w:rsidRPr="00400193">
              <w:rPr>
                <w:sz w:val="20"/>
                <w:szCs w:val="18"/>
                <w:lang w:eastAsia="zh-CN" w:bidi="hi-IN"/>
              </w:rPr>
              <w:t>Composite reliability</w:t>
            </w:r>
          </w:p>
        </w:tc>
        <w:tc>
          <w:tcPr>
            <w:tcW w:w="1542"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49348B08"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0.904</w:t>
            </w:r>
          </w:p>
        </w:tc>
        <w:tc>
          <w:tcPr>
            <w:tcW w:w="1542"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7FC67BEF"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0.825</w:t>
            </w:r>
          </w:p>
        </w:tc>
        <w:tc>
          <w:tcPr>
            <w:tcW w:w="1542"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7C8D6B58"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0.807</w:t>
            </w:r>
          </w:p>
        </w:tc>
      </w:tr>
      <w:tr w:rsidR="00A0618E" w:rsidRPr="00400193" w14:paraId="01F52894" w14:textId="77777777" w:rsidTr="0077263B">
        <w:trPr>
          <w:trHeight w:val="283"/>
        </w:trPr>
        <w:tc>
          <w:tcPr>
            <w:tcW w:w="43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CC4F37E" w14:textId="77777777" w:rsidR="006E3616" w:rsidRPr="00400193" w:rsidRDefault="006E3616" w:rsidP="003B5486">
            <w:pPr>
              <w:spacing w:line="240" w:lineRule="auto"/>
              <w:jc w:val="left"/>
              <w:rPr>
                <w:sz w:val="20"/>
                <w:szCs w:val="18"/>
                <w:lang w:eastAsia="zh-CN" w:bidi="hi-IN"/>
              </w:rPr>
            </w:pPr>
            <w:r w:rsidRPr="00400193">
              <w:rPr>
                <w:sz w:val="20"/>
                <w:szCs w:val="18"/>
                <w:lang w:eastAsia="zh-CN" w:bidi="hi-IN"/>
              </w:rPr>
              <w:t>Average variance extracted</w:t>
            </w: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BE058A"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0.489</w:t>
            </w: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E72DAA"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0.487</w:t>
            </w: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CFA4E1"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0.416</w:t>
            </w:r>
          </w:p>
        </w:tc>
      </w:tr>
      <w:tr w:rsidR="00A0618E" w:rsidRPr="00400193" w14:paraId="61EBDFB6" w14:textId="77777777" w:rsidTr="0077263B">
        <w:trPr>
          <w:trHeight w:val="283"/>
        </w:trPr>
        <w:tc>
          <w:tcPr>
            <w:tcW w:w="43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226B44" w14:textId="77777777" w:rsidR="006E3616" w:rsidRPr="00400193" w:rsidRDefault="006E3616" w:rsidP="003B5486">
            <w:pPr>
              <w:spacing w:line="240" w:lineRule="auto"/>
              <w:jc w:val="left"/>
              <w:rPr>
                <w:sz w:val="20"/>
                <w:szCs w:val="18"/>
                <w:lang w:eastAsia="zh-CN" w:bidi="hi-IN"/>
              </w:rPr>
            </w:pPr>
            <w:r w:rsidRPr="00400193">
              <w:rPr>
                <w:sz w:val="20"/>
                <w:szCs w:val="18"/>
                <w:lang w:eastAsia="zh-CN" w:bidi="hi-IN"/>
              </w:rPr>
              <w:t>Maximum shared variance</w:t>
            </w: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79DDB6"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0.686</w:t>
            </w: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3B369B" w14:textId="77777777" w:rsidR="006E3616" w:rsidRPr="00400193" w:rsidRDefault="006E3616" w:rsidP="003B5486">
            <w:pPr>
              <w:spacing w:line="240" w:lineRule="auto"/>
              <w:jc w:val="center"/>
              <w:rPr>
                <w:sz w:val="20"/>
                <w:szCs w:val="18"/>
                <w:lang w:eastAsia="zh-CN" w:bidi="hi-IN"/>
              </w:rPr>
            </w:pPr>
          </w:p>
        </w:tc>
        <w:tc>
          <w:tcPr>
            <w:tcW w:w="15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4AAA795" w14:textId="77777777" w:rsidR="006E3616" w:rsidRPr="00400193" w:rsidRDefault="006E3616" w:rsidP="003B5486">
            <w:pPr>
              <w:spacing w:line="240" w:lineRule="auto"/>
              <w:jc w:val="center"/>
              <w:rPr>
                <w:sz w:val="20"/>
                <w:szCs w:val="18"/>
                <w:lang w:eastAsia="zh-CN" w:bidi="hi-IN"/>
              </w:rPr>
            </w:pPr>
          </w:p>
        </w:tc>
      </w:tr>
      <w:tr w:rsidR="00A0618E" w:rsidRPr="00400193" w14:paraId="1C8D782E" w14:textId="77777777" w:rsidTr="0077263B">
        <w:trPr>
          <w:trHeight w:val="283"/>
        </w:trPr>
        <w:tc>
          <w:tcPr>
            <w:tcW w:w="4390"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0F22821" w14:textId="77777777" w:rsidR="006E3616" w:rsidRPr="00400193" w:rsidRDefault="006E3616" w:rsidP="003B5486">
            <w:pPr>
              <w:spacing w:line="240" w:lineRule="auto"/>
              <w:jc w:val="left"/>
              <w:rPr>
                <w:sz w:val="20"/>
                <w:szCs w:val="18"/>
                <w:lang w:eastAsia="zh-CN" w:bidi="hi-IN"/>
              </w:rPr>
            </w:pPr>
            <w:r w:rsidRPr="00400193">
              <w:rPr>
                <w:sz w:val="20"/>
                <w:szCs w:val="18"/>
                <w:lang w:eastAsia="zh-CN" w:bidi="hi-IN"/>
              </w:rPr>
              <w:t>Average shared variance</w:t>
            </w:r>
          </w:p>
        </w:tc>
        <w:tc>
          <w:tcPr>
            <w:tcW w:w="1542"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4FA39C0" w14:textId="77777777" w:rsidR="006E3616" w:rsidRPr="00400193" w:rsidRDefault="006E3616" w:rsidP="003B5486">
            <w:pPr>
              <w:spacing w:line="240" w:lineRule="auto"/>
              <w:jc w:val="center"/>
              <w:rPr>
                <w:sz w:val="20"/>
                <w:szCs w:val="18"/>
                <w:lang w:eastAsia="zh-CN" w:bidi="hi-IN"/>
              </w:rPr>
            </w:pPr>
            <w:r w:rsidRPr="00400193">
              <w:rPr>
                <w:sz w:val="20"/>
                <w:szCs w:val="18"/>
                <w:lang w:eastAsia="zh-CN" w:bidi="hi-IN"/>
              </w:rPr>
              <w:t>0.560</w:t>
            </w:r>
          </w:p>
        </w:tc>
        <w:tc>
          <w:tcPr>
            <w:tcW w:w="1542" w:type="dxa"/>
            <w:tcBorders>
              <w:top w:val="single" w:sz="4" w:space="0" w:color="FFFFFF" w:themeColor="background1"/>
              <w:left w:val="single" w:sz="4" w:space="0" w:color="FFFFFF" w:themeColor="background1"/>
              <w:right w:val="single" w:sz="4" w:space="0" w:color="FFFFFF" w:themeColor="background1"/>
            </w:tcBorders>
            <w:vAlign w:val="center"/>
          </w:tcPr>
          <w:p w14:paraId="1E866AB2" w14:textId="77777777" w:rsidR="006E3616" w:rsidRPr="00400193" w:rsidRDefault="006E3616" w:rsidP="003B5486">
            <w:pPr>
              <w:spacing w:line="240" w:lineRule="auto"/>
              <w:jc w:val="center"/>
              <w:rPr>
                <w:sz w:val="20"/>
                <w:szCs w:val="18"/>
                <w:lang w:eastAsia="zh-CN" w:bidi="hi-IN"/>
              </w:rPr>
            </w:pPr>
          </w:p>
        </w:tc>
        <w:tc>
          <w:tcPr>
            <w:tcW w:w="1542" w:type="dxa"/>
            <w:tcBorders>
              <w:top w:val="single" w:sz="4" w:space="0" w:color="FFFFFF" w:themeColor="background1"/>
              <w:left w:val="single" w:sz="4" w:space="0" w:color="FFFFFF" w:themeColor="background1"/>
              <w:right w:val="single" w:sz="4" w:space="0" w:color="FFFFFF" w:themeColor="background1"/>
            </w:tcBorders>
            <w:vAlign w:val="center"/>
          </w:tcPr>
          <w:p w14:paraId="25B7F061" w14:textId="77777777" w:rsidR="006E3616" w:rsidRPr="00400193" w:rsidRDefault="006E3616" w:rsidP="003B5486">
            <w:pPr>
              <w:keepNext/>
              <w:spacing w:line="240" w:lineRule="auto"/>
              <w:jc w:val="center"/>
              <w:rPr>
                <w:sz w:val="20"/>
                <w:szCs w:val="18"/>
                <w:lang w:eastAsia="zh-CN" w:bidi="hi-IN"/>
              </w:rPr>
            </w:pPr>
          </w:p>
        </w:tc>
      </w:tr>
    </w:tbl>
    <w:p w14:paraId="7A48465D" w14:textId="2C43684E" w:rsidR="006E3616" w:rsidRPr="00400193" w:rsidRDefault="006E3616" w:rsidP="00244F38">
      <w:pPr>
        <w:pStyle w:val="Caption"/>
        <w:spacing w:after="240"/>
        <w:rPr>
          <w:lang w:eastAsia="zh-CN" w:bidi="hi-IN"/>
        </w:rPr>
      </w:pPr>
      <w:bookmarkStart w:id="484" w:name="_Ref43252847"/>
      <w:bookmarkStart w:id="485" w:name="_Toc5290156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22</w:t>
      </w:r>
      <w:r w:rsidRPr="00400193">
        <w:fldChar w:fldCharType="end"/>
      </w:r>
      <w:bookmarkEnd w:id="484"/>
      <w:r w:rsidRPr="00400193">
        <w:t>: Average variance extracted (AVE), composite reliability (CR), maximum shared variance (MSV) and average shared variance (ASV) for ETCA</w:t>
      </w:r>
      <w:bookmarkEnd w:id="485"/>
    </w:p>
    <w:p w14:paraId="252CCEE4" w14:textId="77777777" w:rsidR="006E3616" w:rsidRPr="00400193" w:rsidRDefault="006E3616" w:rsidP="006E3616">
      <w:pPr>
        <w:pStyle w:val="Heading3"/>
        <w:rPr>
          <w:lang w:eastAsia="zh-CN" w:bidi="hi-IN"/>
        </w:rPr>
      </w:pPr>
      <w:bookmarkStart w:id="486" w:name="_Toc61894757"/>
      <w:r w:rsidRPr="00400193">
        <w:rPr>
          <w:lang w:eastAsia="zh-CN" w:bidi="hi-IN"/>
        </w:rPr>
        <w:lastRenderedPageBreak/>
        <w:t>Key Internal Threats - Lack of Awareness (KILA)</w:t>
      </w:r>
      <w:bookmarkEnd w:id="486"/>
    </w:p>
    <w:p w14:paraId="4309CE27" w14:textId="2B4F10A4" w:rsidR="006E3616" w:rsidRPr="00400193" w:rsidRDefault="006E3616" w:rsidP="001053AC">
      <w:pPr>
        <w:spacing w:before="240"/>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_Ref43252914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23</w:t>
      </w:r>
      <w:r w:rsidRPr="00400193">
        <w:rPr>
          <w:lang w:eastAsia="zh-CN" w:bidi="hi-IN"/>
        </w:rPr>
        <w:fldChar w:fldCharType="end"/>
      </w:r>
      <w:r w:rsidRPr="00400193">
        <w:rPr>
          <w:lang w:eastAsia="zh-CN" w:bidi="hi-IN"/>
        </w:rPr>
        <w:t xml:space="preserve">) explains the selection of two main components </w:t>
      </w:r>
      <w:r w:rsidR="001F0C59" w:rsidRPr="00400193">
        <w:rPr>
          <w:lang w:eastAsia="zh-CN" w:bidi="hi-IN"/>
        </w:rPr>
        <w:t xml:space="preserve">comprising </w:t>
      </w:r>
      <w:r w:rsidRPr="00400193">
        <w:rPr>
          <w:lang w:eastAsia="zh-CN" w:bidi="hi-IN"/>
        </w:rPr>
        <w:t xml:space="preserve">69.4% of the </w:t>
      </w:r>
      <w:r w:rsidR="00244F38" w:rsidRPr="00400193">
        <w:rPr>
          <w:lang w:eastAsia="zh-CN" w:bidi="hi-IN"/>
        </w:rPr>
        <w:t>variance and</w:t>
      </w:r>
      <w:r w:rsidRPr="00400193">
        <w:rPr>
          <w:lang w:eastAsia="zh-CN" w:bidi="hi-IN"/>
        </w:rPr>
        <w:t xml:space="preserve"> resulting in the loss of 30.6% of the original information from by the 25 initial variables. The cumulative percentage of variance explained by the first and second components was 37.9% and 69.4%, across 15.8 and 1.6 variables.</w:t>
      </w:r>
    </w:p>
    <w:p w14:paraId="76BCBEF1" w14:textId="77777777" w:rsidR="001053AC" w:rsidRPr="00400193" w:rsidRDefault="001053AC" w:rsidP="001053AC">
      <w:pPr>
        <w:spacing w:after="0" w:line="240" w:lineRule="auto"/>
        <w:rPr>
          <w:lang w:eastAsia="zh-CN" w:bidi="hi-IN"/>
        </w:rPr>
      </w:pPr>
    </w:p>
    <w:tbl>
      <w:tblPr>
        <w:tblStyle w:val="TableGrid"/>
        <w:tblW w:w="0" w:type="auto"/>
        <w:tblLayout w:type="fixed"/>
        <w:tblLook w:val="04A0" w:firstRow="1" w:lastRow="0" w:firstColumn="1" w:lastColumn="0" w:noHBand="0" w:noVBand="1"/>
      </w:tblPr>
      <w:tblGrid>
        <w:gridCol w:w="851"/>
        <w:gridCol w:w="142"/>
        <w:gridCol w:w="708"/>
        <w:gridCol w:w="851"/>
        <w:gridCol w:w="1134"/>
        <w:gridCol w:w="709"/>
        <w:gridCol w:w="850"/>
        <w:gridCol w:w="1134"/>
        <w:gridCol w:w="709"/>
        <w:gridCol w:w="850"/>
        <w:gridCol w:w="1088"/>
      </w:tblGrid>
      <w:tr w:rsidR="006E3616" w:rsidRPr="00400193" w14:paraId="7A9553EF" w14:textId="77777777" w:rsidTr="001053AC">
        <w:trPr>
          <w:cantSplit/>
          <w:trHeight w:val="737"/>
        </w:trPr>
        <w:tc>
          <w:tcPr>
            <w:tcW w:w="993" w:type="dxa"/>
            <w:gridSpan w:val="2"/>
            <w:vMerge w:val="restart"/>
            <w:tcBorders>
              <w:left w:val="nil"/>
              <w:right w:val="nil"/>
            </w:tcBorders>
            <w:textDirection w:val="btLr"/>
            <w:vAlign w:val="center"/>
          </w:tcPr>
          <w:p w14:paraId="6A369963" w14:textId="77777777" w:rsidR="006E3616" w:rsidRPr="00400193" w:rsidRDefault="006E3616" w:rsidP="001053AC">
            <w:pPr>
              <w:spacing w:line="240" w:lineRule="auto"/>
              <w:ind w:left="113" w:right="113"/>
              <w:jc w:val="left"/>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Component</w:t>
            </w:r>
          </w:p>
        </w:tc>
        <w:tc>
          <w:tcPr>
            <w:tcW w:w="2693" w:type="dxa"/>
            <w:gridSpan w:val="3"/>
            <w:tcBorders>
              <w:left w:val="nil"/>
              <w:bottom w:val="nil"/>
            </w:tcBorders>
            <w:vAlign w:val="center"/>
          </w:tcPr>
          <w:p w14:paraId="4BA76865"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Initial Eigenvalues</w:t>
            </w:r>
          </w:p>
        </w:tc>
        <w:tc>
          <w:tcPr>
            <w:tcW w:w="2693" w:type="dxa"/>
            <w:gridSpan w:val="3"/>
            <w:tcBorders>
              <w:top w:val="single" w:sz="4" w:space="0" w:color="auto"/>
              <w:left w:val="single" w:sz="8" w:space="0" w:color="E0E0E0"/>
              <w:bottom w:val="single" w:sz="4" w:space="0" w:color="auto"/>
              <w:right w:val="nil"/>
            </w:tcBorders>
            <w:shd w:val="clear" w:color="auto" w:fill="auto"/>
            <w:vAlign w:val="center"/>
          </w:tcPr>
          <w:p w14:paraId="705CC713"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Extraction Sums of Squared Loadings</w:t>
            </w:r>
          </w:p>
        </w:tc>
        <w:tc>
          <w:tcPr>
            <w:tcW w:w="2647" w:type="dxa"/>
            <w:gridSpan w:val="3"/>
            <w:tcBorders>
              <w:top w:val="single" w:sz="4" w:space="0" w:color="auto"/>
              <w:left w:val="single" w:sz="8" w:space="0" w:color="E0E0E0"/>
              <w:bottom w:val="single" w:sz="4" w:space="0" w:color="auto"/>
              <w:right w:val="nil"/>
            </w:tcBorders>
            <w:shd w:val="clear" w:color="auto" w:fill="auto"/>
            <w:vAlign w:val="center"/>
          </w:tcPr>
          <w:p w14:paraId="324E22AF"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Rotation Sums of Squared Loadings</w:t>
            </w:r>
          </w:p>
        </w:tc>
      </w:tr>
      <w:tr w:rsidR="006E3616" w:rsidRPr="00400193" w14:paraId="3F1B1B28" w14:textId="77777777" w:rsidTr="001053AC">
        <w:trPr>
          <w:trHeight w:val="283"/>
        </w:trPr>
        <w:tc>
          <w:tcPr>
            <w:tcW w:w="993" w:type="dxa"/>
            <w:gridSpan w:val="2"/>
            <w:vMerge/>
            <w:tcBorders>
              <w:left w:val="nil"/>
              <w:right w:val="nil"/>
            </w:tcBorders>
            <w:vAlign w:val="center"/>
          </w:tcPr>
          <w:p w14:paraId="4DC1F926" w14:textId="77777777" w:rsidR="006E3616" w:rsidRPr="00400193" w:rsidRDefault="006E3616" w:rsidP="003B5486">
            <w:pPr>
              <w:spacing w:line="240" w:lineRule="auto"/>
              <w:jc w:val="left"/>
              <w:rPr>
                <w:rFonts w:asciiTheme="minorHAnsi" w:hAnsiTheme="minorHAnsi" w:cstheme="minorHAnsi"/>
                <w:b/>
                <w:bCs/>
                <w:sz w:val="17"/>
                <w:szCs w:val="17"/>
                <w:lang w:eastAsia="zh-CN" w:bidi="hi-IN"/>
              </w:rPr>
            </w:pPr>
          </w:p>
        </w:tc>
        <w:tc>
          <w:tcPr>
            <w:tcW w:w="708" w:type="dxa"/>
            <w:tcBorders>
              <w:top w:val="single" w:sz="4" w:space="0" w:color="auto"/>
              <w:left w:val="nil"/>
              <w:bottom w:val="single" w:sz="4" w:space="0" w:color="auto"/>
              <w:right w:val="single" w:sz="8" w:space="0" w:color="E0E0E0"/>
            </w:tcBorders>
            <w:shd w:val="clear" w:color="auto" w:fill="auto"/>
            <w:vAlign w:val="center"/>
          </w:tcPr>
          <w:p w14:paraId="2580146D"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Total</w:t>
            </w:r>
          </w:p>
        </w:tc>
        <w:tc>
          <w:tcPr>
            <w:tcW w:w="851" w:type="dxa"/>
            <w:tcBorders>
              <w:top w:val="single" w:sz="4" w:space="0" w:color="auto"/>
              <w:left w:val="single" w:sz="8" w:space="0" w:color="E0E0E0"/>
              <w:bottom w:val="single" w:sz="4" w:space="0" w:color="auto"/>
              <w:right w:val="single" w:sz="8" w:space="0" w:color="E0E0E0"/>
            </w:tcBorders>
            <w:shd w:val="clear" w:color="auto" w:fill="auto"/>
            <w:vAlign w:val="center"/>
          </w:tcPr>
          <w:p w14:paraId="3D9C6979"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 of Variance</w:t>
            </w:r>
          </w:p>
        </w:tc>
        <w:tc>
          <w:tcPr>
            <w:tcW w:w="1134" w:type="dxa"/>
            <w:tcBorders>
              <w:top w:val="single" w:sz="4" w:space="0" w:color="auto"/>
              <w:left w:val="single" w:sz="8" w:space="0" w:color="E0E0E0"/>
              <w:bottom w:val="single" w:sz="4" w:space="0" w:color="auto"/>
              <w:right w:val="nil"/>
            </w:tcBorders>
            <w:shd w:val="clear" w:color="auto" w:fill="auto"/>
            <w:vAlign w:val="center"/>
          </w:tcPr>
          <w:p w14:paraId="34871290" w14:textId="79965585"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 xml:space="preserve">Cumulative </w:t>
            </w:r>
            <w:r w:rsidR="001053AC" w:rsidRPr="00400193">
              <w:rPr>
                <w:rFonts w:asciiTheme="minorHAnsi" w:hAnsiTheme="minorHAnsi" w:cstheme="minorHAnsi"/>
                <w:b/>
                <w:bCs/>
                <w:sz w:val="17"/>
                <w:szCs w:val="17"/>
                <w:lang w:eastAsia="zh-CN" w:bidi="hi-IN"/>
              </w:rPr>
              <w:t xml:space="preserve"> </w:t>
            </w:r>
            <w:r w:rsidRPr="00400193">
              <w:rPr>
                <w:rFonts w:asciiTheme="minorHAnsi" w:hAnsiTheme="minorHAnsi" w:cstheme="minorHAnsi"/>
                <w:b/>
                <w:bCs/>
                <w:sz w:val="17"/>
                <w:szCs w:val="17"/>
                <w:lang w:eastAsia="zh-CN" w:bidi="hi-IN"/>
              </w:rPr>
              <w:t>%</w:t>
            </w:r>
          </w:p>
        </w:tc>
        <w:tc>
          <w:tcPr>
            <w:tcW w:w="709" w:type="dxa"/>
            <w:tcBorders>
              <w:top w:val="single" w:sz="4" w:space="0" w:color="auto"/>
              <w:left w:val="single" w:sz="8" w:space="0" w:color="E0E0E0"/>
              <w:bottom w:val="single" w:sz="4" w:space="0" w:color="auto"/>
              <w:right w:val="single" w:sz="8" w:space="0" w:color="E0E0E0"/>
            </w:tcBorders>
            <w:shd w:val="clear" w:color="auto" w:fill="auto"/>
            <w:vAlign w:val="center"/>
          </w:tcPr>
          <w:p w14:paraId="3CDFDC5B"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Total</w:t>
            </w:r>
          </w:p>
        </w:tc>
        <w:tc>
          <w:tcPr>
            <w:tcW w:w="850" w:type="dxa"/>
            <w:tcBorders>
              <w:top w:val="single" w:sz="4" w:space="0" w:color="auto"/>
              <w:left w:val="single" w:sz="8" w:space="0" w:color="E0E0E0"/>
              <w:bottom w:val="single" w:sz="4" w:space="0" w:color="auto"/>
              <w:right w:val="single" w:sz="8" w:space="0" w:color="E0E0E0"/>
            </w:tcBorders>
            <w:shd w:val="clear" w:color="auto" w:fill="auto"/>
            <w:vAlign w:val="center"/>
          </w:tcPr>
          <w:p w14:paraId="731551D1"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 of Variance</w:t>
            </w:r>
          </w:p>
        </w:tc>
        <w:tc>
          <w:tcPr>
            <w:tcW w:w="1134" w:type="dxa"/>
            <w:tcBorders>
              <w:top w:val="single" w:sz="4" w:space="0" w:color="auto"/>
              <w:left w:val="single" w:sz="8" w:space="0" w:color="E0E0E0"/>
              <w:bottom w:val="single" w:sz="4" w:space="0" w:color="auto"/>
              <w:right w:val="nil"/>
            </w:tcBorders>
            <w:shd w:val="clear" w:color="auto" w:fill="auto"/>
            <w:vAlign w:val="center"/>
          </w:tcPr>
          <w:p w14:paraId="13F0B910"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Cumulative %</w:t>
            </w:r>
          </w:p>
        </w:tc>
        <w:tc>
          <w:tcPr>
            <w:tcW w:w="709" w:type="dxa"/>
            <w:tcBorders>
              <w:top w:val="single" w:sz="4" w:space="0" w:color="auto"/>
              <w:left w:val="single" w:sz="8" w:space="0" w:color="E0E0E0"/>
              <w:bottom w:val="single" w:sz="4" w:space="0" w:color="auto"/>
              <w:right w:val="single" w:sz="8" w:space="0" w:color="E0E0E0"/>
            </w:tcBorders>
            <w:shd w:val="clear" w:color="auto" w:fill="auto"/>
            <w:vAlign w:val="center"/>
          </w:tcPr>
          <w:p w14:paraId="14F8514A"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Total</w:t>
            </w:r>
          </w:p>
        </w:tc>
        <w:tc>
          <w:tcPr>
            <w:tcW w:w="850" w:type="dxa"/>
            <w:tcBorders>
              <w:top w:val="single" w:sz="4" w:space="0" w:color="auto"/>
              <w:left w:val="single" w:sz="8" w:space="0" w:color="E0E0E0"/>
              <w:bottom w:val="single" w:sz="4" w:space="0" w:color="auto"/>
              <w:right w:val="single" w:sz="8" w:space="0" w:color="E0E0E0"/>
            </w:tcBorders>
            <w:shd w:val="clear" w:color="auto" w:fill="auto"/>
            <w:vAlign w:val="center"/>
          </w:tcPr>
          <w:p w14:paraId="15533962"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 of Variance</w:t>
            </w:r>
          </w:p>
        </w:tc>
        <w:tc>
          <w:tcPr>
            <w:tcW w:w="1088" w:type="dxa"/>
            <w:tcBorders>
              <w:top w:val="single" w:sz="4" w:space="0" w:color="auto"/>
              <w:left w:val="single" w:sz="8" w:space="0" w:color="E0E0E0"/>
              <w:bottom w:val="single" w:sz="4" w:space="0" w:color="auto"/>
              <w:right w:val="nil"/>
            </w:tcBorders>
            <w:shd w:val="clear" w:color="auto" w:fill="auto"/>
            <w:vAlign w:val="center"/>
          </w:tcPr>
          <w:p w14:paraId="34CD329A" w14:textId="77777777" w:rsidR="006E3616" w:rsidRPr="00400193" w:rsidRDefault="006E3616" w:rsidP="003B5486">
            <w:pPr>
              <w:spacing w:line="240" w:lineRule="auto"/>
              <w:jc w:val="center"/>
              <w:rPr>
                <w:rFonts w:asciiTheme="minorHAnsi" w:hAnsiTheme="minorHAnsi" w:cstheme="minorHAnsi"/>
                <w:b/>
                <w:bCs/>
                <w:sz w:val="17"/>
                <w:szCs w:val="17"/>
                <w:lang w:eastAsia="zh-CN" w:bidi="hi-IN"/>
              </w:rPr>
            </w:pPr>
            <w:r w:rsidRPr="00400193">
              <w:rPr>
                <w:rFonts w:asciiTheme="minorHAnsi" w:hAnsiTheme="minorHAnsi" w:cstheme="minorHAnsi"/>
                <w:b/>
                <w:bCs/>
                <w:sz w:val="17"/>
                <w:szCs w:val="17"/>
                <w:lang w:eastAsia="zh-CN" w:bidi="hi-IN"/>
              </w:rPr>
              <w:t>Cumulative %</w:t>
            </w:r>
          </w:p>
        </w:tc>
      </w:tr>
      <w:tr w:rsidR="006E3616" w:rsidRPr="00400193" w14:paraId="34097702" w14:textId="77777777" w:rsidTr="001053AC">
        <w:trPr>
          <w:trHeight w:val="283"/>
        </w:trPr>
        <w:tc>
          <w:tcPr>
            <w:tcW w:w="851" w:type="dxa"/>
            <w:tcBorders>
              <w:top w:val="single" w:sz="4" w:space="0" w:color="auto"/>
              <w:left w:val="nil"/>
              <w:bottom w:val="single" w:sz="8" w:space="0" w:color="AEAEAE"/>
              <w:right w:val="nil"/>
            </w:tcBorders>
            <w:shd w:val="clear" w:color="auto" w:fill="auto"/>
            <w:vAlign w:val="center"/>
          </w:tcPr>
          <w:p w14:paraId="0DEDA5E0" w14:textId="77777777" w:rsidR="006E3616" w:rsidRPr="00400193" w:rsidRDefault="006E3616" w:rsidP="001053AC">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1</w:t>
            </w:r>
          </w:p>
        </w:tc>
        <w:tc>
          <w:tcPr>
            <w:tcW w:w="850" w:type="dxa"/>
            <w:gridSpan w:val="2"/>
            <w:tcBorders>
              <w:top w:val="single" w:sz="4" w:space="0" w:color="auto"/>
              <w:left w:val="nil"/>
              <w:bottom w:val="single" w:sz="8" w:space="0" w:color="AEAEAE"/>
              <w:right w:val="single" w:sz="8" w:space="0" w:color="E0E0E0"/>
            </w:tcBorders>
            <w:shd w:val="clear" w:color="auto" w:fill="auto"/>
            <w:vAlign w:val="center"/>
          </w:tcPr>
          <w:p w14:paraId="71013BC4"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15.769</w:t>
            </w:r>
          </w:p>
        </w:tc>
        <w:tc>
          <w:tcPr>
            <w:tcW w:w="851" w:type="dxa"/>
            <w:tcBorders>
              <w:top w:val="single" w:sz="4" w:space="0" w:color="auto"/>
              <w:left w:val="single" w:sz="8" w:space="0" w:color="E0E0E0"/>
              <w:bottom w:val="single" w:sz="8" w:space="0" w:color="AEAEAE"/>
              <w:right w:val="single" w:sz="8" w:space="0" w:color="E0E0E0"/>
            </w:tcBorders>
            <w:shd w:val="clear" w:color="auto" w:fill="auto"/>
            <w:vAlign w:val="center"/>
          </w:tcPr>
          <w:p w14:paraId="575ED3A6"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63.076</w:t>
            </w:r>
          </w:p>
        </w:tc>
        <w:tc>
          <w:tcPr>
            <w:tcW w:w="1134" w:type="dxa"/>
            <w:tcBorders>
              <w:top w:val="single" w:sz="4" w:space="0" w:color="auto"/>
              <w:left w:val="single" w:sz="8" w:space="0" w:color="E0E0E0"/>
              <w:bottom w:val="single" w:sz="8" w:space="0" w:color="AEAEAE"/>
              <w:right w:val="nil"/>
            </w:tcBorders>
            <w:shd w:val="clear" w:color="auto" w:fill="auto"/>
            <w:vAlign w:val="center"/>
          </w:tcPr>
          <w:p w14:paraId="6BEA747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63.076</w:t>
            </w:r>
          </w:p>
        </w:tc>
        <w:tc>
          <w:tcPr>
            <w:tcW w:w="709" w:type="dxa"/>
            <w:tcBorders>
              <w:top w:val="single" w:sz="4" w:space="0" w:color="auto"/>
              <w:left w:val="single" w:sz="8" w:space="0" w:color="E0E0E0"/>
              <w:bottom w:val="single" w:sz="8" w:space="0" w:color="AEAEAE"/>
              <w:right w:val="single" w:sz="8" w:space="0" w:color="E0E0E0"/>
            </w:tcBorders>
            <w:shd w:val="clear" w:color="auto" w:fill="auto"/>
            <w:vAlign w:val="center"/>
          </w:tcPr>
          <w:p w14:paraId="1C8338C0"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15.769</w:t>
            </w:r>
          </w:p>
        </w:tc>
        <w:tc>
          <w:tcPr>
            <w:tcW w:w="850" w:type="dxa"/>
            <w:tcBorders>
              <w:top w:val="single" w:sz="4" w:space="0" w:color="auto"/>
              <w:left w:val="single" w:sz="8" w:space="0" w:color="E0E0E0"/>
              <w:bottom w:val="single" w:sz="8" w:space="0" w:color="AEAEAE"/>
              <w:right w:val="single" w:sz="8" w:space="0" w:color="E0E0E0"/>
            </w:tcBorders>
            <w:shd w:val="clear" w:color="auto" w:fill="auto"/>
            <w:vAlign w:val="center"/>
          </w:tcPr>
          <w:p w14:paraId="7124DBB7"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63.076</w:t>
            </w:r>
          </w:p>
        </w:tc>
        <w:tc>
          <w:tcPr>
            <w:tcW w:w="1134" w:type="dxa"/>
            <w:tcBorders>
              <w:top w:val="single" w:sz="4" w:space="0" w:color="auto"/>
              <w:left w:val="single" w:sz="8" w:space="0" w:color="E0E0E0"/>
              <w:bottom w:val="single" w:sz="8" w:space="0" w:color="AEAEAE"/>
              <w:right w:val="nil"/>
            </w:tcBorders>
            <w:shd w:val="clear" w:color="auto" w:fill="auto"/>
            <w:vAlign w:val="center"/>
          </w:tcPr>
          <w:p w14:paraId="2E0DDDA3"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63.076</w:t>
            </w:r>
          </w:p>
        </w:tc>
        <w:tc>
          <w:tcPr>
            <w:tcW w:w="709" w:type="dxa"/>
            <w:tcBorders>
              <w:top w:val="single" w:sz="4" w:space="0" w:color="auto"/>
              <w:left w:val="single" w:sz="8" w:space="0" w:color="E0E0E0"/>
              <w:bottom w:val="single" w:sz="8" w:space="0" w:color="AEAEAE"/>
              <w:right w:val="single" w:sz="8" w:space="0" w:color="E0E0E0"/>
            </w:tcBorders>
            <w:shd w:val="clear" w:color="auto" w:fill="auto"/>
            <w:vAlign w:val="center"/>
          </w:tcPr>
          <w:p w14:paraId="64FC8E41"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9.482</w:t>
            </w:r>
          </w:p>
        </w:tc>
        <w:tc>
          <w:tcPr>
            <w:tcW w:w="850" w:type="dxa"/>
            <w:tcBorders>
              <w:top w:val="single" w:sz="4" w:space="0" w:color="auto"/>
              <w:left w:val="single" w:sz="8" w:space="0" w:color="E0E0E0"/>
              <w:bottom w:val="single" w:sz="8" w:space="0" w:color="AEAEAE"/>
              <w:right w:val="single" w:sz="8" w:space="0" w:color="E0E0E0"/>
            </w:tcBorders>
            <w:shd w:val="clear" w:color="auto" w:fill="auto"/>
            <w:vAlign w:val="center"/>
          </w:tcPr>
          <w:p w14:paraId="47EA3DDD"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37.927</w:t>
            </w:r>
          </w:p>
        </w:tc>
        <w:tc>
          <w:tcPr>
            <w:tcW w:w="1088" w:type="dxa"/>
            <w:tcBorders>
              <w:top w:val="single" w:sz="4" w:space="0" w:color="auto"/>
              <w:left w:val="single" w:sz="8" w:space="0" w:color="E0E0E0"/>
              <w:bottom w:val="single" w:sz="8" w:space="0" w:color="AEAEAE"/>
              <w:right w:val="nil"/>
            </w:tcBorders>
            <w:shd w:val="clear" w:color="auto" w:fill="auto"/>
            <w:vAlign w:val="center"/>
          </w:tcPr>
          <w:p w14:paraId="0054107F"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37.927</w:t>
            </w:r>
          </w:p>
        </w:tc>
      </w:tr>
      <w:tr w:rsidR="006E3616" w:rsidRPr="00400193" w14:paraId="657870D5" w14:textId="77777777" w:rsidTr="001053AC">
        <w:trPr>
          <w:trHeight w:val="283"/>
        </w:trPr>
        <w:tc>
          <w:tcPr>
            <w:tcW w:w="851" w:type="dxa"/>
            <w:tcBorders>
              <w:top w:val="single" w:sz="8" w:space="0" w:color="AEAEAE"/>
              <w:left w:val="nil"/>
              <w:bottom w:val="single" w:sz="8" w:space="0" w:color="AEAEAE"/>
              <w:right w:val="nil"/>
            </w:tcBorders>
            <w:shd w:val="clear" w:color="auto" w:fill="auto"/>
            <w:vAlign w:val="center"/>
          </w:tcPr>
          <w:p w14:paraId="6A275B45" w14:textId="77777777" w:rsidR="006E3616" w:rsidRPr="00400193" w:rsidRDefault="006E3616" w:rsidP="001053AC">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2</w:t>
            </w:r>
          </w:p>
        </w:tc>
        <w:tc>
          <w:tcPr>
            <w:tcW w:w="850" w:type="dxa"/>
            <w:gridSpan w:val="2"/>
            <w:tcBorders>
              <w:top w:val="single" w:sz="8" w:space="0" w:color="AEAEAE"/>
              <w:left w:val="nil"/>
              <w:bottom w:val="single" w:sz="8" w:space="0" w:color="AEAEAE"/>
              <w:right w:val="single" w:sz="8" w:space="0" w:color="E0E0E0"/>
            </w:tcBorders>
            <w:shd w:val="clear" w:color="auto" w:fill="auto"/>
            <w:vAlign w:val="center"/>
          </w:tcPr>
          <w:p w14:paraId="02E5629A"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1.569</w:t>
            </w:r>
          </w:p>
        </w:tc>
        <w:tc>
          <w:tcPr>
            <w:tcW w:w="851"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5045D14"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6.276</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0373856A"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69.352</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1D1E005"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1.569</w:t>
            </w:r>
          </w:p>
        </w:tc>
        <w:tc>
          <w:tcPr>
            <w:tcW w:w="850"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B8BCF3E"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6.276</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6D9A7CE7"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69.352</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AB692BE"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7.856</w:t>
            </w:r>
          </w:p>
        </w:tc>
        <w:tc>
          <w:tcPr>
            <w:tcW w:w="850" w:type="dxa"/>
            <w:tcBorders>
              <w:top w:val="single" w:sz="8" w:space="0" w:color="AEAEAE"/>
              <w:left w:val="single" w:sz="8" w:space="0" w:color="E0E0E0"/>
              <w:bottom w:val="single" w:sz="8" w:space="0" w:color="AEAEAE"/>
              <w:right w:val="single" w:sz="8" w:space="0" w:color="E0E0E0"/>
            </w:tcBorders>
            <w:shd w:val="clear" w:color="auto" w:fill="auto"/>
            <w:vAlign w:val="center"/>
          </w:tcPr>
          <w:p w14:paraId="2928615C"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31.425</w:t>
            </w:r>
          </w:p>
        </w:tc>
        <w:tc>
          <w:tcPr>
            <w:tcW w:w="1088" w:type="dxa"/>
            <w:tcBorders>
              <w:top w:val="single" w:sz="8" w:space="0" w:color="AEAEAE"/>
              <w:left w:val="single" w:sz="8" w:space="0" w:color="E0E0E0"/>
              <w:bottom w:val="single" w:sz="8" w:space="0" w:color="AEAEAE"/>
              <w:right w:val="nil"/>
            </w:tcBorders>
            <w:shd w:val="clear" w:color="auto" w:fill="auto"/>
            <w:vAlign w:val="center"/>
          </w:tcPr>
          <w:p w14:paraId="0D2BD433"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69.352</w:t>
            </w:r>
          </w:p>
        </w:tc>
      </w:tr>
      <w:tr w:rsidR="006E3616" w:rsidRPr="00400193" w14:paraId="38885A96" w14:textId="77777777" w:rsidTr="001053AC">
        <w:trPr>
          <w:trHeight w:val="283"/>
        </w:trPr>
        <w:tc>
          <w:tcPr>
            <w:tcW w:w="851" w:type="dxa"/>
            <w:tcBorders>
              <w:top w:val="single" w:sz="8" w:space="0" w:color="AEAEAE"/>
              <w:left w:val="nil"/>
              <w:bottom w:val="single" w:sz="8" w:space="0" w:color="AEAEAE"/>
              <w:right w:val="nil"/>
            </w:tcBorders>
            <w:shd w:val="clear" w:color="auto" w:fill="auto"/>
            <w:vAlign w:val="center"/>
          </w:tcPr>
          <w:p w14:paraId="588D8015" w14:textId="77777777" w:rsidR="006E3616" w:rsidRPr="00400193" w:rsidRDefault="006E3616" w:rsidP="001053AC">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3</w:t>
            </w:r>
          </w:p>
        </w:tc>
        <w:tc>
          <w:tcPr>
            <w:tcW w:w="850" w:type="dxa"/>
            <w:gridSpan w:val="2"/>
            <w:tcBorders>
              <w:top w:val="single" w:sz="8" w:space="0" w:color="AEAEAE"/>
              <w:left w:val="nil"/>
              <w:bottom w:val="single" w:sz="8" w:space="0" w:color="AEAEAE"/>
              <w:right w:val="single" w:sz="8" w:space="0" w:color="E0E0E0"/>
            </w:tcBorders>
            <w:shd w:val="clear" w:color="auto" w:fill="auto"/>
            <w:vAlign w:val="center"/>
          </w:tcPr>
          <w:p w14:paraId="47778443"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0.996</w:t>
            </w:r>
          </w:p>
        </w:tc>
        <w:tc>
          <w:tcPr>
            <w:tcW w:w="851"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F19E7FD"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3.986</w:t>
            </w: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2FE5B31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sz w:val="18"/>
                <w:szCs w:val="18"/>
                <w:lang w:eastAsia="zh-CN" w:bidi="hi-IN"/>
              </w:rPr>
              <w:t>73.338</w:t>
            </w: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A1485EC"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850" w:type="dxa"/>
            <w:tcBorders>
              <w:top w:val="single" w:sz="8" w:space="0" w:color="AEAEAE"/>
              <w:left w:val="single" w:sz="8" w:space="0" w:color="E0E0E0"/>
              <w:bottom w:val="single" w:sz="8" w:space="0" w:color="AEAEAE"/>
              <w:right w:val="single" w:sz="8" w:space="0" w:color="E0E0E0"/>
            </w:tcBorders>
            <w:shd w:val="clear" w:color="auto" w:fill="auto"/>
            <w:vAlign w:val="center"/>
          </w:tcPr>
          <w:p w14:paraId="20627F4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1134" w:type="dxa"/>
            <w:tcBorders>
              <w:top w:val="single" w:sz="8" w:space="0" w:color="AEAEAE"/>
              <w:left w:val="single" w:sz="8" w:space="0" w:color="E0E0E0"/>
              <w:bottom w:val="single" w:sz="8" w:space="0" w:color="AEAEAE"/>
              <w:right w:val="nil"/>
            </w:tcBorders>
            <w:shd w:val="clear" w:color="auto" w:fill="auto"/>
            <w:vAlign w:val="center"/>
          </w:tcPr>
          <w:p w14:paraId="7DB9D11B"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70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C9804D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850"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EFEE567"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1088" w:type="dxa"/>
            <w:tcBorders>
              <w:top w:val="single" w:sz="8" w:space="0" w:color="AEAEAE"/>
              <w:left w:val="single" w:sz="8" w:space="0" w:color="E0E0E0"/>
              <w:bottom w:val="single" w:sz="8" w:space="0" w:color="AEAEAE"/>
              <w:right w:val="nil"/>
            </w:tcBorders>
            <w:shd w:val="clear" w:color="auto" w:fill="auto"/>
            <w:vAlign w:val="center"/>
          </w:tcPr>
          <w:p w14:paraId="23B381D4"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r>
      <w:tr w:rsidR="006E3616" w:rsidRPr="00400193" w14:paraId="69B3D35E" w14:textId="77777777" w:rsidTr="0077263B">
        <w:trPr>
          <w:trHeight w:val="283"/>
        </w:trPr>
        <w:tc>
          <w:tcPr>
            <w:tcW w:w="9026" w:type="dxa"/>
            <w:gridSpan w:val="11"/>
            <w:tcBorders>
              <w:top w:val="single" w:sz="8" w:space="0" w:color="AEAEAE"/>
              <w:left w:val="nil"/>
              <w:bottom w:val="single" w:sz="8" w:space="0" w:color="AEAEAE"/>
              <w:right w:val="single" w:sz="8" w:space="0" w:color="E0E0E0"/>
            </w:tcBorders>
            <w:shd w:val="clear" w:color="auto" w:fill="auto"/>
            <w:vAlign w:val="center"/>
          </w:tcPr>
          <w:p w14:paraId="62080BA6" w14:textId="77777777" w:rsidR="006E3616" w:rsidRPr="00400193" w:rsidRDefault="006E3616" w:rsidP="003B5486">
            <w:pPr>
              <w:keepNext/>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Extraction Method: Principal Component Analysis</w:t>
            </w:r>
          </w:p>
        </w:tc>
      </w:tr>
    </w:tbl>
    <w:p w14:paraId="776C2136" w14:textId="19176132" w:rsidR="001053AC" w:rsidRPr="00400193" w:rsidRDefault="006E3616" w:rsidP="001053AC">
      <w:pPr>
        <w:pStyle w:val="Caption"/>
        <w:spacing w:after="240"/>
      </w:pPr>
      <w:bookmarkStart w:id="487" w:name="_Ref43252914"/>
      <w:bookmarkStart w:id="488" w:name="_Toc5290156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23</w:t>
      </w:r>
      <w:r w:rsidRPr="00400193">
        <w:fldChar w:fldCharType="end"/>
      </w:r>
      <w:bookmarkEnd w:id="487"/>
      <w:r w:rsidRPr="00400193">
        <w:t>: Total variance explained by the components of KILA</w:t>
      </w:r>
      <w:bookmarkEnd w:id="488"/>
    </w:p>
    <w:p w14:paraId="75E632FB" w14:textId="77777777" w:rsidR="001053AC" w:rsidRPr="00400193" w:rsidRDefault="001053AC" w:rsidP="001053AC">
      <w:pPr>
        <w:spacing w:after="0" w:line="240" w:lineRule="auto"/>
        <w:rPr>
          <w:lang w:eastAsia="zh-CN" w:bidi="hi-IN"/>
        </w:rPr>
      </w:pPr>
    </w:p>
    <w:p w14:paraId="238101A9" w14:textId="5561DC97" w:rsidR="006E3616" w:rsidRPr="00400193" w:rsidRDefault="0047063F" w:rsidP="001053AC">
      <w:pPr>
        <w:spacing w:before="240"/>
        <w:rPr>
          <w:lang w:eastAsia="zh-CN" w:bidi="hi-IN"/>
        </w:rPr>
      </w:pPr>
      <w:r w:rsidRPr="00400193">
        <w:rPr>
          <w:lang w:eastAsia="zh-CN" w:bidi="hi-IN"/>
        </w:rPr>
        <w:t>T</w:t>
      </w:r>
      <w:r w:rsidR="006E3616" w:rsidRPr="00400193">
        <w:rPr>
          <w:lang w:eastAsia="zh-CN" w:bidi="hi-IN"/>
        </w:rPr>
        <w:t>he KMO value of 0.931 obtained was within the range for factor analysis (0.5–1.0). Bartlett’s test of sphericity gave a Chi-square value of 2670.4, with 300 degrees of freedom and was significant at ≤0.001 (</w:t>
      </w:r>
      <w:r w:rsidR="006E3616" w:rsidRPr="00400193">
        <w:rPr>
          <w:lang w:eastAsia="zh-CN" w:bidi="hi-IN"/>
        </w:rPr>
        <w:fldChar w:fldCharType="begin"/>
      </w:r>
      <w:r w:rsidR="006E3616" w:rsidRPr="00400193">
        <w:rPr>
          <w:lang w:eastAsia="zh-CN" w:bidi="hi-IN"/>
        </w:rPr>
        <w:instrText xml:space="preserve"> REF _Ref43252996 \h </w:instrText>
      </w:r>
      <w:r w:rsidR="006E3616" w:rsidRPr="00400193">
        <w:rPr>
          <w:lang w:eastAsia="zh-CN" w:bidi="hi-IN"/>
        </w:rPr>
      </w:r>
      <w:r w:rsidR="006E36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24</w:t>
      </w:r>
      <w:r w:rsidR="006E3616" w:rsidRPr="00400193">
        <w:rPr>
          <w:lang w:eastAsia="zh-CN" w:bidi="hi-IN"/>
        </w:rPr>
        <w:fldChar w:fldCharType="end"/>
      </w:r>
      <w:r w:rsidR="006E3616" w:rsidRPr="00400193">
        <w:rPr>
          <w:lang w:eastAsia="zh-CN" w:bidi="hi-IN"/>
        </w:rPr>
        <w:t>). The data were therefore suitable for factor analysis.</w:t>
      </w:r>
    </w:p>
    <w:p w14:paraId="5C0E3A6F" w14:textId="77777777" w:rsidR="0047063F" w:rsidRPr="00400193" w:rsidRDefault="0047063F" w:rsidP="0047063F">
      <w:pPr>
        <w:spacing w:after="0" w:line="240" w:lineRule="auto"/>
        <w:rPr>
          <w:lang w:eastAsia="zh-CN" w:bidi="hi-IN"/>
        </w:rPr>
      </w:pPr>
    </w:p>
    <w:tbl>
      <w:tblPr>
        <w:tblStyle w:val="TableGrid"/>
        <w:tblW w:w="0" w:type="auto"/>
        <w:tblInd w:w="5" w:type="dxa"/>
        <w:tblLook w:val="04A0" w:firstRow="1" w:lastRow="0" w:firstColumn="1" w:lastColumn="0" w:noHBand="0" w:noVBand="1"/>
      </w:tblPr>
      <w:tblGrid>
        <w:gridCol w:w="4531"/>
        <w:gridCol w:w="2694"/>
        <w:gridCol w:w="1791"/>
      </w:tblGrid>
      <w:tr w:rsidR="00A0618E" w:rsidRPr="00400193" w14:paraId="6CAB0183" w14:textId="77777777" w:rsidTr="001053AC">
        <w:trPr>
          <w:trHeight w:val="283"/>
        </w:trPr>
        <w:tc>
          <w:tcPr>
            <w:tcW w:w="7225" w:type="dxa"/>
            <w:gridSpan w:val="2"/>
            <w:tcBorders>
              <w:top w:val="single" w:sz="4" w:space="0" w:color="auto"/>
              <w:left w:val="nil"/>
              <w:bottom w:val="single" w:sz="4" w:space="0" w:color="auto"/>
              <w:right w:val="nil"/>
            </w:tcBorders>
            <w:shd w:val="clear" w:color="auto" w:fill="auto"/>
            <w:vAlign w:val="center"/>
          </w:tcPr>
          <w:p w14:paraId="2729684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Kaiser–Meyer–Olkin Measure of Sampling Adequacy</w:t>
            </w:r>
          </w:p>
        </w:tc>
        <w:tc>
          <w:tcPr>
            <w:tcW w:w="1791" w:type="dxa"/>
            <w:tcBorders>
              <w:top w:val="single" w:sz="4" w:space="0" w:color="auto"/>
              <w:left w:val="nil"/>
              <w:bottom w:val="single" w:sz="4" w:space="0" w:color="auto"/>
              <w:right w:val="nil"/>
            </w:tcBorders>
            <w:shd w:val="clear" w:color="auto" w:fill="auto"/>
            <w:vAlign w:val="center"/>
          </w:tcPr>
          <w:p w14:paraId="7A92CC0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0.931</w:t>
            </w:r>
          </w:p>
        </w:tc>
      </w:tr>
      <w:tr w:rsidR="00A0618E" w:rsidRPr="00400193" w14:paraId="02EF8BE7" w14:textId="77777777" w:rsidTr="001053AC">
        <w:trPr>
          <w:trHeight w:val="283"/>
        </w:trPr>
        <w:tc>
          <w:tcPr>
            <w:tcW w:w="4531" w:type="dxa"/>
            <w:vMerge w:val="restart"/>
            <w:tcBorders>
              <w:left w:val="single" w:sz="4" w:space="0" w:color="FFFFFF" w:themeColor="background1"/>
              <w:right w:val="single" w:sz="4" w:space="0" w:color="FFFFFF" w:themeColor="background1"/>
            </w:tcBorders>
            <w:vAlign w:val="center"/>
          </w:tcPr>
          <w:p w14:paraId="7765E2E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Bartlett's Test of Sphericity</w:t>
            </w:r>
          </w:p>
        </w:tc>
        <w:tc>
          <w:tcPr>
            <w:tcW w:w="2694" w:type="dxa"/>
            <w:tcBorders>
              <w:top w:val="single" w:sz="4" w:space="0" w:color="auto"/>
              <w:left w:val="single" w:sz="4" w:space="0" w:color="FFFFFF" w:themeColor="background1"/>
              <w:bottom w:val="single" w:sz="8" w:space="0" w:color="AEAEAE"/>
              <w:right w:val="nil"/>
            </w:tcBorders>
            <w:shd w:val="clear" w:color="auto" w:fill="auto"/>
            <w:vAlign w:val="center"/>
          </w:tcPr>
          <w:p w14:paraId="1ABF339B" w14:textId="77777777" w:rsidR="006E3616" w:rsidRPr="00400193" w:rsidRDefault="006E3616" w:rsidP="003B5486">
            <w:pPr>
              <w:spacing w:line="240" w:lineRule="auto"/>
              <w:jc w:val="right"/>
              <w:rPr>
                <w:rFonts w:asciiTheme="minorHAnsi" w:hAnsiTheme="minorHAnsi" w:cstheme="minorHAnsi"/>
                <w:sz w:val="20"/>
                <w:lang w:eastAsia="zh-CN" w:bidi="hi-IN"/>
              </w:rPr>
            </w:pPr>
            <w:r w:rsidRPr="00400193">
              <w:rPr>
                <w:rFonts w:asciiTheme="minorHAnsi" w:hAnsiTheme="minorHAnsi" w:cstheme="minorHAnsi"/>
                <w:sz w:val="20"/>
                <w:lang w:eastAsia="zh-CN" w:bidi="hi-IN"/>
              </w:rPr>
              <w:t>Approximation Chi-Square:</w:t>
            </w:r>
          </w:p>
        </w:tc>
        <w:tc>
          <w:tcPr>
            <w:tcW w:w="1791" w:type="dxa"/>
            <w:tcBorders>
              <w:top w:val="single" w:sz="4" w:space="0" w:color="auto"/>
              <w:left w:val="nil"/>
              <w:bottom w:val="single" w:sz="8" w:space="0" w:color="AEAEAE"/>
              <w:right w:val="nil"/>
            </w:tcBorders>
            <w:shd w:val="clear" w:color="auto" w:fill="auto"/>
            <w:vAlign w:val="center"/>
          </w:tcPr>
          <w:p w14:paraId="342B79E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2670.4</w:t>
            </w:r>
          </w:p>
        </w:tc>
      </w:tr>
      <w:tr w:rsidR="00A0618E" w:rsidRPr="00400193" w14:paraId="3B94ED06" w14:textId="77777777" w:rsidTr="001053AC">
        <w:trPr>
          <w:trHeight w:val="283"/>
        </w:trPr>
        <w:tc>
          <w:tcPr>
            <w:tcW w:w="4531" w:type="dxa"/>
            <w:vMerge/>
            <w:tcBorders>
              <w:left w:val="single" w:sz="4" w:space="0" w:color="FFFFFF" w:themeColor="background1"/>
              <w:right w:val="single" w:sz="4" w:space="0" w:color="FFFFFF" w:themeColor="background1"/>
            </w:tcBorders>
            <w:vAlign w:val="center"/>
          </w:tcPr>
          <w:p w14:paraId="3AD6C44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2694" w:type="dxa"/>
            <w:tcBorders>
              <w:top w:val="single" w:sz="8" w:space="0" w:color="AEAEAE"/>
              <w:left w:val="single" w:sz="4" w:space="0" w:color="FFFFFF" w:themeColor="background1"/>
              <w:bottom w:val="single" w:sz="8" w:space="0" w:color="AEAEAE"/>
              <w:right w:val="nil"/>
            </w:tcBorders>
            <w:shd w:val="clear" w:color="auto" w:fill="auto"/>
            <w:vAlign w:val="center"/>
          </w:tcPr>
          <w:p w14:paraId="5C33D951" w14:textId="77777777" w:rsidR="006E3616" w:rsidRPr="00400193" w:rsidRDefault="006E3616" w:rsidP="003B5486">
            <w:pPr>
              <w:spacing w:line="240" w:lineRule="auto"/>
              <w:jc w:val="right"/>
              <w:rPr>
                <w:rFonts w:asciiTheme="minorHAnsi" w:hAnsiTheme="minorHAnsi" w:cstheme="minorHAnsi"/>
                <w:sz w:val="20"/>
                <w:lang w:eastAsia="zh-CN" w:bidi="hi-IN"/>
              </w:rPr>
            </w:pPr>
            <w:r w:rsidRPr="00400193">
              <w:rPr>
                <w:rFonts w:asciiTheme="minorHAnsi" w:hAnsiTheme="minorHAnsi" w:cstheme="minorHAnsi"/>
                <w:sz w:val="20"/>
                <w:lang w:eastAsia="zh-CN" w:bidi="hi-IN"/>
              </w:rPr>
              <w:t>Degree of freedom:</w:t>
            </w:r>
          </w:p>
        </w:tc>
        <w:tc>
          <w:tcPr>
            <w:tcW w:w="1791" w:type="dxa"/>
            <w:tcBorders>
              <w:top w:val="single" w:sz="8" w:space="0" w:color="AEAEAE"/>
              <w:left w:val="nil"/>
              <w:bottom w:val="single" w:sz="8" w:space="0" w:color="AEAEAE"/>
              <w:right w:val="nil"/>
            </w:tcBorders>
            <w:shd w:val="clear" w:color="auto" w:fill="auto"/>
            <w:vAlign w:val="center"/>
          </w:tcPr>
          <w:p w14:paraId="4C24D1E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300</w:t>
            </w:r>
          </w:p>
        </w:tc>
      </w:tr>
      <w:tr w:rsidR="00A0618E" w:rsidRPr="00400193" w14:paraId="2A153F6D" w14:textId="77777777" w:rsidTr="001053AC">
        <w:trPr>
          <w:trHeight w:val="283"/>
        </w:trPr>
        <w:tc>
          <w:tcPr>
            <w:tcW w:w="4531" w:type="dxa"/>
            <w:vMerge/>
            <w:tcBorders>
              <w:left w:val="single" w:sz="4" w:space="0" w:color="FFFFFF" w:themeColor="background1"/>
              <w:right w:val="single" w:sz="4" w:space="0" w:color="FFFFFF" w:themeColor="background1"/>
            </w:tcBorders>
            <w:vAlign w:val="center"/>
          </w:tcPr>
          <w:p w14:paraId="5B55C6C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2694" w:type="dxa"/>
            <w:tcBorders>
              <w:top w:val="single" w:sz="8" w:space="0" w:color="AEAEAE"/>
              <w:left w:val="single" w:sz="4" w:space="0" w:color="FFFFFF" w:themeColor="background1"/>
              <w:bottom w:val="single" w:sz="4" w:space="0" w:color="auto"/>
              <w:right w:val="nil"/>
            </w:tcBorders>
            <w:shd w:val="clear" w:color="auto" w:fill="auto"/>
            <w:vAlign w:val="center"/>
          </w:tcPr>
          <w:p w14:paraId="04B8E5EB" w14:textId="77777777" w:rsidR="006E3616" w:rsidRPr="00400193" w:rsidRDefault="006E3616" w:rsidP="003B5486">
            <w:pPr>
              <w:spacing w:line="240" w:lineRule="auto"/>
              <w:jc w:val="right"/>
              <w:rPr>
                <w:rFonts w:asciiTheme="minorHAnsi" w:hAnsiTheme="minorHAnsi" w:cstheme="minorHAnsi"/>
                <w:sz w:val="20"/>
                <w:lang w:eastAsia="zh-CN" w:bidi="hi-IN"/>
              </w:rPr>
            </w:pPr>
            <w:r w:rsidRPr="00400193">
              <w:rPr>
                <w:rFonts w:asciiTheme="minorHAnsi" w:hAnsiTheme="minorHAnsi" w:cstheme="minorHAnsi"/>
                <w:sz w:val="20"/>
                <w:lang w:eastAsia="zh-CN" w:bidi="hi-IN"/>
              </w:rPr>
              <w:t>Significance:</w:t>
            </w:r>
          </w:p>
        </w:tc>
        <w:tc>
          <w:tcPr>
            <w:tcW w:w="1791" w:type="dxa"/>
            <w:tcBorders>
              <w:top w:val="single" w:sz="8" w:space="0" w:color="AEAEAE"/>
              <w:left w:val="nil"/>
              <w:bottom w:val="single" w:sz="4" w:space="0" w:color="auto"/>
              <w:right w:val="nil"/>
            </w:tcBorders>
            <w:shd w:val="clear" w:color="auto" w:fill="auto"/>
            <w:vAlign w:val="center"/>
          </w:tcPr>
          <w:p w14:paraId="44591F5E" w14:textId="77777777" w:rsidR="006E3616" w:rsidRPr="00400193" w:rsidRDefault="006E3616" w:rsidP="003B5486">
            <w:pPr>
              <w:keepNext/>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0.000</w:t>
            </w:r>
          </w:p>
        </w:tc>
      </w:tr>
    </w:tbl>
    <w:p w14:paraId="0C2F101E" w14:textId="19690EAA" w:rsidR="006E3616" w:rsidRPr="00400193" w:rsidRDefault="006E3616" w:rsidP="00244F38">
      <w:pPr>
        <w:pStyle w:val="Caption"/>
        <w:spacing w:after="240"/>
        <w:rPr>
          <w:lang w:eastAsia="zh-CN" w:bidi="hi-IN"/>
        </w:rPr>
      </w:pPr>
      <w:bookmarkStart w:id="489" w:name="_Ref43252996"/>
      <w:bookmarkStart w:id="490" w:name="_Toc5290156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24</w:t>
      </w:r>
      <w:r w:rsidRPr="00400193">
        <w:fldChar w:fldCharType="end"/>
      </w:r>
      <w:bookmarkEnd w:id="489"/>
      <w:r w:rsidRPr="00400193">
        <w:t>: Kaiser–Meyer–Olkin test and Bartlett's test of sphericity for KILA</w:t>
      </w:r>
      <w:bookmarkEnd w:id="490"/>
      <w:r w:rsidRPr="00400193">
        <w:t xml:space="preserve"> </w:t>
      </w:r>
    </w:p>
    <w:p w14:paraId="6A8960B1" w14:textId="77777777" w:rsidR="0047063F" w:rsidRPr="00400193" w:rsidRDefault="0047063F" w:rsidP="0047063F">
      <w:pPr>
        <w:spacing w:after="0" w:line="240" w:lineRule="auto"/>
        <w:rPr>
          <w:lang w:eastAsia="zh-CN" w:bidi="hi-IN"/>
        </w:rPr>
      </w:pPr>
    </w:p>
    <w:p w14:paraId="3E6FE434" w14:textId="1F05FB3F" w:rsidR="006E3616" w:rsidRPr="00400193" w:rsidRDefault="006E3616" w:rsidP="001053AC">
      <w:pPr>
        <w:spacing w:before="240"/>
        <w:rPr>
          <w:lang w:eastAsia="zh-CN" w:bidi="hi-IN"/>
        </w:rPr>
      </w:pPr>
      <w:r w:rsidRPr="00400193">
        <w:rPr>
          <w:lang w:eastAsia="zh-CN" w:bidi="hi-IN"/>
        </w:rPr>
        <w:fldChar w:fldCharType="begin"/>
      </w:r>
      <w:r w:rsidRPr="00400193">
        <w:rPr>
          <w:lang w:eastAsia="zh-CN" w:bidi="hi-IN"/>
        </w:rPr>
        <w:instrText xml:space="preserve"> REF _Ref43253034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25</w:t>
      </w:r>
      <w:r w:rsidRPr="00400193">
        <w:rPr>
          <w:lang w:eastAsia="zh-CN" w:bidi="hi-IN"/>
        </w:rPr>
        <w:fldChar w:fldCharType="end"/>
      </w:r>
      <w:r w:rsidRPr="00400193">
        <w:rPr>
          <w:lang w:eastAsia="zh-CN" w:bidi="hi-IN"/>
        </w:rPr>
        <w:t xml:space="preserve"> shows the factor load. All items had a load greater than 0.5. There were therefore two new latent clusters for Key Internal Threats - Lack of Awareness (KILA). A total of 15 variables were assigned to the first (KILAN1), on ‘lack of protocol access’ and ten to the second (KILAN2), or ‘lack of security supervision’. The two new latent clusters had a reliability of &gt;0.95, which is excellent.</w:t>
      </w:r>
    </w:p>
    <w:p w14:paraId="1839D256" w14:textId="77777777" w:rsidR="0047063F" w:rsidRPr="00400193" w:rsidRDefault="0047063F" w:rsidP="001053AC">
      <w:pPr>
        <w:spacing w:before="240"/>
        <w:rPr>
          <w:lang w:eastAsia="zh-CN" w:bidi="hi-IN"/>
        </w:rPr>
      </w:pPr>
    </w:p>
    <w:tbl>
      <w:tblPr>
        <w:tblStyle w:val="TableGrid"/>
        <w:tblW w:w="0" w:type="auto"/>
        <w:tblBorders>
          <w:left w:val="none" w:sz="0" w:space="0" w:color="auto"/>
          <w:right w:val="none" w:sz="0" w:space="0" w:color="auto"/>
        </w:tblBorders>
        <w:tblLook w:val="04A0" w:firstRow="1" w:lastRow="0" w:firstColumn="1" w:lastColumn="0" w:noHBand="0" w:noVBand="1"/>
      </w:tblPr>
      <w:tblGrid>
        <w:gridCol w:w="1288"/>
        <w:gridCol w:w="1288"/>
        <w:gridCol w:w="1288"/>
        <w:gridCol w:w="1288"/>
        <w:gridCol w:w="1288"/>
        <w:gridCol w:w="1288"/>
        <w:gridCol w:w="1288"/>
      </w:tblGrid>
      <w:tr w:rsidR="00A0618E" w:rsidRPr="00400193" w14:paraId="4B3F12A0" w14:textId="77777777" w:rsidTr="001053AC">
        <w:trPr>
          <w:trHeight w:val="283"/>
        </w:trPr>
        <w:tc>
          <w:tcPr>
            <w:tcW w:w="1288" w:type="dxa"/>
            <w:vMerge w:val="restart"/>
            <w:tcBorders>
              <w:right w:val="nil"/>
            </w:tcBorders>
            <w:vAlign w:val="center"/>
          </w:tcPr>
          <w:p w14:paraId="6592618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lastRenderedPageBreak/>
              <w:t>Item</w:t>
            </w:r>
          </w:p>
        </w:tc>
        <w:tc>
          <w:tcPr>
            <w:tcW w:w="2576" w:type="dxa"/>
            <w:gridSpan w:val="2"/>
            <w:tcBorders>
              <w:left w:val="nil"/>
              <w:bottom w:val="nil"/>
              <w:right w:val="nil"/>
            </w:tcBorders>
            <w:vAlign w:val="center"/>
          </w:tcPr>
          <w:p w14:paraId="3BB357B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 xml:space="preserve">Component matrix </w:t>
            </w:r>
            <w:r w:rsidRPr="00400193">
              <w:rPr>
                <w:rFonts w:asciiTheme="minorHAnsi" w:hAnsiTheme="minorHAnsi" w:cstheme="minorHAnsi"/>
                <w:sz w:val="20"/>
                <w:vertAlign w:val="superscript"/>
                <w:lang w:eastAsia="zh-CN" w:bidi="hi-IN"/>
              </w:rPr>
              <w:t>ab</w:t>
            </w:r>
          </w:p>
        </w:tc>
        <w:tc>
          <w:tcPr>
            <w:tcW w:w="1288" w:type="dxa"/>
            <w:vMerge w:val="restart"/>
            <w:tcBorders>
              <w:top w:val="single" w:sz="4" w:space="0" w:color="auto"/>
              <w:left w:val="nil"/>
              <w:bottom w:val="single" w:sz="4" w:space="0" w:color="auto"/>
              <w:right w:val="nil"/>
            </w:tcBorders>
            <w:shd w:val="clear" w:color="auto" w:fill="FFFFFF"/>
            <w:vAlign w:val="center"/>
          </w:tcPr>
          <w:p w14:paraId="6A382C9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Cronbach’s Alpha</w:t>
            </w:r>
          </w:p>
        </w:tc>
        <w:tc>
          <w:tcPr>
            <w:tcW w:w="1288" w:type="dxa"/>
            <w:vMerge w:val="restart"/>
            <w:tcBorders>
              <w:top w:val="single" w:sz="4" w:space="0" w:color="auto"/>
              <w:left w:val="nil"/>
              <w:bottom w:val="single" w:sz="4" w:space="0" w:color="auto"/>
              <w:right w:val="nil"/>
            </w:tcBorders>
            <w:shd w:val="clear" w:color="auto" w:fill="FFFFFF"/>
            <w:vAlign w:val="center"/>
          </w:tcPr>
          <w:p w14:paraId="0813906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No. of Questions</w:t>
            </w:r>
          </w:p>
        </w:tc>
        <w:tc>
          <w:tcPr>
            <w:tcW w:w="1288" w:type="dxa"/>
            <w:vMerge w:val="restart"/>
            <w:tcBorders>
              <w:top w:val="single" w:sz="4" w:space="0" w:color="auto"/>
              <w:left w:val="nil"/>
              <w:bottom w:val="single" w:sz="4" w:space="0" w:color="auto"/>
              <w:right w:val="nil"/>
            </w:tcBorders>
            <w:shd w:val="clear" w:color="auto" w:fill="FFFFFF"/>
            <w:vAlign w:val="center"/>
          </w:tcPr>
          <w:p w14:paraId="71974FF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Code</w:t>
            </w:r>
          </w:p>
        </w:tc>
        <w:tc>
          <w:tcPr>
            <w:tcW w:w="1288" w:type="dxa"/>
            <w:vMerge w:val="restart"/>
            <w:tcBorders>
              <w:top w:val="single" w:sz="4" w:space="0" w:color="auto"/>
              <w:left w:val="nil"/>
              <w:bottom w:val="single" w:sz="4" w:space="0" w:color="auto"/>
            </w:tcBorders>
            <w:shd w:val="clear" w:color="auto" w:fill="FFFFFF"/>
            <w:vAlign w:val="center"/>
          </w:tcPr>
          <w:p w14:paraId="54E4092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Description</w:t>
            </w:r>
          </w:p>
        </w:tc>
      </w:tr>
      <w:tr w:rsidR="00A0618E" w:rsidRPr="00400193" w14:paraId="281B5D0B" w14:textId="77777777" w:rsidTr="001053AC">
        <w:trPr>
          <w:trHeight w:val="283"/>
        </w:trPr>
        <w:tc>
          <w:tcPr>
            <w:tcW w:w="1288" w:type="dxa"/>
            <w:vMerge/>
            <w:tcBorders>
              <w:bottom w:val="single" w:sz="4" w:space="0" w:color="auto"/>
              <w:right w:val="nil"/>
            </w:tcBorders>
            <w:vAlign w:val="center"/>
          </w:tcPr>
          <w:p w14:paraId="4DBA639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tcBorders>
              <w:top w:val="nil"/>
              <w:left w:val="nil"/>
              <w:bottom w:val="single" w:sz="4" w:space="0" w:color="auto"/>
              <w:right w:val="nil"/>
            </w:tcBorders>
            <w:vAlign w:val="center"/>
          </w:tcPr>
          <w:p w14:paraId="028B34B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1288" w:type="dxa"/>
            <w:tcBorders>
              <w:top w:val="nil"/>
              <w:left w:val="nil"/>
              <w:bottom w:val="single" w:sz="4" w:space="0" w:color="auto"/>
              <w:right w:val="nil"/>
            </w:tcBorders>
            <w:vAlign w:val="center"/>
          </w:tcPr>
          <w:p w14:paraId="3171B49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1288" w:type="dxa"/>
            <w:vMerge/>
            <w:tcBorders>
              <w:top w:val="nil"/>
              <w:left w:val="nil"/>
              <w:bottom w:val="single" w:sz="4" w:space="0" w:color="auto"/>
              <w:right w:val="nil"/>
            </w:tcBorders>
            <w:vAlign w:val="center"/>
          </w:tcPr>
          <w:p w14:paraId="722A88A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top w:val="nil"/>
              <w:left w:val="nil"/>
              <w:bottom w:val="single" w:sz="4" w:space="0" w:color="auto"/>
              <w:right w:val="nil"/>
            </w:tcBorders>
            <w:vAlign w:val="center"/>
          </w:tcPr>
          <w:p w14:paraId="64C8960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top w:val="nil"/>
              <w:left w:val="nil"/>
              <w:bottom w:val="single" w:sz="4" w:space="0" w:color="auto"/>
              <w:right w:val="nil"/>
            </w:tcBorders>
            <w:vAlign w:val="center"/>
          </w:tcPr>
          <w:p w14:paraId="7E30690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top w:val="nil"/>
              <w:left w:val="nil"/>
              <w:bottom w:val="single" w:sz="4" w:space="0" w:color="auto"/>
            </w:tcBorders>
            <w:vAlign w:val="center"/>
          </w:tcPr>
          <w:p w14:paraId="223A0D42"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A0618E" w:rsidRPr="00400193" w14:paraId="34650B6A" w14:textId="77777777" w:rsidTr="001053AC">
        <w:trPr>
          <w:trHeight w:val="283"/>
        </w:trPr>
        <w:tc>
          <w:tcPr>
            <w:tcW w:w="1288" w:type="dxa"/>
            <w:tcBorders>
              <w:bottom w:val="nil"/>
              <w:right w:val="nil"/>
            </w:tcBorders>
            <w:shd w:val="clear" w:color="auto" w:fill="auto"/>
            <w:vAlign w:val="center"/>
          </w:tcPr>
          <w:p w14:paraId="3CCD2E1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KILA11</w:t>
            </w:r>
          </w:p>
        </w:tc>
        <w:tc>
          <w:tcPr>
            <w:tcW w:w="1288" w:type="dxa"/>
            <w:tcBorders>
              <w:left w:val="nil"/>
              <w:bottom w:val="nil"/>
              <w:right w:val="nil"/>
            </w:tcBorders>
            <w:shd w:val="clear" w:color="auto" w:fill="FFFFFF"/>
            <w:vAlign w:val="center"/>
          </w:tcPr>
          <w:p w14:paraId="266DD99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0.807</w:t>
            </w:r>
          </w:p>
        </w:tc>
        <w:tc>
          <w:tcPr>
            <w:tcW w:w="1288" w:type="dxa"/>
            <w:tcBorders>
              <w:left w:val="nil"/>
              <w:bottom w:val="nil"/>
              <w:right w:val="nil"/>
            </w:tcBorders>
            <w:vAlign w:val="center"/>
          </w:tcPr>
          <w:p w14:paraId="5F410FE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val="restart"/>
            <w:tcBorders>
              <w:top w:val="single" w:sz="4" w:space="0" w:color="auto"/>
              <w:left w:val="nil"/>
              <w:right w:val="nil"/>
            </w:tcBorders>
            <w:shd w:val="clear" w:color="auto" w:fill="FFFFFF"/>
            <w:vAlign w:val="center"/>
          </w:tcPr>
          <w:p w14:paraId="5E0CFF6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0.962</w:t>
            </w:r>
          </w:p>
        </w:tc>
        <w:tc>
          <w:tcPr>
            <w:tcW w:w="1288" w:type="dxa"/>
            <w:vMerge w:val="restart"/>
            <w:tcBorders>
              <w:top w:val="single" w:sz="4" w:space="0" w:color="auto"/>
              <w:left w:val="nil"/>
              <w:right w:val="nil"/>
            </w:tcBorders>
            <w:shd w:val="clear" w:color="auto" w:fill="FFFFFF"/>
            <w:vAlign w:val="center"/>
          </w:tcPr>
          <w:p w14:paraId="33AE88A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15</w:t>
            </w:r>
          </w:p>
        </w:tc>
        <w:tc>
          <w:tcPr>
            <w:tcW w:w="1288" w:type="dxa"/>
            <w:vMerge w:val="restart"/>
            <w:tcBorders>
              <w:top w:val="single" w:sz="4" w:space="0" w:color="auto"/>
              <w:left w:val="nil"/>
              <w:right w:val="nil"/>
            </w:tcBorders>
            <w:shd w:val="clear" w:color="auto" w:fill="FFFFFF"/>
            <w:vAlign w:val="center"/>
          </w:tcPr>
          <w:p w14:paraId="49BE3D8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KILAN1</w:t>
            </w:r>
          </w:p>
        </w:tc>
        <w:tc>
          <w:tcPr>
            <w:tcW w:w="1288" w:type="dxa"/>
            <w:vMerge w:val="restart"/>
            <w:tcBorders>
              <w:top w:val="single" w:sz="4" w:space="0" w:color="auto"/>
              <w:left w:val="nil"/>
            </w:tcBorders>
            <w:shd w:val="clear" w:color="auto" w:fill="FFFFFF"/>
            <w:vAlign w:val="center"/>
          </w:tcPr>
          <w:p w14:paraId="224B0E0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Lack of protocol access</w:t>
            </w:r>
          </w:p>
        </w:tc>
      </w:tr>
      <w:tr w:rsidR="00A0618E" w:rsidRPr="00400193" w14:paraId="7C2C583D" w14:textId="77777777" w:rsidTr="001053AC">
        <w:trPr>
          <w:trHeight w:val="283"/>
        </w:trPr>
        <w:tc>
          <w:tcPr>
            <w:tcW w:w="1288" w:type="dxa"/>
            <w:tcBorders>
              <w:top w:val="nil"/>
              <w:bottom w:val="nil"/>
              <w:right w:val="nil"/>
            </w:tcBorders>
            <w:shd w:val="clear" w:color="auto" w:fill="auto"/>
            <w:vAlign w:val="center"/>
          </w:tcPr>
          <w:p w14:paraId="2373AD3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KILA6</w:t>
            </w:r>
          </w:p>
        </w:tc>
        <w:tc>
          <w:tcPr>
            <w:tcW w:w="1288" w:type="dxa"/>
            <w:tcBorders>
              <w:top w:val="nil"/>
              <w:left w:val="nil"/>
              <w:bottom w:val="nil"/>
              <w:right w:val="nil"/>
            </w:tcBorders>
            <w:shd w:val="clear" w:color="auto" w:fill="FFFFFF"/>
            <w:vAlign w:val="center"/>
          </w:tcPr>
          <w:p w14:paraId="27C7CF7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0.805</w:t>
            </w:r>
          </w:p>
        </w:tc>
        <w:tc>
          <w:tcPr>
            <w:tcW w:w="1288" w:type="dxa"/>
            <w:tcBorders>
              <w:top w:val="nil"/>
              <w:left w:val="nil"/>
              <w:bottom w:val="nil"/>
              <w:right w:val="nil"/>
            </w:tcBorders>
            <w:vAlign w:val="center"/>
          </w:tcPr>
          <w:p w14:paraId="376E2D6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18D1360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2D12109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29145D1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0D43C6B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58864DB" w14:textId="77777777" w:rsidTr="001053AC">
        <w:trPr>
          <w:trHeight w:val="283"/>
        </w:trPr>
        <w:tc>
          <w:tcPr>
            <w:tcW w:w="1288" w:type="dxa"/>
            <w:tcBorders>
              <w:top w:val="nil"/>
              <w:bottom w:val="nil"/>
              <w:right w:val="nil"/>
            </w:tcBorders>
            <w:shd w:val="clear" w:color="auto" w:fill="auto"/>
            <w:vAlign w:val="center"/>
          </w:tcPr>
          <w:p w14:paraId="4C42079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KILA21</w:t>
            </w:r>
          </w:p>
        </w:tc>
        <w:tc>
          <w:tcPr>
            <w:tcW w:w="1288" w:type="dxa"/>
            <w:tcBorders>
              <w:top w:val="nil"/>
              <w:left w:val="nil"/>
              <w:bottom w:val="nil"/>
              <w:right w:val="nil"/>
            </w:tcBorders>
            <w:shd w:val="clear" w:color="auto" w:fill="FFFFFF"/>
            <w:vAlign w:val="center"/>
          </w:tcPr>
          <w:p w14:paraId="1C2AB16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0.785</w:t>
            </w:r>
          </w:p>
        </w:tc>
        <w:tc>
          <w:tcPr>
            <w:tcW w:w="1288" w:type="dxa"/>
            <w:tcBorders>
              <w:top w:val="nil"/>
              <w:left w:val="nil"/>
              <w:bottom w:val="nil"/>
              <w:right w:val="nil"/>
            </w:tcBorders>
            <w:vAlign w:val="center"/>
          </w:tcPr>
          <w:p w14:paraId="2CE5A6E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01417D0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86678D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1E35CCC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10FD03D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0528FB3" w14:textId="77777777" w:rsidTr="001053AC">
        <w:trPr>
          <w:trHeight w:val="283"/>
        </w:trPr>
        <w:tc>
          <w:tcPr>
            <w:tcW w:w="1288" w:type="dxa"/>
            <w:tcBorders>
              <w:top w:val="nil"/>
              <w:bottom w:val="nil"/>
              <w:right w:val="nil"/>
            </w:tcBorders>
            <w:shd w:val="clear" w:color="auto" w:fill="auto"/>
            <w:vAlign w:val="center"/>
          </w:tcPr>
          <w:p w14:paraId="6C92100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KILA5</w:t>
            </w:r>
          </w:p>
        </w:tc>
        <w:tc>
          <w:tcPr>
            <w:tcW w:w="1288" w:type="dxa"/>
            <w:tcBorders>
              <w:top w:val="nil"/>
              <w:left w:val="nil"/>
              <w:bottom w:val="nil"/>
              <w:right w:val="nil"/>
            </w:tcBorders>
            <w:shd w:val="clear" w:color="auto" w:fill="FFFFFF"/>
            <w:vAlign w:val="center"/>
          </w:tcPr>
          <w:p w14:paraId="3A7DE10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0.768</w:t>
            </w:r>
          </w:p>
        </w:tc>
        <w:tc>
          <w:tcPr>
            <w:tcW w:w="1288" w:type="dxa"/>
            <w:tcBorders>
              <w:top w:val="nil"/>
              <w:left w:val="nil"/>
              <w:bottom w:val="nil"/>
              <w:right w:val="nil"/>
            </w:tcBorders>
            <w:vAlign w:val="center"/>
          </w:tcPr>
          <w:p w14:paraId="0A2E35B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29CE759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0829EE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E1653A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19947B8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61E5F3E" w14:textId="77777777" w:rsidTr="001053AC">
        <w:trPr>
          <w:trHeight w:val="283"/>
        </w:trPr>
        <w:tc>
          <w:tcPr>
            <w:tcW w:w="1288" w:type="dxa"/>
            <w:tcBorders>
              <w:top w:val="nil"/>
              <w:bottom w:val="nil"/>
              <w:right w:val="nil"/>
            </w:tcBorders>
            <w:shd w:val="clear" w:color="auto" w:fill="auto"/>
            <w:vAlign w:val="center"/>
          </w:tcPr>
          <w:p w14:paraId="2A5FBAB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KILA22</w:t>
            </w:r>
          </w:p>
        </w:tc>
        <w:tc>
          <w:tcPr>
            <w:tcW w:w="1288" w:type="dxa"/>
            <w:tcBorders>
              <w:top w:val="nil"/>
              <w:left w:val="nil"/>
              <w:bottom w:val="nil"/>
              <w:right w:val="nil"/>
            </w:tcBorders>
            <w:shd w:val="clear" w:color="auto" w:fill="FFFFFF"/>
            <w:vAlign w:val="center"/>
          </w:tcPr>
          <w:p w14:paraId="3589EB1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0.761</w:t>
            </w:r>
          </w:p>
        </w:tc>
        <w:tc>
          <w:tcPr>
            <w:tcW w:w="1288" w:type="dxa"/>
            <w:tcBorders>
              <w:top w:val="nil"/>
              <w:left w:val="nil"/>
              <w:bottom w:val="nil"/>
              <w:right w:val="nil"/>
            </w:tcBorders>
            <w:vAlign w:val="center"/>
          </w:tcPr>
          <w:p w14:paraId="070CECE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15E95D6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4B1A33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1DD0656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5ECEFF2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CED81AD" w14:textId="77777777" w:rsidTr="001053AC">
        <w:trPr>
          <w:trHeight w:val="283"/>
        </w:trPr>
        <w:tc>
          <w:tcPr>
            <w:tcW w:w="1288" w:type="dxa"/>
            <w:tcBorders>
              <w:top w:val="nil"/>
              <w:bottom w:val="nil"/>
              <w:right w:val="nil"/>
            </w:tcBorders>
            <w:shd w:val="clear" w:color="auto" w:fill="auto"/>
            <w:vAlign w:val="center"/>
          </w:tcPr>
          <w:p w14:paraId="1638A79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KILA12</w:t>
            </w:r>
          </w:p>
        </w:tc>
        <w:tc>
          <w:tcPr>
            <w:tcW w:w="1288" w:type="dxa"/>
            <w:tcBorders>
              <w:top w:val="nil"/>
              <w:left w:val="nil"/>
              <w:bottom w:val="nil"/>
              <w:right w:val="nil"/>
            </w:tcBorders>
            <w:shd w:val="clear" w:color="auto" w:fill="FFFFFF"/>
            <w:vAlign w:val="center"/>
          </w:tcPr>
          <w:p w14:paraId="16820C1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0.750</w:t>
            </w:r>
          </w:p>
        </w:tc>
        <w:tc>
          <w:tcPr>
            <w:tcW w:w="1288" w:type="dxa"/>
            <w:tcBorders>
              <w:top w:val="nil"/>
              <w:left w:val="nil"/>
              <w:bottom w:val="nil"/>
              <w:right w:val="nil"/>
            </w:tcBorders>
            <w:vAlign w:val="center"/>
          </w:tcPr>
          <w:p w14:paraId="1615DB9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5F95190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5EDE2B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21FFAD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5FE630D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61259AE" w14:textId="77777777" w:rsidTr="001053AC">
        <w:trPr>
          <w:trHeight w:val="283"/>
        </w:trPr>
        <w:tc>
          <w:tcPr>
            <w:tcW w:w="1288" w:type="dxa"/>
            <w:tcBorders>
              <w:top w:val="nil"/>
              <w:bottom w:val="nil"/>
              <w:right w:val="nil"/>
            </w:tcBorders>
            <w:shd w:val="clear" w:color="auto" w:fill="auto"/>
            <w:vAlign w:val="center"/>
          </w:tcPr>
          <w:p w14:paraId="5E94993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KILA20</w:t>
            </w:r>
          </w:p>
        </w:tc>
        <w:tc>
          <w:tcPr>
            <w:tcW w:w="1288" w:type="dxa"/>
            <w:tcBorders>
              <w:top w:val="nil"/>
              <w:left w:val="nil"/>
              <w:bottom w:val="nil"/>
              <w:right w:val="nil"/>
            </w:tcBorders>
            <w:shd w:val="clear" w:color="auto" w:fill="FFFFFF"/>
            <w:vAlign w:val="center"/>
          </w:tcPr>
          <w:p w14:paraId="05C5FAB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0.724</w:t>
            </w:r>
          </w:p>
        </w:tc>
        <w:tc>
          <w:tcPr>
            <w:tcW w:w="1288" w:type="dxa"/>
            <w:tcBorders>
              <w:top w:val="nil"/>
              <w:left w:val="nil"/>
              <w:bottom w:val="nil"/>
              <w:right w:val="nil"/>
            </w:tcBorders>
            <w:vAlign w:val="center"/>
          </w:tcPr>
          <w:p w14:paraId="1730195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2B4A11A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393F9B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6EE0280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286CEED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18E1CEB" w14:textId="77777777" w:rsidTr="001053AC">
        <w:trPr>
          <w:trHeight w:val="283"/>
        </w:trPr>
        <w:tc>
          <w:tcPr>
            <w:tcW w:w="1288" w:type="dxa"/>
            <w:tcBorders>
              <w:top w:val="nil"/>
              <w:bottom w:val="nil"/>
              <w:right w:val="nil"/>
            </w:tcBorders>
            <w:shd w:val="clear" w:color="auto" w:fill="auto"/>
            <w:vAlign w:val="center"/>
          </w:tcPr>
          <w:p w14:paraId="39076A4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KILA9</w:t>
            </w:r>
          </w:p>
        </w:tc>
        <w:tc>
          <w:tcPr>
            <w:tcW w:w="1288" w:type="dxa"/>
            <w:tcBorders>
              <w:top w:val="nil"/>
              <w:left w:val="nil"/>
              <w:bottom w:val="nil"/>
              <w:right w:val="nil"/>
            </w:tcBorders>
            <w:shd w:val="clear" w:color="auto" w:fill="FFFFFF"/>
            <w:vAlign w:val="center"/>
          </w:tcPr>
          <w:p w14:paraId="6C8558F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0.720</w:t>
            </w:r>
          </w:p>
        </w:tc>
        <w:tc>
          <w:tcPr>
            <w:tcW w:w="1288" w:type="dxa"/>
            <w:tcBorders>
              <w:top w:val="nil"/>
              <w:left w:val="nil"/>
              <w:bottom w:val="nil"/>
              <w:right w:val="nil"/>
            </w:tcBorders>
            <w:vAlign w:val="center"/>
          </w:tcPr>
          <w:p w14:paraId="52B2215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16B6EAE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025DFB3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6A7AD39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0513BED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3A025DC" w14:textId="77777777" w:rsidTr="001053AC">
        <w:trPr>
          <w:trHeight w:val="283"/>
        </w:trPr>
        <w:tc>
          <w:tcPr>
            <w:tcW w:w="1288" w:type="dxa"/>
            <w:tcBorders>
              <w:top w:val="nil"/>
              <w:bottom w:val="nil"/>
              <w:right w:val="nil"/>
            </w:tcBorders>
            <w:shd w:val="clear" w:color="auto" w:fill="auto"/>
            <w:vAlign w:val="center"/>
          </w:tcPr>
          <w:p w14:paraId="23F84E2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w:t>
            </w:r>
          </w:p>
        </w:tc>
        <w:tc>
          <w:tcPr>
            <w:tcW w:w="1288" w:type="dxa"/>
            <w:tcBorders>
              <w:top w:val="nil"/>
              <w:left w:val="nil"/>
              <w:bottom w:val="nil"/>
              <w:right w:val="nil"/>
            </w:tcBorders>
            <w:shd w:val="clear" w:color="auto" w:fill="FFFFFF"/>
            <w:vAlign w:val="center"/>
          </w:tcPr>
          <w:p w14:paraId="07DAB51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0.686</w:t>
            </w:r>
          </w:p>
        </w:tc>
        <w:tc>
          <w:tcPr>
            <w:tcW w:w="1288" w:type="dxa"/>
            <w:tcBorders>
              <w:top w:val="nil"/>
              <w:left w:val="nil"/>
              <w:bottom w:val="nil"/>
              <w:right w:val="nil"/>
            </w:tcBorders>
            <w:vAlign w:val="center"/>
          </w:tcPr>
          <w:p w14:paraId="6C60F58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5EB96B7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0A5D235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221189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3AB9593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D72C0D8" w14:textId="77777777" w:rsidTr="001053AC">
        <w:trPr>
          <w:trHeight w:val="283"/>
        </w:trPr>
        <w:tc>
          <w:tcPr>
            <w:tcW w:w="1288" w:type="dxa"/>
            <w:tcBorders>
              <w:top w:val="nil"/>
              <w:bottom w:val="nil"/>
              <w:right w:val="nil"/>
            </w:tcBorders>
            <w:shd w:val="clear" w:color="auto" w:fill="auto"/>
            <w:vAlign w:val="center"/>
          </w:tcPr>
          <w:p w14:paraId="61D9606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KILA10</w:t>
            </w:r>
          </w:p>
        </w:tc>
        <w:tc>
          <w:tcPr>
            <w:tcW w:w="1288" w:type="dxa"/>
            <w:tcBorders>
              <w:top w:val="nil"/>
              <w:left w:val="nil"/>
              <w:bottom w:val="nil"/>
              <w:right w:val="nil"/>
            </w:tcBorders>
            <w:shd w:val="clear" w:color="auto" w:fill="FFFFFF"/>
            <w:vAlign w:val="center"/>
          </w:tcPr>
          <w:p w14:paraId="6B55515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0.676</w:t>
            </w:r>
          </w:p>
        </w:tc>
        <w:tc>
          <w:tcPr>
            <w:tcW w:w="1288" w:type="dxa"/>
            <w:tcBorders>
              <w:top w:val="nil"/>
              <w:left w:val="nil"/>
              <w:bottom w:val="nil"/>
              <w:right w:val="nil"/>
            </w:tcBorders>
            <w:vAlign w:val="center"/>
          </w:tcPr>
          <w:p w14:paraId="431F9B8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2E9F5BB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28F7AF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56D21A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06B01DC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BF4B894" w14:textId="77777777" w:rsidTr="001053AC">
        <w:trPr>
          <w:trHeight w:val="283"/>
        </w:trPr>
        <w:tc>
          <w:tcPr>
            <w:tcW w:w="1288" w:type="dxa"/>
            <w:tcBorders>
              <w:top w:val="nil"/>
              <w:bottom w:val="nil"/>
              <w:right w:val="nil"/>
            </w:tcBorders>
            <w:shd w:val="clear" w:color="auto" w:fill="auto"/>
            <w:vAlign w:val="center"/>
          </w:tcPr>
          <w:p w14:paraId="265CF3B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KILA7</w:t>
            </w:r>
          </w:p>
        </w:tc>
        <w:tc>
          <w:tcPr>
            <w:tcW w:w="1288" w:type="dxa"/>
            <w:tcBorders>
              <w:top w:val="nil"/>
              <w:left w:val="nil"/>
              <w:bottom w:val="nil"/>
              <w:right w:val="nil"/>
            </w:tcBorders>
            <w:shd w:val="clear" w:color="auto" w:fill="FFFFFF"/>
            <w:vAlign w:val="center"/>
          </w:tcPr>
          <w:p w14:paraId="56FF684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0.675</w:t>
            </w:r>
          </w:p>
        </w:tc>
        <w:tc>
          <w:tcPr>
            <w:tcW w:w="1288" w:type="dxa"/>
            <w:tcBorders>
              <w:top w:val="nil"/>
              <w:left w:val="nil"/>
              <w:bottom w:val="nil"/>
              <w:right w:val="nil"/>
            </w:tcBorders>
            <w:vAlign w:val="center"/>
          </w:tcPr>
          <w:p w14:paraId="1F4F9A9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4BE9B0C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F2F7EA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C1BE8D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15C0AE8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BB39473" w14:textId="77777777" w:rsidTr="001053AC">
        <w:trPr>
          <w:trHeight w:val="283"/>
        </w:trPr>
        <w:tc>
          <w:tcPr>
            <w:tcW w:w="1288" w:type="dxa"/>
            <w:tcBorders>
              <w:top w:val="nil"/>
              <w:bottom w:val="nil"/>
              <w:right w:val="nil"/>
            </w:tcBorders>
            <w:shd w:val="clear" w:color="auto" w:fill="auto"/>
            <w:vAlign w:val="center"/>
          </w:tcPr>
          <w:p w14:paraId="1659D47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KILA3</w:t>
            </w:r>
          </w:p>
        </w:tc>
        <w:tc>
          <w:tcPr>
            <w:tcW w:w="1288" w:type="dxa"/>
            <w:tcBorders>
              <w:top w:val="nil"/>
              <w:left w:val="nil"/>
              <w:bottom w:val="nil"/>
              <w:right w:val="nil"/>
            </w:tcBorders>
            <w:shd w:val="clear" w:color="auto" w:fill="FFFFFF"/>
            <w:vAlign w:val="center"/>
          </w:tcPr>
          <w:p w14:paraId="0F37C24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0.653</w:t>
            </w:r>
          </w:p>
        </w:tc>
        <w:tc>
          <w:tcPr>
            <w:tcW w:w="1288" w:type="dxa"/>
            <w:tcBorders>
              <w:top w:val="nil"/>
              <w:left w:val="nil"/>
              <w:bottom w:val="nil"/>
              <w:right w:val="nil"/>
            </w:tcBorders>
            <w:vAlign w:val="center"/>
          </w:tcPr>
          <w:p w14:paraId="6923EAD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21F6036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5EDDF4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19ADA7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6CBAF77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6504F82" w14:textId="77777777" w:rsidTr="001053AC">
        <w:trPr>
          <w:trHeight w:val="283"/>
        </w:trPr>
        <w:tc>
          <w:tcPr>
            <w:tcW w:w="1288" w:type="dxa"/>
            <w:tcBorders>
              <w:top w:val="nil"/>
              <w:bottom w:val="nil"/>
              <w:right w:val="nil"/>
            </w:tcBorders>
            <w:shd w:val="clear" w:color="auto" w:fill="auto"/>
            <w:vAlign w:val="center"/>
          </w:tcPr>
          <w:p w14:paraId="1352D6E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KILA8</w:t>
            </w:r>
          </w:p>
        </w:tc>
        <w:tc>
          <w:tcPr>
            <w:tcW w:w="1288" w:type="dxa"/>
            <w:tcBorders>
              <w:top w:val="nil"/>
              <w:left w:val="nil"/>
              <w:bottom w:val="nil"/>
              <w:right w:val="nil"/>
            </w:tcBorders>
            <w:shd w:val="clear" w:color="auto" w:fill="FFFFFF"/>
            <w:vAlign w:val="center"/>
          </w:tcPr>
          <w:p w14:paraId="6C0BD8B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0.644</w:t>
            </w:r>
          </w:p>
        </w:tc>
        <w:tc>
          <w:tcPr>
            <w:tcW w:w="1288" w:type="dxa"/>
            <w:tcBorders>
              <w:top w:val="nil"/>
              <w:left w:val="nil"/>
              <w:bottom w:val="nil"/>
              <w:right w:val="nil"/>
            </w:tcBorders>
            <w:vAlign w:val="center"/>
          </w:tcPr>
          <w:p w14:paraId="1D862BD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3F4DA47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20AB214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6028758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0B31F35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B736799" w14:textId="77777777" w:rsidTr="001053AC">
        <w:trPr>
          <w:trHeight w:val="283"/>
        </w:trPr>
        <w:tc>
          <w:tcPr>
            <w:tcW w:w="1288" w:type="dxa"/>
            <w:tcBorders>
              <w:top w:val="nil"/>
              <w:bottom w:val="nil"/>
              <w:right w:val="nil"/>
            </w:tcBorders>
            <w:shd w:val="clear" w:color="auto" w:fill="auto"/>
            <w:vAlign w:val="center"/>
          </w:tcPr>
          <w:p w14:paraId="2206E2F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KILA23</w:t>
            </w:r>
          </w:p>
        </w:tc>
        <w:tc>
          <w:tcPr>
            <w:tcW w:w="1288" w:type="dxa"/>
            <w:tcBorders>
              <w:top w:val="nil"/>
              <w:left w:val="nil"/>
              <w:bottom w:val="nil"/>
              <w:right w:val="nil"/>
            </w:tcBorders>
            <w:shd w:val="clear" w:color="auto" w:fill="FFFFFF"/>
            <w:vAlign w:val="center"/>
          </w:tcPr>
          <w:p w14:paraId="7D3E65D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0.588</w:t>
            </w:r>
          </w:p>
        </w:tc>
        <w:tc>
          <w:tcPr>
            <w:tcW w:w="1288" w:type="dxa"/>
            <w:tcBorders>
              <w:top w:val="nil"/>
              <w:left w:val="nil"/>
              <w:bottom w:val="nil"/>
              <w:right w:val="nil"/>
            </w:tcBorders>
            <w:vAlign w:val="center"/>
          </w:tcPr>
          <w:p w14:paraId="5DD6AF5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right w:val="nil"/>
            </w:tcBorders>
            <w:vAlign w:val="center"/>
          </w:tcPr>
          <w:p w14:paraId="101197B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0DF60BA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32A5DD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7B5EB5D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D7BDA76" w14:textId="77777777" w:rsidTr="001053AC">
        <w:trPr>
          <w:trHeight w:val="283"/>
        </w:trPr>
        <w:tc>
          <w:tcPr>
            <w:tcW w:w="1288" w:type="dxa"/>
            <w:tcBorders>
              <w:top w:val="nil"/>
              <w:bottom w:val="nil"/>
              <w:right w:val="nil"/>
            </w:tcBorders>
            <w:shd w:val="clear" w:color="auto" w:fill="auto"/>
            <w:vAlign w:val="center"/>
          </w:tcPr>
          <w:p w14:paraId="155A5F1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KILA4</w:t>
            </w:r>
          </w:p>
        </w:tc>
        <w:tc>
          <w:tcPr>
            <w:tcW w:w="1288" w:type="dxa"/>
            <w:tcBorders>
              <w:top w:val="nil"/>
              <w:left w:val="nil"/>
              <w:bottom w:val="nil"/>
              <w:right w:val="nil"/>
            </w:tcBorders>
            <w:shd w:val="clear" w:color="auto" w:fill="FFFFFF"/>
            <w:vAlign w:val="center"/>
          </w:tcPr>
          <w:p w14:paraId="46FE5DE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0.550</w:t>
            </w:r>
          </w:p>
        </w:tc>
        <w:tc>
          <w:tcPr>
            <w:tcW w:w="1288" w:type="dxa"/>
            <w:tcBorders>
              <w:top w:val="nil"/>
              <w:left w:val="nil"/>
              <w:bottom w:val="nil"/>
              <w:right w:val="nil"/>
            </w:tcBorders>
            <w:vAlign w:val="center"/>
          </w:tcPr>
          <w:p w14:paraId="2765466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vMerge/>
            <w:tcBorders>
              <w:left w:val="nil"/>
              <w:bottom w:val="nil"/>
              <w:right w:val="nil"/>
            </w:tcBorders>
            <w:vAlign w:val="center"/>
          </w:tcPr>
          <w:p w14:paraId="7349BA7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bottom w:val="nil"/>
              <w:right w:val="nil"/>
            </w:tcBorders>
            <w:vAlign w:val="center"/>
          </w:tcPr>
          <w:p w14:paraId="6E82A4F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bottom w:val="nil"/>
              <w:right w:val="nil"/>
            </w:tcBorders>
            <w:vAlign w:val="center"/>
          </w:tcPr>
          <w:p w14:paraId="25008E9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bottom w:val="nil"/>
            </w:tcBorders>
            <w:vAlign w:val="center"/>
          </w:tcPr>
          <w:p w14:paraId="216B53D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1C0D58E" w14:textId="77777777" w:rsidTr="001053AC">
        <w:trPr>
          <w:trHeight w:val="283"/>
        </w:trPr>
        <w:tc>
          <w:tcPr>
            <w:tcW w:w="1288" w:type="dxa"/>
            <w:tcBorders>
              <w:top w:val="nil"/>
              <w:bottom w:val="nil"/>
              <w:right w:val="nil"/>
            </w:tcBorders>
            <w:shd w:val="clear" w:color="auto" w:fill="auto"/>
            <w:vAlign w:val="center"/>
          </w:tcPr>
          <w:p w14:paraId="0378B0A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KILA14</w:t>
            </w:r>
          </w:p>
        </w:tc>
        <w:tc>
          <w:tcPr>
            <w:tcW w:w="1288" w:type="dxa"/>
            <w:tcBorders>
              <w:top w:val="nil"/>
              <w:left w:val="nil"/>
              <w:bottom w:val="nil"/>
              <w:right w:val="nil"/>
            </w:tcBorders>
            <w:shd w:val="clear" w:color="auto" w:fill="FFFFFF"/>
            <w:vAlign w:val="center"/>
          </w:tcPr>
          <w:p w14:paraId="481E54C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4EA658A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0.847</w:t>
            </w:r>
          </w:p>
        </w:tc>
        <w:tc>
          <w:tcPr>
            <w:tcW w:w="1288" w:type="dxa"/>
            <w:vMerge w:val="restart"/>
            <w:tcBorders>
              <w:top w:val="nil"/>
              <w:left w:val="nil"/>
              <w:right w:val="nil"/>
            </w:tcBorders>
            <w:shd w:val="clear" w:color="auto" w:fill="FFFFFF"/>
            <w:vAlign w:val="center"/>
          </w:tcPr>
          <w:p w14:paraId="5EA34DF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0.956</w:t>
            </w:r>
          </w:p>
        </w:tc>
        <w:tc>
          <w:tcPr>
            <w:tcW w:w="1288" w:type="dxa"/>
            <w:vMerge w:val="restart"/>
            <w:tcBorders>
              <w:top w:val="nil"/>
              <w:left w:val="nil"/>
              <w:right w:val="nil"/>
            </w:tcBorders>
            <w:shd w:val="clear" w:color="auto" w:fill="FFFFFF"/>
            <w:vAlign w:val="center"/>
          </w:tcPr>
          <w:p w14:paraId="39F2D40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w:t>
            </w:r>
          </w:p>
        </w:tc>
        <w:tc>
          <w:tcPr>
            <w:tcW w:w="1288" w:type="dxa"/>
            <w:vMerge w:val="restart"/>
            <w:tcBorders>
              <w:top w:val="nil"/>
              <w:left w:val="nil"/>
              <w:right w:val="nil"/>
            </w:tcBorders>
            <w:shd w:val="clear" w:color="auto" w:fill="FFFFFF"/>
            <w:vAlign w:val="center"/>
          </w:tcPr>
          <w:p w14:paraId="33BCB51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KILAN2</w:t>
            </w:r>
          </w:p>
        </w:tc>
        <w:tc>
          <w:tcPr>
            <w:tcW w:w="1288" w:type="dxa"/>
            <w:vMerge w:val="restart"/>
            <w:tcBorders>
              <w:top w:val="nil"/>
              <w:left w:val="nil"/>
            </w:tcBorders>
            <w:shd w:val="clear" w:color="auto" w:fill="FFFFFF"/>
            <w:vAlign w:val="center"/>
          </w:tcPr>
          <w:p w14:paraId="697CBF3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Lack of security supervision</w:t>
            </w:r>
          </w:p>
        </w:tc>
      </w:tr>
      <w:tr w:rsidR="00A0618E" w:rsidRPr="00400193" w14:paraId="3B42FFD2" w14:textId="77777777" w:rsidTr="001053AC">
        <w:trPr>
          <w:trHeight w:val="283"/>
        </w:trPr>
        <w:tc>
          <w:tcPr>
            <w:tcW w:w="1288" w:type="dxa"/>
            <w:tcBorders>
              <w:top w:val="nil"/>
              <w:bottom w:val="nil"/>
              <w:right w:val="nil"/>
            </w:tcBorders>
            <w:shd w:val="clear" w:color="auto" w:fill="auto"/>
            <w:vAlign w:val="center"/>
          </w:tcPr>
          <w:p w14:paraId="0DCD9F5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KILA18</w:t>
            </w:r>
          </w:p>
        </w:tc>
        <w:tc>
          <w:tcPr>
            <w:tcW w:w="1288" w:type="dxa"/>
            <w:tcBorders>
              <w:top w:val="nil"/>
              <w:left w:val="nil"/>
              <w:bottom w:val="nil"/>
              <w:right w:val="nil"/>
            </w:tcBorders>
            <w:shd w:val="clear" w:color="auto" w:fill="FFFFFF"/>
            <w:vAlign w:val="center"/>
          </w:tcPr>
          <w:p w14:paraId="2466EF6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1BFBF72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0.839</w:t>
            </w:r>
          </w:p>
        </w:tc>
        <w:tc>
          <w:tcPr>
            <w:tcW w:w="1288" w:type="dxa"/>
            <w:vMerge/>
            <w:tcBorders>
              <w:left w:val="nil"/>
              <w:right w:val="nil"/>
            </w:tcBorders>
            <w:vAlign w:val="center"/>
          </w:tcPr>
          <w:p w14:paraId="2C4447E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286B15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144D792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7B2E536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8DA5F3C" w14:textId="77777777" w:rsidTr="001053AC">
        <w:trPr>
          <w:trHeight w:val="283"/>
        </w:trPr>
        <w:tc>
          <w:tcPr>
            <w:tcW w:w="1288" w:type="dxa"/>
            <w:tcBorders>
              <w:top w:val="nil"/>
              <w:bottom w:val="nil"/>
              <w:right w:val="nil"/>
            </w:tcBorders>
            <w:shd w:val="clear" w:color="auto" w:fill="auto"/>
            <w:vAlign w:val="center"/>
          </w:tcPr>
          <w:p w14:paraId="145CEDF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KILA15</w:t>
            </w:r>
          </w:p>
        </w:tc>
        <w:tc>
          <w:tcPr>
            <w:tcW w:w="1288" w:type="dxa"/>
            <w:tcBorders>
              <w:top w:val="nil"/>
              <w:left w:val="nil"/>
              <w:bottom w:val="nil"/>
              <w:right w:val="nil"/>
            </w:tcBorders>
            <w:shd w:val="clear" w:color="auto" w:fill="FFFFFF"/>
            <w:vAlign w:val="center"/>
          </w:tcPr>
          <w:p w14:paraId="4C20D11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2201AB4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0.828</w:t>
            </w:r>
          </w:p>
        </w:tc>
        <w:tc>
          <w:tcPr>
            <w:tcW w:w="1288" w:type="dxa"/>
            <w:vMerge/>
            <w:tcBorders>
              <w:left w:val="nil"/>
              <w:right w:val="nil"/>
            </w:tcBorders>
            <w:vAlign w:val="center"/>
          </w:tcPr>
          <w:p w14:paraId="3514B9C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727F23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284098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2E6EB9C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92B68F5" w14:textId="77777777" w:rsidTr="001053AC">
        <w:trPr>
          <w:trHeight w:val="283"/>
        </w:trPr>
        <w:tc>
          <w:tcPr>
            <w:tcW w:w="1288" w:type="dxa"/>
            <w:tcBorders>
              <w:top w:val="nil"/>
              <w:bottom w:val="nil"/>
              <w:right w:val="nil"/>
            </w:tcBorders>
            <w:shd w:val="clear" w:color="auto" w:fill="auto"/>
            <w:vAlign w:val="center"/>
          </w:tcPr>
          <w:p w14:paraId="1C846D5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KILA13</w:t>
            </w:r>
          </w:p>
        </w:tc>
        <w:tc>
          <w:tcPr>
            <w:tcW w:w="1288" w:type="dxa"/>
            <w:tcBorders>
              <w:top w:val="nil"/>
              <w:left w:val="nil"/>
              <w:bottom w:val="nil"/>
              <w:right w:val="nil"/>
            </w:tcBorders>
            <w:shd w:val="clear" w:color="auto" w:fill="FFFFFF"/>
            <w:vAlign w:val="center"/>
          </w:tcPr>
          <w:p w14:paraId="1F64908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700A768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0.811</w:t>
            </w:r>
          </w:p>
        </w:tc>
        <w:tc>
          <w:tcPr>
            <w:tcW w:w="1288" w:type="dxa"/>
            <w:vMerge/>
            <w:tcBorders>
              <w:left w:val="nil"/>
              <w:right w:val="nil"/>
            </w:tcBorders>
            <w:vAlign w:val="center"/>
          </w:tcPr>
          <w:p w14:paraId="5C71AB7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0FCC352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2820A84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07E3CC9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D6BBE08" w14:textId="77777777" w:rsidTr="001053AC">
        <w:trPr>
          <w:trHeight w:val="283"/>
        </w:trPr>
        <w:tc>
          <w:tcPr>
            <w:tcW w:w="1288" w:type="dxa"/>
            <w:tcBorders>
              <w:top w:val="nil"/>
              <w:bottom w:val="nil"/>
              <w:right w:val="nil"/>
            </w:tcBorders>
            <w:shd w:val="clear" w:color="auto" w:fill="auto"/>
            <w:vAlign w:val="center"/>
          </w:tcPr>
          <w:p w14:paraId="2166652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KILA16</w:t>
            </w:r>
          </w:p>
        </w:tc>
        <w:tc>
          <w:tcPr>
            <w:tcW w:w="1288" w:type="dxa"/>
            <w:tcBorders>
              <w:top w:val="nil"/>
              <w:left w:val="nil"/>
              <w:bottom w:val="nil"/>
              <w:right w:val="nil"/>
            </w:tcBorders>
            <w:shd w:val="clear" w:color="auto" w:fill="FFFFFF"/>
            <w:vAlign w:val="center"/>
          </w:tcPr>
          <w:p w14:paraId="704292E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450B9C8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0.751</w:t>
            </w:r>
          </w:p>
        </w:tc>
        <w:tc>
          <w:tcPr>
            <w:tcW w:w="1288" w:type="dxa"/>
            <w:vMerge/>
            <w:tcBorders>
              <w:left w:val="nil"/>
              <w:right w:val="nil"/>
            </w:tcBorders>
            <w:vAlign w:val="center"/>
          </w:tcPr>
          <w:p w14:paraId="6981192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18AE976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CF41B8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3BD09EE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1A6FC1B" w14:textId="77777777" w:rsidTr="001053AC">
        <w:trPr>
          <w:trHeight w:val="283"/>
        </w:trPr>
        <w:tc>
          <w:tcPr>
            <w:tcW w:w="1288" w:type="dxa"/>
            <w:tcBorders>
              <w:top w:val="nil"/>
              <w:bottom w:val="nil"/>
              <w:right w:val="nil"/>
            </w:tcBorders>
            <w:shd w:val="clear" w:color="auto" w:fill="auto"/>
            <w:vAlign w:val="center"/>
          </w:tcPr>
          <w:p w14:paraId="39661DC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KILA17</w:t>
            </w:r>
          </w:p>
        </w:tc>
        <w:tc>
          <w:tcPr>
            <w:tcW w:w="1288" w:type="dxa"/>
            <w:tcBorders>
              <w:top w:val="nil"/>
              <w:left w:val="nil"/>
              <w:bottom w:val="nil"/>
              <w:right w:val="nil"/>
            </w:tcBorders>
            <w:shd w:val="clear" w:color="auto" w:fill="FFFFFF"/>
            <w:vAlign w:val="center"/>
          </w:tcPr>
          <w:p w14:paraId="1D90880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4CC015C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0.716</w:t>
            </w:r>
          </w:p>
        </w:tc>
        <w:tc>
          <w:tcPr>
            <w:tcW w:w="1288" w:type="dxa"/>
            <w:vMerge/>
            <w:tcBorders>
              <w:left w:val="nil"/>
              <w:right w:val="nil"/>
            </w:tcBorders>
            <w:vAlign w:val="center"/>
          </w:tcPr>
          <w:p w14:paraId="000FDF2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BF020D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629FF1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542B715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9CFF166" w14:textId="77777777" w:rsidTr="001053AC">
        <w:trPr>
          <w:trHeight w:val="283"/>
        </w:trPr>
        <w:tc>
          <w:tcPr>
            <w:tcW w:w="1288" w:type="dxa"/>
            <w:tcBorders>
              <w:top w:val="nil"/>
              <w:bottom w:val="nil"/>
              <w:right w:val="nil"/>
            </w:tcBorders>
            <w:shd w:val="clear" w:color="auto" w:fill="auto"/>
            <w:vAlign w:val="center"/>
          </w:tcPr>
          <w:p w14:paraId="1E225CD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KILA19</w:t>
            </w:r>
          </w:p>
        </w:tc>
        <w:tc>
          <w:tcPr>
            <w:tcW w:w="1288" w:type="dxa"/>
            <w:tcBorders>
              <w:top w:val="nil"/>
              <w:left w:val="nil"/>
              <w:bottom w:val="nil"/>
              <w:right w:val="nil"/>
            </w:tcBorders>
            <w:shd w:val="clear" w:color="auto" w:fill="FFFFFF"/>
            <w:vAlign w:val="center"/>
          </w:tcPr>
          <w:p w14:paraId="274FA2E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352A589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0.713</w:t>
            </w:r>
          </w:p>
        </w:tc>
        <w:tc>
          <w:tcPr>
            <w:tcW w:w="1288" w:type="dxa"/>
            <w:vMerge/>
            <w:tcBorders>
              <w:left w:val="nil"/>
              <w:right w:val="nil"/>
            </w:tcBorders>
            <w:vAlign w:val="center"/>
          </w:tcPr>
          <w:p w14:paraId="34960B7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B4300A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47C6BB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443C568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860E528" w14:textId="77777777" w:rsidTr="001053AC">
        <w:trPr>
          <w:trHeight w:val="283"/>
        </w:trPr>
        <w:tc>
          <w:tcPr>
            <w:tcW w:w="1288" w:type="dxa"/>
            <w:tcBorders>
              <w:top w:val="nil"/>
              <w:bottom w:val="nil"/>
              <w:right w:val="nil"/>
            </w:tcBorders>
            <w:shd w:val="clear" w:color="auto" w:fill="auto"/>
            <w:vAlign w:val="center"/>
          </w:tcPr>
          <w:p w14:paraId="196CC20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KILA24</w:t>
            </w:r>
          </w:p>
        </w:tc>
        <w:tc>
          <w:tcPr>
            <w:tcW w:w="1288" w:type="dxa"/>
            <w:tcBorders>
              <w:top w:val="nil"/>
              <w:left w:val="nil"/>
              <w:bottom w:val="nil"/>
              <w:right w:val="nil"/>
            </w:tcBorders>
            <w:shd w:val="clear" w:color="auto" w:fill="FFFFFF"/>
            <w:vAlign w:val="center"/>
          </w:tcPr>
          <w:p w14:paraId="7C5C569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7D71D23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0.672</w:t>
            </w:r>
          </w:p>
        </w:tc>
        <w:tc>
          <w:tcPr>
            <w:tcW w:w="1288" w:type="dxa"/>
            <w:vMerge/>
            <w:tcBorders>
              <w:left w:val="nil"/>
              <w:right w:val="nil"/>
            </w:tcBorders>
            <w:vAlign w:val="center"/>
          </w:tcPr>
          <w:p w14:paraId="129A643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80382E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9C1812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1F83A51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0D3B46C" w14:textId="77777777" w:rsidTr="001053AC">
        <w:trPr>
          <w:trHeight w:val="283"/>
        </w:trPr>
        <w:tc>
          <w:tcPr>
            <w:tcW w:w="1288" w:type="dxa"/>
            <w:tcBorders>
              <w:top w:val="nil"/>
              <w:bottom w:val="nil"/>
              <w:right w:val="nil"/>
            </w:tcBorders>
            <w:shd w:val="clear" w:color="auto" w:fill="auto"/>
            <w:vAlign w:val="center"/>
          </w:tcPr>
          <w:p w14:paraId="5843F0C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KILA25</w:t>
            </w:r>
          </w:p>
        </w:tc>
        <w:tc>
          <w:tcPr>
            <w:tcW w:w="1288" w:type="dxa"/>
            <w:tcBorders>
              <w:top w:val="nil"/>
              <w:left w:val="nil"/>
              <w:bottom w:val="nil"/>
              <w:right w:val="nil"/>
            </w:tcBorders>
            <w:shd w:val="clear" w:color="auto" w:fill="FFFFFF"/>
            <w:vAlign w:val="center"/>
          </w:tcPr>
          <w:p w14:paraId="41797D9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bottom w:val="nil"/>
              <w:right w:val="nil"/>
            </w:tcBorders>
            <w:shd w:val="clear" w:color="auto" w:fill="FFFFFF"/>
            <w:vAlign w:val="center"/>
          </w:tcPr>
          <w:p w14:paraId="6CD45F5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0.597</w:t>
            </w:r>
          </w:p>
        </w:tc>
        <w:tc>
          <w:tcPr>
            <w:tcW w:w="1288" w:type="dxa"/>
            <w:vMerge/>
            <w:tcBorders>
              <w:left w:val="nil"/>
              <w:right w:val="nil"/>
            </w:tcBorders>
            <w:vAlign w:val="center"/>
          </w:tcPr>
          <w:p w14:paraId="2A59DFF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54F13D3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45C6ACA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71D9EFD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D12F0DA" w14:textId="77777777" w:rsidTr="001053AC">
        <w:trPr>
          <w:trHeight w:val="283"/>
        </w:trPr>
        <w:tc>
          <w:tcPr>
            <w:tcW w:w="1288" w:type="dxa"/>
            <w:tcBorders>
              <w:top w:val="nil"/>
              <w:right w:val="nil"/>
            </w:tcBorders>
            <w:shd w:val="clear" w:color="auto" w:fill="auto"/>
            <w:vAlign w:val="center"/>
          </w:tcPr>
          <w:p w14:paraId="64BD637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KILA2</w:t>
            </w:r>
          </w:p>
        </w:tc>
        <w:tc>
          <w:tcPr>
            <w:tcW w:w="1288" w:type="dxa"/>
            <w:tcBorders>
              <w:top w:val="nil"/>
              <w:left w:val="nil"/>
              <w:right w:val="nil"/>
            </w:tcBorders>
            <w:shd w:val="clear" w:color="auto" w:fill="FFFFFF"/>
            <w:vAlign w:val="center"/>
          </w:tcPr>
          <w:p w14:paraId="509E542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88" w:type="dxa"/>
            <w:tcBorders>
              <w:top w:val="nil"/>
              <w:left w:val="nil"/>
              <w:right w:val="nil"/>
            </w:tcBorders>
            <w:shd w:val="clear" w:color="auto" w:fill="FFFFFF"/>
            <w:vAlign w:val="center"/>
          </w:tcPr>
          <w:p w14:paraId="650E45C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0.535</w:t>
            </w:r>
          </w:p>
        </w:tc>
        <w:tc>
          <w:tcPr>
            <w:tcW w:w="1288" w:type="dxa"/>
            <w:vMerge/>
            <w:tcBorders>
              <w:left w:val="nil"/>
              <w:right w:val="nil"/>
            </w:tcBorders>
            <w:vAlign w:val="center"/>
          </w:tcPr>
          <w:p w14:paraId="6F981B0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395150F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right w:val="nil"/>
            </w:tcBorders>
            <w:vAlign w:val="center"/>
          </w:tcPr>
          <w:p w14:paraId="7F9C6FA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288" w:type="dxa"/>
            <w:vMerge/>
            <w:tcBorders>
              <w:left w:val="nil"/>
            </w:tcBorders>
            <w:vAlign w:val="center"/>
          </w:tcPr>
          <w:p w14:paraId="2F73EB3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5B84D41" w14:textId="77777777" w:rsidTr="00CA3079">
        <w:trPr>
          <w:trHeight w:val="283"/>
        </w:trPr>
        <w:tc>
          <w:tcPr>
            <w:tcW w:w="9016" w:type="dxa"/>
            <w:gridSpan w:val="7"/>
            <w:vAlign w:val="center"/>
          </w:tcPr>
          <w:p w14:paraId="33E22D4F" w14:textId="14A21D72" w:rsidR="006E3616" w:rsidRPr="00400193" w:rsidRDefault="006E3616" w:rsidP="001A0FC9">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p>
          <w:p w14:paraId="2AAE8F32" w14:textId="06F10725" w:rsidR="001A0FC9" w:rsidRPr="00400193" w:rsidRDefault="001A0FC9" w:rsidP="00CA3079">
            <w:pPr>
              <w:keepNext/>
              <w:spacing w:line="240" w:lineRule="auto"/>
              <w:jc w:val="left"/>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0A787329" w14:textId="11A705AF" w:rsidR="006E3616" w:rsidRPr="00400193" w:rsidRDefault="006E3616" w:rsidP="0047063F">
      <w:pPr>
        <w:pStyle w:val="Caption"/>
        <w:spacing w:after="240"/>
      </w:pPr>
      <w:bookmarkStart w:id="491" w:name="_Ref43253034"/>
      <w:bookmarkStart w:id="492" w:name="_Toc52901570"/>
      <w:r w:rsidRPr="00400193">
        <w:t xml:space="preserve">Table </w:t>
      </w:r>
      <w:r w:rsidRPr="00400193">
        <w:rPr>
          <w:b w:val="0"/>
          <w:i w:val="0"/>
          <w:iCs w:val="0"/>
        </w:rPr>
        <w:fldChar w:fldCharType="begin"/>
      </w:r>
      <w:r w:rsidRPr="00400193">
        <w:instrText xml:space="preserve"> STYLEREF 1 \s </w:instrText>
      </w:r>
      <w:r w:rsidRPr="00400193">
        <w:rPr>
          <w:b w:val="0"/>
          <w:i w:val="0"/>
          <w:iCs w:val="0"/>
        </w:rPr>
        <w:fldChar w:fldCharType="separate"/>
      </w:r>
      <w:r w:rsidR="00BB7C18">
        <w:rPr>
          <w:noProof/>
          <w:cs/>
        </w:rPr>
        <w:t>‎</w:t>
      </w:r>
      <w:r w:rsidR="00BB7C18">
        <w:rPr>
          <w:noProof/>
        </w:rPr>
        <w:t>5</w:t>
      </w:r>
      <w:r w:rsidRPr="00400193">
        <w:rPr>
          <w:b w:val="0"/>
          <w:i w:val="0"/>
          <w:iCs w:val="0"/>
        </w:rPr>
        <w:fldChar w:fldCharType="end"/>
      </w:r>
      <w:r w:rsidRPr="00400193">
        <w:noBreakHyphen/>
      </w:r>
      <w:r w:rsidRPr="00400193">
        <w:rPr>
          <w:b w:val="0"/>
          <w:i w:val="0"/>
          <w:iCs w:val="0"/>
        </w:rPr>
        <w:fldChar w:fldCharType="begin"/>
      </w:r>
      <w:r w:rsidRPr="00400193">
        <w:instrText xml:space="preserve"> SEQ Table \* ARABIC \s 1 </w:instrText>
      </w:r>
      <w:r w:rsidRPr="00400193">
        <w:rPr>
          <w:b w:val="0"/>
          <w:i w:val="0"/>
          <w:iCs w:val="0"/>
        </w:rPr>
        <w:fldChar w:fldCharType="separate"/>
      </w:r>
      <w:r w:rsidR="00BB7C18">
        <w:rPr>
          <w:noProof/>
        </w:rPr>
        <w:t>25</w:t>
      </w:r>
      <w:r w:rsidRPr="00400193">
        <w:rPr>
          <w:b w:val="0"/>
          <w:i w:val="0"/>
          <w:iCs w:val="0"/>
        </w:rPr>
        <w:fldChar w:fldCharType="end"/>
      </w:r>
      <w:bookmarkEnd w:id="491"/>
      <w:r w:rsidRPr="00400193">
        <w:t>: Cronbach’s alpha, number of questions and rotated component matrix for KILA</w:t>
      </w:r>
      <w:bookmarkEnd w:id="492"/>
    </w:p>
    <w:p w14:paraId="2E23E0B4" w14:textId="70FA3D57" w:rsidR="006E3616" w:rsidRPr="00400193" w:rsidRDefault="006E3616" w:rsidP="0047063F">
      <w:pPr>
        <w:spacing w:after="0"/>
        <w:rPr>
          <w:lang w:eastAsia="zh-CN" w:bidi="hi-IN"/>
        </w:rPr>
      </w:pPr>
      <w:r w:rsidRPr="00400193">
        <w:rPr>
          <w:lang w:eastAsia="zh-CN" w:bidi="hi-IN"/>
        </w:rPr>
        <w:fldChar w:fldCharType="begin"/>
      </w:r>
      <w:r w:rsidRPr="00400193">
        <w:rPr>
          <w:lang w:eastAsia="zh-CN" w:bidi="hi-IN"/>
        </w:rPr>
        <w:instrText xml:space="preserve"> REF _Ref43253191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26</w:t>
      </w:r>
      <w:r w:rsidRPr="00400193">
        <w:rPr>
          <w:lang w:eastAsia="zh-CN" w:bidi="hi-IN"/>
        </w:rPr>
        <w:fldChar w:fldCharType="end"/>
      </w:r>
      <w:r w:rsidRPr="00400193">
        <w:rPr>
          <w:lang w:eastAsia="zh-CN" w:bidi="hi-IN"/>
        </w:rPr>
        <w:t xml:space="preserve"> shows CR and AVE for each factor and MSW and ASV values. CR varied from 0.921 and 0.938, all higher than 0.7, and AVE ranged from 0.504 to 0.544, all higher than 0.5. MSV (0.742) &gt; AVE and ASV (0.630) &gt; AVE for both factors. There were therefore problems with discriminant validity for both factors due to the highly relation among both factors, which theoretically should not be. </w:t>
      </w:r>
    </w:p>
    <w:tbl>
      <w:tblPr>
        <w:tblStyle w:val="TableGrid"/>
        <w:tblW w:w="0" w:type="auto"/>
        <w:tblLook w:val="04A0" w:firstRow="1" w:lastRow="0" w:firstColumn="1" w:lastColumn="0" w:noHBand="0" w:noVBand="1"/>
      </w:tblPr>
      <w:tblGrid>
        <w:gridCol w:w="5807"/>
        <w:gridCol w:w="1843"/>
        <w:gridCol w:w="1366"/>
      </w:tblGrid>
      <w:tr w:rsidR="00A0618E" w:rsidRPr="00400193" w14:paraId="2689E72F" w14:textId="77777777" w:rsidTr="0047063F">
        <w:trPr>
          <w:trHeight w:val="283"/>
        </w:trPr>
        <w:tc>
          <w:tcPr>
            <w:tcW w:w="5807" w:type="dxa"/>
            <w:tcBorders>
              <w:top w:val="single" w:sz="4" w:space="0" w:color="auto"/>
              <w:left w:val="nil"/>
              <w:bottom w:val="single" w:sz="4" w:space="0" w:color="auto"/>
              <w:right w:val="nil"/>
            </w:tcBorders>
            <w:vAlign w:val="center"/>
          </w:tcPr>
          <w:p w14:paraId="31702E96"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1843" w:type="dxa"/>
            <w:tcBorders>
              <w:top w:val="single" w:sz="4" w:space="0" w:color="auto"/>
              <w:left w:val="nil"/>
              <w:bottom w:val="single" w:sz="4" w:space="0" w:color="auto"/>
              <w:right w:val="nil"/>
            </w:tcBorders>
            <w:vAlign w:val="center"/>
          </w:tcPr>
          <w:p w14:paraId="37B7F820"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1366" w:type="dxa"/>
            <w:tcBorders>
              <w:top w:val="single" w:sz="4" w:space="0" w:color="auto"/>
              <w:left w:val="nil"/>
              <w:bottom w:val="single" w:sz="4" w:space="0" w:color="auto"/>
              <w:right w:val="nil"/>
            </w:tcBorders>
            <w:vAlign w:val="center"/>
          </w:tcPr>
          <w:p w14:paraId="27B6AFFB"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r>
      <w:tr w:rsidR="00A0618E" w:rsidRPr="00400193" w14:paraId="6AA7B503" w14:textId="77777777" w:rsidTr="0047063F">
        <w:trPr>
          <w:trHeight w:val="283"/>
        </w:trPr>
        <w:tc>
          <w:tcPr>
            <w:tcW w:w="5807" w:type="dxa"/>
            <w:tcBorders>
              <w:top w:val="single" w:sz="4" w:space="0" w:color="auto"/>
              <w:left w:val="nil"/>
              <w:bottom w:val="nil"/>
              <w:right w:val="nil"/>
            </w:tcBorders>
            <w:vAlign w:val="center"/>
          </w:tcPr>
          <w:p w14:paraId="1376B5FE"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1843" w:type="dxa"/>
            <w:tcBorders>
              <w:top w:val="single" w:sz="4" w:space="0" w:color="auto"/>
              <w:left w:val="nil"/>
              <w:bottom w:val="nil"/>
              <w:right w:val="nil"/>
            </w:tcBorders>
            <w:vAlign w:val="center"/>
          </w:tcPr>
          <w:p w14:paraId="4C30826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0.938</w:t>
            </w:r>
          </w:p>
        </w:tc>
        <w:tc>
          <w:tcPr>
            <w:tcW w:w="1366" w:type="dxa"/>
            <w:tcBorders>
              <w:top w:val="single" w:sz="4" w:space="0" w:color="auto"/>
              <w:left w:val="nil"/>
              <w:bottom w:val="nil"/>
              <w:right w:val="nil"/>
            </w:tcBorders>
            <w:vAlign w:val="center"/>
          </w:tcPr>
          <w:p w14:paraId="7C086F6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0.921</w:t>
            </w:r>
          </w:p>
        </w:tc>
      </w:tr>
      <w:tr w:rsidR="00A0618E" w:rsidRPr="00400193" w14:paraId="1F415A9E" w14:textId="77777777" w:rsidTr="0047063F">
        <w:trPr>
          <w:trHeight w:val="283"/>
        </w:trPr>
        <w:tc>
          <w:tcPr>
            <w:tcW w:w="5807" w:type="dxa"/>
            <w:tcBorders>
              <w:top w:val="nil"/>
              <w:left w:val="nil"/>
              <w:bottom w:val="nil"/>
              <w:right w:val="nil"/>
            </w:tcBorders>
            <w:vAlign w:val="center"/>
          </w:tcPr>
          <w:p w14:paraId="3ED81D3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1843" w:type="dxa"/>
            <w:tcBorders>
              <w:top w:val="nil"/>
              <w:left w:val="nil"/>
              <w:bottom w:val="nil"/>
              <w:right w:val="nil"/>
            </w:tcBorders>
            <w:vAlign w:val="center"/>
          </w:tcPr>
          <w:p w14:paraId="03E59AC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0.504</w:t>
            </w:r>
          </w:p>
        </w:tc>
        <w:tc>
          <w:tcPr>
            <w:tcW w:w="1366" w:type="dxa"/>
            <w:tcBorders>
              <w:top w:val="nil"/>
              <w:left w:val="nil"/>
              <w:bottom w:val="nil"/>
              <w:right w:val="nil"/>
            </w:tcBorders>
            <w:vAlign w:val="center"/>
          </w:tcPr>
          <w:p w14:paraId="1A6E947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0.544</w:t>
            </w:r>
          </w:p>
        </w:tc>
      </w:tr>
      <w:tr w:rsidR="00A0618E" w:rsidRPr="00400193" w14:paraId="1373903F" w14:textId="77777777" w:rsidTr="0047063F">
        <w:trPr>
          <w:trHeight w:val="283"/>
        </w:trPr>
        <w:tc>
          <w:tcPr>
            <w:tcW w:w="5807" w:type="dxa"/>
            <w:tcBorders>
              <w:top w:val="nil"/>
              <w:left w:val="nil"/>
              <w:bottom w:val="nil"/>
              <w:right w:val="nil"/>
            </w:tcBorders>
            <w:vAlign w:val="center"/>
          </w:tcPr>
          <w:p w14:paraId="293E0F4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1843" w:type="dxa"/>
            <w:tcBorders>
              <w:top w:val="nil"/>
              <w:left w:val="nil"/>
              <w:bottom w:val="nil"/>
              <w:right w:val="nil"/>
            </w:tcBorders>
            <w:vAlign w:val="center"/>
          </w:tcPr>
          <w:p w14:paraId="4CDCF34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0.742</w:t>
            </w:r>
          </w:p>
        </w:tc>
        <w:tc>
          <w:tcPr>
            <w:tcW w:w="1366" w:type="dxa"/>
            <w:tcBorders>
              <w:top w:val="nil"/>
              <w:left w:val="nil"/>
              <w:bottom w:val="nil"/>
              <w:right w:val="nil"/>
            </w:tcBorders>
            <w:vAlign w:val="center"/>
          </w:tcPr>
          <w:p w14:paraId="536CE3F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20EA6D79" w14:textId="77777777" w:rsidTr="0047063F">
        <w:trPr>
          <w:trHeight w:val="283"/>
        </w:trPr>
        <w:tc>
          <w:tcPr>
            <w:tcW w:w="5807" w:type="dxa"/>
            <w:tcBorders>
              <w:top w:val="nil"/>
              <w:left w:val="nil"/>
              <w:bottom w:val="single" w:sz="4" w:space="0" w:color="auto"/>
              <w:right w:val="nil"/>
            </w:tcBorders>
            <w:vAlign w:val="center"/>
          </w:tcPr>
          <w:p w14:paraId="537175DC"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1843" w:type="dxa"/>
            <w:tcBorders>
              <w:top w:val="nil"/>
              <w:left w:val="nil"/>
              <w:bottom w:val="single" w:sz="4" w:space="0" w:color="auto"/>
              <w:right w:val="nil"/>
            </w:tcBorders>
            <w:vAlign w:val="center"/>
          </w:tcPr>
          <w:p w14:paraId="42C362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0.630</w:t>
            </w:r>
          </w:p>
        </w:tc>
        <w:tc>
          <w:tcPr>
            <w:tcW w:w="1366" w:type="dxa"/>
            <w:tcBorders>
              <w:top w:val="nil"/>
              <w:left w:val="nil"/>
              <w:right w:val="nil"/>
            </w:tcBorders>
            <w:vAlign w:val="center"/>
          </w:tcPr>
          <w:p w14:paraId="5CB4D8B5"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p>
        </w:tc>
      </w:tr>
    </w:tbl>
    <w:p w14:paraId="5C768D01" w14:textId="70E6D5C6" w:rsidR="006E3616" w:rsidRPr="00400193" w:rsidRDefault="006E3616" w:rsidP="006E3616">
      <w:pPr>
        <w:pStyle w:val="Caption"/>
        <w:spacing w:after="240"/>
      </w:pPr>
      <w:bookmarkStart w:id="493" w:name="_Ref43253191"/>
      <w:bookmarkStart w:id="494" w:name="_Toc5290157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26</w:t>
      </w:r>
      <w:r w:rsidRPr="00400193">
        <w:fldChar w:fldCharType="end"/>
      </w:r>
      <w:bookmarkEnd w:id="493"/>
      <w:r w:rsidRPr="00400193">
        <w:t>: Average variance extracted (AVE), composite reliability (CR),maximum shared variance (MSV) and average shared variance (ASV) for KILA</w:t>
      </w:r>
      <w:bookmarkEnd w:id="494"/>
    </w:p>
    <w:p w14:paraId="4B0C353B" w14:textId="63C5D4D9" w:rsidR="006E3616" w:rsidRPr="00400193" w:rsidRDefault="006E3616" w:rsidP="006E3616">
      <w:pPr>
        <w:rPr>
          <w:lang w:eastAsia="zh-CN" w:bidi="hi-IN"/>
        </w:rPr>
      </w:pPr>
      <w:r w:rsidRPr="00400193">
        <w:rPr>
          <w:lang w:eastAsia="zh-CN" w:bidi="hi-IN"/>
        </w:rPr>
        <w:lastRenderedPageBreak/>
        <w:t>Awareness of the risks is the first step to prevent or mitigate any possible breach or attacks (Amoroso, 2011). This is particularly true internally, where ‘human error’ is the biggest ingredient of risk. Some managers and employees may not even be aware of existing or common risks, very few are likely to be aware of emerging risks, and none at all of ‘hidden risks’ (Allianz, 2015).</w:t>
      </w:r>
    </w:p>
    <w:p w14:paraId="37838151" w14:textId="77777777" w:rsidR="009B134A" w:rsidRPr="00400193" w:rsidRDefault="009B134A" w:rsidP="006E3616">
      <w:pPr>
        <w:rPr>
          <w:lang w:eastAsia="zh-CN" w:bidi="hi-IN"/>
        </w:rPr>
      </w:pPr>
    </w:p>
    <w:p w14:paraId="2E62F86B" w14:textId="77777777" w:rsidR="006E3616" w:rsidRPr="00400193" w:rsidRDefault="006E3616" w:rsidP="009B134A">
      <w:pPr>
        <w:pStyle w:val="Heading3"/>
        <w:spacing w:after="240"/>
        <w:rPr>
          <w:lang w:eastAsia="zh-CN" w:bidi="hi-IN"/>
        </w:rPr>
      </w:pPr>
      <w:bookmarkStart w:id="495" w:name="_Toc61894758"/>
      <w:r w:rsidRPr="00400193">
        <w:rPr>
          <w:lang w:eastAsia="zh-CN" w:bidi="hi-IN"/>
        </w:rPr>
        <w:t>Key Internal Threats - Risk Culture and Laziness (KIRC)</w:t>
      </w:r>
      <w:bookmarkEnd w:id="495"/>
    </w:p>
    <w:p w14:paraId="25E0EE80" w14:textId="6EC80AAE"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_Ref43253278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27</w:t>
      </w:r>
      <w:r w:rsidRPr="00400193">
        <w:rPr>
          <w:lang w:eastAsia="zh-CN" w:bidi="hi-IN"/>
        </w:rPr>
        <w:fldChar w:fldCharType="end"/>
      </w:r>
      <w:r w:rsidRPr="00400193">
        <w:rPr>
          <w:lang w:eastAsia="zh-CN" w:bidi="hi-IN"/>
        </w:rPr>
        <w:t xml:space="preserve">) explains the selection of one main component, which </w:t>
      </w:r>
      <w:r w:rsidR="001F0C59" w:rsidRPr="00400193">
        <w:rPr>
          <w:lang w:eastAsia="zh-CN" w:bidi="hi-IN"/>
        </w:rPr>
        <w:t>make up</w:t>
      </w:r>
      <w:r w:rsidR="001F0C59" w:rsidRPr="00400193" w:rsidDel="001F0C59">
        <w:rPr>
          <w:lang w:eastAsia="zh-CN" w:bidi="hi-IN"/>
        </w:rPr>
        <w:t xml:space="preserve"> </w:t>
      </w:r>
      <w:r w:rsidRPr="00400193">
        <w:rPr>
          <w:lang w:eastAsia="zh-CN" w:bidi="hi-IN"/>
        </w:rPr>
        <w:t>70.1% of the variance. This results in the loss of 29.9% of the original information from the 18 initial variables. The first component drew on 12.6 variables.</w:t>
      </w:r>
    </w:p>
    <w:tbl>
      <w:tblPr>
        <w:tblStyle w:val="TableGrid"/>
        <w:tblW w:w="0" w:type="auto"/>
        <w:tblLook w:val="04A0" w:firstRow="1" w:lastRow="0" w:firstColumn="1" w:lastColumn="0" w:noHBand="0" w:noVBand="1"/>
      </w:tblPr>
      <w:tblGrid>
        <w:gridCol w:w="1234"/>
        <w:gridCol w:w="1143"/>
        <w:gridCol w:w="1217"/>
        <w:gridCol w:w="1659"/>
        <w:gridCol w:w="1143"/>
        <w:gridCol w:w="1170"/>
        <w:gridCol w:w="1450"/>
      </w:tblGrid>
      <w:tr w:rsidR="00A0618E" w:rsidRPr="00400193" w14:paraId="1B371624" w14:textId="77777777" w:rsidTr="0047063F">
        <w:trPr>
          <w:trHeight w:val="283"/>
        </w:trPr>
        <w:tc>
          <w:tcPr>
            <w:tcW w:w="1234" w:type="dxa"/>
            <w:vMerge w:val="restart"/>
            <w:tcBorders>
              <w:left w:val="nil"/>
              <w:right w:val="single" w:sz="4" w:space="0" w:color="FFFFFF" w:themeColor="background1"/>
            </w:tcBorders>
            <w:vAlign w:val="center"/>
          </w:tcPr>
          <w:p w14:paraId="412A5E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Latent Variables</w:t>
            </w:r>
          </w:p>
        </w:tc>
        <w:tc>
          <w:tcPr>
            <w:tcW w:w="4019" w:type="dxa"/>
            <w:gridSpan w:val="3"/>
            <w:tcBorders>
              <w:left w:val="single" w:sz="4" w:space="0" w:color="FFFFFF" w:themeColor="background1"/>
              <w:bottom w:val="nil"/>
              <w:right w:val="single" w:sz="4" w:space="0" w:color="FFFFFF" w:themeColor="background1"/>
            </w:tcBorders>
            <w:vAlign w:val="center"/>
          </w:tcPr>
          <w:p w14:paraId="11865799"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Initial Eigenvalues</w:t>
            </w:r>
          </w:p>
        </w:tc>
        <w:tc>
          <w:tcPr>
            <w:tcW w:w="3763" w:type="dxa"/>
            <w:gridSpan w:val="3"/>
            <w:tcBorders>
              <w:left w:val="single" w:sz="4" w:space="0" w:color="FFFFFF" w:themeColor="background1"/>
              <w:bottom w:val="nil"/>
              <w:right w:val="nil"/>
            </w:tcBorders>
            <w:vAlign w:val="center"/>
          </w:tcPr>
          <w:p w14:paraId="69DB401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Extraction Sums of Squared Loadings</w:t>
            </w:r>
          </w:p>
        </w:tc>
      </w:tr>
      <w:tr w:rsidR="00A0618E" w:rsidRPr="00400193" w14:paraId="1115B1C0" w14:textId="77777777" w:rsidTr="0047063F">
        <w:trPr>
          <w:trHeight w:val="283"/>
        </w:trPr>
        <w:tc>
          <w:tcPr>
            <w:tcW w:w="1234" w:type="dxa"/>
            <w:vMerge/>
            <w:tcBorders>
              <w:left w:val="nil"/>
              <w:right w:val="single" w:sz="4" w:space="0" w:color="FFFFFF" w:themeColor="background1"/>
            </w:tcBorders>
            <w:vAlign w:val="center"/>
          </w:tcPr>
          <w:p w14:paraId="2B591DC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143" w:type="dxa"/>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14D70AD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217" w:type="dxa"/>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18C7CD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 of Variance</w:t>
            </w:r>
          </w:p>
        </w:tc>
        <w:tc>
          <w:tcPr>
            <w:tcW w:w="1659" w:type="dxa"/>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4431AFD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Cumulative %</w:t>
            </w:r>
          </w:p>
        </w:tc>
        <w:tc>
          <w:tcPr>
            <w:tcW w:w="1143" w:type="dxa"/>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41339E0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170" w:type="dxa"/>
            <w:tcBorders>
              <w:top w:val="nil"/>
              <w:left w:val="single" w:sz="4" w:space="0" w:color="FFFFFF" w:themeColor="background1"/>
              <w:bottom w:val="single" w:sz="4" w:space="0" w:color="auto"/>
              <w:right w:val="single" w:sz="4" w:space="0" w:color="FFFFFF" w:themeColor="background1"/>
            </w:tcBorders>
            <w:shd w:val="clear" w:color="auto" w:fill="auto"/>
            <w:vAlign w:val="center"/>
          </w:tcPr>
          <w:p w14:paraId="7443357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 of Variance</w:t>
            </w:r>
          </w:p>
        </w:tc>
        <w:tc>
          <w:tcPr>
            <w:tcW w:w="1450" w:type="dxa"/>
            <w:tcBorders>
              <w:top w:val="nil"/>
              <w:left w:val="single" w:sz="4" w:space="0" w:color="FFFFFF" w:themeColor="background1"/>
              <w:bottom w:val="single" w:sz="4" w:space="0" w:color="auto"/>
              <w:right w:val="nil"/>
            </w:tcBorders>
            <w:shd w:val="clear" w:color="auto" w:fill="auto"/>
            <w:vAlign w:val="center"/>
          </w:tcPr>
          <w:p w14:paraId="5167AAF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Cumulative %</w:t>
            </w:r>
          </w:p>
        </w:tc>
      </w:tr>
      <w:tr w:rsidR="00A0618E" w:rsidRPr="00400193" w14:paraId="5BE12D16" w14:textId="77777777" w:rsidTr="0047063F">
        <w:trPr>
          <w:trHeight w:val="283"/>
        </w:trPr>
        <w:tc>
          <w:tcPr>
            <w:tcW w:w="1234" w:type="dxa"/>
            <w:tcBorders>
              <w:top w:val="single" w:sz="4" w:space="0" w:color="auto"/>
              <w:left w:val="nil"/>
              <w:bottom w:val="single" w:sz="8" w:space="0" w:color="AEAEAE"/>
              <w:right w:val="single" w:sz="4" w:space="0" w:color="FFFFFF" w:themeColor="background1"/>
            </w:tcBorders>
            <w:shd w:val="clear" w:color="auto" w:fill="auto"/>
            <w:vAlign w:val="center"/>
          </w:tcPr>
          <w:p w14:paraId="0850D03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43" w:type="dxa"/>
            <w:tcBorders>
              <w:top w:val="single" w:sz="4" w:space="0" w:color="auto"/>
              <w:left w:val="single" w:sz="4" w:space="0" w:color="FFFFFF" w:themeColor="background1"/>
              <w:bottom w:val="single" w:sz="8" w:space="0" w:color="AEAEAE"/>
              <w:right w:val="single" w:sz="4" w:space="0" w:color="FFFFFF" w:themeColor="background1"/>
            </w:tcBorders>
            <w:shd w:val="clear" w:color="auto" w:fill="auto"/>
            <w:vAlign w:val="center"/>
          </w:tcPr>
          <w:p w14:paraId="1F4FBF8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12.614</w:t>
            </w:r>
          </w:p>
        </w:tc>
        <w:tc>
          <w:tcPr>
            <w:tcW w:w="1217" w:type="dxa"/>
            <w:tcBorders>
              <w:top w:val="single" w:sz="4" w:space="0" w:color="auto"/>
              <w:left w:val="single" w:sz="4" w:space="0" w:color="FFFFFF" w:themeColor="background1"/>
              <w:bottom w:val="single" w:sz="8" w:space="0" w:color="AEAEAE"/>
              <w:right w:val="single" w:sz="4" w:space="0" w:color="FFFFFF" w:themeColor="background1"/>
            </w:tcBorders>
            <w:shd w:val="clear" w:color="auto" w:fill="auto"/>
            <w:vAlign w:val="center"/>
          </w:tcPr>
          <w:p w14:paraId="517405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70.077</w:t>
            </w:r>
          </w:p>
        </w:tc>
        <w:tc>
          <w:tcPr>
            <w:tcW w:w="1659" w:type="dxa"/>
            <w:tcBorders>
              <w:top w:val="single" w:sz="4" w:space="0" w:color="auto"/>
              <w:left w:val="single" w:sz="4" w:space="0" w:color="FFFFFF" w:themeColor="background1"/>
              <w:bottom w:val="single" w:sz="8" w:space="0" w:color="AEAEAE"/>
              <w:right w:val="single" w:sz="4" w:space="0" w:color="FFFFFF" w:themeColor="background1"/>
            </w:tcBorders>
            <w:shd w:val="clear" w:color="auto" w:fill="auto"/>
            <w:vAlign w:val="center"/>
          </w:tcPr>
          <w:p w14:paraId="6B1215B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70.077</w:t>
            </w:r>
          </w:p>
        </w:tc>
        <w:tc>
          <w:tcPr>
            <w:tcW w:w="1143" w:type="dxa"/>
            <w:tcBorders>
              <w:top w:val="single" w:sz="4" w:space="0" w:color="auto"/>
              <w:left w:val="single" w:sz="4" w:space="0" w:color="FFFFFF" w:themeColor="background1"/>
              <w:bottom w:val="single" w:sz="8" w:space="0" w:color="AEAEAE"/>
              <w:right w:val="single" w:sz="4" w:space="0" w:color="FFFFFF" w:themeColor="background1"/>
            </w:tcBorders>
            <w:shd w:val="clear" w:color="auto" w:fill="auto"/>
            <w:vAlign w:val="center"/>
          </w:tcPr>
          <w:p w14:paraId="2FD75E2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12.614</w:t>
            </w:r>
          </w:p>
        </w:tc>
        <w:tc>
          <w:tcPr>
            <w:tcW w:w="1170" w:type="dxa"/>
            <w:tcBorders>
              <w:top w:val="single" w:sz="4" w:space="0" w:color="auto"/>
              <w:left w:val="single" w:sz="4" w:space="0" w:color="FFFFFF" w:themeColor="background1"/>
              <w:bottom w:val="single" w:sz="8" w:space="0" w:color="AEAEAE"/>
              <w:right w:val="single" w:sz="4" w:space="0" w:color="FFFFFF" w:themeColor="background1"/>
            </w:tcBorders>
            <w:shd w:val="clear" w:color="auto" w:fill="auto"/>
            <w:vAlign w:val="center"/>
          </w:tcPr>
          <w:p w14:paraId="7442D34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70.077</w:t>
            </w:r>
          </w:p>
        </w:tc>
        <w:tc>
          <w:tcPr>
            <w:tcW w:w="1450" w:type="dxa"/>
            <w:tcBorders>
              <w:top w:val="single" w:sz="4" w:space="0" w:color="auto"/>
              <w:left w:val="single" w:sz="4" w:space="0" w:color="FFFFFF" w:themeColor="background1"/>
              <w:bottom w:val="single" w:sz="8" w:space="0" w:color="AEAEAE"/>
              <w:right w:val="nil"/>
            </w:tcBorders>
            <w:shd w:val="clear" w:color="auto" w:fill="auto"/>
            <w:vAlign w:val="center"/>
          </w:tcPr>
          <w:p w14:paraId="42AF587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70.077</w:t>
            </w:r>
          </w:p>
        </w:tc>
      </w:tr>
      <w:tr w:rsidR="00A0618E" w:rsidRPr="00400193" w14:paraId="73B4F814" w14:textId="77777777" w:rsidTr="0047063F">
        <w:trPr>
          <w:trHeight w:val="283"/>
        </w:trPr>
        <w:tc>
          <w:tcPr>
            <w:tcW w:w="1234" w:type="dxa"/>
            <w:tcBorders>
              <w:top w:val="single" w:sz="8" w:space="0" w:color="AEAEAE"/>
              <w:left w:val="nil"/>
              <w:bottom w:val="single" w:sz="8" w:space="0" w:color="AEAEAE"/>
              <w:right w:val="single" w:sz="4" w:space="0" w:color="FFFFFF" w:themeColor="background1"/>
            </w:tcBorders>
            <w:shd w:val="clear" w:color="auto" w:fill="auto"/>
            <w:vAlign w:val="center"/>
          </w:tcPr>
          <w:p w14:paraId="688B81C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43" w:type="dxa"/>
            <w:tcBorders>
              <w:top w:val="single" w:sz="8" w:space="0" w:color="AEAEAE"/>
              <w:left w:val="single" w:sz="4" w:space="0" w:color="FFFFFF" w:themeColor="background1"/>
              <w:bottom w:val="single" w:sz="8" w:space="0" w:color="AEAEAE"/>
              <w:right w:val="single" w:sz="4" w:space="0" w:color="FFFFFF" w:themeColor="background1"/>
            </w:tcBorders>
            <w:shd w:val="clear" w:color="auto" w:fill="auto"/>
            <w:vAlign w:val="center"/>
          </w:tcPr>
          <w:p w14:paraId="4AFD9E0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0.740</w:t>
            </w:r>
          </w:p>
        </w:tc>
        <w:tc>
          <w:tcPr>
            <w:tcW w:w="1217" w:type="dxa"/>
            <w:tcBorders>
              <w:top w:val="single" w:sz="8" w:space="0" w:color="AEAEAE"/>
              <w:left w:val="single" w:sz="4" w:space="0" w:color="FFFFFF" w:themeColor="background1"/>
              <w:bottom w:val="single" w:sz="8" w:space="0" w:color="AEAEAE"/>
              <w:right w:val="single" w:sz="4" w:space="0" w:color="FFFFFF" w:themeColor="background1"/>
            </w:tcBorders>
            <w:shd w:val="clear" w:color="auto" w:fill="auto"/>
            <w:vAlign w:val="center"/>
          </w:tcPr>
          <w:p w14:paraId="7EA384D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4.109</w:t>
            </w:r>
          </w:p>
        </w:tc>
        <w:tc>
          <w:tcPr>
            <w:tcW w:w="1659" w:type="dxa"/>
            <w:tcBorders>
              <w:top w:val="single" w:sz="8" w:space="0" w:color="AEAEAE"/>
              <w:left w:val="single" w:sz="4" w:space="0" w:color="FFFFFF" w:themeColor="background1"/>
              <w:bottom w:val="single" w:sz="8" w:space="0" w:color="AEAEAE"/>
              <w:right w:val="single" w:sz="4" w:space="0" w:color="FFFFFF" w:themeColor="background1"/>
            </w:tcBorders>
            <w:shd w:val="clear" w:color="auto" w:fill="auto"/>
            <w:vAlign w:val="center"/>
          </w:tcPr>
          <w:p w14:paraId="622C55A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74.186</w:t>
            </w:r>
          </w:p>
        </w:tc>
        <w:tc>
          <w:tcPr>
            <w:tcW w:w="1143" w:type="dxa"/>
            <w:tcBorders>
              <w:top w:val="single" w:sz="8" w:space="0" w:color="AEAEAE"/>
              <w:left w:val="single" w:sz="4" w:space="0" w:color="FFFFFF" w:themeColor="background1"/>
              <w:bottom w:val="single" w:sz="8" w:space="0" w:color="AEAEAE"/>
              <w:right w:val="single" w:sz="4" w:space="0" w:color="FFFFFF" w:themeColor="background1"/>
            </w:tcBorders>
            <w:shd w:val="clear" w:color="auto" w:fill="auto"/>
            <w:vAlign w:val="center"/>
          </w:tcPr>
          <w:p w14:paraId="59DF5D0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170" w:type="dxa"/>
            <w:tcBorders>
              <w:top w:val="single" w:sz="8" w:space="0" w:color="AEAEAE"/>
              <w:left w:val="single" w:sz="4" w:space="0" w:color="FFFFFF" w:themeColor="background1"/>
              <w:bottom w:val="single" w:sz="8" w:space="0" w:color="AEAEAE"/>
              <w:right w:val="single" w:sz="4" w:space="0" w:color="FFFFFF" w:themeColor="background1"/>
            </w:tcBorders>
            <w:shd w:val="clear" w:color="auto" w:fill="auto"/>
            <w:vAlign w:val="center"/>
          </w:tcPr>
          <w:p w14:paraId="6901DD6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450" w:type="dxa"/>
            <w:tcBorders>
              <w:top w:val="single" w:sz="8" w:space="0" w:color="AEAEAE"/>
              <w:left w:val="single" w:sz="4" w:space="0" w:color="FFFFFF" w:themeColor="background1"/>
              <w:bottom w:val="single" w:sz="8" w:space="0" w:color="AEAEAE"/>
              <w:right w:val="nil"/>
            </w:tcBorders>
            <w:shd w:val="clear" w:color="auto" w:fill="auto"/>
            <w:vAlign w:val="center"/>
          </w:tcPr>
          <w:p w14:paraId="07982AF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4C532434" w14:textId="77777777" w:rsidTr="0047063F">
        <w:trPr>
          <w:trHeight w:val="283"/>
        </w:trPr>
        <w:tc>
          <w:tcPr>
            <w:tcW w:w="9016" w:type="dxa"/>
            <w:gridSpan w:val="7"/>
            <w:tcBorders>
              <w:top w:val="single" w:sz="8" w:space="0" w:color="AEAEAE"/>
              <w:left w:val="nil"/>
              <w:bottom w:val="single" w:sz="8" w:space="0" w:color="AEAEAE"/>
              <w:right w:val="nil"/>
            </w:tcBorders>
            <w:shd w:val="clear" w:color="auto" w:fill="auto"/>
          </w:tcPr>
          <w:p w14:paraId="009E19DF" w14:textId="77777777" w:rsidR="006E3616" w:rsidRPr="00400193" w:rsidRDefault="006E3616" w:rsidP="003B5486">
            <w:pPr>
              <w:keepNext/>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Extraction Method: Principal Component Analysis</w:t>
            </w:r>
          </w:p>
        </w:tc>
      </w:tr>
    </w:tbl>
    <w:p w14:paraId="2CA0AE78" w14:textId="18BDD3CF" w:rsidR="006E3616" w:rsidRPr="00400193" w:rsidRDefault="006E3616" w:rsidP="009B134A">
      <w:pPr>
        <w:pStyle w:val="Caption"/>
        <w:spacing w:after="240"/>
      </w:pPr>
      <w:bookmarkStart w:id="496" w:name="_Ref43253278"/>
      <w:bookmarkStart w:id="497" w:name="_Toc5290157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27</w:t>
      </w:r>
      <w:r w:rsidRPr="00400193">
        <w:fldChar w:fldCharType="end"/>
      </w:r>
      <w:bookmarkEnd w:id="496"/>
      <w:r w:rsidRPr="00400193">
        <w:t>: Total variance explained by the components of KIRC</w:t>
      </w:r>
      <w:bookmarkEnd w:id="497"/>
      <w:r w:rsidRPr="00400193">
        <w:t xml:space="preserve"> </w:t>
      </w:r>
    </w:p>
    <w:p w14:paraId="79B68A2E" w14:textId="77777777" w:rsidR="009B134A" w:rsidRPr="00400193" w:rsidRDefault="009B134A" w:rsidP="009B134A"/>
    <w:p w14:paraId="00F5C7E5" w14:textId="73C57CC5" w:rsidR="006E3616" w:rsidRPr="00400193" w:rsidRDefault="006E3616" w:rsidP="009B134A">
      <w:pPr>
        <w:spacing w:before="240"/>
        <w:rPr>
          <w:lang w:eastAsia="zh-CN" w:bidi="hi-IN"/>
        </w:rPr>
      </w:pPr>
      <w:r w:rsidRPr="00400193">
        <w:rPr>
          <w:lang w:eastAsia="zh-CN" w:bidi="hi-IN"/>
        </w:rPr>
        <w:t>The KMO value of 0.934 obtained was within the range for factor analysis (0.5–1.0). Bartlett’s test of sphericity gave a Chi-square value of 2049.2 with 153 degrees of freedom and was significant at ≤0.001 (</w:t>
      </w:r>
      <w:r w:rsidRPr="00400193">
        <w:rPr>
          <w:lang w:eastAsia="zh-CN" w:bidi="hi-IN"/>
        </w:rPr>
        <w:fldChar w:fldCharType="begin"/>
      </w:r>
      <w:r w:rsidRPr="00400193">
        <w:rPr>
          <w:lang w:eastAsia="zh-CN" w:bidi="hi-IN"/>
        </w:rPr>
        <w:instrText xml:space="preserve"> REF _Ref43253343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28</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390"/>
        <w:gridCol w:w="2976"/>
        <w:gridCol w:w="1650"/>
      </w:tblGrid>
      <w:tr w:rsidR="00A0618E" w:rsidRPr="00400193" w14:paraId="77514303" w14:textId="77777777" w:rsidTr="009B134A">
        <w:trPr>
          <w:trHeight w:val="283"/>
        </w:trPr>
        <w:tc>
          <w:tcPr>
            <w:tcW w:w="7366" w:type="dxa"/>
            <w:gridSpan w:val="2"/>
            <w:tcBorders>
              <w:top w:val="single" w:sz="4" w:space="0" w:color="auto"/>
              <w:left w:val="nil"/>
              <w:bottom w:val="single" w:sz="4" w:space="0" w:color="auto"/>
              <w:right w:val="nil"/>
            </w:tcBorders>
            <w:shd w:val="clear" w:color="auto" w:fill="auto"/>
          </w:tcPr>
          <w:p w14:paraId="70024CBE"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650" w:type="dxa"/>
            <w:tcBorders>
              <w:top w:val="single" w:sz="4" w:space="0" w:color="auto"/>
              <w:left w:val="nil"/>
              <w:bottom w:val="single" w:sz="4" w:space="0" w:color="auto"/>
              <w:right w:val="nil"/>
            </w:tcBorders>
            <w:shd w:val="clear" w:color="auto" w:fill="auto"/>
            <w:vAlign w:val="center"/>
          </w:tcPr>
          <w:p w14:paraId="234709D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0.934</w:t>
            </w:r>
          </w:p>
        </w:tc>
      </w:tr>
      <w:tr w:rsidR="00A0618E" w:rsidRPr="00400193" w14:paraId="67D7E01D" w14:textId="77777777" w:rsidTr="009B134A">
        <w:trPr>
          <w:trHeight w:val="283"/>
        </w:trPr>
        <w:tc>
          <w:tcPr>
            <w:tcW w:w="4390" w:type="dxa"/>
            <w:vMerge w:val="restart"/>
            <w:tcBorders>
              <w:top w:val="single" w:sz="4" w:space="0" w:color="auto"/>
              <w:left w:val="nil"/>
              <w:right w:val="nil"/>
            </w:tcBorders>
            <w:shd w:val="clear" w:color="auto" w:fill="auto"/>
            <w:vAlign w:val="center"/>
          </w:tcPr>
          <w:p w14:paraId="0384B5F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976" w:type="dxa"/>
            <w:tcBorders>
              <w:top w:val="single" w:sz="4" w:space="0" w:color="auto"/>
              <w:left w:val="nil"/>
              <w:bottom w:val="single" w:sz="8" w:space="0" w:color="AEAEAE"/>
              <w:right w:val="nil"/>
            </w:tcBorders>
            <w:shd w:val="clear" w:color="auto" w:fill="auto"/>
            <w:vAlign w:val="center"/>
          </w:tcPr>
          <w:p w14:paraId="154673F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650" w:type="dxa"/>
            <w:tcBorders>
              <w:top w:val="single" w:sz="4" w:space="0" w:color="auto"/>
              <w:left w:val="nil"/>
              <w:bottom w:val="single" w:sz="8" w:space="0" w:color="AEAEAE"/>
              <w:right w:val="nil"/>
            </w:tcBorders>
            <w:shd w:val="clear" w:color="auto" w:fill="auto"/>
            <w:vAlign w:val="center"/>
          </w:tcPr>
          <w:p w14:paraId="4ADBA86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2049.2</w:t>
            </w:r>
          </w:p>
        </w:tc>
      </w:tr>
      <w:tr w:rsidR="00A0618E" w:rsidRPr="00400193" w14:paraId="5129DC65" w14:textId="77777777" w:rsidTr="009B134A">
        <w:trPr>
          <w:trHeight w:val="283"/>
        </w:trPr>
        <w:tc>
          <w:tcPr>
            <w:tcW w:w="4390" w:type="dxa"/>
            <w:vMerge/>
            <w:tcBorders>
              <w:left w:val="nil"/>
              <w:right w:val="nil"/>
            </w:tcBorders>
          </w:tcPr>
          <w:p w14:paraId="5FBDA5EE"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976" w:type="dxa"/>
            <w:tcBorders>
              <w:top w:val="single" w:sz="8" w:space="0" w:color="AEAEAE"/>
              <w:left w:val="nil"/>
              <w:bottom w:val="single" w:sz="8" w:space="0" w:color="AEAEAE"/>
              <w:right w:val="nil"/>
            </w:tcBorders>
            <w:shd w:val="clear" w:color="auto" w:fill="auto"/>
            <w:vAlign w:val="center"/>
          </w:tcPr>
          <w:p w14:paraId="09937CCC"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650" w:type="dxa"/>
            <w:tcBorders>
              <w:top w:val="single" w:sz="8" w:space="0" w:color="AEAEAE"/>
              <w:left w:val="nil"/>
              <w:bottom w:val="single" w:sz="8" w:space="0" w:color="AEAEAE"/>
              <w:right w:val="nil"/>
            </w:tcBorders>
            <w:shd w:val="clear" w:color="auto" w:fill="auto"/>
            <w:vAlign w:val="center"/>
          </w:tcPr>
          <w:p w14:paraId="7A274FB5"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153</w:t>
            </w:r>
          </w:p>
        </w:tc>
      </w:tr>
      <w:tr w:rsidR="00A0618E" w:rsidRPr="00400193" w14:paraId="4EF06C6A" w14:textId="77777777" w:rsidTr="009B134A">
        <w:trPr>
          <w:trHeight w:val="283"/>
        </w:trPr>
        <w:tc>
          <w:tcPr>
            <w:tcW w:w="4390" w:type="dxa"/>
            <w:vMerge/>
            <w:tcBorders>
              <w:left w:val="nil"/>
              <w:right w:val="nil"/>
            </w:tcBorders>
          </w:tcPr>
          <w:p w14:paraId="4DF90275"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976" w:type="dxa"/>
            <w:tcBorders>
              <w:top w:val="single" w:sz="8" w:space="0" w:color="AEAEAE"/>
              <w:left w:val="nil"/>
              <w:bottom w:val="single" w:sz="4" w:space="0" w:color="auto"/>
              <w:right w:val="nil"/>
            </w:tcBorders>
            <w:shd w:val="clear" w:color="auto" w:fill="auto"/>
            <w:vAlign w:val="center"/>
          </w:tcPr>
          <w:p w14:paraId="64E00E54"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650" w:type="dxa"/>
            <w:tcBorders>
              <w:top w:val="single" w:sz="8" w:space="0" w:color="AEAEAE"/>
              <w:left w:val="nil"/>
              <w:bottom w:val="single" w:sz="4" w:space="0" w:color="auto"/>
              <w:right w:val="nil"/>
            </w:tcBorders>
            <w:shd w:val="clear" w:color="auto" w:fill="auto"/>
            <w:vAlign w:val="center"/>
          </w:tcPr>
          <w:p w14:paraId="0292A5D4"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87BF367" w14:textId="3B8642F2" w:rsidR="006E3616" w:rsidRPr="00400193" w:rsidRDefault="006E3616" w:rsidP="006E3616">
      <w:pPr>
        <w:pStyle w:val="Caption"/>
        <w:spacing w:after="240"/>
      </w:pPr>
      <w:bookmarkStart w:id="498" w:name="_Ref43253343"/>
      <w:bookmarkStart w:id="499" w:name="_Toc5290157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28</w:t>
      </w:r>
      <w:r w:rsidRPr="00400193">
        <w:fldChar w:fldCharType="end"/>
      </w:r>
      <w:bookmarkEnd w:id="498"/>
      <w:r w:rsidRPr="00400193">
        <w:t>: Kaiser–Meyer–Olkin test and Bartlett's test of sphericity for KIRC</w:t>
      </w:r>
      <w:bookmarkEnd w:id="499"/>
      <w:r w:rsidRPr="00400193">
        <w:t xml:space="preserve"> </w:t>
      </w:r>
    </w:p>
    <w:p w14:paraId="7BD8483E" w14:textId="4E293774" w:rsidR="009B134A" w:rsidRPr="00400193" w:rsidRDefault="006E3616" w:rsidP="009B134A">
      <w:pPr>
        <w:spacing w:before="240"/>
        <w:rPr>
          <w:lang w:eastAsia="zh-CN" w:bidi="hi-IN"/>
        </w:rPr>
      </w:pPr>
      <w:r w:rsidRPr="00400193">
        <w:rPr>
          <w:lang w:eastAsia="zh-CN" w:bidi="hi-IN"/>
        </w:rPr>
        <w:fldChar w:fldCharType="begin"/>
      </w:r>
      <w:r w:rsidRPr="00400193">
        <w:rPr>
          <w:lang w:eastAsia="zh-CN" w:bidi="hi-IN"/>
        </w:rPr>
        <w:instrText xml:space="preserve"> REF _Ref43253375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29</w:t>
      </w:r>
      <w:r w:rsidRPr="00400193">
        <w:rPr>
          <w:lang w:eastAsia="zh-CN" w:bidi="hi-IN"/>
        </w:rPr>
        <w:fldChar w:fldCharType="end"/>
      </w:r>
      <w:r w:rsidRPr="00400193">
        <w:rPr>
          <w:lang w:eastAsia="zh-CN" w:bidi="hi-IN"/>
        </w:rPr>
        <w:t xml:space="preserve"> shows the factor loads, which were all higher than 0.7.</w:t>
      </w:r>
      <w:r w:rsidR="009B134A" w:rsidRPr="00400193">
        <w:rPr>
          <w:lang w:eastAsia="zh-CN" w:bidi="hi-IN"/>
        </w:rPr>
        <w:t xml:space="preserve"> There was only one new latent cluster for Key Internal Threats - Risk Culture and Laziness (KIRC), with 18 variables allocated to it (KIRCN1). It was therefore described as ‘risk culture and laziness’. The cluster had a reliability of &gt;0.98, which was excellent (</w:t>
      </w:r>
      <w:r w:rsidR="009B134A" w:rsidRPr="00400193">
        <w:rPr>
          <w:lang w:eastAsia="zh-CN" w:bidi="hi-IN"/>
        </w:rPr>
        <w:fldChar w:fldCharType="begin"/>
      </w:r>
      <w:r w:rsidR="009B134A" w:rsidRPr="00400193">
        <w:rPr>
          <w:lang w:eastAsia="zh-CN" w:bidi="hi-IN"/>
        </w:rPr>
        <w:instrText xml:space="preserve"> REF _Ref43253375 \h </w:instrText>
      </w:r>
      <w:r w:rsidR="009B134A" w:rsidRPr="00400193">
        <w:rPr>
          <w:lang w:eastAsia="zh-CN" w:bidi="hi-IN"/>
        </w:rPr>
      </w:r>
      <w:r w:rsidR="009B134A"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29</w:t>
      </w:r>
      <w:r w:rsidR="009B134A" w:rsidRPr="00400193">
        <w:rPr>
          <w:lang w:eastAsia="zh-CN" w:bidi="hi-IN"/>
        </w:rPr>
        <w:fldChar w:fldCharType="end"/>
      </w:r>
      <w:r w:rsidR="009B134A" w:rsidRPr="00400193">
        <w:rPr>
          <w:lang w:eastAsia="zh-CN" w:bidi="hi-IN"/>
        </w:rPr>
        <w:t>).</w:t>
      </w:r>
    </w:p>
    <w:p w14:paraId="46359F8B" w14:textId="33587679" w:rsidR="006E3616" w:rsidRPr="00400193" w:rsidRDefault="006E3616" w:rsidP="006E3616">
      <w:pPr>
        <w:rPr>
          <w:lang w:eastAsia="zh-CN" w:bidi="hi-IN"/>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2"/>
        <w:gridCol w:w="1502"/>
        <w:gridCol w:w="1503"/>
        <w:gridCol w:w="1503"/>
        <w:gridCol w:w="1503"/>
        <w:gridCol w:w="1503"/>
      </w:tblGrid>
      <w:tr w:rsidR="00A0618E" w:rsidRPr="00400193" w14:paraId="226BED4A" w14:textId="77777777" w:rsidTr="009B134A">
        <w:trPr>
          <w:trHeight w:val="283"/>
        </w:trPr>
        <w:tc>
          <w:tcPr>
            <w:tcW w:w="1502" w:type="dxa"/>
            <w:vMerge w:val="restart"/>
            <w:vAlign w:val="center"/>
          </w:tcPr>
          <w:p w14:paraId="12366B58"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lastRenderedPageBreak/>
              <w:t>Item</w:t>
            </w:r>
          </w:p>
        </w:tc>
        <w:tc>
          <w:tcPr>
            <w:tcW w:w="1502" w:type="dxa"/>
            <w:vAlign w:val="center"/>
          </w:tcPr>
          <w:p w14:paraId="4CC0CC42"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503" w:type="dxa"/>
            <w:vMerge w:val="restart"/>
            <w:shd w:val="clear" w:color="auto" w:fill="FFFFFF"/>
            <w:vAlign w:val="center"/>
          </w:tcPr>
          <w:p w14:paraId="1B68F026"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503" w:type="dxa"/>
            <w:vMerge w:val="restart"/>
            <w:shd w:val="clear" w:color="auto" w:fill="FFFFFF"/>
            <w:vAlign w:val="center"/>
          </w:tcPr>
          <w:p w14:paraId="23D1921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503" w:type="dxa"/>
            <w:vMerge w:val="restart"/>
            <w:shd w:val="clear" w:color="auto" w:fill="FFFFFF"/>
            <w:vAlign w:val="center"/>
          </w:tcPr>
          <w:p w14:paraId="39DD226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503" w:type="dxa"/>
            <w:vMerge w:val="restart"/>
            <w:shd w:val="clear" w:color="auto" w:fill="FFFFFF"/>
            <w:vAlign w:val="center"/>
          </w:tcPr>
          <w:p w14:paraId="737D211B"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7E81AA41" w14:textId="77777777" w:rsidTr="009B134A">
        <w:trPr>
          <w:trHeight w:val="283"/>
        </w:trPr>
        <w:tc>
          <w:tcPr>
            <w:tcW w:w="1502" w:type="dxa"/>
            <w:vMerge/>
            <w:tcBorders>
              <w:bottom w:val="single" w:sz="4" w:space="0" w:color="auto"/>
            </w:tcBorders>
            <w:vAlign w:val="center"/>
          </w:tcPr>
          <w:p w14:paraId="217AF9B0"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502" w:type="dxa"/>
            <w:tcBorders>
              <w:bottom w:val="single" w:sz="4" w:space="0" w:color="auto"/>
            </w:tcBorders>
            <w:vAlign w:val="center"/>
          </w:tcPr>
          <w:p w14:paraId="05C9AB8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1503" w:type="dxa"/>
            <w:vMerge/>
            <w:tcBorders>
              <w:bottom w:val="single" w:sz="4" w:space="0" w:color="auto"/>
            </w:tcBorders>
            <w:vAlign w:val="center"/>
          </w:tcPr>
          <w:p w14:paraId="24C73F87"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vMerge/>
            <w:tcBorders>
              <w:bottom w:val="single" w:sz="4" w:space="0" w:color="auto"/>
            </w:tcBorders>
            <w:vAlign w:val="center"/>
          </w:tcPr>
          <w:p w14:paraId="0ADCE8D3"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vMerge/>
            <w:tcBorders>
              <w:bottom w:val="single" w:sz="4" w:space="0" w:color="auto"/>
            </w:tcBorders>
            <w:vAlign w:val="center"/>
          </w:tcPr>
          <w:p w14:paraId="57DCA4C4"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vMerge/>
            <w:tcBorders>
              <w:bottom w:val="single" w:sz="4" w:space="0" w:color="auto"/>
            </w:tcBorders>
            <w:vAlign w:val="center"/>
          </w:tcPr>
          <w:p w14:paraId="46A9E34C"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r>
      <w:tr w:rsidR="00A0618E" w:rsidRPr="00400193" w14:paraId="19B17848" w14:textId="77777777" w:rsidTr="009B134A">
        <w:trPr>
          <w:trHeight w:val="283"/>
        </w:trPr>
        <w:tc>
          <w:tcPr>
            <w:tcW w:w="1502" w:type="dxa"/>
            <w:tcBorders>
              <w:top w:val="single" w:sz="4" w:space="0" w:color="auto"/>
              <w:bottom w:val="nil"/>
            </w:tcBorders>
            <w:shd w:val="clear" w:color="auto" w:fill="auto"/>
            <w:vAlign w:val="center"/>
          </w:tcPr>
          <w:p w14:paraId="4F6D830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KIRC15</w:t>
            </w:r>
          </w:p>
        </w:tc>
        <w:tc>
          <w:tcPr>
            <w:tcW w:w="1502" w:type="dxa"/>
            <w:tcBorders>
              <w:top w:val="single" w:sz="4" w:space="0" w:color="auto"/>
              <w:bottom w:val="nil"/>
            </w:tcBorders>
            <w:shd w:val="clear" w:color="auto" w:fill="FFFFFF"/>
            <w:vAlign w:val="center"/>
          </w:tcPr>
          <w:p w14:paraId="3748E13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0.917</w:t>
            </w:r>
          </w:p>
        </w:tc>
        <w:tc>
          <w:tcPr>
            <w:tcW w:w="1503" w:type="dxa"/>
            <w:vMerge w:val="restart"/>
            <w:tcBorders>
              <w:top w:val="single" w:sz="4" w:space="0" w:color="auto"/>
              <w:bottom w:val="nil"/>
            </w:tcBorders>
            <w:shd w:val="clear" w:color="auto" w:fill="FFFFFF"/>
            <w:vAlign w:val="center"/>
          </w:tcPr>
          <w:p w14:paraId="01F3BE0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0.975</w:t>
            </w:r>
          </w:p>
        </w:tc>
        <w:tc>
          <w:tcPr>
            <w:tcW w:w="1503" w:type="dxa"/>
            <w:vMerge w:val="restart"/>
            <w:tcBorders>
              <w:top w:val="single" w:sz="4" w:space="0" w:color="auto"/>
              <w:bottom w:val="nil"/>
            </w:tcBorders>
            <w:shd w:val="clear" w:color="auto" w:fill="FFFFFF"/>
            <w:vAlign w:val="center"/>
          </w:tcPr>
          <w:p w14:paraId="7ECD4F2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18</w:t>
            </w:r>
          </w:p>
        </w:tc>
        <w:tc>
          <w:tcPr>
            <w:tcW w:w="1503" w:type="dxa"/>
            <w:vMerge w:val="restart"/>
            <w:tcBorders>
              <w:top w:val="single" w:sz="4" w:space="0" w:color="auto"/>
              <w:bottom w:val="nil"/>
            </w:tcBorders>
            <w:shd w:val="clear" w:color="auto" w:fill="FFFFFF"/>
            <w:vAlign w:val="center"/>
          </w:tcPr>
          <w:p w14:paraId="25638C9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KIRCN1</w:t>
            </w:r>
          </w:p>
        </w:tc>
        <w:tc>
          <w:tcPr>
            <w:tcW w:w="1503" w:type="dxa"/>
            <w:vMerge w:val="restart"/>
            <w:tcBorders>
              <w:top w:val="single" w:sz="4" w:space="0" w:color="auto"/>
              <w:bottom w:val="nil"/>
            </w:tcBorders>
            <w:shd w:val="clear" w:color="auto" w:fill="FFFFFF"/>
            <w:vAlign w:val="center"/>
          </w:tcPr>
          <w:p w14:paraId="7715C84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Risk Culture and Laziness</w:t>
            </w:r>
          </w:p>
        </w:tc>
      </w:tr>
      <w:tr w:rsidR="00A0618E" w:rsidRPr="00400193" w14:paraId="41C8D056" w14:textId="77777777" w:rsidTr="009B134A">
        <w:trPr>
          <w:trHeight w:val="283"/>
        </w:trPr>
        <w:tc>
          <w:tcPr>
            <w:tcW w:w="1502" w:type="dxa"/>
            <w:tcBorders>
              <w:top w:val="nil"/>
            </w:tcBorders>
            <w:shd w:val="clear" w:color="auto" w:fill="auto"/>
            <w:vAlign w:val="center"/>
          </w:tcPr>
          <w:p w14:paraId="48601B0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KIRC12</w:t>
            </w:r>
          </w:p>
        </w:tc>
        <w:tc>
          <w:tcPr>
            <w:tcW w:w="1502" w:type="dxa"/>
            <w:tcBorders>
              <w:top w:val="nil"/>
            </w:tcBorders>
            <w:shd w:val="clear" w:color="auto" w:fill="FFFFFF"/>
            <w:vAlign w:val="center"/>
          </w:tcPr>
          <w:p w14:paraId="29F9B03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0.886</w:t>
            </w:r>
          </w:p>
        </w:tc>
        <w:tc>
          <w:tcPr>
            <w:tcW w:w="1503" w:type="dxa"/>
            <w:vMerge/>
            <w:tcBorders>
              <w:top w:val="nil"/>
            </w:tcBorders>
            <w:vAlign w:val="center"/>
          </w:tcPr>
          <w:p w14:paraId="6AE9EB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top w:val="nil"/>
            </w:tcBorders>
            <w:vAlign w:val="center"/>
          </w:tcPr>
          <w:p w14:paraId="2AF0C65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top w:val="nil"/>
            </w:tcBorders>
            <w:vAlign w:val="center"/>
          </w:tcPr>
          <w:p w14:paraId="71F6B88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top w:val="nil"/>
            </w:tcBorders>
            <w:vAlign w:val="center"/>
          </w:tcPr>
          <w:p w14:paraId="2111C53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0EFAD18" w14:textId="77777777" w:rsidTr="009B134A">
        <w:trPr>
          <w:trHeight w:val="283"/>
        </w:trPr>
        <w:tc>
          <w:tcPr>
            <w:tcW w:w="1502" w:type="dxa"/>
            <w:shd w:val="clear" w:color="auto" w:fill="auto"/>
            <w:vAlign w:val="center"/>
          </w:tcPr>
          <w:p w14:paraId="4FED53E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KIRC9</w:t>
            </w:r>
          </w:p>
        </w:tc>
        <w:tc>
          <w:tcPr>
            <w:tcW w:w="1502" w:type="dxa"/>
            <w:shd w:val="clear" w:color="auto" w:fill="FFFFFF"/>
            <w:vAlign w:val="center"/>
          </w:tcPr>
          <w:p w14:paraId="5EB8848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0.884</w:t>
            </w:r>
          </w:p>
        </w:tc>
        <w:tc>
          <w:tcPr>
            <w:tcW w:w="1503" w:type="dxa"/>
            <w:vMerge/>
            <w:vAlign w:val="center"/>
          </w:tcPr>
          <w:p w14:paraId="67C1376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A77A77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5B603E6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647861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41F5FD5" w14:textId="77777777" w:rsidTr="009B134A">
        <w:trPr>
          <w:trHeight w:val="283"/>
        </w:trPr>
        <w:tc>
          <w:tcPr>
            <w:tcW w:w="1502" w:type="dxa"/>
            <w:shd w:val="clear" w:color="auto" w:fill="auto"/>
            <w:vAlign w:val="center"/>
          </w:tcPr>
          <w:p w14:paraId="15D046E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KIRC10</w:t>
            </w:r>
          </w:p>
        </w:tc>
        <w:tc>
          <w:tcPr>
            <w:tcW w:w="1502" w:type="dxa"/>
            <w:shd w:val="clear" w:color="auto" w:fill="FFFFFF"/>
            <w:vAlign w:val="center"/>
          </w:tcPr>
          <w:p w14:paraId="723D46A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0.875</w:t>
            </w:r>
          </w:p>
        </w:tc>
        <w:tc>
          <w:tcPr>
            <w:tcW w:w="1503" w:type="dxa"/>
            <w:vMerge/>
            <w:vAlign w:val="center"/>
          </w:tcPr>
          <w:p w14:paraId="33CBCDE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CA800E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44373E7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663221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C5A10FD" w14:textId="77777777" w:rsidTr="009B134A">
        <w:trPr>
          <w:trHeight w:val="283"/>
        </w:trPr>
        <w:tc>
          <w:tcPr>
            <w:tcW w:w="1502" w:type="dxa"/>
            <w:shd w:val="clear" w:color="auto" w:fill="auto"/>
            <w:vAlign w:val="center"/>
          </w:tcPr>
          <w:p w14:paraId="72AC774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KIRC5</w:t>
            </w:r>
          </w:p>
        </w:tc>
        <w:tc>
          <w:tcPr>
            <w:tcW w:w="1502" w:type="dxa"/>
            <w:shd w:val="clear" w:color="auto" w:fill="FFFFFF"/>
            <w:vAlign w:val="center"/>
          </w:tcPr>
          <w:p w14:paraId="5D688CD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0.869</w:t>
            </w:r>
          </w:p>
        </w:tc>
        <w:tc>
          <w:tcPr>
            <w:tcW w:w="1503" w:type="dxa"/>
            <w:vMerge/>
            <w:vAlign w:val="center"/>
          </w:tcPr>
          <w:p w14:paraId="0EF13C2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579C6DC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72CDA3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EBD39A9"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56A8080" w14:textId="77777777" w:rsidTr="009B134A">
        <w:trPr>
          <w:trHeight w:val="283"/>
        </w:trPr>
        <w:tc>
          <w:tcPr>
            <w:tcW w:w="1502" w:type="dxa"/>
            <w:shd w:val="clear" w:color="auto" w:fill="auto"/>
            <w:vAlign w:val="center"/>
          </w:tcPr>
          <w:p w14:paraId="664A98D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KIRC8</w:t>
            </w:r>
          </w:p>
        </w:tc>
        <w:tc>
          <w:tcPr>
            <w:tcW w:w="1502" w:type="dxa"/>
            <w:shd w:val="clear" w:color="auto" w:fill="FFFFFF"/>
            <w:vAlign w:val="center"/>
          </w:tcPr>
          <w:p w14:paraId="56D675A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0.868</w:t>
            </w:r>
          </w:p>
        </w:tc>
        <w:tc>
          <w:tcPr>
            <w:tcW w:w="1503" w:type="dxa"/>
            <w:vMerge/>
            <w:vAlign w:val="center"/>
          </w:tcPr>
          <w:p w14:paraId="7C6B6F3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40956C2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F62638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C91836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1A7AD18" w14:textId="77777777" w:rsidTr="009B134A">
        <w:trPr>
          <w:trHeight w:val="283"/>
        </w:trPr>
        <w:tc>
          <w:tcPr>
            <w:tcW w:w="1502" w:type="dxa"/>
            <w:shd w:val="clear" w:color="auto" w:fill="auto"/>
            <w:vAlign w:val="center"/>
          </w:tcPr>
          <w:p w14:paraId="51D07AE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KIRC4</w:t>
            </w:r>
          </w:p>
        </w:tc>
        <w:tc>
          <w:tcPr>
            <w:tcW w:w="1502" w:type="dxa"/>
            <w:shd w:val="clear" w:color="auto" w:fill="FFFFFF"/>
            <w:vAlign w:val="center"/>
          </w:tcPr>
          <w:p w14:paraId="4608BA6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0.866</w:t>
            </w:r>
          </w:p>
        </w:tc>
        <w:tc>
          <w:tcPr>
            <w:tcW w:w="1503" w:type="dxa"/>
            <w:vMerge/>
            <w:vAlign w:val="center"/>
          </w:tcPr>
          <w:p w14:paraId="57E4C9C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F1CC90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E5807A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622B494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5C11AC1" w14:textId="77777777" w:rsidTr="009B134A">
        <w:trPr>
          <w:trHeight w:val="283"/>
        </w:trPr>
        <w:tc>
          <w:tcPr>
            <w:tcW w:w="1502" w:type="dxa"/>
            <w:shd w:val="clear" w:color="auto" w:fill="auto"/>
            <w:vAlign w:val="center"/>
          </w:tcPr>
          <w:p w14:paraId="08A84C5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KIRC13</w:t>
            </w:r>
          </w:p>
        </w:tc>
        <w:tc>
          <w:tcPr>
            <w:tcW w:w="1502" w:type="dxa"/>
            <w:shd w:val="clear" w:color="auto" w:fill="FFFFFF"/>
            <w:vAlign w:val="center"/>
          </w:tcPr>
          <w:p w14:paraId="3B843D5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0.859</w:t>
            </w:r>
          </w:p>
        </w:tc>
        <w:tc>
          <w:tcPr>
            <w:tcW w:w="1503" w:type="dxa"/>
            <w:vMerge/>
            <w:vAlign w:val="center"/>
          </w:tcPr>
          <w:p w14:paraId="5B31960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8568F6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4BC8F12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6D7897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AB7D4B3" w14:textId="77777777" w:rsidTr="009B134A">
        <w:trPr>
          <w:trHeight w:val="283"/>
        </w:trPr>
        <w:tc>
          <w:tcPr>
            <w:tcW w:w="1502" w:type="dxa"/>
            <w:shd w:val="clear" w:color="auto" w:fill="auto"/>
            <w:vAlign w:val="center"/>
          </w:tcPr>
          <w:p w14:paraId="1C2C427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KIRC6</w:t>
            </w:r>
          </w:p>
        </w:tc>
        <w:tc>
          <w:tcPr>
            <w:tcW w:w="1502" w:type="dxa"/>
            <w:shd w:val="clear" w:color="auto" w:fill="FFFFFF"/>
            <w:vAlign w:val="center"/>
          </w:tcPr>
          <w:p w14:paraId="68FDCB3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0.838</w:t>
            </w:r>
          </w:p>
        </w:tc>
        <w:tc>
          <w:tcPr>
            <w:tcW w:w="1503" w:type="dxa"/>
            <w:vMerge/>
            <w:vAlign w:val="center"/>
          </w:tcPr>
          <w:p w14:paraId="6B69882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4A98CFC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6366F08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F2788C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02DC261" w14:textId="77777777" w:rsidTr="009B134A">
        <w:trPr>
          <w:trHeight w:val="283"/>
        </w:trPr>
        <w:tc>
          <w:tcPr>
            <w:tcW w:w="1502" w:type="dxa"/>
            <w:shd w:val="clear" w:color="auto" w:fill="auto"/>
            <w:vAlign w:val="center"/>
          </w:tcPr>
          <w:p w14:paraId="6967A1B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KIRC11</w:t>
            </w:r>
          </w:p>
        </w:tc>
        <w:tc>
          <w:tcPr>
            <w:tcW w:w="1502" w:type="dxa"/>
            <w:shd w:val="clear" w:color="auto" w:fill="FFFFFF"/>
            <w:vAlign w:val="center"/>
          </w:tcPr>
          <w:p w14:paraId="47B4607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0.838</w:t>
            </w:r>
          </w:p>
        </w:tc>
        <w:tc>
          <w:tcPr>
            <w:tcW w:w="1503" w:type="dxa"/>
            <w:vMerge/>
            <w:vAlign w:val="center"/>
          </w:tcPr>
          <w:p w14:paraId="6DE4C34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C23D6F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5FB158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C76AF3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A1286EE" w14:textId="77777777" w:rsidTr="009B134A">
        <w:trPr>
          <w:trHeight w:val="283"/>
        </w:trPr>
        <w:tc>
          <w:tcPr>
            <w:tcW w:w="1502" w:type="dxa"/>
            <w:shd w:val="clear" w:color="auto" w:fill="auto"/>
            <w:vAlign w:val="center"/>
          </w:tcPr>
          <w:p w14:paraId="3686C97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KIRC17</w:t>
            </w:r>
          </w:p>
        </w:tc>
        <w:tc>
          <w:tcPr>
            <w:tcW w:w="1502" w:type="dxa"/>
            <w:shd w:val="clear" w:color="auto" w:fill="FFFFFF"/>
            <w:vAlign w:val="center"/>
          </w:tcPr>
          <w:p w14:paraId="6BEAFBD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0.832</w:t>
            </w:r>
          </w:p>
        </w:tc>
        <w:tc>
          <w:tcPr>
            <w:tcW w:w="1503" w:type="dxa"/>
            <w:vMerge/>
            <w:vAlign w:val="center"/>
          </w:tcPr>
          <w:p w14:paraId="30CB863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AE917F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B484D3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FC740E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06AB293" w14:textId="77777777" w:rsidTr="009B134A">
        <w:trPr>
          <w:trHeight w:val="283"/>
        </w:trPr>
        <w:tc>
          <w:tcPr>
            <w:tcW w:w="1502" w:type="dxa"/>
            <w:shd w:val="clear" w:color="auto" w:fill="auto"/>
            <w:vAlign w:val="center"/>
          </w:tcPr>
          <w:p w14:paraId="63CF598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KIRC14</w:t>
            </w:r>
          </w:p>
        </w:tc>
        <w:tc>
          <w:tcPr>
            <w:tcW w:w="1502" w:type="dxa"/>
            <w:shd w:val="clear" w:color="auto" w:fill="FFFFFF"/>
            <w:vAlign w:val="center"/>
          </w:tcPr>
          <w:p w14:paraId="24ABC1E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0.825</w:t>
            </w:r>
          </w:p>
        </w:tc>
        <w:tc>
          <w:tcPr>
            <w:tcW w:w="1503" w:type="dxa"/>
            <w:vMerge/>
            <w:vAlign w:val="center"/>
          </w:tcPr>
          <w:p w14:paraId="6C39A30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7A30895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3122FE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5BC50557"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6D845AE" w14:textId="77777777" w:rsidTr="009B134A">
        <w:trPr>
          <w:trHeight w:val="283"/>
        </w:trPr>
        <w:tc>
          <w:tcPr>
            <w:tcW w:w="1502" w:type="dxa"/>
            <w:shd w:val="clear" w:color="auto" w:fill="auto"/>
            <w:vAlign w:val="center"/>
          </w:tcPr>
          <w:p w14:paraId="08516E5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KIRC18</w:t>
            </w:r>
          </w:p>
        </w:tc>
        <w:tc>
          <w:tcPr>
            <w:tcW w:w="1502" w:type="dxa"/>
            <w:shd w:val="clear" w:color="auto" w:fill="FFFFFF"/>
            <w:vAlign w:val="center"/>
          </w:tcPr>
          <w:p w14:paraId="37020D1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0.804</w:t>
            </w:r>
          </w:p>
        </w:tc>
        <w:tc>
          <w:tcPr>
            <w:tcW w:w="1503" w:type="dxa"/>
            <w:vMerge/>
            <w:vAlign w:val="center"/>
          </w:tcPr>
          <w:p w14:paraId="64BDFCC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6796758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22831E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B0E838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A3BA9D5" w14:textId="77777777" w:rsidTr="009B134A">
        <w:trPr>
          <w:trHeight w:val="283"/>
        </w:trPr>
        <w:tc>
          <w:tcPr>
            <w:tcW w:w="1502" w:type="dxa"/>
            <w:shd w:val="clear" w:color="auto" w:fill="auto"/>
            <w:vAlign w:val="center"/>
          </w:tcPr>
          <w:p w14:paraId="11F5FF2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w:t>
            </w:r>
          </w:p>
        </w:tc>
        <w:tc>
          <w:tcPr>
            <w:tcW w:w="1502" w:type="dxa"/>
            <w:shd w:val="clear" w:color="auto" w:fill="FFFFFF"/>
            <w:vAlign w:val="center"/>
          </w:tcPr>
          <w:p w14:paraId="254B287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0.793</w:t>
            </w:r>
          </w:p>
        </w:tc>
        <w:tc>
          <w:tcPr>
            <w:tcW w:w="1503" w:type="dxa"/>
            <w:vMerge/>
            <w:vAlign w:val="center"/>
          </w:tcPr>
          <w:p w14:paraId="4F5BD27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0A50CE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6EC90D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5C7D9EA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49AA5DC" w14:textId="77777777" w:rsidTr="009B134A">
        <w:trPr>
          <w:trHeight w:val="283"/>
        </w:trPr>
        <w:tc>
          <w:tcPr>
            <w:tcW w:w="1502" w:type="dxa"/>
            <w:shd w:val="clear" w:color="auto" w:fill="auto"/>
            <w:vAlign w:val="center"/>
          </w:tcPr>
          <w:p w14:paraId="3DEF295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KIRC2</w:t>
            </w:r>
          </w:p>
        </w:tc>
        <w:tc>
          <w:tcPr>
            <w:tcW w:w="1502" w:type="dxa"/>
            <w:shd w:val="clear" w:color="auto" w:fill="FFFFFF"/>
            <w:vAlign w:val="center"/>
          </w:tcPr>
          <w:p w14:paraId="1B10F99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0.784</w:t>
            </w:r>
          </w:p>
        </w:tc>
        <w:tc>
          <w:tcPr>
            <w:tcW w:w="1503" w:type="dxa"/>
            <w:vMerge/>
            <w:vAlign w:val="center"/>
          </w:tcPr>
          <w:p w14:paraId="7543142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9690C4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E0835F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5C0C07F8"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A8EFAE2" w14:textId="77777777" w:rsidTr="009B134A">
        <w:trPr>
          <w:trHeight w:val="283"/>
        </w:trPr>
        <w:tc>
          <w:tcPr>
            <w:tcW w:w="1502" w:type="dxa"/>
            <w:shd w:val="clear" w:color="auto" w:fill="auto"/>
            <w:vAlign w:val="center"/>
          </w:tcPr>
          <w:p w14:paraId="4BD9D0E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KIRC16</w:t>
            </w:r>
          </w:p>
        </w:tc>
        <w:tc>
          <w:tcPr>
            <w:tcW w:w="1502" w:type="dxa"/>
            <w:shd w:val="clear" w:color="auto" w:fill="FFFFFF"/>
            <w:vAlign w:val="center"/>
          </w:tcPr>
          <w:p w14:paraId="7E30CC1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0.773</w:t>
            </w:r>
          </w:p>
        </w:tc>
        <w:tc>
          <w:tcPr>
            <w:tcW w:w="1503" w:type="dxa"/>
            <w:vMerge/>
            <w:vAlign w:val="center"/>
          </w:tcPr>
          <w:p w14:paraId="31119C5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0BA697E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111D856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492B0A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4E7DD36" w14:textId="77777777" w:rsidTr="009B134A">
        <w:trPr>
          <w:trHeight w:val="283"/>
        </w:trPr>
        <w:tc>
          <w:tcPr>
            <w:tcW w:w="1502" w:type="dxa"/>
            <w:shd w:val="clear" w:color="auto" w:fill="auto"/>
            <w:vAlign w:val="center"/>
          </w:tcPr>
          <w:p w14:paraId="5A3BAD9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KIRC3</w:t>
            </w:r>
          </w:p>
        </w:tc>
        <w:tc>
          <w:tcPr>
            <w:tcW w:w="1502" w:type="dxa"/>
            <w:shd w:val="clear" w:color="auto" w:fill="FFFFFF"/>
            <w:vAlign w:val="center"/>
          </w:tcPr>
          <w:p w14:paraId="3E7FF6B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0.769</w:t>
            </w:r>
          </w:p>
        </w:tc>
        <w:tc>
          <w:tcPr>
            <w:tcW w:w="1503" w:type="dxa"/>
            <w:vMerge/>
            <w:vAlign w:val="center"/>
          </w:tcPr>
          <w:p w14:paraId="4E298BE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2AE9BFB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646CA74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vAlign w:val="center"/>
          </w:tcPr>
          <w:p w14:paraId="375AE3F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98D20E0" w14:textId="77777777" w:rsidTr="009B134A">
        <w:trPr>
          <w:trHeight w:val="283"/>
        </w:trPr>
        <w:tc>
          <w:tcPr>
            <w:tcW w:w="1502" w:type="dxa"/>
            <w:tcBorders>
              <w:bottom w:val="single" w:sz="4" w:space="0" w:color="auto"/>
            </w:tcBorders>
            <w:shd w:val="clear" w:color="auto" w:fill="auto"/>
            <w:vAlign w:val="center"/>
          </w:tcPr>
          <w:p w14:paraId="3E1E24B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KIRC7</w:t>
            </w:r>
          </w:p>
        </w:tc>
        <w:tc>
          <w:tcPr>
            <w:tcW w:w="1502" w:type="dxa"/>
            <w:tcBorders>
              <w:bottom w:val="single" w:sz="4" w:space="0" w:color="auto"/>
            </w:tcBorders>
            <w:shd w:val="clear" w:color="auto" w:fill="FFFFFF"/>
            <w:vAlign w:val="center"/>
          </w:tcPr>
          <w:p w14:paraId="2573D1A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0.767</w:t>
            </w:r>
          </w:p>
        </w:tc>
        <w:tc>
          <w:tcPr>
            <w:tcW w:w="1503" w:type="dxa"/>
            <w:vMerge/>
            <w:tcBorders>
              <w:bottom w:val="single" w:sz="4" w:space="0" w:color="auto"/>
            </w:tcBorders>
            <w:vAlign w:val="center"/>
          </w:tcPr>
          <w:p w14:paraId="673FDF7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186BED1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7F73223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7EF4347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4D3CE94" w14:textId="77777777" w:rsidTr="009B134A">
        <w:trPr>
          <w:trHeight w:val="283"/>
        </w:trPr>
        <w:tc>
          <w:tcPr>
            <w:tcW w:w="9016" w:type="dxa"/>
            <w:gridSpan w:val="6"/>
            <w:tcBorders>
              <w:top w:val="single" w:sz="4" w:space="0" w:color="auto"/>
              <w:bottom w:val="single" w:sz="4" w:space="0" w:color="auto"/>
            </w:tcBorders>
            <w:vAlign w:val="center"/>
          </w:tcPr>
          <w:p w14:paraId="0D5FBF73" w14:textId="7314C3FD"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1 component extracted</w:t>
            </w:r>
          </w:p>
          <w:p w14:paraId="36333061" w14:textId="2D404AB0" w:rsidR="002B4B41" w:rsidRPr="00400193" w:rsidRDefault="002B4B41"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2CA8FFB3" w14:textId="292891A5" w:rsidR="006E3616" w:rsidRPr="00400193" w:rsidRDefault="006E3616" w:rsidP="004C088B">
      <w:pPr>
        <w:pStyle w:val="Caption"/>
        <w:spacing w:after="240"/>
        <w:rPr>
          <w:lang w:eastAsia="zh-CN" w:bidi="hi-IN"/>
        </w:rPr>
      </w:pPr>
      <w:bookmarkStart w:id="500" w:name="_Ref43253375"/>
      <w:bookmarkStart w:id="501" w:name="_Toc5290157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29</w:t>
      </w:r>
      <w:r w:rsidRPr="00400193">
        <w:fldChar w:fldCharType="end"/>
      </w:r>
      <w:bookmarkEnd w:id="500"/>
      <w:r w:rsidRPr="00400193">
        <w:t>: Cronbach’s alpha, number of questions and rotated component matrix for KIRC</w:t>
      </w:r>
      <w:bookmarkEnd w:id="501"/>
    </w:p>
    <w:p w14:paraId="69FE33E2" w14:textId="2416B309"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_Ref43253588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30</w:t>
      </w:r>
      <w:r w:rsidRPr="00400193">
        <w:rPr>
          <w:lang w:eastAsia="zh-CN" w:bidi="hi-IN"/>
        </w:rPr>
        <w:fldChar w:fldCharType="end"/>
      </w:r>
      <w:r w:rsidRPr="00400193">
        <w:rPr>
          <w:lang w:eastAsia="zh-CN" w:bidi="hi-IN"/>
        </w:rPr>
        <w:t xml:space="preserve"> shows CR and AVE for each factor and MSW and ASV values. CR was 0.977, which is higher than 0.7, and AVE was 0.701 so higher than 0.7. MSV (0.841) &gt; AVE and ASV (0.701) ≤ AVE. There were problems with discriminant validity because MSV &gt; AVE. </w:t>
      </w:r>
    </w:p>
    <w:p w14:paraId="3E222812" w14:textId="0EF4FA3B" w:rsidR="009B134A" w:rsidRPr="00400193" w:rsidRDefault="006E3616" w:rsidP="006E3616">
      <w:pPr>
        <w:rPr>
          <w:lang w:eastAsia="zh-CN" w:bidi="hi-IN"/>
        </w:rPr>
      </w:pPr>
      <w:r w:rsidRPr="00400193">
        <w:rPr>
          <w:lang w:eastAsia="zh-CN" w:bidi="hi-IN"/>
        </w:rPr>
        <w:t>The difficulty with risk culture and laziness as a risk factor is that it appears to be inherent human behaviour. For example, cross-cultural studies of password complexity vs. utility (Hancock et al., 2016) found that demographic factors did not seem to affect password selection, or practice in writing down or saving passwords.</w:t>
      </w:r>
    </w:p>
    <w:tbl>
      <w:tblPr>
        <w:tblStyle w:val="TableGrid"/>
        <w:tblW w:w="0" w:type="auto"/>
        <w:tblLook w:val="04A0" w:firstRow="1" w:lastRow="0" w:firstColumn="1" w:lastColumn="0" w:noHBand="0" w:noVBand="1"/>
      </w:tblPr>
      <w:tblGrid>
        <w:gridCol w:w="5098"/>
        <w:gridCol w:w="3918"/>
      </w:tblGrid>
      <w:tr w:rsidR="00A0618E" w:rsidRPr="00400193" w14:paraId="011E4095" w14:textId="77777777" w:rsidTr="009B134A">
        <w:trPr>
          <w:trHeight w:val="283"/>
        </w:trPr>
        <w:tc>
          <w:tcPr>
            <w:tcW w:w="5098" w:type="dxa"/>
            <w:tcBorders>
              <w:top w:val="single" w:sz="4" w:space="0" w:color="auto"/>
              <w:left w:val="nil"/>
              <w:bottom w:val="single" w:sz="4" w:space="0" w:color="auto"/>
              <w:right w:val="nil"/>
            </w:tcBorders>
            <w:vAlign w:val="center"/>
          </w:tcPr>
          <w:p w14:paraId="2CD5D856"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3918" w:type="dxa"/>
            <w:tcBorders>
              <w:top w:val="single" w:sz="4" w:space="0" w:color="auto"/>
              <w:left w:val="nil"/>
              <w:bottom w:val="single" w:sz="4" w:space="0" w:color="auto"/>
              <w:right w:val="nil"/>
            </w:tcBorders>
            <w:vAlign w:val="center"/>
          </w:tcPr>
          <w:p w14:paraId="22D9304A"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r>
      <w:tr w:rsidR="00A0618E" w:rsidRPr="00400193" w14:paraId="74EE4BB9" w14:textId="77777777" w:rsidTr="009B134A">
        <w:trPr>
          <w:trHeight w:val="283"/>
        </w:trPr>
        <w:tc>
          <w:tcPr>
            <w:tcW w:w="5098" w:type="dxa"/>
            <w:tcBorders>
              <w:top w:val="single" w:sz="4" w:space="0" w:color="auto"/>
              <w:left w:val="nil"/>
              <w:bottom w:val="nil"/>
              <w:right w:val="nil"/>
            </w:tcBorders>
            <w:vAlign w:val="center"/>
          </w:tcPr>
          <w:p w14:paraId="00A0425D"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3918" w:type="dxa"/>
            <w:tcBorders>
              <w:top w:val="single" w:sz="4" w:space="0" w:color="auto"/>
              <w:left w:val="nil"/>
              <w:bottom w:val="nil"/>
              <w:right w:val="nil"/>
            </w:tcBorders>
            <w:vAlign w:val="center"/>
          </w:tcPr>
          <w:p w14:paraId="1F1EA00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0.977</w:t>
            </w:r>
          </w:p>
        </w:tc>
      </w:tr>
      <w:tr w:rsidR="00A0618E" w:rsidRPr="00400193" w14:paraId="5C8D329F" w14:textId="77777777" w:rsidTr="009B134A">
        <w:trPr>
          <w:trHeight w:val="283"/>
        </w:trPr>
        <w:tc>
          <w:tcPr>
            <w:tcW w:w="5098" w:type="dxa"/>
            <w:tcBorders>
              <w:top w:val="nil"/>
              <w:left w:val="nil"/>
              <w:bottom w:val="nil"/>
              <w:right w:val="nil"/>
            </w:tcBorders>
            <w:vAlign w:val="center"/>
          </w:tcPr>
          <w:p w14:paraId="74DBF09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3918" w:type="dxa"/>
            <w:tcBorders>
              <w:top w:val="nil"/>
              <w:left w:val="nil"/>
              <w:bottom w:val="nil"/>
              <w:right w:val="nil"/>
            </w:tcBorders>
            <w:vAlign w:val="center"/>
          </w:tcPr>
          <w:p w14:paraId="34A94372"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0.701</w:t>
            </w:r>
          </w:p>
        </w:tc>
      </w:tr>
      <w:tr w:rsidR="00A0618E" w:rsidRPr="00400193" w14:paraId="174B4DBF" w14:textId="77777777" w:rsidTr="009B134A">
        <w:trPr>
          <w:trHeight w:val="283"/>
        </w:trPr>
        <w:tc>
          <w:tcPr>
            <w:tcW w:w="5098" w:type="dxa"/>
            <w:tcBorders>
              <w:top w:val="nil"/>
              <w:left w:val="nil"/>
              <w:bottom w:val="nil"/>
              <w:right w:val="nil"/>
            </w:tcBorders>
            <w:vAlign w:val="center"/>
          </w:tcPr>
          <w:p w14:paraId="2FDBDF2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3918" w:type="dxa"/>
            <w:tcBorders>
              <w:top w:val="nil"/>
              <w:left w:val="nil"/>
              <w:bottom w:val="nil"/>
              <w:right w:val="nil"/>
            </w:tcBorders>
            <w:vAlign w:val="center"/>
          </w:tcPr>
          <w:p w14:paraId="210D538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0.841</w:t>
            </w:r>
          </w:p>
        </w:tc>
      </w:tr>
      <w:tr w:rsidR="00A0618E" w:rsidRPr="00400193" w14:paraId="533C0C20" w14:textId="77777777" w:rsidTr="009B134A">
        <w:trPr>
          <w:trHeight w:val="283"/>
        </w:trPr>
        <w:tc>
          <w:tcPr>
            <w:tcW w:w="5098" w:type="dxa"/>
            <w:tcBorders>
              <w:top w:val="nil"/>
              <w:left w:val="nil"/>
              <w:bottom w:val="single" w:sz="4" w:space="0" w:color="auto"/>
              <w:right w:val="nil"/>
            </w:tcBorders>
            <w:vAlign w:val="center"/>
          </w:tcPr>
          <w:p w14:paraId="3EF2661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3918" w:type="dxa"/>
            <w:tcBorders>
              <w:top w:val="nil"/>
              <w:left w:val="nil"/>
              <w:bottom w:val="single" w:sz="4" w:space="0" w:color="auto"/>
              <w:right w:val="nil"/>
            </w:tcBorders>
            <w:vAlign w:val="center"/>
          </w:tcPr>
          <w:p w14:paraId="744341B1"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0.701</w:t>
            </w:r>
          </w:p>
        </w:tc>
      </w:tr>
    </w:tbl>
    <w:p w14:paraId="41AA05F6" w14:textId="15238E89" w:rsidR="006E3616" w:rsidRPr="00400193" w:rsidRDefault="006E3616" w:rsidP="006E3616">
      <w:pPr>
        <w:pStyle w:val="Caption"/>
      </w:pPr>
      <w:bookmarkStart w:id="502" w:name="_Ref43253588"/>
      <w:bookmarkStart w:id="503" w:name="_Toc5290157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30</w:t>
      </w:r>
      <w:r w:rsidRPr="00400193">
        <w:fldChar w:fldCharType="end"/>
      </w:r>
      <w:bookmarkEnd w:id="502"/>
      <w:r w:rsidRPr="00400193">
        <w:t>: Average variance extracted (AVE), composite reliability (CR), maximum shared variance (MSV) and average shared variance (ASV) for KIRC</w:t>
      </w:r>
      <w:bookmarkEnd w:id="503"/>
    </w:p>
    <w:p w14:paraId="643D9C11" w14:textId="77777777" w:rsidR="009B134A" w:rsidRPr="00400193" w:rsidRDefault="009B134A" w:rsidP="009B134A">
      <w:pPr>
        <w:pStyle w:val="Heading3"/>
        <w:rPr>
          <w:lang w:eastAsia="zh-CN" w:bidi="hi-IN"/>
        </w:rPr>
      </w:pPr>
      <w:bookmarkStart w:id="504" w:name="_Toc61894759"/>
      <w:r w:rsidRPr="00400193">
        <w:rPr>
          <w:lang w:eastAsia="zh-CN" w:bidi="hi-IN"/>
        </w:rPr>
        <w:lastRenderedPageBreak/>
        <w:t>Key Internal Threats - Financial Fraud (KIFF)</w:t>
      </w:r>
      <w:bookmarkEnd w:id="504"/>
    </w:p>
    <w:p w14:paraId="2A992460" w14:textId="5B74B507" w:rsidR="009B134A" w:rsidRPr="00400193" w:rsidRDefault="009B134A" w:rsidP="009B134A">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_Ref43253700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31</w:t>
      </w:r>
      <w:r w:rsidRPr="00400193">
        <w:rPr>
          <w:lang w:eastAsia="zh-CN" w:bidi="hi-IN"/>
        </w:rPr>
        <w:fldChar w:fldCharType="end"/>
      </w:r>
      <w:r w:rsidRPr="00400193">
        <w:rPr>
          <w:lang w:eastAsia="zh-CN" w:bidi="hi-IN"/>
        </w:rPr>
        <w:t xml:space="preserve">) </w:t>
      </w:r>
      <w:r w:rsidR="006A63CD" w:rsidRPr="00400193">
        <w:rPr>
          <w:lang w:eastAsia="zh-CN" w:bidi="hi-IN"/>
        </w:rPr>
        <w:t>supports</w:t>
      </w:r>
      <w:r w:rsidR="006A63CD" w:rsidRPr="00400193" w:rsidDel="006A63CD">
        <w:rPr>
          <w:lang w:eastAsia="zh-CN" w:bidi="hi-IN"/>
        </w:rPr>
        <w:t xml:space="preserve"> </w:t>
      </w:r>
      <w:r w:rsidRPr="00400193">
        <w:rPr>
          <w:lang w:eastAsia="zh-CN" w:bidi="hi-IN"/>
        </w:rPr>
        <w:t>the selection of a single main component, which explained 65.8% of the variance, but resulted in the loss of 34.2% of the original information from the seven initial variables. The component explained 4.6 variables.</w:t>
      </w:r>
    </w:p>
    <w:tbl>
      <w:tblPr>
        <w:tblStyle w:val="TableGrid"/>
        <w:tblW w:w="0" w:type="auto"/>
        <w:tblLook w:val="04A0" w:firstRow="1" w:lastRow="0" w:firstColumn="1" w:lastColumn="0" w:noHBand="0" w:noVBand="1"/>
      </w:tblPr>
      <w:tblGrid>
        <w:gridCol w:w="1284"/>
        <w:gridCol w:w="856"/>
        <w:gridCol w:w="1220"/>
        <w:gridCol w:w="1790"/>
        <w:gridCol w:w="856"/>
        <w:gridCol w:w="1220"/>
        <w:gridCol w:w="1790"/>
      </w:tblGrid>
      <w:tr w:rsidR="00A0618E" w:rsidRPr="00400193" w14:paraId="2EAC62A3" w14:textId="77777777" w:rsidTr="009B134A">
        <w:trPr>
          <w:trHeight w:val="283"/>
        </w:trPr>
        <w:tc>
          <w:tcPr>
            <w:tcW w:w="1284" w:type="dxa"/>
            <w:vMerge w:val="restart"/>
            <w:tcBorders>
              <w:left w:val="nil"/>
              <w:bottom w:val="nil"/>
              <w:right w:val="nil"/>
            </w:tcBorders>
            <w:vAlign w:val="center"/>
          </w:tcPr>
          <w:p w14:paraId="2AAE5FC0"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Latent Variables</w:t>
            </w:r>
          </w:p>
        </w:tc>
        <w:tc>
          <w:tcPr>
            <w:tcW w:w="3866" w:type="dxa"/>
            <w:gridSpan w:val="3"/>
            <w:tcBorders>
              <w:left w:val="nil"/>
              <w:bottom w:val="nil"/>
              <w:right w:val="nil"/>
            </w:tcBorders>
            <w:vAlign w:val="center"/>
          </w:tcPr>
          <w:p w14:paraId="7E9C0716"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Initial Eigenvalues</w:t>
            </w:r>
          </w:p>
        </w:tc>
        <w:tc>
          <w:tcPr>
            <w:tcW w:w="3866" w:type="dxa"/>
            <w:gridSpan w:val="3"/>
            <w:tcBorders>
              <w:top w:val="single" w:sz="4" w:space="0" w:color="auto"/>
              <w:left w:val="nil"/>
              <w:bottom w:val="nil"/>
              <w:right w:val="nil"/>
            </w:tcBorders>
            <w:shd w:val="clear" w:color="auto" w:fill="auto"/>
            <w:vAlign w:val="center"/>
          </w:tcPr>
          <w:p w14:paraId="42C8DBF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Extraction Sums of Squared Loadings</w:t>
            </w:r>
          </w:p>
        </w:tc>
      </w:tr>
      <w:tr w:rsidR="00A0618E" w:rsidRPr="00400193" w14:paraId="5FEB1C50" w14:textId="77777777" w:rsidTr="009B134A">
        <w:trPr>
          <w:trHeight w:val="283"/>
        </w:trPr>
        <w:tc>
          <w:tcPr>
            <w:tcW w:w="1284" w:type="dxa"/>
            <w:vMerge/>
            <w:tcBorders>
              <w:top w:val="nil"/>
              <w:left w:val="nil"/>
              <w:right w:val="nil"/>
            </w:tcBorders>
          </w:tcPr>
          <w:p w14:paraId="2650C602" w14:textId="77777777" w:rsidR="006E3616" w:rsidRPr="00400193" w:rsidRDefault="006E3616" w:rsidP="003B5486">
            <w:pPr>
              <w:spacing w:line="240" w:lineRule="auto"/>
              <w:rPr>
                <w:rFonts w:asciiTheme="minorHAnsi" w:hAnsiTheme="minorHAnsi" w:cstheme="minorHAnsi"/>
                <w:b/>
                <w:bCs/>
                <w:sz w:val="20"/>
                <w:szCs w:val="18"/>
                <w:lang w:eastAsia="zh-CN" w:bidi="hi-IN"/>
              </w:rPr>
            </w:pPr>
          </w:p>
        </w:tc>
        <w:tc>
          <w:tcPr>
            <w:tcW w:w="856" w:type="dxa"/>
            <w:tcBorders>
              <w:top w:val="nil"/>
              <w:left w:val="nil"/>
              <w:bottom w:val="single" w:sz="4" w:space="0" w:color="auto"/>
              <w:right w:val="nil"/>
            </w:tcBorders>
            <w:shd w:val="clear" w:color="auto" w:fill="auto"/>
            <w:vAlign w:val="center"/>
          </w:tcPr>
          <w:p w14:paraId="03C8F673"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Total</w:t>
            </w:r>
          </w:p>
        </w:tc>
        <w:tc>
          <w:tcPr>
            <w:tcW w:w="1220" w:type="dxa"/>
            <w:tcBorders>
              <w:top w:val="nil"/>
              <w:left w:val="nil"/>
              <w:bottom w:val="single" w:sz="4" w:space="0" w:color="auto"/>
              <w:right w:val="nil"/>
            </w:tcBorders>
            <w:shd w:val="clear" w:color="auto" w:fill="auto"/>
            <w:vAlign w:val="center"/>
          </w:tcPr>
          <w:p w14:paraId="4FA34456"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 of Variance</w:t>
            </w:r>
          </w:p>
        </w:tc>
        <w:tc>
          <w:tcPr>
            <w:tcW w:w="1790" w:type="dxa"/>
            <w:tcBorders>
              <w:top w:val="nil"/>
              <w:left w:val="nil"/>
              <w:bottom w:val="single" w:sz="4" w:space="0" w:color="auto"/>
              <w:right w:val="nil"/>
            </w:tcBorders>
            <w:shd w:val="clear" w:color="auto" w:fill="auto"/>
            <w:vAlign w:val="center"/>
          </w:tcPr>
          <w:p w14:paraId="458177A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Cumulative %</w:t>
            </w:r>
          </w:p>
        </w:tc>
        <w:tc>
          <w:tcPr>
            <w:tcW w:w="856" w:type="dxa"/>
            <w:tcBorders>
              <w:top w:val="nil"/>
              <w:left w:val="nil"/>
              <w:bottom w:val="single" w:sz="4" w:space="0" w:color="auto"/>
              <w:right w:val="nil"/>
            </w:tcBorders>
            <w:shd w:val="clear" w:color="auto" w:fill="auto"/>
            <w:vAlign w:val="center"/>
          </w:tcPr>
          <w:p w14:paraId="12D8F8EC"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Total</w:t>
            </w:r>
          </w:p>
        </w:tc>
        <w:tc>
          <w:tcPr>
            <w:tcW w:w="1220" w:type="dxa"/>
            <w:tcBorders>
              <w:top w:val="nil"/>
              <w:left w:val="nil"/>
              <w:bottom w:val="single" w:sz="4" w:space="0" w:color="auto"/>
              <w:right w:val="nil"/>
            </w:tcBorders>
            <w:shd w:val="clear" w:color="auto" w:fill="auto"/>
            <w:vAlign w:val="center"/>
          </w:tcPr>
          <w:p w14:paraId="28D23DBE"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 of Variance</w:t>
            </w:r>
          </w:p>
        </w:tc>
        <w:tc>
          <w:tcPr>
            <w:tcW w:w="1790" w:type="dxa"/>
            <w:tcBorders>
              <w:top w:val="nil"/>
              <w:left w:val="nil"/>
              <w:bottom w:val="single" w:sz="4" w:space="0" w:color="auto"/>
              <w:right w:val="nil"/>
            </w:tcBorders>
            <w:shd w:val="clear" w:color="auto" w:fill="auto"/>
            <w:vAlign w:val="center"/>
          </w:tcPr>
          <w:p w14:paraId="24976ADB"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Cumulative %</w:t>
            </w:r>
          </w:p>
        </w:tc>
      </w:tr>
      <w:tr w:rsidR="00A0618E" w:rsidRPr="00400193" w14:paraId="1EF9B7AC" w14:textId="77777777" w:rsidTr="009B134A">
        <w:trPr>
          <w:trHeight w:val="283"/>
        </w:trPr>
        <w:tc>
          <w:tcPr>
            <w:tcW w:w="1284" w:type="dxa"/>
            <w:tcBorders>
              <w:top w:val="single" w:sz="4" w:space="0" w:color="auto"/>
              <w:left w:val="nil"/>
              <w:bottom w:val="single" w:sz="8" w:space="0" w:color="AEAEAE"/>
              <w:right w:val="nil"/>
            </w:tcBorders>
            <w:shd w:val="clear" w:color="auto" w:fill="auto"/>
            <w:vAlign w:val="center"/>
          </w:tcPr>
          <w:p w14:paraId="59AA1136"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1</w:t>
            </w:r>
          </w:p>
        </w:tc>
        <w:tc>
          <w:tcPr>
            <w:tcW w:w="856" w:type="dxa"/>
            <w:tcBorders>
              <w:top w:val="single" w:sz="4" w:space="0" w:color="auto"/>
              <w:left w:val="nil"/>
              <w:bottom w:val="single" w:sz="8" w:space="0" w:color="AEAEAE"/>
              <w:right w:val="single" w:sz="8" w:space="0" w:color="E0E0E0"/>
            </w:tcBorders>
            <w:shd w:val="clear" w:color="auto" w:fill="auto"/>
            <w:vAlign w:val="center"/>
          </w:tcPr>
          <w:p w14:paraId="6C6330E3"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4.607</w:t>
            </w:r>
          </w:p>
        </w:tc>
        <w:tc>
          <w:tcPr>
            <w:tcW w:w="1220" w:type="dxa"/>
            <w:tcBorders>
              <w:top w:val="single" w:sz="4" w:space="0" w:color="auto"/>
              <w:left w:val="single" w:sz="8" w:space="0" w:color="E0E0E0"/>
              <w:bottom w:val="single" w:sz="8" w:space="0" w:color="AEAEAE"/>
              <w:right w:val="single" w:sz="8" w:space="0" w:color="E0E0E0"/>
            </w:tcBorders>
            <w:shd w:val="clear" w:color="auto" w:fill="auto"/>
            <w:vAlign w:val="center"/>
          </w:tcPr>
          <w:p w14:paraId="3457605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65.808</w:t>
            </w:r>
          </w:p>
        </w:tc>
        <w:tc>
          <w:tcPr>
            <w:tcW w:w="1790" w:type="dxa"/>
            <w:tcBorders>
              <w:top w:val="single" w:sz="4" w:space="0" w:color="auto"/>
              <w:left w:val="single" w:sz="8" w:space="0" w:color="E0E0E0"/>
              <w:bottom w:val="single" w:sz="8" w:space="0" w:color="AEAEAE"/>
              <w:right w:val="nil"/>
            </w:tcBorders>
            <w:shd w:val="clear" w:color="auto" w:fill="auto"/>
            <w:vAlign w:val="center"/>
          </w:tcPr>
          <w:p w14:paraId="171898D8"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65.808</w:t>
            </w:r>
          </w:p>
        </w:tc>
        <w:tc>
          <w:tcPr>
            <w:tcW w:w="856" w:type="dxa"/>
            <w:tcBorders>
              <w:top w:val="single" w:sz="4" w:space="0" w:color="auto"/>
              <w:left w:val="single" w:sz="8" w:space="0" w:color="E0E0E0"/>
              <w:bottom w:val="single" w:sz="8" w:space="0" w:color="AEAEAE"/>
              <w:right w:val="single" w:sz="8" w:space="0" w:color="E0E0E0"/>
            </w:tcBorders>
            <w:shd w:val="clear" w:color="auto" w:fill="auto"/>
            <w:vAlign w:val="center"/>
          </w:tcPr>
          <w:p w14:paraId="25AC4DC5"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4.607</w:t>
            </w:r>
          </w:p>
        </w:tc>
        <w:tc>
          <w:tcPr>
            <w:tcW w:w="1220" w:type="dxa"/>
            <w:tcBorders>
              <w:top w:val="single" w:sz="4" w:space="0" w:color="auto"/>
              <w:left w:val="single" w:sz="8" w:space="0" w:color="E0E0E0"/>
              <w:bottom w:val="single" w:sz="8" w:space="0" w:color="AEAEAE"/>
              <w:right w:val="single" w:sz="8" w:space="0" w:color="E0E0E0"/>
            </w:tcBorders>
            <w:shd w:val="clear" w:color="auto" w:fill="auto"/>
            <w:vAlign w:val="center"/>
          </w:tcPr>
          <w:p w14:paraId="5E3033F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65.808</w:t>
            </w:r>
          </w:p>
        </w:tc>
        <w:tc>
          <w:tcPr>
            <w:tcW w:w="1790" w:type="dxa"/>
            <w:tcBorders>
              <w:top w:val="single" w:sz="4" w:space="0" w:color="auto"/>
              <w:left w:val="single" w:sz="8" w:space="0" w:color="E0E0E0"/>
              <w:bottom w:val="single" w:sz="8" w:space="0" w:color="AEAEAE"/>
              <w:right w:val="nil"/>
            </w:tcBorders>
            <w:shd w:val="clear" w:color="auto" w:fill="auto"/>
            <w:vAlign w:val="center"/>
          </w:tcPr>
          <w:p w14:paraId="7A475E4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65.808</w:t>
            </w:r>
          </w:p>
        </w:tc>
      </w:tr>
      <w:tr w:rsidR="00A0618E" w:rsidRPr="00400193" w14:paraId="28837F3F" w14:textId="77777777" w:rsidTr="009B134A">
        <w:trPr>
          <w:trHeight w:val="283"/>
        </w:trPr>
        <w:tc>
          <w:tcPr>
            <w:tcW w:w="1284" w:type="dxa"/>
            <w:tcBorders>
              <w:top w:val="single" w:sz="8" w:space="0" w:color="AEAEAE"/>
              <w:left w:val="nil"/>
              <w:bottom w:val="single" w:sz="4" w:space="0" w:color="auto"/>
              <w:right w:val="nil"/>
            </w:tcBorders>
            <w:shd w:val="clear" w:color="auto" w:fill="auto"/>
            <w:vAlign w:val="center"/>
          </w:tcPr>
          <w:p w14:paraId="6D07F329"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2</w:t>
            </w:r>
          </w:p>
        </w:tc>
        <w:tc>
          <w:tcPr>
            <w:tcW w:w="856" w:type="dxa"/>
            <w:tcBorders>
              <w:top w:val="single" w:sz="8" w:space="0" w:color="AEAEAE"/>
              <w:left w:val="nil"/>
              <w:bottom w:val="single" w:sz="4" w:space="0" w:color="auto"/>
              <w:right w:val="single" w:sz="8" w:space="0" w:color="E0E0E0"/>
            </w:tcBorders>
            <w:shd w:val="clear" w:color="auto" w:fill="auto"/>
            <w:vAlign w:val="center"/>
          </w:tcPr>
          <w:p w14:paraId="65085624"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0.704</w:t>
            </w:r>
          </w:p>
        </w:tc>
        <w:tc>
          <w:tcPr>
            <w:tcW w:w="1220" w:type="dxa"/>
            <w:tcBorders>
              <w:top w:val="single" w:sz="8" w:space="0" w:color="AEAEAE"/>
              <w:left w:val="single" w:sz="8" w:space="0" w:color="E0E0E0"/>
              <w:bottom w:val="single" w:sz="4" w:space="0" w:color="auto"/>
              <w:right w:val="single" w:sz="8" w:space="0" w:color="E0E0E0"/>
            </w:tcBorders>
            <w:shd w:val="clear" w:color="auto" w:fill="auto"/>
            <w:vAlign w:val="center"/>
          </w:tcPr>
          <w:p w14:paraId="0BDD92C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10.056</w:t>
            </w:r>
          </w:p>
        </w:tc>
        <w:tc>
          <w:tcPr>
            <w:tcW w:w="1790" w:type="dxa"/>
            <w:tcBorders>
              <w:top w:val="single" w:sz="8" w:space="0" w:color="AEAEAE"/>
              <w:left w:val="single" w:sz="8" w:space="0" w:color="E0E0E0"/>
              <w:bottom w:val="single" w:sz="4" w:space="0" w:color="auto"/>
              <w:right w:val="nil"/>
            </w:tcBorders>
            <w:shd w:val="clear" w:color="auto" w:fill="auto"/>
            <w:vAlign w:val="center"/>
          </w:tcPr>
          <w:p w14:paraId="4E556F47"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sz w:val="20"/>
                <w:szCs w:val="18"/>
                <w:lang w:eastAsia="zh-CN" w:bidi="hi-IN"/>
              </w:rPr>
              <w:t>75.864</w:t>
            </w:r>
          </w:p>
        </w:tc>
        <w:tc>
          <w:tcPr>
            <w:tcW w:w="856" w:type="dxa"/>
            <w:tcBorders>
              <w:top w:val="single" w:sz="8" w:space="0" w:color="AEAEAE"/>
              <w:left w:val="single" w:sz="8" w:space="0" w:color="E0E0E0"/>
              <w:bottom w:val="single" w:sz="4" w:space="0" w:color="auto"/>
              <w:right w:val="single" w:sz="8" w:space="0" w:color="E0E0E0"/>
            </w:tcBorders>
            <w:shd w:val="clear" w:color="auto" w:fill="auto"/>
            <w:vAlign w:val="center"/>
          </w:tcPr>
          <w:p w14:paraId="3E9AE876"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p>
        </w:tc>
        <w:tc>
          <w:tcPr>
            <w:tcW w:w="1220" w:type="dxa"/>
            <w:tcBorders>
              <w:top w:val="single" w:sz="8" w:space="0" w:color="AEAEAE"/>
              <w:left w:val="single" w:sz="8" w:space="0" w:color="E0E0E0"/>
              <w:bottom w:val="single" w:sz="4" w:space="0" w:color="auto"/>
              <w:right w:val="single" w:sz="8" w:space="0" w:color="E0E0E0"/>
            </w:tcBorders>
            <w:shd w:val="clear" w:color="auto" w:fill="auto"/>
            <w:vAlign w:val="center"/>
          </w:tcPr>
          <w:p w14:paraId="57D4BF66"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p>
        </w:tc>
        <w:tc>
          <w:tcPr>
            <w:tcW w:w="1790" w:type="dxa"/>
            <w:tcBorders>
              <w:top w:val="single" w:sz="8" w:space="0" w:color="AEAEAE"/>
              <w:left w:val="single" w:sz="8" w:space="0" w:color="E0E0E0"/>
              <w:bottom w:val="single" w:sz="4" w:space="0" w:color="auto"/>
              <w:right w:val="nil"/>
            </w:tcBorders>
            <w:shd w:val="clear" w:color="auto" w:fill="auto"/>
            <w:vAlign w:val="center"/>
          </w:tcPr>
          <w:p w14:paraId="17BF7F4E"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p>
        </w:tc>
      </w:tr>
      <w:tr w:rsidR="00A0618E" w:rsidRPr="00400193" w14:paraId="63092F3A" w14:textId="77777777" w:rsidTr="009B134A">
        <w:trPr>
          <w:trHeight w:val="283"/>
        </w:trPr>
        <w:tc>
          <w:tcPr>
            <w:tcW w:w="9016" w:type="dxa"/>
            <w:gridSpan w:val="7"/>
            <w:tcBorders>
              <w:left w:val="nil"/>
              <w:right w:val="nil"/>
            </w:tcBorders>
            <w:vAlign w:val="center"/>
          </w:tcPr>
          <w:p w14:paraId="57B5584C"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Extraction Method: Principal Component Analysis.</w:t>
            </w:r>
          </w:p>
        </w:tc>
      </w:tr>
    </w:tbl>
    <w:p w14:paraId="7265B92E" w14:textId="2DBDFDA2" w:rsidR="006E3616" w:rsidRPr="00400193" w:rsidRDefault="006E3616" w:rsidP="006E3616">
      <w:pPr>
        <w:pStyle w:val="Caption"/>
        <w:spacing w:after="240"/>
      </w:pPr>
      <w:bookmarkStart w:id="505" w:name="_Ref43253700"/>
      <w:bookmarkStart w:id="506" w:name="_Toc5290157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31</w:t>
      </w:r>
      <w:r w:rsidRPr="00400193">
        <w:fldChar w:fldCharType="end"/>
      </w:r>
      <w:bookmarkEnd w:id="505"/>
      <w:r w:rsidRPr="00400193">
        <w:t>: Total variance explained by the components of KIFF</w:t>
      </w:r>
      <w:bookmarkEnd w:id="506"/>
      <w:r w:rsidRPr="00400193">
        <w:t xml:space="preserve"> </w:t>
      </w:r>
    </w:p>
    <w:p w14:paraId="437E163E" w14:textId="2BD925EC" w:rsidR="006E3616" w:rsidRPr="00400193" w:rsidRDefault="006E3616" w:rsidP="006E3616">
      <w:pPr>
        <w:rPr>
          <w:lang w:eastAsia="zh-CN" w:bidi="hi-IN"/>
        </w:rPr>
      </w:pPr>
      <w:r w:rsidRPr="00400193">
        <w:rPr>
          <w:lang w:eastAsia="zh-CN" w:bidi="hi-IN"/>
        </w:rPr>
        <w:t>The KMO value of 0.894 was within the range for factor analysis (0.5–1.0). Bartlett’s test of sphericity gave a Chi-square value of 454.0, with 21 degrees of freedom, and was significant at ≤0.001 (</w:t>
      </w:r>
      <w:r w:rsidRPr="00400193">
        <w:rPr>
          <w:lang w:eastAsia="zh-CN" w:bidi="hi-IN"/>
        </w:rPr>
        <w:fldChar w:fldCharType="begin"/>
      </w:r>
      <w:r w:rsidRPr="00400193">
        <w:rPr>
          <w:lang w:eastAsia="zh-CN" w:bidi="hi-IN"/>
        </w:rPr>
        <w:instrText xml:space="preserve"> REF _Ref43253785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32</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248"/>
        <w:gridCol w:w="2693"/>
        <w:gridCol w:w="2075"/>
      </w:tblGrid>
      <w:tr w:rsidR="00A0618E" w:rsidRPr="00400193" w14:paraId="3AB20704" w14:textId="77777777" w:rsidTr="009B134A">
        <w:trPr>
          <w:trHeight w:val="283"/>
        </w:trPr>
        <w:tc>
          <w:tcPr>
            <w:tcW w:w="6941" w:type="dxa"/>
            <w:gridSpan w:val="2"/>
            <w:tcBorders>
              <w:top w:val="single" w:sz="4" w:space="0" w:color="auto"/>
              <w:left w:val="nil"/>
              <w:bottom w:val="single" w:sz="4" w:space="0" w:color="auto"/>
              <w:right w:val="nil"/>
            </w:tcBorders>
            <w:shd w:val="clear" w:color="auto" w:fill="auto"/>
            <w:vAlign w:val="center"/>
          </w:tcPr>
          <w:p w14:paraId="57281E2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2075" w:type="dxa"/>
            <w:tcBorders>
              <w:top w:val="single" w:sz="4" w:space="0" w:color="auto"/>
              <w:left w:val="nil"/>
              <w:bottom w:val="single" w:sz="4" w:space="0" w:color="auto"/>
              <w:right w:val="nil"/>
            </w:tcBorders>
            <w:shd w:val="clear" w:color="auto" w:fill="auto"/>
            <w:vAlign w:val="center"/>
          </w:tcPr>
          <w:p w14:paraId="391A22B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0.894</w:t>
            </w:r>
          </w:p>
        </w:tc>
      </w:tr>
      <w:tr w:rsidR="00A0618E" w:rsidRPr="00400193" w14:paraId="5470EAAD" w14:textId="77777777" w:rsidTr="009B134A">
        <w:trPr>
          <w:trHeight w:val="283"/>
        </w:trPr>
        <w:tc>
          <w:tcPr>
            <w:tcW w:w="4248" w:type="dxa"/>
            <w:vMerge w:val="restart"/>
            <w:tcBorders>
              <w:left w:val="nil"/>
              <w:right w:val="nil"/>
            </w:tcBorders>
            <w:vAlign w:val="center"/>
          </w:tcPr>
          <w:p w14:paraId="5AC4040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3" w:type="dxa"/>
            <w:tcBorders>
              <w:top w:val="single" w:sz="4" w:space="0" w:color="auto"/>
              <w:left w:val="nil"/>
              <w:bottom w:val="single" w:sz="8" w:space="0" w:color="AEAEAE"/>
              <w:right w:val="nil"/>
            </w:tcBorders>
            <w:shd w:val="clear" w:color="auto" w:fill="auto"/>
            <w:vAlign w:val="center"/>
          </w:tcPr>
          <w:p w14:paraId="2CDCAAF6"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2075" w:type="dxa"/>
            <w:tcBorders>
              <w:top w:val="single" w:sz="4" w:space="0" w:color="auto"/>
              <w:left w:val="nil"/>
              <w:bottom w:val="single" w:sz="8" w:space="0" w:color="AEAEAE"/>
              <w:right w:val="nil"/>
            </w:tcBorders>
            <w:shd w:val="clear" w:color="auto" w:fill="auto"/>
            <w:vAlign w:val="center"/>
          </w:tcPr>
          <w:p w14:paraId="28976E5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454.0</w:t>
            </w:r>
          </w:p>
        </w:tc>
      </w:tr>
      <w:tr w:rsidR="00A0618E" w:rsidRPr="00400193" w14:paraId="03B431CA" w14:textId="77777777" w:rsidTr="009B134A">
        <w:trPr>
          <w:trHeight w:val="283"/>
        </w:trPr>
        <w:tc>
          <w:tcPr>
            <w:tcW w:w="4248" w:type="dxa"/>
            <w:vMerge/>
            <w:tcBorders>
              <w:left w:val="nil"/>
              <w:right w:val="nil"/>
            </w:tcBorders>
          </w:tcPr>
          <w:p w14:paraId="0AE7DE58"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693" w:type="dxa"/>
            <w:tcBorders>
              <w:top w:val="single" w:sz="8" w:space="0" w:color="AEAEAE"/>
              <w:left w:val="nil"/>
              <w:bottom w:val="single" w:sz="8" w:space="0" w:color="AEAEAE"/>
              <w:right w:val="nil"/>
            </w:tcBorders>
            <w:shd w:val="clear" w:color="auto" w:fill="auto"/>
            <w:vAlign w:val="center"/>
          </w:tcPr>
          <w:p w14:paraId="7C49943B"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2075" w:type="dxa"/>
            <w:tcBorders>
              <w:top w:val="single" w:sz="8" w:space="0" w:color="AEAEAE"/>
              <w:left w:val="nil"/>
              <w:bottom w:val="single" w:sz="8" w:space="0" w:color="AEAEAE"/>
              <w:right w:val="nil"/>
            </w:tcBorders>
            <w:shd w:val="clear" w:color="auto" w:fill="auto"/>
            <w:vAlign w:val="center"/>
          </w:tcPr>
          <w:p w14:paraId="2DC8997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w:t>
            </w:r>
          </w:p>
        </w:tc>
      </w:tr>
      <w:tr w:rsidR="00A0618E" w:rsidRPr="00400193" w14:paraId="17D5D95C" w14:textId="77777777" w:rsidTr="009B134A">
        <w:trPr>
          <w:trHeight w:val="283"/>
        </w:trPr>
        <w:tc>
          <w:tcPr>
            <w:tcW w:w="4248" w:type="dxa"/>
            <w:vMerge/>
            <w:tcBorders>
              <w:left w:val="nil"/>
              <w:right w:val="nil"/>
            </w:tcBorders>
          </w:tcPr>
          <w:p w14:paraId="32E6D7C4"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693" w:type="dxa"/>
            <w:tcBorders>
              <w:top w:val="single" w:sz="8" w:space="0" w:color="AEAEAE"/>
              <w:left w:val="nil"/>
              <w:bottom w:val="single" w:sz="4" w:space="0" w:color="auto"/>
              <w:right w:val="nil"/>
            </w:tcBorders>
            <w:shd w:val="clear" w:color="auto" w:fill="auto"/>
            <w:vAlign w:val="center"/>
          </w:tcPr>
          <w:p w14:paraId="5CF05BAF"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2075" w:type="dxa"/>
            <w:tcBorders>
              <w:top w:val="single" w:sz="8" w:space="0" w:color="AEAEAE"/>
              <w:left w:val="nil"/>
              <w:bottom w:val="single" w:sz="4" w:space="0" w:color="auto"/>
              <w:right w:val="nil"/>
            </w:tcBorders>
            <w:shd w:val="clear" w:color="auto" w:fill="auto"/>
            <w:vAlign w:val="center"/>
          </w:tcPr>
          <w:p w14:paraId="0BFA2E7B"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02006C80" w14:textId="33D65CB0" w:rsidR="006E3616" w:rsidRPr="00400193" w:rsidRDefault="006E3616" w:rsidP="006E3616">
      <w:pPr>
        <w:pStyle w:val="Caption"/>
        <w:rPr>
          <w:lang w:eastAsia="zh-CN" w:bidi="hi-IN"/>
        </w:rPr>
      </w:pPr>
      <w:bookmarkStart w:id="507" w:name="_Ref43253785"/>
      <w:bookmarkStart w:id="508" w:name="_Toc5290157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32</w:t>
      </w:r>
      <w:r w:rsidRPr="00400193">
        <w:fldChar w:fldCharType="end"/>
      </w:r>
      <w:bookmarkEnd w:id="507"/>
      <w:r w:rsidRPr="00400193">
        <w:t>: Kaiser–Meyer–Olkin test and Bartlett's test of sphericity for KIFF</w:t>
      </w:r>
      <w:bookmarkEnd w:id="508"/>
      <w:r w:rsidRPr="00400193">
        <w:t xml:space="preserve"> </w:t>
      </w:r>
    </w:p>
    <w:p w14:paraId="654F2850" w14:textId="77777777" w:rsidR="006E3616" w:rsidRPr="00400193" w:rsidRDefault="006E3616" w:rsidP="006E3616">
      <w:pPr>
        <w:spacing w:line="240" w:lineRule="auto"/>
        <w:rPr>
          <w:lang w:eastAsia="zh-CN" w:bidi="hi-IN"/>
        </w:rPr>
      </w:pPr>
    </w:p>
    <w:p w14:paraId="28CA7FA6" w14:textId="5EDC4829"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_Ref43253819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33</w:t>
      </w:r>
      <w:r w:rsidRPr="00400193">
        <w:rPr>
          <w:lang w:eastAsia="zh-CN" w:bidi="hi-IN"/>
        </w:rPr>
        <w:fldChar w:fldCharType="end"/>
      </w:r>
      <w:r w:rsidRPr="00400193">
        <w:rPr>
          <w:lang w:eastAsia="zh-CN" w:bidi="hi-IN"/>
        </w:rPr>
        <w:t xml:space="preserve"> shows the factor loads, which were all higher than 0.6. There was only one new latent cluster for Key Internal Threats - Financial Fraud (KIFF). This had seven variables allocated to it (KIFFN1), and it was described simply as ‘internal financial fraud’. It had a reliability of &gt;0.9, which is excellent.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2"/>
        <w:gridCol w:w="1502"/>
        <w:gridCol w:w="1503"/>
        <w:gridCol w:w="1503"/>
        <w:gridCol w:w="1503"/>
        <w:gridCol w:w="1503"/>
      </w:tblGrid>
      <w:tr w:rsidR="00A0618E" w:rsidRPr="00400193" w14:paraId="5A98B58A" w14:textId="77777777" w:rsidTr="000966ED">
        <w:trPr>
          <w:trHeight w:val="283"/>
        </w:trPr>
        <w:tc>
          <w:tcPr>
            <w:tcW w:w="1502" w:type="dxa"/>
            <w:vMerge w:val="restart"/>
            <w:vAlign w:val="center"/>
          </w:tcPr>
          <w:p w14:paraId="7B8FD41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Item</w:t>
            </w:r>
          </w:p>
        </w:tc>
        <w:tc>
          <w:tcPr>
            <w:tcW w:w="1502" w:type="dxa"/>
            <w:vAlign w:val="center"/>
          </w:tcPr>
          <w:p w14:paraId="57C7D5C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 xml:space="preserve">Component matrix </w:t>
            </w:r>
            <w:r w:rsidRPr="00400193">
              <w:rPr>
                <w:rFonts w:asciiTheme="minorHAnsi" w:hAnsiTheme="minorHAnsi" w:cstheme="minorHAnsi"/>
                <w:sz w:val="20"/>
                <w:vertAlign w:val="superscript"/>
                <w:lang w:eastAsia="zh-CN" w:bidi="hi-IN"/>
              </w:rPr>
              <w:t>ab</w:t>
            </w:r>
          </w:p>
        </w:tc>
        <w:tc>
          <w:tcPr>
            <w:tcW w:w="1503" w:type="dxa"/>
            <w:vMerge w:val="restart"/>
            <w:shd w:val="clear" w:color="auto" w:fill="FFFFFF"/>
            <w:vAlign w:val="center"/>
          </w:tcPr>
          <w:p w14:paraId="2860733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Cronbach’s Alpha</w:t>
            </w:r>
          </w:p>
        </w:tc>
        <w:tc>
          <w:tcPr>
            <w:tcW w:w="1503" w:type="dxa"/>
            <w:vMerge w:val="restart"/>
            <w:shd w:val="clear" w:color="auto" w:fill="FFFFFF"/>
            <w:vAlign w:val="center"/>
          </w:tcPr>
          <w:p w14:paraId="17316CA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No. of Questions</w:t>
            </w:r>
          </w:p>
        </w:tc>
        <w:tc>
          <w:tcPr>
            <w:tcW w:w="1503" w:type="dxa"/>
            <w:vMerge w:val="restart"/>
            <w:shd w:val="clear" w:color="auto" w:fill="FFFFFF"/>
            <w:vAlign w:val="center"/>
          </w:tcPr>
          <w:p w14:paraId="5E225B2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Code</w:t>
            </w:r>
          </w:p>
        </w:tc>
        <w:tc>
          <w:tcPr>
            <w:tcW w:w="1503" w:type="dxa"/>
            <w:vMerge w:val="restart"/>
            <w:shd w:val="clear" w:color="auto" w:fill="FFFFFF"/>
            <w:vAlign w:val="center"/>
          </w:tcPr>
          <w:p w14:paraId="670F8CC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New Description</w:t>
            </w:r>
          </w:p>
        </w:tc>
      </w:tr>
      <w:tr w:rsidR="00A0618E" w:rsidRPr="00400193" w14:paraId="0C912D99" w14:textId="77777777" w:rsidTr="000966ED">
        <w:trPr>
          <w:trHeight w:val="283"/>
        </w:trPr>
        <w:tc>
          <w:tcPr>
            <w:tcW w:w="1502" w:type="dxa"/>
            <w:vMerge/>
            <w:tcBorders>
              <w:bottom w:val="single" w:sz="4" w:space="0" w:color="auto"/>
            </w:tcBorders>
            <w:shd w:val="clear" w:color="auto" w:fill="FFFFFF"/>
            <w:vAlign w:val="bottom"/>
          </w:tcPr>
          <w:p w14:paraId="2F7943A7" w14:textId="77777777" w:rsidR="006E3616" w:rsidRPr="00400193" w:rsidRDefault="006E3616" w:rsidP="003B5486">
            <w:pPr>
              <w:spacing w:line="240" w:lineRule="auto"/>
              <w:rPr>
                <w:rFonts w:asciiTheme="minorHAnsi" w:hAnsiTheme="minorHAnsi" w:cstheme="minorHAnsi"/>
                <w:sz w:val="20"/>
                <w:lang w:eastAsia="zh-CN" w:bidi="hi-IN"/>
              </w:rPr>
            </w:pPr>
          </w:p>
        </w:tc>
        <w:tc>
          <w:tcPr>
            <w:tcW w:w="1502" w:type="dxa"/>
            <w:tcBorders>
              <w:bottom w:val="single" w:sz="4" w:space="0" w:color="auto"/>
            </w:tcBorders>
            <w:shd w:val="clear" w:color="auto" w:fill="FFFFFF"/>
            <w:vAlign w:val="center"/>
          </w:tcPr>
          <w:p w14:paraId="5A25334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1503" w:type="dxa"/>
            <w:vMerge/>
            <w:tcBorders>
              <w:bottom w:val="single" w:sz="4" w:space="0" w:color="auto"/>
            </w:tcBorders>
            <w:vAlign w:val="center"/>
          </w:tcPr>
          <w:p w14:paraId="602E4F2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6B9EF21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4BB955C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03" w:type="dxa"/>
            <w:vMerge/>
            <w:tcBorders>
              <w:bottom w:val="single" w:sz="4" w:space="0" w:color="auto"/>
            </w:tcBorders>
            <w:vAlign w:val="center"/>
          </w:tcPr>
          <w:p w14:paraId="201CD12B"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A0618E" w:rsidRPr="00400193" w14:paraId="4F65473C" w14:textId="77777777" w:rsidTr="000966ED">
        <w:trPr>
          <w:trHeight w:val="283"/>
        </w:trPr>
        <w:tc>
          <w:tcPr>
            <w:tcW w:w="1502" w:type="dxa"/>
            <w:tcBorders>
              <w:top w:val="single" w:sz="4" w:space="0" w:color="auto"/>
              <w:bottom w:val="nil"/>
            </w:tcBorders>
            <w:shd w:val="clear" w:color="auto" w:fill="auto"/>
            <w:vAlign w:val="center"/>
          </w:tcPr>
          <w:p w14:paraId="388F0B4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KIFF1</w:t>
            </w:r>
          </w:p>
        </w:tc>
        <w:tc>
          <w:tcPr>
            <w:tcW w:w="1502" w:type="dxa"/>
            <w:tcBorders>
              <w:top w:val="single" w:sz="4" w:space="0" w:color="auto"/>
              <w:bottom w:val="nil"/>
            </w:tcBorders>
            <w:shd w:val="clear" w:color="auto" w:fill="FFFFFF"/>
            <w:vAlign w:val="center"/>
          </w:tcPr>
          <w:p w14:paraId="62B1056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0.860</w:t>
            </w:r>
          </w:p>
        </w:tc>
        <w:tc>
          <w:tcPr>
            <w:tcW w:w="1503" w:type="dxa"/>
            <w:vMerge w:val="restart"/>
            <w:tcBorders>
              <w:top w:val="single" w:sz="4" w:space="0" w:color="auto"/>
              <w:bottom w:val="nil"/>
            </w:tcBorders>
            <w:shd w:val="clear" w:color="auto" w:fill="FFFFFF"/>
            <w:vAlign w:val="center"/>
          </w:tcPr>
          <w:p w14:paraId="3C28188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0.911</w:t>
            </w:r>
          </w:p>
        </w:tc>
        <w:tc>
          <w:tcPr>
            <w:tcW w:w="1503" w:type="dxa"/>
            <w:vMerge w:val="restart"/>
            <w:tcBorders>
              <w:top w:val="single" w:sz="4" w:space="0" w:color="auto"/>
              <w:bottom w:val="nil"/>
            </w:tcBorders>
            <w:shd w:val="clear" w:color="auto" w:fill="FFFFFF"/>
            <w:vAlign w:val="center"/>
          </w:tcPr>
          <w:p w14:paraId="6940E48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w:t>
            </w:r>
          </w:p>
        </w:tc>
        <w:tc>
          <w:tcPr>
            <w:tcW w:w="1503" w:type="dxa"/>
            <w:vMerge w:val="restart"/>
            <w:tcBorders>
              <w:top w:val="single" w:sz="4" w:space="0" w:color="auto"/>
              <w:bottom w:val="nil"/>
            </w:tcBorders>
            <w:shd w:val="clear" w:color="auto" w:fill="FFFFFF"/>
            <w:vAlign w:val="center"/>
          </w:tcPr>
          <w:p w14:paraId="798BFCC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KIFFN1</w:t>
            </w:r>
          </w:p>
        </w:tc>
        <w:tc>
          <w:tcPr>
            <w:tcW w:w="1503" w:type="dxa"/>
            <w:vMerge w:val="restart"/>
            <w:tcBorders>
              <w:top w:val="single" w:sz="4" w:space="0" w:color="auto"/>
              <w:bottom w:val="nil"/>
            </w:tcBorders>
            <w:shd w:val="clear" w:color="auto" w:fill="FFFFFF"/>
            <w:vAlign w:val="center"/>
          </w:tcPr>
          <w:p w14:paraId="0A6E9560" w14:textId="77777777" w:rsidR="006E3616" w:rsidRPr="00400193" w:rsidRDefault="006E3616" w:rsidP="003B5486">
            <w:pPr>
              <w:spacing w:line="240" w:lineRule="auto"/>
              <w:jc w:val="left"/>
              <w:rPr>
                <w:rFonts w:asciiTheme="minorHAnsi" w:hAnsiTheme="minorHAnsi" w:cstheme="minorHAnsi"/>
                <w:sz w:val="20"/>
                <w:lang w:eastAsia="zh-CN" w:bidi="hi-IN"/>
              </w:rPr>
            </w:pPr>
            <w:bookmarkStart w:id="509" w:name="_Hlk29773390"/>
            <w:r w:rsidRPr="00400193">
              <w:rPr>
                <w:rFonts w:asciiTheme="minorHAnsi" w:hAnsiTheme="minorHAnsi" w:cstheme="minorHAnsi"/>
                <w:sz w:val="20"/>
                <w:lang w:eastAsia="zh-CN" w:bidi="hi-IN"/>
              </w:rPr>
              <w:t>Internal Financial Fraud</w:t>
            </w:r>
            <w:bookmarkEnd w:id="509"/>
          </w:p>
        </w:tc>
      </w:tr>
      <w:tr w:rsidR="00A0618E" w:rsidRPr="00400193" w14:paraId="5FEE88DB" w14:textId="77777777" w:rsidTr="000966ED">
        <w:trPr>
          <w:trHeight w:val="283"/>
        </w:trPr>
        <w:tc>
          <w:tcPr>
            <w:tcW w:w="1502" w:type="dxa"/>
            <w:tcBorders>
              <w:top w:val="nil"/>
              <w:bottom w:val="nil"/>
            </w:tcBorders>
            <w:shd w:val="clear" w:color="auto" w:fill="auto"/>
            <w:vAlign w:val="center"/>
          </w:tcPr>
          <w:p w14:paraId="7B6AADF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KIFF3</w:t>
            </w:r>
          </w:p>
        </w:tc>
        <w:tc>
          <w:tcPr>
            <w:tcW w:w="1502" w:type="dxa"/>
            <w:tcBorders>
              <w:top w:val="nil"/>
              <w:bottom w:val="nil"/>
            </w:tcBorders>
            <w:shd w:val="clear" w:color="auto" w:fill="FFFFFF"/>
            <w:vAlign w:val="center"/>
          </w:tcPr>
          <w:p w14:paraId="46A0255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0.851</w:t>
            </w:r>
          </w:p>
        </w:tc>
        <w:tc>
          <w:tcPr>
            <w:tcW w:w="1503" w:type="dxa"/>
            <w:vMerge/>
            <w:tcBorders>
              <w:top w:val="nil"/>
              <w:bottom w:val="nil"/>
            </w:tcBorders>
          </w:tcPr>
          <w:p w14:paraId="08C60B6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30B0EF46"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0ED81D62"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13EC00FC"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7F1403FC" w14:textId="77777777" w:rsidTr="000966ED">
        <w:trPr>
          <w:trHeight w:val="283"/>
        </w:trPr>
        <w:tc>
          <w:tcPr>
            <w:tcW w:w="1502" w:type="dxa"/>
            <w:tcBorders>
              <w:top w:val="nil"/>
              <w:bottom w:val="nil"/>
            </w:tcBorders>
            <w:shd w:val="clear" w:color="auto" w:fill="auto"/>
            <w:vAlign w:val="center"/>
          </w:tcPr>
          <w:p w14:paraId="5D05141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KIFF6</w:t>
            </w:r>
          </w:p>
        </w:tc>
        <w:tc>
          <w:tcPr>
            <w:tcW w:w="1502" w:type="dxa"/>
            <w:tcBorders>
              <w:top w:val="nil"/>
              <w:bottom w:val="nil"/>
            </w:tcBorders>
            <w:shd w:val="clear" w:color="auto" w:fill="FFFFFF"/>
            <w:vAlign w:val="center"/>
          </w:tcPr>
          <w:p w14:paraId="26DFE09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0.837</w:t>
            </w:r>
          </w:p>
        </w:tc>
        <w:tc>
          <w:tcPr>
            <w:tcW w:w="1503" w:type="dxa"/>
            <w:vMerge/>
            <w:tcBorders>
              <w:top w:val="nil"/>
              <w:bottom w:val="nil"/>
            </w:tcBorders>
          </w:tcPr>
          <w:p w14:paraId="75B6CEF9"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012F1E6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07AEC15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563D0C77"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3A0D348A" w14:textId="77777777" w:rsidTr="000966ED">
        <w:trPr>
          <w:trHeight w:val="283"/>
        </w:trPr>
        <w:tc>
          <w:tcPr>
            <w:tcW w:w="1502" w:type="dxa"/>
            <w:tcBorders>
              <w:top w:val="nil"/>
              <w:bottom w:val="nil"/>
            </w:tcBorders>
            <w:shd w:val="clear" w:color="auto" w:fill="auto"/>
            <w:vAlign w:val="center"/>
          </w:tcPr>
          <w:p w14:paraId="3DE9DF7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KIFF4</w:t>
            </w:r>
          </w:p>
        </w:tc>
        <w:tc>
          <w:tcPr>
            <w:tcW w:w="1502" w:type="dxa"/>
            <w:tcBorders>
              <w:top w:val="nil"/>
              <w:bottom w:val="nil"/>
            </w:tcBorders>
            <w:shd w:val="clear" w:color="auto" w:fill="FFFFFF"/>
            <w:vAlign w:val="center"/>
          </w:tcPr>
          <w:p w14:paraId="502EE16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0.836</w:t>
            </w:r>
          </w:p>
        </w:tc>
        <w:tc>
          <w:tcPr>
            <w:tcW w:w="1503" w:type="dxa"/>
            <w:vMerge/>
            <w:tcBorders>
              <w:top w:val="nil"/>
              <w:bottom w:val="nil"/>
            </w:tcBorders>
          </w:tcPr>
          <w:p w14:paraId="318ADC7A"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373911E8"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2370C61A"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386C9E99"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67673AE4" w14:textId="77777777" w:rsidTr="000966ED">
        <w:trPr>
          <w:trHeight w:val="283"/>
        </w:trPr>
        <w:tc>
          <w:tcPr>
            <w:tcW w:w="1502" w:type="dxa"/>
            <w:tcBorders>
              <w:top w:val="nil"/>
              <w:bottom w:val="nil"/>
            </w:tcBorders>
            <w:shd w:val="clear" w:color="auto" w:fill="auto"/>
            <w:vAlign w:val="center"/>
          </w:tcPr>
          <w:p w14:paraId="27A56D9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KIFF5</w:t>
            </w:r>
          </w:p>
        </w:tc>
        <w:tc>
          <w:tcPr>
            <w:tcW w:w="1502" w:type="dxa"/>
            <w:tcBorders>
              <w:top w:val="nil"/>
              <w:bottom w:val="nil"/>
            </w:tcBorders>
            <w:shd w:val="clear" w:color="auto" w:fill="FFFFFF"/>
            <w:vAlign w:val="center"/>
          </w:tcPr>
          <w:p w14:paraId="106B3E4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0.834</w:t>
            </w:r>
          </w:p>
        </w:tc>
        <w:tc>
          <w:tcPr>
            <w:tcW w:w="1503" w:type="dxa"/>
            <w:vMerge/>
            <w:tcBorders>
              <w:top w:val="nil"/>
              <w:bottom w:val="nil"/>
            </w:tcBorders>
          </w:tcPr>
          <w:p w14:paraId="7D4141F8"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4B8CC3E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7245263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61D94635"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241F51E6" w14:textId="77777777" w:rsidTr="000966ED">
        <w:trPr>
          <w:trHeight w:val="283"/>
        </w:trPr>
        <w:tc>
          <w:tcPr>
            <w:tcW w:w="1502" w:type="dxa"/>
            <w:tcBorders>
              <w:top w:val="nil"/>
              <w:bottom w:val="nil"/>
            </w:tcBorders>
            <w:shd w:val="clear" w:color="auto" w:fill="auto"/>
            <w:vAlign w:val="center"/>
          </w:tcPr>
          <w:p w14:paraId="7E4B1C4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KIFF7</w:t>
            </w:r>
          </w:p>
        </w:tc>
        <w:tc>
          <w:tcPr>
            <w:tcW w:w="1502" w:type="dxa"/>
            <w:tcBorders>
              <w:top w:val="nil"/>
              <w:bottom w:val="nil"/>
            </w:tcBorders>
            <w:shd w:val="clear" w:color="auto" w:fill="FFFFFF"/>
            <w:vAlign w:val="center"/>
          </w:tcPr>
          <w:p w14:paraId="2289061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0.757</w:t>
            </w:r>
          </w:p>
        </w:tc>
        <w:tc>
          <w:tcPr>
            <w:tcW w:w="1503" w:type="dxa"/>
            <w:vMerge/>
            <w:tcBorders>
              <w:top w:val="nil"/>
              <w:bottom w:val="nil"/>
            </w:tcBorders>
          </w:tcPr>
          <w:p w14:paraId="7DBB9E02"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21A9A405"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04061FD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nil"/>
            </w:tcBorders>
          </w:tcPr>
          <w:p w14:paraId="7A016F7F"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24DC7897" w14:textId="77777777" w:rsidTr="000966ED">
        <w:trPr>
          <w:trHeight w:val="283"/>
        </w:trPr>
        <w:tc>
          <w:tcPr>
            <w:tcW w:w="1502" w:type="dxa"/>
            <w:tcBorders>
              <w:top w:val="nil"/>
              <w:bottom w:val="single" w:sz="4" w:space="0" w:color="auto"/>
            </w:tcBorders>
            <w:shd w:val="clear" w:color="auto" w:fill="auto"/>
            <w:vAlign w:val="center"/>
          </w:tcPr>
          <w:p w14:paraId="6095BAA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KIFF2</w:t>
            </w:r>
          </w:p>
        </w:tc>
        <w:tc>
          <w:tcPr>
            <w:tcW w:w="1502" w:type="dxa"/>
            <w:tcBorders>
              <w:top w:val="nil"/>
              <w:bottom w:val="single" w:sz="4" w:space="0" w:color="auto"/>
            </w:tcBorders>
            <w:shd w:val="clear" w:color="auto" w:fill="FFFFFF"/>
            <w:vAlign w:val="center"/>
          </w:tcPr>
          <w:p w14:paraId="6B2640D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0.688</w:t>
            </w:r>
          </w:p>
        </w:tc>
        <w:tc>
          <w:tcPr>
            <w:tcW w:w="1503" w:type="dxa"/>
            <w:vMerge/>
            <w:tcBorders>
              <w:top w:val="nil"/>
              <w:bottom w:val="single" w:sz="4" w:space="0" w:color="auto"/>
            </w:tcBorders>
          </w:tcPr>
          <w:p w14:paraId="3591ECA4"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single" w:sz="4" w:space="0" w:color="auto"/>
            </w:tcBorders>
          </w:tcPr>
          <w:p w14:paraId="3A303183"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single" w:sz="4" w:space="0" w:color="auto"/>
            </w:tcBorders>
          </w:tcPr>
          <w:p w14:paraId="65E83193"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bottom w:val="single" w:sz="4" w:space="0" w:color="auto"/>
            </w:tcBorders>
          </w:tcPr>
          <w:p w14:paraId="17C2BD14"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773B1AF5" w14:textId="77777777" w:rsidTr="000966ED">
        <w:trPr>
          <w:trHeight w:val="283"/>
        </w:trPr>
        <w:tc>
          <w:tcPr>
            <w:tcW w:w="9016" w:type="dxa"/>
            <w:gridSpan w:val="6"/>
            <w:tcBorders>
              <w:top w:val="single" w:sz="4" w:space="0" w:color="auto"/>
            </w:tcBorders>
          </w:tcPr>
          <w:p w14:paraId="3E65A350" w14:textId="5862978C" w:rsidR="002B4B41" w:rsidRPr="00400193" w:rsidRDefault="006E3616" w:rsidP="003B5486">
            <w:pPr>
              <w:keepNext/>
              <w:spacing w:line="240" w:lineRule="auto"/>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1 component extracted</w:t>
            </w:r>
            <w:r w:rsidR="002B4B41" w:rsidRPr="00400193">
              <w:rPr>
                <w:rFonts w:asciiTheme="minorHAnsi" w:hAnsiTheme="minorHAnsi" w:cstheme="minorHAnsi"/>
                <w:sz w:val="20"/>
                <w:lang w:eastAsia="zh-CN" w:bidi="hi-IN"/>
              </w:rPr>
              <w:t>,</w:t>
            </w:r>
          </w:p>
          <w:p w14:paraId="390B07E8" w14:textId="5C370DE6" w:rsidR="002B4B41" w:rsidRPr="00400193" w:rsidRDefault="002B4B41" w:rsidP="003B5486">
            <w:pPr>
              <w:keepNext/>
              <w:spacing w:line="240" w:lineRule="auto"/>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31861461" w14:textId="3F125663" w:rsidR="006E3616" w:rsidRPr="00400193" w:rsidRDefault="006E3616" w:rsidP="004C088B">
      <w:pPr>
        <w:pStyle w:val="Caption"/>
        <w:spacing w:after="240"/>
        <w:rPr>
          <w:lang w:eastAsia="zh-CN" w:bidi="hi-IN"/>
        </w:rPr>
      </w:pPr>
      <w:bookmarkStart w:id="510" w:name="_Ref43253819"/>
      <w:bookmarkStart w:id="511" w:name="_Toc5290157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33</w:t>
      </w:r>
      <w:r w:rsidRPr="00400193">
        <w:fldChar w:fldCharType="end"/>
      </w:r>
      <w:bookmarkEnd w:id="510"/>
      <w:r w:rsidRPr="00400193">
        <w:t>: Mean, standard deviation, communalities and rotated component matrix for KIFF survey.</w:t>
      </w:r>
      <w:bookmarkEnd w:id="511"/>
    </w:p>
    <w:p w14:paraId="4BADEAC1" w14:textId="17D88A73" w:rsidR="006E3616" w:rsidRPr="00400193" w:rsidRDefault="006E3616" w:rsidP="00CA3079">
      <w:pPr>
        <w:rPr>
          <w:lang w:eastAsia="zh-CN" w:bidi="hi-IN"/>
        </w:rPr>
      </w:pPr>
      <w:r w:rsidRPr="00400193">
        <w:rPr>
          <w:lang w:eastAsia="zh-CN" w:bidi="hi-IN"/>
        </w:rPr>
        <w:lastRenderedPageBreak/>
        <w:fldChar w:fldCharType="begin"/>
      </w:r>
      <w:r w:rsidRPr="00400193">
        <w:rPr>
          <w:lang w:eastAsia="zh-CN" w:bidi="hi-IN"/>
        </w:rPr>
        <w:instrText xml:space="preserve"> REF _Ref43253929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34</w:t>
      </w:r>
      <w:r w:rsidRPr="00400193">
        <w:rPr>
          <w:lang w:eastAsia="zh-CN" w:bidi="hi-IN"/>
        </w:rPr>
        <w:fldChar w:fldCharType="end"/>
      </w:r>
      <w:r w:rsidRPr="00400193">
        <w:rPr>
          <w:lang w:eastAsia="zh-CN" w:bidi="hi-IN"/>
        </w:rPr>
        <w:t xml:space="preserve"> shows CR and AVE for each factor and MSW and ASV values. CR was 0.931, which is greater than 0.7 and AVE was 0.658, which is greater than 0.5. MSV (0.739) &gt; AVE and ASV (0.658) ≤ AVE. There were therefore problems with discriminant validity (MSV &gt; AVE). </w:t>
      </w:r>
    </w:p>
    <w:tbl>
      <w:tblPr>
        <w:tblStyle w:val="TableGrid"/>
        <w:tblW w:w="0" w:type="auto"/>
        <w:tblLook w:val="04A0" w:firstRow="1" w:lastRow="0" w:firstColumn="1" w:lastColumn="0" w:noHBand="0" w:noVBand="1"/>
      </w:tblPr>
      <w:tblGrid>
        <w:gridCol w:w="4508"/>
        <w:gridCol w:w="4508"/>
      </w:tblGrid>
      <w:tr w:rsidR="00A0618E" w:rsidRPr="00400193" w14:paraId="1B6D3674" w14:textId="77777777" w:rsidTr="00163893">
        <w:trPr>
          <w:trHeight w:val="283"/>
        </w:trPr>
        <w:tc>
          <w:tcPr>
            <w:tcW w:w="4508" w:type="dxa"/>
            <w:tcBorders>
              <w:top w:val="single" w:sz="4" w:space="0" w:color="auto"/>
              <w:left w:val="nil"/>
              <w:bottom w:val="single" w:sz="4" w:space="0" w:color="auto"/>
              <w:right w:val="nil"/>
            </w:tcBorders>
            <w:vAlign w:val="center"/>
          </w:tcPr>
          <w:p w14:paraId="6A13C328"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4508" w:type="dxa"/>
            <w:tcBorders>
              <w:top w:val="single" w:sz="4" w:space="0" w:color="auto"/>
              <w:left w:val="nil"/>
              <w:bottom w:val="single" w:sz="4" w:space="0" w:color="auto"/>
              <w:right w:val="nil"/>
            </w:tcBorders>
            <w:vAlign w:val="center"/>
          </w:tcPr>
          <w:p w14:paraId="1332B598"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r>
      <w:tr w:rsidR="00A0618E" w:rsidRPr="00400193" w14:paraId="5ACA87E2" w14:textId="77777777" w:rsidTr="00163893">
        <w:trPr>
          <w:trHeight w:val="283"/>
        </w:trPr>
        <w:tc>
          <w:tcPr>
            <w:tcW w:w="4508" w:type="dxa"/>
            <w:tcBorders>
              <w:top w:val="single" w:sz="4" w:space="0" w:color="auto"/>
              <w:left w:val="nil"/>
              <w:bottom w:val="nil"/>
              <w:right w:val="nil"/>
            </w:tcBorders>
            <w:vAlign w:val="center"/>
          </w:tcPr>
          <w:p w14:paraId="47CEB66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4508" w:type="dxa"/>
            <w:tcBorders>
              <w:top w:val="single" w:sz="4" w:space="0" w:color="auto"/>
              <w:left w:val="nil"/>
              <w:bottom w:val="nil"/>
              <w:right w:val="nil"/>
            </w:tcBorders>
            <w:vAlign w:val="center"/>
          </w:tcPr>
          <w:p w14:paraId="6037E14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0.931</w:t>
            </w:r>
          </w:p>
        </w:tc>
      </w:tr>
      <w:tr w:rsidR="00A0618E" w:rsidRPr="00400193" w14:paraId="4DCBF1D1" w14:textId="77777777" w:rsidTr="00163893">
        <w:trPr>
          <w:trHeight w:val="283"/>
        </w:trPr>
        <w:tc>
          <w:tcPr>
            <w:tcW w:w="4508" w:type="dxa"/>
            <w:tcBorders>
              <w:top w:val="nil"/>
              <w:left w:val="nil"/>
              <w:bottom w:val="nil"/>
              <w:right w:val="nil"/>
            </w:tcBorders>
            <w:vAlign w:val="center"/>
          </w:tcPr>
          <w:p w14:paraId="26CBC531"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4508" w:type="dxa"/>
            <w:tcBorders>
              <w:top w:val="nil"/>
              <w:left w:val="nil"/>
              <w:bottom w:val="nil"/>
              <w:right w:val="nil"/>
            </w:tcBorders>
            <w:vAlign w:val="center"/>
          </w:tcPr>
          <w:p w14:paraId="7258A55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0.658</w:t>
            </w:r>
          </w:p>
        </w:tc>
      </w:tr>
      <w:tr w:rsidR="00A0618E" w:rsidRPr="00400193" w14:paraId="0638AB35" w14:textId="77777777" w:rsidTr="00163893">
        <w:trPr>
          <w:trHeight w:val="283"/>
        </w:trPr>
        <w:tc>
          <w:tcPr>
            <w:tcW w:w="4508" w:type="dxa"/>
            <w:tcBorders>
              <w:top w:val="nil"/>
              <w:left w:val="nil"/>
              <w:bottom w:val="nil"/>
              <w:right w:val="nil"/>
            </w:tcBorders>
            <w:vAlign w:val="center"/>
          </w:tcPr>
          <w:p w14:paraId="2408B87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4508" w:type="dxa"/>
            <w:tcBorders>
              <w:top w:val="nil"/>
              <w:left w:val="nil"/>
              <w:bottom w:val="nil"/>
              <w:right w:val="nil"/>
            </w:tcBorders>
            <w:vAlign w:val="center"/>
          </w:tcPr>
          <w:p w14:paraId="7D99896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0.739</w:t>
            </w:r>
          </w:p>
        </w:tc>
      </w:tr>
      <w:tr w:rsidR="00A0618E" w:rsidRPr="00400193" w14:paraId="470450B9" w14:textId="77777777" w:rsidTr="00163893">
        <w:trPr>
          <w:trHeight w:val="283"/>
        </w:trPr>
        <w:tc>
          <w:tcPr>
            <w:tcW w:w="4508" w:type="dxa"/>
            <w:tcBorders>
              <w:top w:val="nil"/>
              <w:left w:val="nil"/>
              <w:bottom w:val="single" w:sz="4" w:space="0" w:color="auto"/>
              <w:right w:val="nil"/>
            </w:tcBorders>
            <w:vAlign w:val="center"/>
          </w:tcPr>
          <w:p w14:paraId="470CB6B1"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4508" w:type="dxa"/>
            <w:tcBorders>
              <w:top w:val="nil"/>
              <w:left w:val="nil"/>
              <w:bottom w:val="single" w:sz="4" w:space="0" w:color="auto"/>
              <w:right w:val="nil"/>
            </w:tcBorders>
            <w:vAlign w:val="center"/>
          </w:tcPr>
          <w:p w14:paraId="4DC9851C"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0.658</w:t>
            </w:r>
          </w:p>
        </w:tc>
      </w:tr>
    </w:tbl>
    <w:p w14:paraId="0B99A2FA" w14:textId="40C06C3A" w:rsidR="006E3616" w:rsidRPr="00400193" w:rsidRDefault="006E3616" w:rsidP="004C088B">
      <w:pPr>
        <w:pStyle w:val="Caption"/>
        <w:spacing w:after="240"/>
      </w:pPr>
      <w:bookmarkStart w:id="512" w:name="_Ref43253929"/>
      <w:bookmarkStart w:id="513" w:name="_Toc5290157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34</w:t>
      </w:r>
      <w:r w:rsidRPr="00400193">
        <w:fldChar w:fldCharType="end"/>
      </w:r>
      <w:bookmarkEnd w:id="512"/>
      <w:r w:rsidRPr="00400193">
        <w:t>: Average variance extracted (AVE), composite reliability (CR), maximum shared variance (MSV) and average shared variance (ASV) of KIFF</w:t>
      </w:r>
      <w:bookmarkEnd w:id="513"/>
    </w:p>
    <w:p w14:paraId="52830367" w14:textId="77777777" w:rsidR="006E3616" w:rsidRPr="00400193" w:rsidRDefault="006E3616" w:rsidP="006E3616">
      <w:pPr>
        <w:pStyle w:val="Heading3"/>
        <w:rPr>
          <w:lang w:eastAsia="zh-CN" w:bidi="hi-IN"/>
        </w:rPr>
      </w:pPr>
      <w:bookmarkStart w:id="514" w:name="_Toc61894760"/>
      <w:r w:rsidRPr="00400193">
        <w:rPr>
          <w:lang w:eastAsia="zh-CN" w:bidi="hi-IN"/>
        </w:rPr>
        <w:t>Key Internal Threats - Criminal Acts (ITCA)</w:t>
      </w:r>
      <w:bookmarkEnd w:id="514"/>
    </w:p>
    <w:p w14:paraId="07267AA3" w14:textId="1613BE78"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_Ref43253994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35</w:t>
      </w:r>
      <w:r w:rsidRPr="00400193">
        <w:rPr>
          <w:lang w:eastAsia="zh-CN" w:bidi="hi-IN"/>
        </w:rPr>
        <w:fldChar w:fldCharType="end"/>
      </w:r>
      <w:r w:rsidRPr="00400193">
        <w:rPr>
          <w:lang w:eastAsia="zh-CN" w:bidi="hi-IN"/>
        </w:rPr>
        <w:t xml:space="preserve">) </w:t>
      </w:r>
      <w:r w:rsidR="006A63CD" w:rsidRPr="00400193">
        <w:rPr>
          <w:lang w:eastAsia="zh-CN" w:bidi="hi-IN"/>
        </w:rPr>
        <w:t>justifies</w:t>
      </w:r>
      <w:r w:rsidR="006A63CD" w:rsidRPr="00400193" w:rsidDel="006A63CD">
        <w:rPr>
          <w:lang w:eastAsia="zh-CN" w:bidi="hi-IN"/>
        </w:rPr>
        <w:t xml:space="preserve"> </w:t>
      </w:r>
      <w:r w:rsidRPr="00400193">
        <w:rPr>
          <w:lang w:eastAsia="zh-CN" w:bidi="hi-IN"/>
        </w:rPr>
        <w:t>the selection of only one main component. This explained 62.1% of the variance, resulting in the loss of 37.9% of the original information from the seven initial variables, because the new factor only explained 4.3 variables.</w:t>
      </w:r>
    </w:p>
    <w:tbl>
      <w:tblPr>
        <w:tblStyle w:val="TableGrid"/>
        <w:tblW w:w="0" w:type="auto"/>
        <w:tblLook w:val="04A0" w:firstRow="1" w:lastRow="0" w:firstColumn="1" w:lastColumn="0" w:noHBand="0" w:noVBand="1"/>
      </w:tblPr>
      <w:tblGrid>
        <w:gridCol w:w="1242"/>
        <w:gridCol w:w="982"/>
        <w:gridCol w:w="1208"/>
        <w:gridCol w:w="1697"/>
        <w:gridCol w:w="982"/>
        <w:gridCol w:w="1208"/>
        <w:gridCol w:w="1697"/>
      </w:tblGrid>
      <w:tr w:rsidR="00A0618E" w:rsidRPr="00400193" w14:paraId="5DCB9477" w14:textId="77777777" w:rsidTr="00C44D9E">
        <w:trPr>
          <w:trHeight w:val="283"/>
        </w:trPr>
        <w:tc>
          <w:tcPr>
            <w:tcW w:w="1242" w:type="dxa"/>
            <w:vMerge w:val="restart"/>
            <w:tcBorders>
              <w:left w:val="nil"/>
              <w:right w:val="nil"/>
            </w:tcBorders>
            <w:vAlign w:val="center"/>
          </w:tcPr>
          <w:p w14:paraId="6A3B6820"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Latent Variables</w:t>
            </w:r>
          </w:p>
        </w:tc>
        <w:tc>
          <w:tcPr>
            <w:tcW w:w="3887" w:type="dxa"/>
            <w:gridSpan w:val="3"/>
            <w:tcBorders>
              <w:left w:val="nil"/>
              <w:bottom w:val="nil"/>
              <w:right w:val="nil"/>
            </w:tcBorders>
            <w:vAlign w:val="center"/>
          </w:tcPr>
          <w:p w14:paraId="04167436"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Initial Eigenvalues</w:t>
            </w:r>
          </w:p>
        </w:tc>
        <w:tc>
          <w:tcPr>
            <w:tcW w:w="3887" w:type="dxa"/>
            <w:gridSpan w:val="3"/>
            <w:tcBorders>
              <w:left w:val="nil"/>
              <w:bottom w:val="nil"/>
              <w:right w:val="nil"/>
            </w:tcBorders>
            <w:vAlign w:val="center"/>
          </w:tcPr>
          <w:p w14:paraId="6C74F44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Extraction Sums of Squared Loadings</w:t>
            </w:r>
          </w:p>
        </w:tc>
      </w:tr>
      <w:tr w:rsidR="00A0618E" w:rsidRPr="00400193" w14:paraId="76831D1E" w14:textId="77777777" w:rsidTr="00C44D9E">
        <w:trPr>
          <w:trHeight w:val="283"/>
        </w:trPr>
        <w:tc>
          <w:tcPr>
            <w:tcW w:w="1242" w:type="dxa"/>
            <w:vMerge/>
            <w:tcBorders>
              <w:left w:val="nil"/>
              <w:bottom w:val="single" w:sz="4" w:space="0" w:color="auto"/>
              <w:right w:val="nil"/>
            </w:tcBorders>
            <w:vAlign w:val="center"/>
          </w:tcPr>
          <w:p w14:paraId="660B893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982" w:type="dxa"/>
            <w:tcBorders>
              <w:top w:val="nil"/>
              <w:left w:val="nil"/>
              <w:bottom w:val="single" w:sz="4" w:space="0" w:color="auto"/>
              <w:right w:val="nil"/>
            </w:tcBorders>
            <w:shd w:val="clear" w:color="auto" w:fill="auto"/>
            <w:vAlign w:val="center"/>
          </w:tcPr>
          <w:p w14:paraId="639D24E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208" w:type="dxa"/>
            <w:tcBorders>
              <w:top w:val="nil"/>
              <w:left w:val="nil"/>
              <w:bottom w:val="single" w:sz="4" w:space="0" w:color="auto"/>
              <w:right w:val="nil"/>
            </w:tcBorders>
            <w:shd w:val="clear" w:color="auto" w:fill="auto"/>
            <w:vAlign w:val="center"/>
          </w:tcPr>
          <w:p w14:paraId="1E9E9FA5"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 of Variance</w:t>
            </w:r>
          </w:p>
        </w:tc>
        <w:tc>
          <w:tcPr>
            <w:tcW w:w="1697" w:type="dxa"/>
            <w:tcBorders>
              <w:top w:val="nil"/>
              <w:left w:val="nil"/>
              <w:bottom w:val="single" w:sz="4" w:space="0" w:color="auto"/>
              <w:right w:val="nil"/>
            </w:tcBorders>
            <w:shd w:val="clear" w:color="auto" w:fill="auto"/>
            <w:vAlign w:val="center"/>
          </w:tcPr>
          <w:p w14:paraId="465F46F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Cumulative %</w:t>
            </w:r>
          </w:p>
        </w:tc>
        <w:tc>
          <w:tcPr>
            <w:tcW w:w="982" w:type="dxa"/>
            <w:tcBorders>
              <w:top w:val="nil"/>
              <w:left w:val="nil"/>
              <w:bottom w:val="single" w:sz="4" w:space="0" w:color="auto"/>
              <w:right w:val="nil"/>
            </w:tcBorders>
            <w:shd w:val="clear" w:color="auto" w:fill="auto"/>
            <w:vAlign w:val="center"/>
          </w:tcPr>
          <w:p w14:paraId="5032839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208" w:type="dxa"/>
            <w:tcBorders>
              <w:top w:val="nil"/>
              <w:left w:val="nil"/>
              <w:bottom w:val="single" w:sz="4" w:space="0" w:color="auto"/>
              <w:right w:val="nil"/>
            </w:tcBorders>
            <w:shd w:val="clear" w:color="auto" w:fill="auto"/>
            <w:vAlign w:val="center"/>
          </w:tcPr>
          <w:p w14:paraId="3CF010F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 of Variance</w:t>
            </w:r>
          </w:p>
        </w:tc>
        <w:tc>
          <w:tcPr>
            <w:tcW w:w="1697" w:type="dxa"/>
            <w:tcBorders>
              <w:top w:val="nil"/>
              <w:left w:val="nil"/>
              <w:bottom w:val="single" w:sz="4" w:space="0" w:color="auto"/>
              <w:right w:val="nil"/>
            </w:tcBorders>
            <w:shd w:val="clear" w:color="auto" w:fill="auto"/>
            <w:vAlign w:val="center"/>
          </w:tcPr>
          <w:p w14:paraId="60C812B9"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Cumulative %</w:t>
            </w:r>
          </w:p>
        </w:tc>
      </w:tr>
      <w:tr w:rsidR="00A0618E" w:rsidRPr="00400193" w14:paraId="37A2AEDF" w14:textId="77777777" w:rsidTr="00C44D9E">
        <w:trPr>
          <w:trHeight w:val="283"/>
        </w:trPr>
        <w:tc>
          <w:tcPr>
            <w:tcW w:w="1242" w:type="dxa"/>
            <w:tcBorders>
              <w:top w:val="single" w:sz="4" w:space="0" w:color="auto"/>
              <w:left w:val="nil"/>
              <w:bottom w:val="nil"/>
              <w:right w:val="nil"/>
            </w:tcBorders>
            <w:shd w:val="clear" w:color="auto" w:fill="auto"/>
            <w:vAlign w:val="center"/>
          </w:tcPr>
          <w:p w14:paraId="1F0106E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982" w:type="dxa"/>
            <w:tcBorders>
              <w:top w:val="single" w:sz="4" w:space="0" w:color="auto"/>
              <w:left w:val="nil"/>
              <w:bottom w:val="nil"/>
              <w:right w:val="nil"/>
            </w:tcBorders>
            <w:shd w:val="clear" w:color="auto" w:fill="auto"/>
            <w:vAlign w:val="center"/>
          </w:tcPr>
          <w:p w14:paraId="0572A14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4.346</w:t>
            </w:r>
          </w:p>
        </w:tc>
        <w:tc>
          <w:tcPr>
            <w:tcW w:w="1208" w:type="dxa"/>
            <w:tcBorders>
              <w:top w:val="single" w:sz="4" w:space="0" w:color="auto"/>
              <w:left w:val="nil"/>
              <w:bottom w:val="nil"/>
              <w:right w:val="nil"/>
            </w:tcBorders>
            <w:shd w:val="clear" w:color="auto" w:fill="auto"/>
            <w:vAlign w:val="center"/>
          </w:tcPr>
          <w:p w14:paraId="19A15CE9"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62.082</w:t>
            </w:r>
          </w:p>
        </w:tc>
        <w:tc>
          <w:tcPr>
            <w:tcW w:w="1697" w:type="dxa"/>
            <w:tcBorders>
              <w:top w:val="single" w:sz="4" w:space="0" w:color="auto"/>
              <w:left w:val="nil"/>
              <w:bottom w:val="nil"/>
              <w:right w:val="nil"/>
            </w:tcBorders>
            <w:shd w:val="clear" w:color="auto" w:fill="auto"/>
            <w:vAlign w:val="center"/>
          </w:tcPr>
          <w:p w14:paraId="5E761AC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62.082</w:t>
            </w:r>
          </w:p>
        </w:tc>
        <w:tc>
          <w:tcPr>
            <w:tcW w:w="982" w:type="dxa"/>
            <w:tcBorders>
              <w:top w:val="single" w:sz="4" w:space="0" w:color="auto"/>
              <w:left w:val="nil"/>
              <w:bottom w:val="nil"/>
              <w:right w:val="nil"/>
            </w:tcBorders>
            <w:shd w:val="clear" w:color="auto" w:fill="auto"/>
            <w:vAlign w:val="center"/>
          </w:tcPr>
          <w:p w14:paraId="73ED3C3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4.346</w:t>
            </w:r>
          </w:p>
        </w:tc>
        <w:tc>
          <w:tcPr>
            <w:tcW w:w="1208" w:type="dxa"/>
            <w:tcBorders>
              <w:top w:val="single" w:sz="4" w:space="0" w:color="auto"/>
              <w:left w:val="nil"/>
              <w:bottom w:val="nil"/>
              <w:right w:val="nil"/>
            </w:tcBorders>
            <w:shd w:val="clear" w:color="auto" w:fill="auto"/>
            <w:vAlign w:val="center"/>
          </w:tcPr>
          <w:p w14:paraId="6F2C35F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62.082</w:t>
            </w:r>
          </w:p>
        </w:tc>
        <w:tc>
          <w:tcPr>
            <w:tcW w:w="1697" w:type="dxa"/>
            <w:tcBorders>
              <w:top w:val="single" w:sz="4" w:space="0" w:color="auto"/>
              <w:left w:val="nil"/>
              <w:bottom w:val="nil"/>
              <w:right w:val="nil"/>
            </w:tcBorders>
            <w:shd w:val="clear" w:color="auto" w:fill="auto"/>
            <w:vAlign w:val="center"/>
          </w:tcPr>
          <w:p w14:paraId="0E1E334C"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62.082</w:t>
            </w:r>
          </w:p>
        </w:tc>
      </w:tr>
      <w:tr w:rsidR="00A0618E" w:rsidRPr="00400193" w14:paraId="60A8ED3F" w14:textId="77777777" w:rsidTr="00C44D9E">
        <w:trPr>
          <w:trHeight w:val="283"/>
        </w:trPr>
        <w:tc>
          <w:tcPr>
            <w:tcW w:w="1242" w:type="dxa"/>
            <w:tcBorders>
              <w:top w:val="nil"/>
              <w:left w:val="nil"/>
              <w:bottom w:val="single" w:sz="4" w:space="0" w:color="auto"/>
              <w:right w:val="nil"/>
            </w:tcBorders>
            <w:shd w:val="clear" w:color="auto" w:fill="auto"/>
            <w:vAlign w:val="center"/>
          </w:tcPr>
          <w:p w14:paraId="771B66B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982" w:type="dxa"/>
            <w:tcBorders>
              <w:top w:val="nil"/>
              <w:left w:val="nil"/>
              <w:bottom w:val="single" w:sz="4" w:space="0" w:color="auto"/>
              <w:right w:val="nil"/>
            </w:tcBorders>
            <w:shd w:val="clear" w:color="auto" w:fill="auto"/>
            <w:vAlign w:val="center"/>
          </w:tcPr>
          <w:p w14:paraId="713F91A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0.823</w:t>
            </w:r>
          </w:p>
        </w:tc>
        <w:tc>
          <w:tcPr>
            <w:tcW w:w="1208" w:type="dxa"/>
            <w:tcBorders>
              <w:top w:val="nil"/>
              <w:left w:val="nil"/>
              <w:bottom w:val="single" w:sz="4" w:space="0" w:color="auto"/>
              <w:right w:val="nil"/>
            </w:tcBorders>
            <w:shd w:val="clear" w:color="auto" w:fill="auto"/>
            <w:vAlign w:val="center"/>
          </w:tcPr>
          <w:p w14:paraId="2EC3AF8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11.762</w:t>
            </w:r>
          </w:p>
        </w:tc>
        <w:tc>
          <w:tcPr>
            <w:tcW w:w="1697" w:type="dxa"/>
            <w:tcBorders>
              <w:top w:val="nil"/>
              <w:left w:val="nil"/>
              <w:bottom w:val="single" w:sz="4" w:space="0" w:color="auto"/>
              <w:right w:val="nil"/>
            </w:tcBorders>
            <w:shd w:val="clear" w:color="auto" w:fill="auto"/>
            <w:vAlign w:val="center"/>
          </w:tcPr>
          <w:p w14:paraId="24318B4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73.844</w:t>
            </w:r>
          </w:p>
        </w:tc>
        <w:tc>
          <w:tcPr>
            <w:tcW w:w="982" w:type="dxa"/>
            <w:tcBorders>
              <w:top w:val="nil"/>
              <w:left w:val="nil"/>
              <w:bottom w:val="single" w:sz="4" w:space="0" w:color="auto"/>
              <w:right w:val="nil"/>
            </w:tcBorders>
            <w:shd w:val="clear" w:color="auto" w:fill="auto"/>
            <w:vAlign w:val="center"/>
          </w:tcPr>
          <w:p w14:paraId="1BB84C2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208" w:type="dxa"/>
            <w:tcBorders>
              <w:top w:val="nil"/>
              <w:left w:val="nil"/>
              <w:bottom w:val="single" w:sz="4" w:space="0" w:color="auto"/>
              <w:right w:val="nil"/>
            </w:tcBorders>
            <w:shd w:val="clear" w:color="auto" w:fill="auto"/>
            <w:vAlign w:val="center"/>
          </w:tcPr>
          <w:p w14:paraId="084F351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697" w:type="dxa"/>
            <w:tcBorders>
              <w:top w:val="nil"/>
              <w:left w:val="nil"/>
              <w:bottom w:val="single" w:sz="4" w:space="0" w:color="auto"/>
              <w:right w:val="nil"/>
            </w:tcBorders>
            <w:shd w:val="clear" w:color="auto" w:fill="auto"/>
            <w:vAlign w:val="center"/>
          </w:tcPr>
          <w:p w14:paraId="61B4658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34875250" w14:textId="77777777" w:rsidTr="00C44D9E">
        <w:trPr>
          <w:trHeight w:val="283"/>
        </w:trPr>
        <w:tc>
          <w:tcPr>
            <w:tcW w:w="9016" w:type="dxa"/>
            <w:gridSpan w:val="7"/>
            <w:tcBorders>
              <w:top w:val="single" w:sz="4" w:space="0" w:color="auto"/>
              <w:left w:val="nil"/>
              <w:right w:val="nil"/>
            </w:tcBorders>
          </w:tcPr>
          <w:p w14:paraId="4BA282F8" w14:textId="77777777" w:rsidR="006E3616" w:rsidRPr="00400193" w:rsidRDefault="006E3616" w:rsidP="003B5486">
            <w:pPr>
              <w:keepNext/>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Extraction Method: Principal Component Analysis.</w:t>
            </w:r>
          </w:p>
        </w:tc>
      </w:tr>
    </w:tbl>
    <w:p w14:paraId="466DA852" w14:textId="72C008AD" w:rsidR="006E3616" w:rsidRPr="00400193" w:rsidRDefault="006E3616" w:rsidP="006E3616">
      <w:pPr>
        <w:pStyle w:val="Caption"/>
        <w:spacing w:after="240"/>
      </w:pPr>
      <w:bookmarkStart w:id="515" w:name="_Ref43253994"/>
      <w:bookmarkStart w:id="516" w:name="_Toc5290158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35</w:t>
      </w:r>
      <w:r w:rsidRPr="00400193">
        <w:fldChar w:fldCharType="end"/>
      </w:r>
      <w:bookmarkEnd w:id="515"/>
      <w:r w:rsidRPr="00400193">
        <w:t>: Total variance explained by the components of ITCA</w:t>
      </w:r>
      <w:bookmarkEnd w:id="516"/>
      <w:r w:rsidRPr="00400193">
        <w:t xml:space="preserve"> </w:t>
      </w:r>
    </w:p>
    <w:p w14:paraId="77DF22C9" w14:textId="62BDBB93" w:rsidR="006E3616" w:rsidRPr="00400193" w:rsidRDefault="006E3616" w:rsidP="006E3616">
      <w:pPr>
        <w:rPr>
          <w:lang w:eastAsia="zh-CN" w:bidi="hi-IN"/>
        </w:rPr>
      </w:pPr>
      <w:r w:rsidRPr="00400193">
        <w:rPr>
          <w:lang w:eastAsia="zh-CN" w:bidi="hi-IN"/>
        </w:rPr>
        <w:t>The KMO value of 0.849 was within the range for factor analysis (0.5–1.0). Bartlett’s test of sphericity gave a Chi-square value of 428.2, with 21 degrees of freedom, and was significant at ≤0.001 (</w:t>
      </w:r>
      <w:r w:rsidRPr="00400193">
        <w:rPr>
          <w:lang w:eastAsia="zh-CN" w:bidi="hi-IN"/>
        </w:rPr>
        <w:fldChar w:fldCharType="begin"/>
      </w:r>
      <w:r w:rsidRPr="00400193">
        <w:rPr>
          <w:lang w:eastAsia="zh-CN" w:bidi="hi-IN"/>
        </w:rPr>
        <w:instrText xml:space="preserve"> REF _Ref43254055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36</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390"/>
        <w:gridCol w:w="2693"/>
        <w:gridCol w:w="1933"/>
      </w:tblGrid>
      <w:tr w:rsidR="00A0618E" w:rsidRPr="00400193" w14:paraId="0424E5D2" w14:textId="77777777" w:rsidTr="00C44D9E">
        <w:trPr>
          <w:trHeight w:val="283"/>
        </w:trPr>
        <w:tc>
          <w:tcPr>
            <w:tcW w:w="7083" w:type="dxa"/>
            <w:gridSpan w:val="2"/>
            <w:tcBorders>
              <w:top w:val="single" w:sz="4" w:space="0" w:color="auto"/>
              <w:left w:val="nil"/>
              <w:bottom w:val="single" w:sz="4" w:space="0" w:color="auto"/>
              <w:right w:val="nil"/>
            </w:tcBorders>
            <w:shd w:val="clear" w:color="auto" w:fill="auto"/>
          </w:tcPr>
          <w:p w14:paraId="4646606C"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933" w:type="dxa"/>
            <w:tcBorders>
              <w:top w:val="single" w:sz="4" w:space="0" w:color="auto"/>
              <w:left w:val="nil"/>
              <w:bottom w:val="single" w:sz="4" w:space="0" w:color="auto"/>
              <w:right w:val="nil"/>
            </w:tcBorders>
            <w:shd w:val="clear" w:color="auto" w:fill="auto"/>
            <w:vAlign w:val="center"/>
          </w:tcPr>
          <w:p w14:paraId="14EDDC3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0.849</w:t>
            </w:r>
          </w:p>
        </w:tc>
      </w:tr>
      <w:tr w:rsidR="00A0618E" w:rsidRPr="00400193" w14:paraId="0DFBBBB1" w14:textId="77777777" w:rsidTr="00C44D9E">
        <w:trPr>
          <w:trHeight w:val="283"/>
        </w:trPr>
        <w:tc>
          <w:tcPr>
            <w:tcW w:w="4390" w:type="dxa"/>
            <w:vMerge w:val="restart"/>
            <w:tcBorders>
              <w:left w:val="nil"/>
              <w:right w:val="nil"/>
            </w:tcBorders>
            <w:vAlign w:val="center"/>
          </w:tcPr>
          <w:p w14:paraId="16916E9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3" w:type="dxa"/>
            <w:tcBorders>
              <w:top w:val="single" w:sz="4" w:space="0" w:color="auto"/>
              <w:left w:val="nil"/>
              <w:bottom w:val="single" w:sz="8" w:space="0" w:color="AEAEAE"/>
              <w:right w:val="nil"/>
            </w:tcBorders>
            <w:shd w:val="clear" w:color="auto" w:fill="auto"/>
            <w:vAlign w:val="center"/>
          </w:tcPr>
          <w:p w14:paraId="644CBE1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933" w:type="dxa"/>
            <w:tcBorders>
              <w:top w:val="single" w:sz="4" w:space="0" w:color="auto"/>
              <w:left w:val="nil"/>
              <w:bottom w:val="single" w:sz="8" w:space="0" w:color="AEAEAE"/>
              <w:right w:val="nil"/>
            </w:tcBorders>
            <w:shd w:val="clear" w:color="auto" w:fill="auto"/>
            <w:vAlign w:val="center"/>
          </w:tcPr>
          <w:p w14:paraId="6F2588B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428.2</w:t>
            </w:r>
          </w:p>
        </w:tc>
      </w:tr>
      <w:tr w:rsidR="00A0618E" w:rsidRPr="00400193" w14:paraId="24A8A997" w14:textId="77777777" w:rsidTr="00C44D9E">
        <w:trPr>
          <w:trHeight w:val="283"/>
        </w:trPr>
        <w:tc>
          <w:tcPr>
            <w:tcW w:w="4390" w:type="dxa"/>
            <w:vMerge/>
            <w:tcBorders>
              <w:left w:val="nil"/>
              <w:right w:val="nil"/>
            </w:tcBorders>
          </w:tcPr>
          <w:p w14:paraId="0D5C20B0"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693" w:type="dxa"/>
            <w:tcBorders>
              <w:top w:val="single" w:sz="8" w:space="0" w:color="AEAEAE"/>
              <w:left w:val="nil"/>
              <w:bottom w:val="single" w:sz="8" w:space="0" w:color="AEAEAE"/>
              <w:right w:val="nil"/>
            </w:tcBorders>
            <w:shd w:val="clear" w:color="auto" w:fill="auto"/>
            <w:vAlign w:val="center"/>
          </w:tcPr>
          <w:p w14:paraId="225EB9EF"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933" w:type="dxa"/>
            <w:tcBorders>
              <w:top w:val="single" w:sz="8" w:space="0" w:color="AEAEAE"/>
              <w:left w:val="nil"/>
              <w:bottom w:val="single" w:sz="8" w:space="0" w:color="AEAEAE"/>
              <w:right w:val="nil"/>
            </w:tcBorders>
            <w:shd w:val="clear" w:color="auto" w:fill="auto"/>
            <w:vAlign w:val="center"/>
          </w:tcPr>
          <w:p w14:paraId="270FCFE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w:t>
            </w:r>
          </w:p>
        </w:tc>
      </w:tr>
      <w:tr w:rsidR="00A0618E" w:rsidRPr="00400193" w14:paraId="7AFDBAC6" w14:textId="77777777" w:rsidTr="00C44D9E">
        <w:trPr>
          <w:trHeight w:val="283"/>
        </w:trPr>
        <w:tc>
          <w:tcPr>
            <w:tcW w:w="4390" w:type="dxa"/>
            <w:vMerge/>
            <w:tcBorders>
              <w:left w:val="nil"/>
              <w:right w:val="nil"/>
            </w:tcBorders>
          </w:tcPr>
          <w:p w14:paraId="757ECE4F" w14:textId="77777777" w:rsidR="006E3616" w:rsidRPr="00400193" w:rsidRDefault="006E3616" w:rsidP="003B5486">
            <w:pPr>
              <w:spacing w:line="240" w:lineRule="auto"/>
              <w:rPr>
                <w:rFonts w:asciiTheme="minorHAnsi" w:hAnsiTheme="minorHAnsi" w:cstheme="minorHAnsi"/>
                <w:sz w:val="20"/>
                <w:szCs w:val="18"/>
                <w:lang w:eastAsia="zh-CN" w:bidi="hi-IN"/>
              </w:rPr>
            </w:pPr>
          </w:p>
        </w:tc>
        <w:tc>
          <w:tcPr>
            <w:tcW w:w="2693" w:type="dxa"/>
            <w:tcBorders>
              <w:top w:val="single" w:sz="8" w:space="0" w:color="AEAEAE"/>
              <w:left w:val="nil"/>
              <w:bottom w:val="single" w:sz="4" w:space="0" w:color="auto"/>
              <w:right w:val="nil"/>
            </w:tcBorders>
            <w:shd w:val="clear" w:color="auto" w:fill="auto"/>
            <w:vAlign w:val="center"/>
          </w:tcPr>
          <w:p w14:paraId="1CBD9F5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933" w:type="dxa"/>
            <w:tcBorders>
              <w:top w:val="single" w:sz="8" w:space="0" w:color="AEAEAE"/>
              <w:left w:val="nil"/>
              <w:bottom w:val="single" w:sz="4" w:space="0" w:color="auto"/>
              <w:right w:val="nil"/>
            </w:tcBorders>
            <w:shd w:val="clear" w:color="auto" w:fill="auto"/>
            <w:vAlign w:val="center"/>
          </w:tcPr>
          <w:p w14:paraId="3196A326"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2F33331" w14:textId="31788BC3" w:rsidR="006E3616" w:rsidRPr="00400193" w:rsidRDefault="006E3616" w:rsidP="006E3616">
      <w:pPr>
        <w:pStyle w:val="Caption"/>
        <w:spacing w:after="240"/>
        <w:rPr>
          <w:lang w:eastAsia="zh-CN" w:bidi="hi-IN"/>
        </w:rPr>
      </w:pPr>
      <w:bookmarkStart w:id="517" w:name="_Ref43254055"/>
      <w:bookmarkStart w:id="518" w:name="_Toc5290158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36</w:t>
      </w:r>
      <w:r w:rsidRPr="00400193">
        <w:fldChar w:fldCharType="end"/>
      </w:r>
      <w:bookmarkEnd w:id="517"/>
      <w:r w:rsidRPr="00400193">
        <w:t>: Kaiser–Meyer–Olkin test and Bartlett's test of sphericity for ITCA</w:t>
      </w:r>
      <w:bookmarkEnd w:id="518"/>
      <w:r w:rsidRPr="00400193">
        <w:t xml:space="preserve"> </w:t>
      </w:r>
    </w:p>
    <w:p w14:paraId="5321B1FD" w14:textId="2DDBCA54" w:rsidR="00C44D9E" w:rsidRPr="00400193" w:rsidRDefault="006E3616" w:rsidP="00C44D9E">
      <w:pPr>
        <w:rPr>
          <w:lang w:eastAsia="zh-CN" w:bidi="hi-IN"/>
        </w:rPr>
      </w:pPr>
      <w:r w:rsidRPr="00400193">
        <w:rPr>
          <w:lang w:eastAsia="zh-CN" w:bidi="hi-IN"/>
        </w:rPr>
        <w:fldChar w:fldCharType="begin"/>
      </w:r>
      <w:r w:rsidRPr="00400193">
        <w:rPr>
          <w:lang w:eastAsia="zh-CN" w:bidi="hi-IN"/>
        </w:rPr>
        <w:instrText xml:space="preserve"> REF _Ref43254103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37</w:t>
      </w:r>
      <w:r w:rsidRPr="00400193">
        <w:rPr>
          <w:lang w:eastAsia="zh-CN" w:bidi="hi-IN"/>
        </w:rPr>
        <w:fldChar w:fldCharType="end"/>
      </w:r>
      <w:r w:rsidRPr="00400193">
        <w:rPr>
          <w:lang w:eastAsia="zh-CN" w:bidi="hi-IN"/>
        </w:rPr>
        <w:t xml:space="preserve"> shows the factor loads, which were all higher than 0.6.</w:t>
      </w:r>
      <w:r w:rsidR="00C44D9E" w:rsidRPr="00400193">
        <w:rPr>
          <w:lang w:eastAsia="zh-CN" w:bidi="hi-IN"/>
        </w:rPr>
        <w:t xml:space="preserve"> There was only one new latent cluster for Key Internal Threats - Criminal Acts (ITCA) (ITCAN1), with seven variables assigned to it. It was therefore described as ‘internal criminal acts’. The cluster had a reliability &gt;0.89, which is satisfactory (</w:t>
      </w:r>
      <w:r w:rsidR="00C44D9E" w:rsidRPr="00400193">
        <w:rPr>
          <w:lang w:eastAsia="zh-CN" w:bidi="hi-IN"/>
        </w:rPr>
        <w:fldChar w:fldCharType="begin"/>
      </w:r>
      <w:r w:rsidR="00C44D9E" w:rsidRPr="00400193">
        <w:rPr>
          <w:lang w:eastAsia="zh-CN" w:bidi="hi-IN"/>
        </w:rPr>
        <w:instrText xml:space="preserve"> REF _Ref43254103 \h </w:instrText>
      </w:r>
      <w:r w:rsidR="00C44D9E" w:rsidRPr="00400193">
        <w:rPr>
          <w:lang w:eastAsia="zh-CN" w:bidi="hi-IN"/>
        </w:rPr>
      </w:r>
      <w:r w:rsidR="00C44D9E"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37</w:t>
      </w:r>
      <w:r w:rsidR="00C44D9E" w:rsidRPr="00400193">
        <w:rPr>
          <w:lang w:eastAsia="zh-CN" w:bidi="hi-IN"/>
        </w:rPr>
        <w:fldChar w:fldCharType="end"/>
      </w:r>
      <w:r w:rsidR="00C44D9E" w:rsidRPr="00400193">
        <w:rPr>
          <w:lang w:eastAsia="zh-CN" w:bidi="hi-IN"/>
        </w:rPr>
        <w:t>).</w:t>
      </w:r>
    </w:p>
    <w:tbl>
      <w:tblPr>
        <w:tblStyle w:val="TableGrid"/>
        <w:tblW w:w="0" w:type="auto"/>
        <w:tblLook w:val="04A0" w:firstRow="1" w:lastRow="0" w:firstColumn="1" w:lastColumn="0" w:noHBand="0" w:noVBand="1"/>
      </w:tblPr>
      <w:tblGrid>
        <w:gridCol w:w="1502"/>
        <w:gridCol w:w="1502"/>
        <w:gridCol w:w="1503"/>
        <w:gridCol w:w="1503"/>
        <w:gridCol w:w="1503"/>
        <w:gridCol w:w="1503"/>
      </w:tblGrid>
      <w:tr w:rsidR="00A0618E" w:rsidRPr="00400193" w14:paraId="56D8E90C" w14:textId="77777777" w:rsidTr="004C088B">
        <w:trPr>
          <w:trHeight w:val="283"/>
        </w:trPr>
        <w:tc>
          <w:tcPr>
            <w:tcW w:w="1502" w:type="dxa"/>
            <w:tcBorders>
              <w:left w:val="nil"/>
              <w:bottom w:val="nil"/>
              <w:right w:val="nil"/>
            </w:tcBorders>
            <w:vAlign w:val="center"/>
          </w:tcPr>
          <w:p w14:paraId="4CE7EB7A"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lastRenderedPageBreak/>
              <w:t>Item</w:t>
            </w:r>
          </w:p>
        </w:tc>
        <w:tc>
          <w:tcPr>
            <w:tcW w:w="1502" w:type="dxa"/>
            <w:tcBorders>
              <w:left w:val="nil"/>
              <w:bottom w:val="nil"/>
              <w:right w:val="nil"/>
            </w:tcBorders>
            <w:vAlign w:val="center"/>
          </w:tcPr>
          <w:p w14:paraId="78418E7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503" w:type="dxa"/>
            <w:tcBorders>
              <w:top w:val="single" w:sz="4" w:space="0" w:color="auto"/>
              <w:left w:val="nil"/>
              <w:bottom w:val="nil"/>
              <w:right w:val="nil"/>
            </w:tcBorders>
            <w:shd w:val="clear" w:color="auto" w:fill="FFFFFF"/>
            <w:vAlign w:val="center"/>
          </w:tcPr>
          <w:p w14:paraId="06047C8D"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503" w:type="dxa"/>
            <w:tcBorders>
              <w:top w:val="single" w:sz="4" w:space="0" w:color="auto"/>
              <w:left w:val="nil"/>
              <w:bottom w:val="nil"/>
              <w:right w:val="nil"/>
            </w:tcBorders>
            <w:shd w:val="clear" w:color="auto" w:fill="FFFFFF"/>
            <w:vAlign w:val="center"/>
          </w:tcPr>
          <w:p w14:paraId="752ADB9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503" w:type="dxa"/>
            <w:tcBorders>
              <w:top w:val="single" w:sz="4" w:space="0" w:color="auto"/>
              <w:left w:val="nil"/>
              <w:bottom w:val="nil"/>
              <w:right w:val="nil"/>
            </w:tcBorders>
            <w:shd w:val="clear" w:color="auto" w:fill="FFFFFF"/>
            <w:vAlign w:val="center"/>
          </w:tcPr>
          <w:p w14:paraId="08378D7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503" w:type="dxa"/>
            <w:tcBorders>
              <w:top w:val="single" w:sz="4" w:space="0" w:color="auto"/>
              <w:left w:val="nil"/>
              <w:bottom w:val="nil"/>
              <w:right w:val="nil"/>
            </w:tcBorders>
            <w:shd w:val="clear" w:color="auto" w:fill="FFFFFF"/>
            <w:vAlign w:val="center"/>
          </w:tcPr>
          <w:p w14:paraId="563C000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44E1846F" w14:textId="77777777" w:rsidTr="004C088B">
        <w:trPr>
          <w:trHeight w:val="283"/>
        </w:trPr>
        <w:tc>
          <w:tcPr>
            <w:tcW w:w="1502" w:type="dxa"/>
            <w:tcBorders>
              <w:top w:val="nil"/>
              <w:left w:val="nil"/>
              <w:bottom w:val="single" w:sz="4" w:space="0" w:color="auto"/>
              <w:right w:val="nil"/>
            </w:tcBorders>
            <w:vAlign w:val="center"/>
          </w:tcPr>
          <w:p w14:paraId="5A716486"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502" w:type="dxa"/>
            <w:tcBorders>
              <w:top w:val="nil"/>
              <w:left w:val="nil"/>
              <w:bottom w:val="single" w:sz="4" w:space="0" w:color="auto"/>
              <w:right w:val="nil"/>
            </w:tcBorders>
            <w:vAlign w:val="center"/>
          </w:tcPr>
          <w:p w14:paraId="4B2A497D"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1503" w:type="dxa"/>
            <w:tcBorders>
              <w:top w:val="nil"/>
              <w:left w:val="nil"/>
              <w:bottom w:val="single" w:sz="4" w:space="0" w:color="auto"/>
              <w:right w:val="nil"/>
            </w:tcBorders>
            <w:vAlign w:val="center"/>
          </w:tcPr>
          <w:p w14:paraId="30520DF6"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tcBorders>
              <w:top w:val="nil"/>
              <w:left w:val="nil"/>
              <w:bottom w:val="single" w:sz="4" w:space="0" w:color="auto"/>
              <w:right w:val="nil"/>
            </w:tcBorders>
            <w:vAlign w:val="center"/>
          </w:tcPr>
          <w:p w14:paraId="56EE7021"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tcBorders>
              <w:top w:val="nil"/>
              <w:left w:val="nil"/>
              <w:bottom w:val="single" w:sz="4" w:space="0" w:color="auto"/>
              <w:right w:val="nil"/>
            </w:tcBorders>
            <w:vAlign w:val="center"/>
          </w:tcPr>
          <w:p w14:paraId="1450930F"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503" w:type="dxa"/>
            <w:tcBorders>
              <w:top w:val="nil"/>
              <w:left w:val="nil"/>
              <w:bottom w:val="single" w:sz="4" w:space="0" w:color="auto"/>
              <w:right w:val="nil"/>
            </w:tcBorders>
            <w:vAlign w:val="center"/>
          </w:tcPr>
          <w:p w14:paraId="72265D98"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r>
      <w:tr w:rsidR="00A0618E" w:rsidRPr="00400193" w14:paraId="2F4B06B9" w14:textId="77777777" w:rsidTr="004C088B">
        <w:trPr>
          <w:trHeight w:val="283"/>
        </w:trPr>
        <w:tc>
          <w:tcPr>
            <w:tcW w:w="1502" w:type="dxa"/>
            <w:tcBorders>
              <w:left w:val="nil"/>
              <w:bottom w:val="nil"/>
              <w:right w:val="nil"/>
            </w:tcBorders>
            <w:shd w:val="clear" w:color="auto" w:fill="auto"/>
            <w:vAlign w:val="center"/>
          </w:tcPr>
          <w:p w14:paraId="1AA265A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ITCA3</w:t>
            </w:r>
          </w:p>
        </w:tc>
        <w:tc>
          <w:tcPr>
            <w:tcW w:w="1502" w:type="dxa"/>
            <w:tcBorders>
              <w:left w:val="nil"/>
              <w:bottom w:val="nil"/>
              <w:right w:val="nil"/>
            </w:tcBorders>
            <w:shd w:val="clear" w:color="auto" w:fill="FFFFFF"/>
            <w:vAlign w:val="center"/>
          </w:tcPr>
          <w:p w14:paraId="63235F0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0.892</w:t>
            </w:r>
          </w:p>
        </w:tc>
        <w:tc>
          <w:tcPr>
            <w:tcW w:w="1503" w:type="dxa"/>
            <w:vMerge w:val="restart"/>
            <w:tcBorders>
              <w:top w:val="single" w:sz="4" w:space="0" w:color="auto"/>
              <w:left w:val="nil"/>
              <w:bottom w:val="nil"/>
              <w:right w:val="nil"/>
            </w:tcBorders>
            <w:shd w:val="clear" w:color="auto" w:fill="FFFFFF"/>
            <w:vAlign w:val="center"/>
          </w:tcPr>
          <w:p w14:paraId="5F01B72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0.894</w:t>
            </w:r>
          </w:p>
        </w:tc>
        <w:tc>
          <w:tcPr>
            <w:tcW w:w="1503" w:type="dxa"/>
            <w:vMerge w:val="restart"/>
            <w:tcBorders>
              <w:top w:val="single" w:sz="4" w:space="0" w:color="auto"/>
              <w:left w:val="nil"/>
              <w:bottom w:val="nil"/>
              <w:right w:val="nil"/>
            </w:tcBorders>
            <w:shd w:val="clear" w:color="auto" w:fill="FFFFFF"/>
            <w:vAlign w:val="center"/>
          </w:tcPr>
          <w:p w14:paraId="5FDC600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w:t>
            </w:r>
          </w:p>
        </w:tc>
        <w:tc>
          <w:tcPr>
            <w:tcW w:w="1503" w:type="dxa"/>
            <w:vMerge w:val="restart"/>
            <w:tcBorders>
              <w:top w:val="single" w:sz="4" w:space="0" w:color="auto"/>
              <w:left w:val="nil"/>
              <w:bottom w:val="nil"/>
              <w:right w:val="nil"/>
            </w:tcBorders>
            <w:shd w:val="clear" w:color="auto" w:fill="FFFFFF"/>
            <w:vAlign w:val="center"/>
          </w:tcPr>
          <w:p w14:paraId="245CFF5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ITCAN1</w:t>
            </w:r>
          </w:p>
        </w:tc>
        <w:tc>
          <w:tcPr>
            <w:tcW w:w="1503" w:type="dxa"/>
            <w:vMerge w:val="restart"/>
            <w:tcBorders>
              <w:top w:val="single" w:sz="4" w:space="0" w:color="auto"/>
              <w:left w:val="nil"/>
              <w:bottom w:val="nil"/>
              <w:right w:val="nil"/>
            </w:tcBorders>
            <w:shd w:val="clear" w:color="auto" w:fill="FFFFFF"/>
            <w:vAlign w:val="center"/>
          </w:tcPr>
          <w:p w14:paraId="1EBC0CF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Internal Criminal Acts</w:t>
            </w:r>
          </w:p>
        </w:tc>
      </w:tr>
      <w:tr w:rsidR="00A0618E" w:rsidRPr="00400193" w14:paraId="255F936A" w14:textId="77777777" w:rsidTr="004C088B">
        <w:trPr>
          <w:trHeight w:val="283"/>
        </w:trPr>
        <w:tc>
          <w:tcPr>
            <w:tcW w:w="1502" w:type="dxa"/>
            <w:tcBorders>
              <w:top w:val="nil"/>
              <w:left w:val="nil"/>
              <w:bottom w:val="nil"/>
              <w:right w:val="nil"/>
            </w:tcBorders>
            <w:shd w:val="clear" w:color="auto" w:fill="auto"/>
            <w:vAlign w:val="center"/>
          </w:tcPr>
          <w:p w14:paraId="6C4DC59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ITCA1</w:t>
            </w:r>
          </w:p>
        </w:tc>
        <w:tc>
          <w:tcPr>
            <w:tcW w:w="1502" w:type="dxa"/>
            <w:tcBorders>
              <w:top w:val="nil"/>
              <w:left w:val="nil"/>
              <w:bottom w:val="nil"/>
              <w:right w:val="nil"/>
            </w:tcBorders>
            <w:shd w:val="clear" w:color="auto" w:fill="FFFFFF"/>
            <w:vAlign w:val="center"/>
          </w:tcPr>
          <w:p w14:paraId="7EA3132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0.840</w:t>
            </w:r>
          </w:p>
        </w:tc>
        <w:tc>
          <w:tcPr>
            <w:tcW w:w="1503" w:type="dxa"/>
            <w:vMerge/>
            <w:tcBorders>
              <w:top w:val="nil"/>
              <w:left w:val="nil"/>
              <w:bottom w:val="nil"/>
              <w:right w:val="nil"/>
            </w:tcBorders>
          </w:tcPr>
          <w:p w14:paraId="512236B3"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28995D27"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1E9758C4"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2F352880"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08548F8B" w14:textId="77777777" w:rsidTr="004C088B">
        <w:trPr>
          <w:trHeight w:val="283"/>
        </w:trPr>
        <w:tc>
          <w:tcPr>
            <w:tcW w:w="1502" w:type="dxa"/>
            <w:tcBorders>
              <w:top w:val="nil"/>
              <w:left w:val="nil"/>
              <w:bottom w:val="nil"/>
              <w:right w:val="nil"/>
            </w:tcBorders>
            <w:shd w:val="clear" w:color="auto" w:fill="auto"/>
            <w:vAlign w:val="center"/>
          </w:tcPr>
          <w:p w14:paraId="5EA705F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ITCA5</w:t>
            </w:r>
          </w:p>
        </w:tc>
        <w:tc>
          <w:tcPr>
            <w:tcW w:w="1502" w:type="dxa"/>
            <w:tcBorders>
              <w:top w:val="nil"/>
              <w:left w:val="nil"/>
              <w:bottom w:val="nil"/>
              <w:right w:val="nil"/>
            </w:tcBorders>
            <w:shd w:val="clear" w:color="auto" w:fill="FFFFFF"/>
            <w:vAlign w:val="center"/>
          </w:tcPr>
          <w:p w14:paraId="489D11B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0.823</w:t>
            </w:r>
          </w:p>
        </w:tc>
        <w:tc>
          <w:tcPr>
            <w:tcW w:w="1503" w:type="dxa"/>
            <w:vMerge/>
            <w:tcBorders>
              <w:top w:val="nil"/>
              <w:left w:val="nil"/>
              <w:bottom w:val="nil"/>
              <w:right w:val="nil"/>
            </w:tcBorders>
          </w:tcPr>
          <w:p w14:paraId="4CBCDD9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048EA4D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6F5730B6"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7EF49712"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722D462B" w14:textId="77777777" w:rsidTr="004C088B">
        <w:trPr>
          <w:trHeight w:val="283"/>
        </w:trPr>
        <w:tc>
          <w:tcPr>
            <w:tcW w:w="1502" w:type="dxa"/>
            <w:tcBorders>
              <w:top w:val="nil"/>
              <w:left w:val="nil"/>
              <w:bottom w:val="nil"/>
              <w:right w:val="nil"/>
            </w:tcBorders>
            <w:shd w:val="clear" w:color="auto" w:fill="auto"/>
            <w:vAlign w:val="center"/>
          </w:tcPr>
          <w:p w14:paraId="2F1380A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ITCA6</w:t>
            </w:r>
          </w:p>
        </w:tc>
        <w:tc>
          <w:tcPr>
            <w:tcW w:w="1502" w:type="dxa"/>
            <w:tcBorders>
              <w:top w:val="nil"/>
              <w:left w:val="nil"/>
              <w:bottom w:val="nil"/>
              <w:right w:val="nil"/>
            </w:tcBorders>
            <w:shd w:val="clear" w:color="auto" w:fill="FFFFFF"/>
            <w:vAlign w:val="center"/>
          </w:tcPr>
          <w:p w14:paraId="1A3BEA4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0.810</w:t>
            </w:r>
          </w:p>
        </w:tc>
        <w:tc>
          <w:tcPr>
            <w:tcW w:w="1503" w:type="dxa"/>
            <w:vMerge/>
            <w:tcBorders>
              <w:top w:val="nil"/>
              <w:left w:val="nil"/>
              <w:bottom w:val="nil"/>
              <w:right w:val="nil"/>
            </w:tcBorders>
          </w:tcPr>
          <w:p w14:paraId="07985F12"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7B83F9D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1115D308"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0D4D867E"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47310C90" w14:textId="77777777" w:rsidTr="004C088B">
        <w:trPr>
          <w:trHeight w:val="283"/>
        </w:trPr>
        <w:tc>
          <w:tcPr>
            <w:tcW w:w="1502" w:type="dxa"/>
            <w:tcBorders>
              <w:top w:val="nil"/>
              <w:left w:val="nil"/>
              <w:bottom w:val="nil"/>
              <w:right w:val="nil"/>
            </w:tcBorders>
            <w:shd w:val="clear" w:color="auto" w:fill="auto"/>
            <w:vAlign w:val="center"/>
          </w:tcPr>
          <w:p w14:paraId="4DE9DAE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ITCA2</w:t>
            </w:r>
          </w:p>
        </w:tc>
        <w:tc>
          <w:tcPr>
            <w:tcW w:w="1502" w:type="dxa"/>
            <w:tcBorders>
              <w:top w:val="nil"/>
              <w:left w:val="nil"/>
              <w:bottom w:val="nil"/>
              <w:right w:val="nil"/>
            </w:tcBorders>
            <w:shd w:val="clear" w:color="auto" w:fill="FFFFFF"/>
            <w:vAlign w:val="center"/>
          </w:tcPr>
          <w:p w14:paraId="1F7EBBF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0.780</w:t>
            </w:r>
          </w:p>
        </w:tc>
        <w:tc>
          <w:tcPr>
            <w:tcW w:w="1503" w:type="dxa"/>
            <w:vMerge/>
            <w:tcBorders>
              <w:top w:val="nil"/>
              <w:left w:val="nil"/>
              <w:bottom w:val="nil"/>
              <w:right w:val="nil"/>
            </w:tcBorders>
          </w:tcPr>
          <w:p w14:paraId="5BFCA3A1"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061E2F3C"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4F06B8C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4FECB6E3"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141A861F" w14:textId="77777777" w:rsidTr="004C088B">
        <w:trPr>
          <w:trHeight w:val="283"/>
        </w:trPr>
        <w:tc>
          <w:tcPr>
            <w:tcW w:w="1502" w:type="dxa"/>
            <w:tcBorders>
              <w:top w:val="nil"/>
              <w:left w:val="nil"/>
              <w:bottom w:val="nil"/>
              <w:right w:val="nil"/>
            </w:tcBorders>
            <w:shd w:val="clear" w:color="auto" w:fill="auto"/>
            <w:vAlign w:val="center"/>
          </w:tcPr>
          <w:p w14:paraId="3FBBD1F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ITCA4</w:t>
            </w:r>
          </w:p>
        </w:tc>
        <w:tc>
          <w:tcPr>
            <w:tcW w:w="1502" w:type="dxa"/>
            <w:tcBorders>
              <w:top w:val="nil"/>
              <w:left w:val="nil"/>
              <w:bottom w:val="nil"/>
              <w:right w:val="nil"/>
            </w:tcBorders>
            <w:shd w:val="clear" w:color="auto" w:fill="FFFFFF"/>
            <w:vAlign w:val="center"/>
          </w:tcPr>
          <w:p w14:paraId="2371FE6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0.725</w:t>
            </w:r>
          </w:p>
        </w:tc>
        <w:tc>
          <w:tcPr>
            <w:tcW w:w="1503" w:type="dxa"/>
            <w:vMerge/>
            <w:tcBorders>
              <w:top w:val="nil"/>
              <w:left w:val="nil"/>
              <w:bottom w:val="nil"/>
              <w:right w:val="nil"/>
            </w:tcBorders>
          </w:tcPr>
          <w:p w14:paraId="6739151F"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13EC3B74"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68B187E9"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nil"/>
              <w:right w:val="nil"/>
            </w:tcBorders>
          </w:tcPr>
          <w:p w14:paraId="7DB7ED60"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2FAFCAE6" w14:textId="77777777" w:rsidTr="004C088B">
        <w:trPr>
          <w:trHeight w:val="283"/>
        </w:trPr>
        <w:tc>
          <w:tcPr>
            <w:tcW w:w="1502" w:type="dxa"/>
            <w:tcBorders>
              <w:top w:val="nil"/>
              <w:left w:val="nil"/>
              <w:bottom w:val="single" w:sz="4" w:space="0" w:color="auto"/>
              <w:right w:val="nil"/>
            </w:tcBorders>
            <w:shd w:val="clear" w:color="auto" w:fill="auto"/>
            <w:vAlign w:val="center"/>
          </w:tcPr>
          <w:p w14:paraId="58980BA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ITCA7</w:t>
            </w:r>
          </w:p>
        </w:tc>
        <w:tc>
          <w:tcPr>
            <w:tcW w:w="1502" w:type="dxa"/>
            <w:tcBorders>
              <w:top w:val="nil"/>
              <w:left w:val="nil"/>
              <w:bottom w:val="single" w:sz="4" w:space="0" w:color="auto"/>
              <w:right w:val="nil"/>
            </w:tcBorders>
            <w:shd w:val="clear" w:color="auto" w:fill="FFFFFF"/>
            <w:vAlign w:val="center"/>
          </w:tcPr>
          <w:p w14:paraId="5C0509C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0.615</w:t>
            </w:r>
          </w:p>
        </w:tc>
        <w:tc>
          <w:tcPr>
            <w:tcW w:w="1503" w:type="dxa"/>
            <w:vMerge/>
            <w:tcBorders>
              <w:top w:val="nil"/>
              <w:left w:val="nil"/>
              <w:bottom w:val="single" w:sz="4" w:space="0" w:color="auto"/>
              <w:right w:val="nil"/>
            </w:tcBorders>
          </w:tcPr>
          <w:p w14:paraId="4855AD0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single" w:sz="4" w:space="0" w:color="auto"/>
              <w:right w:val="nil"/>
            </w:tcBorders>
          </w:tcPr>
          <w:p w14:paraId="19DCB2AD"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single" w:sz="4" w:space="0" w:color="auto"/>
              <w:right w:val="nil"/>
            </w:tcBorders>
          </w:tcPr>
          <w:p w14:paraId="42BF605A" w14:textId="77777777" w:rsidR="006E3616" w:rsidRPr="00400193" w:rsidRDefault="006E3616" w:rsidP="003B5486">
            <w:pPr>
              <w:spacing w:line="240" w:lineRule="auto"/>
              <w:rPr>
                <w:rFonts w:asciiTheme="minorHAnsi" w:hAnsiTheme="minorHAnsi" w:cstheme="minorHAnsi"/>
                <w:sz w:val="20"/>
                <w:lang w:eastAsia="zh-CN" w:bidi="hi-IN"/>
              </w:rPr>
            </w:pPr>
          </w:p>
        </w:tc>
        <w:tc>
          <w:tcPr>
            <w:tcW w:w="1503" w:type="dxa"/>
            <w:vMerge/>
            <w:tcBorders>
              <w:top w:val="nil"/>
              <w:left w:val="nil"/>
              <w:bottom w:val="single" w:sz="4" w:space="0" w:color="auto"/>
              <w:right w:val="nil"/>
            </w:tcBorders>
          </w:tcPr>
          <w:p w14:paraId="42E03DCD" w14:textId="77777777" w:rsidR="006E3616" w:rsidRPr="00400193" w:rsidRDefault="006E3616" w:rsidP="003B5486">
            <w:pPr>
              <w:spacing w:line="240" w:lineRule="auto"/>
              <w:rPr>
                <w:rFonts w:asciiTheme="minorHAnsi" w:hAnsiTheme="minorHAnsi" w:cstheme="minorHAnsi"/>
                <w:sz w:val="20"/>
                <w:lang w:eastAsia="zh-CN" w:bidi="hi-IN"/>
              </w:rPr>
            </w:pPr>
          </w:p>
        </w:tc>
      </w:tr>
      <w:tr w:rsidR="00A0618E" w:rsidRPr="00400193" w14:paraId="6DFEB7F1" w14:textId="77777777" w:rsidTr="004C088B">
        <w:trPr>
          <w:trHeight w:val="283"/>
        </w:trPr>
        <w:tc>
          <w:tcPr>
            <w:tcW w:w="9016" w:type="dxa"/>
            <w:gridSpan w:val="6"/>
            <w:tcBorders>
              <w:left w:val="nil"/>
              <w:right w:val="nil"/>
            </w:tcBorders>
          </w:tcPr>
          <w:p w14:paraId="4885043F" w14:textId="5C771DE7" w:rsidR="006E3616" w:rsidRPr="00400193" w:rsidRDefault="006E3616" w:rsidP="003B5486">
            <w:pPr>
              <w:keepNext/>
              <w:spacing w:line="240" w:lineRule="auto"/>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1 component extracted</w:t>
            </w:r>
            <w:r w:rsidR="002B4B41" w:rsidRPr="00400193">
              <w:rPr>
                <w:rFonts w:asciiTheme="minorHAnsi" w:hAnsiTheme="minorHAnsi" w:cstheme="minorHAnsi"/>
                <w:sz w:val="20"/>
                <w:lang w:eastAsia="zh-CN" w:bidi="hi-IN"/>
              </w:rPr>
              <w:t>.</w:t>
            </w:r>
          </w:p>
          <w:p w14:paraId="0607A2D7" w14:textId="3200BAE8" w:rsidR="002B4B41" w:rsidRPr="00400193" w:rsidRDefault="002B4B41" w:rsidP="003B5486">
            <w:pPr>
              <w:keepNext/>
              <w:spacing w:line="240" w:lineRule="auto"/>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5FE38E56" w14:textId="6A57373A" w:rsidR="006E3616" w:rsidRPr="00400193" w:rsidRDefault="006E3616" w:rsidP="004C088B">
      <w:pPr>
        <w:pStyle w:val="Caption"/>
        <w:spacing w:after="240"/>
      </w:pPr>
      <w:bookmarkStart w:id="519" w:name="_Ref43254103"/>
      <w:bookmarkStart w:id="520" w:name="_Toc5290158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37</w:t>
      </w:r>
      <w:r w:rsidRPr="00400193">
        <w:fldChar w:fldCharType="end"/>
      </w:r>
      <w:bookmarkEnd w:id="519"/>
      <w:r w:rsidRPr="00400193">
        <w:t>: Cronbach’s alpha, number of questions and rotated component matrix for ITCA</w:t>
      </w:r>
      <w:bookmarkEnd w:id="520"/>
    </w:p>
    <w:p w14:paraId="2D997330" w14:textId="1F3DB3E9"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_Ref43254238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38</w:t>
      </w:r>
      <w:r w:rsidRPr="00400193">
        <w:rPr>
          <w:lang w:eastAsia="zh-CN" w:bidi="hi-IN"/>
        </w:rPr>
        <w:fldChar w:fldCharType="end"/>
      </w:r>
      <w:r w:rsidRPr="00400193">
        <w:rPr>
          <w:lang w:eastAsia="zh-CN" w:bidi="hi-IN"/>
        </w:rPr>
        <w:t xml:space="preserve"> shows CR and AVE for each factor and MSW and ASV values. CR was 0.919, which is higher than 0.7, and AVE was 0.621, which is higher than 0.5. MSV (0.780) &gt; AVE and ASV (0.620) &lt; AVE. There were therefore problems with discriminant validity (MSV &gt; AVE).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487"/>
      </w:tblGrid>
      <w:tr w:rsidR="00A0618E" w:rsidRPr="00400193" w14:paraId="492A6DB3" w14:textId="77777777" w:rsidTr="004C088B">
        <w:trPr>
          <w:trHeight w:val="283"/>
        </w:trPr>
        <w:tc>
          <w:tcPr>
            <w:tcW w:w="5529" w:type="dxa"/>
            <w:tcBorders>
              <w:top w:val="single" w:sz="4" w:space="0" w:color="auto"/>
              <w:bottom w:val="single" w:sz="4" w:space="0" w:color="auto"/>
            </w:tcBorders>
            <w:vAlign w:val="center"/>
          </w:tcPr>
          <w:p w14:paraId="72E4BAF9"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3487" w:type="dxa"/>
            <w:tcBorders>
              <w:top w:val="single" w:sz="4" w:space="0" w:color="auto"/>
              <w:bottom w:val="single" w:sz="4" w:space="0" w:color="auto"/>
            </w:tcBorders>
            <w:vAlign w:val="center"/>
          </w:tcPr>
          <w:p w14:paraId="4BE5C7AF"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r>
      <w:tr w:rsidR="00A0618E" w:rsidRPr="00400193" w14:paraId="47F1CD1C" w14:textId="77777777" w:rsidTr="004C088B">
        <w:trPr>
          <w:trHeight w:val="283"/>
        </w:trPr>
        <w:tc>
          <w:tcPr>
            <w:tcW w:w="5529" w:type="dxa"/>
            <w:tcBorders>
              <w:top w:val="single" w:sz="4" w:space="0" w:color="auto"/>
            </w:tcBorders>
            <w:vAlign w:val="center"/>
          </w:tcPr>
          <w:p w14:paraId="7BBF3FC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3487" w:type="dxa"/>
            <w:tcBorders>
              <w:top w:val="single" w:sz="4" w:space="0" w:color="auto"/>
            </w:tcBorders>
            <w:vAlign w:val="center"/>
          </w:tcPr>
          <w:p w14:paraId="72FF51C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0.919</w:t>
            </w:r>
          </w:p>
        </w:tc>
      </w:tr>
      <w:tr w:rsidR="00A0618E" w:rsidRPr="00400193" w14:paraId="48DA3A33" w14:textId="77777777" w:rsidTr="004C088B">
        <w:trPr>
          <w:trHeight w:val="283"/>
        </w:trPr>
        <w:tc>
          <w:tcPr>
            <w:tcW w:w="5529" w:type="dxa"/>
            <w:vAlign w:val="center"/>
          </w:tcPr>
          <w:p w14:paraId="2256887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3487" w:type="dxa"/>
            <w:vAlign w:val="center"/>
          </w:tcPr>
          <w:p w14:paraId="6CBDCFC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0.621</w:t>
            </w:r>
          </w:p>
        </w:tc>
      </w:tr>
      <w:tr w:rsidR="00A0618E" w:rsidRPr="00400193" w14:paraId="4CD3BC85" w14:textId="77777777" w:rsidTr="004C088B">
        <w:trPr>
          <w:trHeight w:val="283"/>
        </w:trPr>
        <w:tc>
          <w:tcPr>
            <w:tcW w:w="5529" w:type="dxa"/>
            <w:vAlign w:val="center"/>
          </w:tcPr>
          <w:p w14:paraId="76F7960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3487" w:type="dxa"/>
            <w:vAlign w:val="center"/>
          </w:tcPr>
          <w:p w14:paraId="1344ADFF"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0.780</w:t>
            </w:r>
          </w:p>
        </w:tc>
      </w:tr>
      <w:tr w:rsidR="00A0618E" w:rsidRPr="00400193" w14:paraId="516A2166" w14:textId="77777777" w:rsidTr="004C088B">
        <w:trPr>
          <w:trHeight w:val="283"/>
        </w:trPr>
        <w:tc>
          <w:tcPr>
            <w:tcW w:w="5529" w:type="dxa"/>
            <w:vAlign w:val="center"/>
          </w:tcPr>
          <w:p w14:paraId="71F40C9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3487" w:type="dxa"/>
            <w:vAlign w:val="center"/>
          </w:tcPr>
          <w:p w14:paraId="3A93C144"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0.620</w:t>
            </w:r>
          </w:p>
        </w:tc>
      </w:tr>
    </w:tbl>
    <w:p w14:paraId="6F901BC5" w14:textId="6E635F24" w:rsidR="006E3616" w:rsidRPr="00400193" w:rsidRDefault="006E3616" w:rsidP="006E3616">
      <w:pPr>
        <w:pStyle w:val="Caption"/>
        <w:spacing w:after="240"/>
      </w:pPr>
      <w:bookmarkStart w:id="521" w:name="_Ref43254238"/>
      <w:bookmarkStart w:id="522" w:name="_Toc5290158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38</w:t>
      </w:r>
      <w:r w:rsidRPr="00400193">
        <w:fldChar w:fldCharType="end"/>
      </w:r>
      <w:bookmarkEnd w:id="521"/>
      <w:r w:rsidRPr="00400193">
        <w:t>: Average variance extracted (AVE), composite reliability (CR), maximum shared variance (MSV) and average shared variance (ASV) for ITCA</w:t>
      </w:r>
      <w:bookmarkEnd w:id="522"/>
    </w:p>
    <w:p w14:paraId="06864CFB" w14:textId="77777777" w:rsidR="006E3616" w:rsidRPr="00400193" w:rsidRDefault="006E3616" w:rsidP="006E3616">
      <w:pPr>
        <w:pStyle w:val="Heading3"/>
        <w:rPr>
          <w:lang w:eastAsia="zh-CN" w:bidi="hi-IN"/>
        </w:rPr>
      </w:pPr>
      <w:bookmarkStart w:id="523" w:name="_Toc61894761"/>
      <w:r w:rsidRPr="00400193">
        <w:rPr>
          <w:lang w:eastAsia="zh-CN" w:bidi="hi-IN"/>
        </w:rPr>
        <w:t>Vulnerabilities and Weaknesses (VW)</w:t>
      </w:r>
      <w:bookmarkEnd w:id="523"/>
    </w:p>
    <w:p w14:paraId="6943E8C3" w14:textId="7463D5EC"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_Ref43254308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39</w:t>
      </w:r>
      <w:r w:rsidRPr="00400193">
        <w:rPr>
          <w:lang w:eastAsia="zh-CN" w:bidi="hi-IN"/>
        </w:rPr>
        <w:fldChar w:fldCharType="end"/>
      </w:r>
      <w:r w:rsidRPr="00400193">
        <w:rPr>
          <w:lang w:eastAsia="zh-CN" w:bidi="hi-IN"/>
        </w:rPr>
        <w:t xml:space="preserve">) </w:t>
      </w:r>
      <w:r w:rsidR="006A63CD" w:rsidRPr="00400193">
        <w:rPr>
          <w:lang w:eastAsia="zh-CN" w:bidi="hi-IN"/>
        </w:rPr>
        <w:t>clarifies</w:t>
      </w:r>
      <w:r w:rsidRPr="00400193">
        <w:rPr>
          <w:lang w:eastAsia="zh-CN" w:bidi="hi-IN"/>
        </w:rPr>
        <w:t xml:space="preserve"> the selection of the four main components, which explained 67.6% of the variance. This resulted in the loss of 32.4% of the original information represented by the 13 initial variables. The cumulative percentage of variance explained by the first, second, third and fourth components was 24.5%, 41.8%, 59.1% and 67.6%, or 4.4, 2.1, 1.2 and 1.1 variables.</w:t>
      </w:r>
    </w:p>
    <w:tbl>
      <w:tblPr>
        <w:tblStyle w:val="TableGrid"/>
        <w:tblW w:w="0" w:type="auto"/>
        <w:tblInd w:w="5" w:type="dxa"/>
        <w:tblLayout w:type="fixed"/>
        <w:tblLook w:val="04A0" w:firstRow="1" w:lastRow="0" w:firstColumn="1" w:lastColumn="0" w:noHBand="0" w:noVBand="1"/>
      </w:tblPr>
      <w:tblGrid>
        <w:gridCol w:w="458"/>
        <w:gridCol w:w="104"/>
        <w:gridCol w:w="613"/>
        <w:gridCol w:w="947"/>
        <w:gridCol w:w="1134"/>
        <w:gridCol w:w="708"/>
        <w:gridCol w:w="993"/>
        <w:gridCol w:w="1134"/>
        <w:gridCol w:w="708"/>
        <w:gridCol w:w="993"/>
        <w:gridCol w:w="1229"/>
      </w:tblGrid>
      <w:tr w:rsidR="006E3616" w:rsidRPr="00400193" w14:paraId="3068FC38" w14:textId="77777777" w:rsidTr="00C44D9E">
        <w:trPr>
          <w:cantSplit/>
          <w:trHeight w:val="283"/>
        </w:trPr>
        <w:tc>
          <w:tcPr>
            <w:tcW w:w="562" w:type="dxa"/>
            <w:gridSpan w:val="2"/>
            <w:vMerge w:val="restart"/>
            <w:tcBorders>
              <w:top w:val="single" w:sz="4" w:space="0" w:color="auto"/>
              <w:left w:val="nil"/>
              <w:right w:val="nil"/>
            </w:tcBorders>
            <w:shd w:val="clear" w:color="auto" w:fill="auto"/>
            <w:textDirection w:val="btLr"/>
            <w:vAlign w:val="center"/>
          </w:tcPr>
          <w:p w14:paraId="6D4567CA" w14:textId="77777777" w:rsidR="006E3616" w:rsidRPr="00400193" w:rsidRDefault="006E3616" w:rsidP="003B5486">
            <w:pPr>
              <w:spacing w:line="240" w:lineRule="auto"/>
              <w:ind w:left="113" w:right="113"/>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Latent Variables</w:t>
            </w:r>
          </w:p>
        </w:tc>
        <w:tc>
          <w:tcPr>
            <w:tcW w:w="2694" w:type="dxa"/>
            <w:gridSpan w:val="3"/>
            <w:tcBorders>
              <w:top w:val="single" w:sz="4" w:space="0" w:color="auto"/>
              <w:left w:val="nil"/>
              <w:bottom w:val="nil"/>
              <w:right w:val="nil"/>
            </w:tcBorders>
            <w:shd w:val="clear" w:color="auto" w:fill="auto"/>
            <w:vAlign w:val="center"/>
          </w:tcPr>
          <w:p w14:paraId="1AABA04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Initial Eigenvalues</w:t>
            </w:r>
          </w:p>
        </w:tc>
        <w:tc>
          <w:tcPr>
            <w:tcW w:w="2835" w:type="dxa"/>
            <w:gridSpan w:val="3"/>
            <w:tcBorders>
              <w:top w:val="single" w:sz="4" w:space="0" w:color="auto"/>
              <w:left w:val="nil"/>
              <w:bottom w:val="nil"/>
              <w:right w:val="nil"/>
            </w:tcBorders>
            <w:shd w:val="clear" w:color="auto" w:fill="auto"/>
            <w:vAlign w:val="center"/>
          </w:tcPr>
          <w:p w14:paraId="452F986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Extraction Sums of Squared Loadings</w:t>
            </w:r>
          </w:p>
        </w:tc>
        <w:tc>
          <w:tcPr>
            <w:tcW w:w="2930" w:type="dxa"/>
            <w:gridSpan w:val="3"/>
            <w:tcBorders>
              <w:top w:val="single" w:sz="4" w:space="0" w:color="auto"/>
              <w:left w:val="nil"/>
              <w:bottom w:val="nil"/>
              <w:right w:val="nil"/>
            </w:tcBorders>
            <w:shd w:val="clear" w:color="auto" w:fill="auto"/>
            <w:vAlign w:val="center"/>
          </w:tcPr>
          <w:p w14:paraId="4DF7A45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Rotation Sums of Squared Loadings</w:t>
            </w:r>
          </w:p>
        </w:tc>
      </w:tr>
      <w:tr w:rsidR="006E3616" w:rsidRPr="00400193" w14:paraId="7EEE0AC4" w14:textId="77777777" w:rsidTr="00C44D9E">
        <w:trPr>
          <w:cantSplit/>
          <w:trHeight w:val="283"/>
        </w:trPr>
        <w:tc>
          <w:tcPr>
            <w:tcW w:w="562" w:type="dxa"/>
            <w:gridSpan w:val="2"/>
            <w:vMerge/>
            <w:tcBorders>
              <w:left w:val="nil"/>
              <w:bottom w:val="single" w:sz="4" w:space="0" w:color="auto"/>
              <w:right w:val="nil"/>
            </w:tcBorders>
          </w:tcPr>
          <w:p w14:paraId="46A0BCEC" w14:textId="77777777" w:rsidR="006E3616" w:rsidRPr="00400193" w:rsidRDefault="006E3616" w:rsidP="003B5486">
            <w:pPr>
              <w:spacing w:line="240" w:lineRule="auto"/>
              <w:rPr>
                <w:rFonts w:asciiTheme="minorHAnsi" w:hAnsiTheme="minorHAnsi" w:cstheme="minorHAnsi"/>
                <w:sz w:val="20"/>
                <w:lang w:eastAsia="zh-CN" w:bidi="hi-IN"/>
              </w:rPr>
            </w:pPr>
          </w:p>
        </w:tc>
        <w:tc>
          <w:tcPr>
            <w:tcW w:w="613" w:type="dxa"/>
            <w:tcBorders>
              <w:top w:val="nil"/>
              <w:left w:val="nil"/>
              <w:bottom w:val="single" w:sz="4" w:space="0" w:color="auto"/>
              <w:right w:val="nil"/>
            </w:tcBorders>
            <w:shd w:val="clear" w:color="auto" w:fill="auto"/>
            <w:vAlign w:val="center"/>
          </w:tcPr>
          <w:p w14:paraId="1F7C75A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947" w:type="dxa"/>
            <w:tcBorders>
              <w:top w:val="nil"/>
              <w:left w:val="nil"/>
              <w:bottom w:val="single" w:sz="4" w:space="0" w:color="auto"/>
              <w:right w:val="nil"/>
            </w:tcBorders>
            <w:shd w:val="clear" w:color="auto" w:fill="auto"/>
            <w:vAlign w:val="center"/>
          </w:tcPr>
          <w:p w14:paraId="04B9C822"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134" w:type="dxa"/>
            <w:tcBorders>
              <w:top w:val="nil"/>
              <w:left w:val="nil"/>
              <w:bottom w:val="single" w:sz="4" w:space="0" w:color="auto"/>
              <w:right w:val="nil"/>
            </w:tcBorders>
            <w:shd w:val="clear" w:color="auto" w:fill="auto"/>
            <w:vAlign w:val="center"/>
          </w:tcPr>
          <w:p w14:paraId="663F72A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8" w:type="dxa"/>
            <w:tcBorders>
              <w:top w:val="nil"/>
              <w:left w:val="nil"/>
              <w:bottom w:val="single" w:sz="4" w:space="0" w:color="auto"/>
              <w:right w:val="nil"/>
            </w:tcBorders>
            <w:shd w:val="clear" w:color="auto" w:fill="auto"/>
            <w:vAlign w:val="center"/>
          </w:tcPr>
          <w:p w14:paraId="2B1D5FC2"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993" w:type="dxa"/>
            <w:tcBorders>
              <w:top w:val="nil"/>
              <w:left w:val="nil"/>
              <w:bottom w:val="single" w:sz="4" w:space="0" w:color="auto"/>
              <w:right w:val="nil"/>
            </w:tcBorders>
            <w:shd w:val="clear" w:color="auto" w:fill="auto"/>
            <w:vAlign w:val="center"/>
          </w:tcPr>
          <w:p w14:paraId="20EF641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134" w:type="dxa"/>
            <w:tcBorders>
              <w:top w:val="nil"/>
              <w:left w:val="nil"/>
              <w:bottom w:val="single" w:sz="4" w:space="0" w:color="auto"/>
              <w:right w:val="nil"/>
            </w:tcBorders>
            <w:shd w:val="clear" w:color="auto" w:fill="auto"/>
            <w:vAlign w:val="center"/>
          </w:tcPr>
          <w:p w14:paraId="1ADF1B8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8" w:type="dxa"/>
            <w:tcBorders>
              <w:top w:val="nil"/>
              <w:left w:val="nil"/>
              <w:bottom w:val="single" w:sz="4" w:space="0" w:color="auto"/>
              <w:right w:val="nil"/>
            </w:tcBorders>
            <w:shd w:val="clear" w:color="auto" w:fill="auto"/>
            <w:vAlign w:val="center"/>
          </w:tcPr>
          <w:p w14:paraId="7C2EB4D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993" w:type="dxa"/>
            <w:tcBorders>
              <w:top w:val="nil"/>
              <w:left w:val="nil"/>
              <w:bottom w:val="single" w:sz="4" w:space="0" w:color="auto"/>
              <w:right w:val="nil"/>
            </w:tcBorders>
            <w:shd w:val="clear" w:color="auto" w:fill="auto"/>
            <w:vAlign w:val="center"/>
          </w:tcPr>
          <w:p w14:paraId="26DDB1C5"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229" w:type="dxa"/>
            <w:tcBorders>
              <w:top w:val="nil"/>
              <w:left w:val="nil"/>
              <w:bottom w:val="single" w:sz="4" w:space="0" w:color="auto"/>
              <w:right w:val="nil"/>
            </w:tcBorders>
            <w:shd w:val="clear" w:color="auto" w:fill="auto"/>
            <w:vAlign w:val="center"/>
          </w:tcPr>
          <w:p w14:paraId="21F995A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r>
      <w:tr w:rsidR="006E3616" w:rsidRPr="00400193" w14:paraId="11952C36" w14:textId="77777777" w:rsidTr="00C44D9E">
        <w:trPr>
          <w:cantSplit/>
          <w:trHeight w:val="283"/>
        </w:trPr>
        <w:tc>
          <w:tcPr>
            <w:tcW w:w="458" w:type="dxa"/>
            <w:tcBorders>
              <w:top w:val="single" w:sz="4" w:space="0" w:color="auto"/>
              <w:left w:val="nil"/>
              <w:bottom w:val="nil"/>
              <w:right w:val="nil"/>
            </w:tcBorders>
            <w:shd w:val="clear" w:color="auto" w:fill="auto"/>
            <w:vAlign w:val="center"/>
          </w:tcPr>
          <w:p w14:paraId="0D1FF3C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717" w:type="dxa"/>
            <w:gridSpan w:val="2"/>
            <w:tcBorders>
              <w:top w:val="single" w:sz="4" w:space="0" w:color="auto"/>
              <w:left w:val="nil"/>
              <w:bottom w:val="nil"/>
              <w:right w:val="nil"/>
            </w:tcBorders>
            <w:shd w:val="clear" w:color="auto" w:fill="auto"/>
            <w:vAlign w:val="center"/>
          </w:tcPr>
          <w:p w14:paraId="1DD79C1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4.409</w:t>
            </w:r>
          </w:p>
        </w:tc>
        <w:tc>
          <w:tcPr>
            <w:tcW w:w="947" w:type="dxa"/>
            <w:tcBorders>
              <w:top w:val="single" w:sz="4" w:space="0" w:color="auto"/>
              <w:left w:val="nil"/>
              <w:bottom w:val="nil"/>
              <w:right w:val="nil"/>
            </w:tcBorders>
            <w:shd w:val="clear" w:color="auto" w:fill="auto"/>
            <w:vAlign w:val="center"/>
          </w:tcPr>
          <w:p w14:paraId="738B074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33.914</w:t>
            </w:r>
          </w:p>
        </w:tc>
        <w:tc>
          <w:tcPr>
            <w:tcW w:w="1134" w:type="dxa"/>
            <w:tcBorders>
              <w:top w:val="single" w:sz="4" w:space="0" w:color="auto"/>
              <w:left w:val="nil"/>
              <w:bottom w:val="nil"/>
              <w:right w:val="nil"/>
            </w:tcBorders>
            <w:shd w:val="clear" w:color="auto" w:fill="auto"/>
            <w:vAlign w:val="center"/>
          </w:tcPr>
          <w:p w14:paraId="37A3E79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33.914</w:t>
            </w:r>
          </w:p>
        </w:tc>
        <w:tc>
          <w:tcPr>
            <w:tcW w:w="708" w:type="dxa"/>
            <w:tcBorders>
              <w:top w:val="single" w:sz="4" w:space="0" w:color="auto"/>
              <w:left w:val="nil"/>
              <w:bottom w:val="nil"/>
              <w:right w:val="nil"/>
            </w:tcBorders>
            <w:shd w:val="clear" w:color="auto" w:fill="auto"/>
            <w:vAlign w:val="center"/>
          </w:tcPr>
          <w:p w14:paraId="25F97FB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4.409</w:t>
            </w:r>
          </w:p>
        </w:tc>
        <w:tc>
          <w:tcPr>
            <w:tcW w:w="993" w:type="dxa"/>
            <w:tcBorders>
              <w:top w:val="single" w:sz="4" w:space="0" w:color="auto"/>
              <w:left w:val="nil"/>
              <w:bottom w:val="nil"/>
              <w:right w:val="nil"/>
            </w:tcBorders>
            <w:shd w:val="clear" w:color="auto" w:fill="auto"/>
            <w:vAlign w:val="center"/>
          </w:tcPr>
          <w:p w14:paraId="6FA5C88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33.914</w:t>
            </w:r>
          </w:p>
        </w:tc>
        <w:tc>
          <w:tcPr>
            <w:tcW w:w="1134" w:type="dxa"/>
            <w:tcBorders>
              <w:top w:val="single" w:sz="4" w:space="0" w:color="auto"/>
              <w:left w:val="nil"/>
              <w:bottom w:val="nil"/>
              <w:right w:val="nil"/>
            </w:tcBorders>
            <w:shd w:val="clear" w:color="auto" w:fill="auto"/>
            <w:vAlign w:val="center"/>
          </w:tcPr>
          <w:p w14:paraId="460BBC1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33.914</w:t>
            </w:r>
          </w:p>
        </w:tc>
        <w:tc>
          <w:tcPr>
            <w:tcW w:w="708" w:type="dxa"/>
            <w:tcBorders>
              <w:top w:val="single" w:sz="4" w:space="0" w:color="auto"/>
              <w:left w:val="nil"/>
              <w:bottom w:val="nil"/>
              <w:right w:val="nil"/>
            </w:tcBorders>
            <w:shd w:val="clear" w:color="auto" w:fill="auto"/>
            <w:vAlign w:val="center"/>
          </w:tcPr>
          <w:p w14:paraId="4B3B835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3.180</w:t>
            </w:r>
          </w:p>
        </w:tc>
        <w:tc>
          <w:tcPr>
            <w:tcW w:w="993" w:type="dxa"/>
            <w:tcBorders>
              <w:top w:val="single" w:sz="4" w:space="0" w:color="auto"/>
              <w:left w:val="nil"/>
              <w:bottom w:val="nil"/>
              <w:right w:val="nil"/>
            </w:tcBorders>
            <w:shd w:val="clear" w:color="auto" w:fill="auto"/>
            <w:vAlign w:val="center"/>
          </w:tcPr>
          <w:p w14:paraId="452B6BC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24.462</w:t>
            </w:r>
          </w:p>
        </w:tc>
        <w:tc>
          <w:tcPr>
            <w:tcW w:w="1229" w:type="dxa"/>
            <w:tcBorders>
              <w:top w:val="single" w:sz="4" w:space="0" w:color="auto"/>
              <w:left w:val="nil"/>
              <w:bottom w:val="nil"/>
              <w:right w:val="nil"/>
            </w:tcBorders>
            <w:shd w:val="clear" w:color="auto" w:fill="auto"/>
            <w:vAlign w:val="center"/>
          </w:tcPr>
          <w:p w14:paraId="2DD2F88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24.462</w:t>
            </w:r>
          </w:p>
        </w:tc>
      </w:tr>
      <w:tr w:rsidR="006E3616" w:rsidRPr="00400193" w14:paraId="72451A57" w14:textId="77777777" w:rsidTr="00C44D9E">
        <w:trPr>
          <w:cantSplit/>
          <w:trHeight w:val="283"/>
        </w:trPr>
        <w:tc>
          <w:tcPr>
            <w:tcW w:w="458" w:type="dxa"/>
            <w:tcBorders>
              <w:top w:val="nil"/>
              <w:left w:val="nil"/>
              <w:bottom w:val="nil"/>
              <w:right w:val="nil"/>
            </w:tcBorders>
            <w:shd w:val="clear" w:color="auto" w:fill="auto"/>
            <w:vAlign w:val="center"/>
          </w:tcPr>
          <w:p w14:paraId="22CDCCF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717" w:type="dxa"/>
            <w:gridSpan w:val="2"/>
            <w:tcBorders>
              <w:top w:val="nil"/>
              <w:left w:val="nil"/>
              <w:bottom w:val="nil"/>
              <w:right w:val="nil"/>
            </w:tcBorders>
            <w:shd w:val="clear" w:color="auto" w:fill="auto"/>
            <w:vAlign w:val="center"/>
          </w:tcPr>
          <w:p w14:paraId="4C3BEB4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2.088</w:t>
            </w:r>
          </w:p>
        </w:tc>
        <w:tc>
          <w:tcPr>
            <w:tcW w:w="947" w:type="dxa"/>
            <w:tcBorders>
              <w:top w:val="nil"/>
              <w:left w:val="nil"/>
              <w:bottom w:val="nil"/>
              <w:right w:val="nil"/>
            </w:tcBorders>
            <w:shd w:val="clear" w:color="auto" w:fill="auto"/>
            <w:vAlign w:val="center"/>
          </w:tcPr>
          <w:p w14:paraId="31BEDA3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16.062</w:t>
            </w:r>
          </w:p>
        </w:tc>
        <w:tc>
          <w:tcPr>
            <w:tcW w:w="1134" w:type="dxa"/>
            <w:tcBorders>
              <w:top w:val="nil"/>
              <w:left w:val="nil"/>
              <w:bottom w:val="nil"/>
              <w:right w:val="nil"/>
            </w:tcBorders>
            <w:shd w:val="clear" w:color="auto" w:fill="auto"/>
            <w:vAlign w:val="center"/>
          </w:tcPr>
          <w:p w14:paraId="01C54EE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49.977</w:t>
            </w:r>
          </w:p>
        </w:tc>
        <w:tc>
          <w:tcPr>
            <w:tcW w:w="708" w:type="dxa"/>
            <w:tcBorders>
              <w:top w:val="nil"/>
              <w:left w:val="nil"/>
              <w:bottom w:val="nil"/>
              <w:right w:val="nil"/>
            </w:tcBorders>
            <w:shd w:val="clear" w:color="auto" w:fill="auto"/>
            <w:vAlign w:val="center"/>
          </w:tcPr>
          <w:p w14:paraId="0970201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2.088</w:t>
            </w:r>
          </w:p>
        </w:tc>
        <w:tc>
          <w:tcPr>
            <w:tcW w:w="993" w:type="dxa"/>
            <w:tcBorders>
              <w:top w:val="nil"/>
              <w:left w:val="nil"/>
              <w:bottom w:val="nil"/>
              <w:right w:val="nil"/>
            </w:tcBorders>
            <w:shd w:val="clear" w:color="auto" w:fill="auto"/>
            <w:vAlign w:val="center"/>
          </w:tcPr>
          <w:p w14:paraId="2D8B48E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16.062</w:t>
            </w:r>
          </w:p>
        </w:tc>
        <w:tc>
          <w:tcPr>
            <w:tcW w:w="1134" w:type="dxa"/>
            <w:tcBorders>
              <w:top w:val="nil"/>
              <w:left w:val="nil"/>
              <w:bottom w:val="nil"/>
              <w:right w:val="nil"/>
            </w:tcBorders>
            <w:shd w:val="clear" w:color="auto" w:fill="auto"/>
            <w:vAlign w:val="center"/>
          </w:tcPr>
          <w:p w14:paraId="53799CA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49.977</w:t>
            </w:r>
          </w:p>
        </w:tc>
        <w:tc>
          <w:tcPr>
            <w:tcW w:w="708" w:type="dxa"/>
            <w:tcBorders>
              <w:top w:val="nil"/>
              <w:left w:val="nil"/>
              <w:bottom w:val="nil"/>
              <w:right w:val="nil"/>
            </w:tcBorders>
            <w:shd w:val="clear" w:color="auto" w:fill="auto"/>
            <w:vAlign w:val="center"/>
          </w:tcPr>
          <w:p w14:paraId="7B7AB6B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2.252</w:t>
            </w:r>
          </w:p>
        </w:tc>
        <w:tc>
          <w:tcPr>
            <w:tcW w:w="993" w:type="dxa"/>
            <w:tcBorders>
              <w:top w:val="nil"/>
              <w:left w:val="nil"/>
              <w:bottom w:val="nil"/>
              <w:right w:val="nil"/>
            </w:tcBorders>
            <w:shd w:val="clear" w:color="auto" w:fill="auto"/>
            <w:vAlign w:val="center"/>
          </w:tcPr>
          <w:p w14:paraId="2DBFC9E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17.323</w:t>
            </w:r>
          </w:p>
        </w:tc>
        <w:tc>
          <w:tcPr>
            <w:tcW w:w="1229" w:type="dxa"/>
            <w:tcBorders>
              <w:top w:val="nil"/>
              <w:left w:val="nil"/>
              <w:bottom w:val="nil"/>
              <w:right w:val="nil"/>
            </w:tcBorders>
            <w:shd w:val="clear" w:color="auto" w:fill="auto"/>
            <w:vAlign w:val="center"/>
          </w:tcPr>
          <w:p w14:paraId="31B11A2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41.786</w:t>
            </w:r>
          </w:p>
        </w:tc>
      </w:tr>
      <w:tr w:rsidR="006E3616" w:rsidRPr="00400193" w14:paraId="071F778F" w14:textId="77777777" w:rsidTr="00C44D9E">
        <w:trPr>
          <w:cantSplit/>
          <w:trHeight w:val="283"/>
        </w:trPr>
        <w:tc>
          <w:tcPr>
            <w:tcW w:w="458" w:type="dxa"/>
            <w:tcBorders>
              <w:top w:val="nil"/>
              <w:left w:val="nil"/>
              <w:bottom w:val="nil"/>
              <w:right w:val="nil"/>
            </w:tcBorders>
            <w:shd w:val="clear" w:color="auto" w:fill="auto"/>
            <w:vAlign w:val="center"/>
          </w:tcPr>
          <w:p w14:paraId="6010631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717" w:type="dxa"/>
            <w:gridSpan w:val="2"/>
            <w:tcBorders>
              <w:top w:val="nil"/>
              <w:left w:val="nil"/>
              <w:bottom w:val="nil"/>
              <w:right w:val="nil"/>
            </w:tcBorders>
            <w:shd w:val="clear" w:color="auto" w:fill="auto"/>
            <w:vAlign w:val="center"/>
          </w:tcPr>
          <w:p w14:paraId="6FB5F09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1.194</w:t>
            </w:r>
          </w:p>
        </w:tc>
        <w:tc>
          <w:tcPr>
            <w:tcW w:w="947" w:type="dxa"/>
            <w:tcBorders>
              <w:top w:val="nil"/>
              <w:left w:val="nil"/>
              <w:bottom w:val="nil"/>
              <w:right w:val="nil"/>
            </w:tcBorders>
            <w:shd w:val="clear" w:color="auto" w:fill="auto"/>
            <w:vAlign w:val="center"/>
          </w:tcPr>
          <w:p w14:paraId="31DCF55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9.188</w:t>
            </w:r>
          </w:p>
        </w:tc>
        <w:tc>
          <w:tcPr>
            <w:tcW w:w="1134" w:type="dxa"/>
            <w:tcBorders>
              <w:top w:val="nil"/>
              <w:left w:val="nil"/>
              <w:bottom w:val="nil"/>
              <w:right w:val="nil"/>
            </w:tcBorders>
            <w:shd w:val="clear" w:color="auto" w:fill="auto"/>
            <w:vAlign w:val="center"/>
          </w:tcPr>
          <w:p w14:paraId="04BD65A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59.165</w:t>
            </w:r>
          </w:p>
        </w:tc>
        <w:tc>
          <w:tcPr>
            <w:tcW w:w="708" w:type="dxa"/>
            <w:tcBorders>
              <w:top w:val="nil"/>
              <w:left w:val="nil"/>
              <w:bottom w:val="nil"/>
              <w:right w:val="nil"/>
            </w:tcBorders>
            <w:shd w:val="clear" w:color="auto" w:fill="auto"/>
            <w:vAlign w:val="center"/>
          </w:tcPr>
          <w:p w14:paraId="70F05C2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1.194</w:t>
            </w:r>
          </w:p>
        </w:tc>
        <w:tc>
          <w:tcPr>
            <w:tcW w:w="993" w:type="dxa"/>
            <w:tcBorders>
              <w:top w:val="nil"/>
              <w:left w:val="nil"/>
              <w:bottom w:val="nil"/>
              <w:right w:val="nil"/>
            </w:tcBorders>
            <w:shd w:val="clear" w:color="auto" w:fill="auto"/>
            <w:vAlign w:val="center"/>
          </w:tcPr>
          <w:p w14:paraId="500B2FE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9.188</w:t>
            </w:r>
          </w:p>
        </w:tc>
        <w:tc>
          <w:tcPr>
            <w:tcW w:w="1134" w:type="dxa"/>
            <w:tcBorders>
              <w:top w:val="nil"/>
              <w:left w:val="nil"/>
              <w:bottom w:val="nil"/>
              <w:right w:val="nil"/>
            </w:tcBorders>
            <w:shd w:val="clear" w:color="auto" w:fill="auto"/>
            <w:vAlign w:val="center"/>
          </w:tcPr>
          <w:p w14:paraId="5838DF7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59.165</w:t>
            </w:r>
          </w:p>
        </w:tc>
        <w:tc>
          <w:tcPr>
            <w:tcW w:w="708" w:type="dxa"/>
            <w:tcBorders>
              <w:top w:val="nil"/>
              <w:left w:val="nil"/>
              <w:bottom w:val="nil"/>
              <w:right w:val="nil"/>
            </w:tcBorders>
            <w:shd w:val="clear" w:color="auto" w:fill="auto"/>
            <w:vAlign w:val="center"/>
          </w:tcPr>
          <w:p w14:paraId="18E1EDC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2.248</w:t>
            </w:r>
          </w:p>
        </w:tc>
        <w:tc>
          <w:tcPr>
            <w:tcW w:w="993" w:type="dxa"/>
            <w:tcBorders>
              <w:top w:val="nil"/>
              <w:left w:val="nil"/>
              <w:bottom w:val="nil"/>
              <w:right w:val="nil"/>
            </w:tcBorders>
            <w:shd w:val="clear" w:color="auto" w:fill="auto"/>
            <w:vAlign w:val="center"/>
          </w:tcPr>
          <w:p w14:paraId="2E6C272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17.295</w:t>
            </w:r>
          </w:p>
        </w:tc>
        <w:tc>
          <w:tcPr>
            <w:tcW w:w="1229" w:type="dxa"/>
            <w:tcBorders>
              <w:top w:val="nil"/>
              <w:left w:val="nil"/>
              <w:bottom w:val="nil"/>
              <w:right w:val="nil"/>
            </w:tcBorders>
            <w:shd w:val="clear" w:color="auto" w:fill="auto"/>
            <w:vAlign w:val="center"/>
          </w:tcPr>
          <w:p w14:paraId="062651D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59.081</w:t>
            </w:r>
          </w:p>
        </w:tc>
      </w:tr>
      <w:tr w:rsidR="006E3616" w:rsidRPr="00400193" w14:paraId="158B202E" w14:textId="77777777" w:rsidTr="00C44D9E">
        <w:trPr>
          <w:cantSplit/>
          <w:trHeight w:val="283"/>
        </w:trPr>
        <w:tc>
          <w:tcPr>
            <w:tcW w:w="458" w:type="dxa"/>
            <w:tcBorders>
              <w:top w:val="nil"/>
              <w:left w:val="nil"/>
              <w:bottom w:val="nil"/>
              <w:right w:val="nil"/>
            </w:tcBorders>
            <w:shd w:val="clear" w:color="auto" w:fill="auto"/>
            <w:vAlign w:val="center"/>
          </w:tcPr>
          <w:p w14:paraId="5D3A6E7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717" w:type="dxa"/>
            <w:gridSpan w:val="2"/>
            <w:tcBorders>
              <w:top w:val="nil"/>
              <w:left w:val="nil"/>
              <w:bottom w:val="nil"/>
              <w:right w:val="nil"/>
            </w:tcBorders>
            <w:shd w:val="clear" w:color="auto" w:fill="auto"/>
            <w:vAlign w:val="center"/>
          </w:tcPr>
          <w:p w14:paraId="25AD541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1.093</w:t>
            </w:r>
          </w:p>
        </w:tc>
        <w:tc>
          <w:tcPr>
            <w:tcW w:w="947" w:type="dxa"/>
            <w:tcBorders>
              <w:top w:val="nil"/>
              <w:left w:val="nil"/>
              <w:bottom w:val="nil"/>
              <w:right w:val="nil"/>
            </w:tcBorders>
            <w:shd w:val="clear" w:color="auto" w:fill="auto"/>
            <w:vAlign w:val="center"/>
          </w:tcPr>
          <w:p w14:paraId="0580471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8.408</w:t>
            </w:r>
          </w:p>
        </w:tc>
        <w:tc>
          <w:tcPr>
            <w:tcW w:w="1134" w:type="dxa"/>
            <w:tcBorders>
              <w:top w:val="nil"/>
              <w:left w:val="nil"/>
              <w:bottom w:val="nil"/>
              <w:right w:val="nil"/>
            </w:tcBorders>
            <w:shd w:val="clear" w:color="auto" w:fill="auto"/>
            <w:vAlign w:val="center"/>
          </w:tcPr>
          <w:p w14:paraId="2534B29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67.573</w:t>
            </w:r>
          </w:p>
        </w:tc>
        <w:tc>
          <w:tcPr>
            <w:tcW w:w="708" w:type="dxa"/>
            <w:tcBorders>
              <w:top w:val="nil"/>
              <w:left w:val="nil"/>
              <w:bottom w:val="nil"/>
              <w:right w:val="nil"/>
            </w:tcBorders>
            <w:shd w:val="clear" w:color="auto" w:fill="auto"/>
            <w:vAlign w:val="center"/>
          </w:tcPr>
          <w:p w14:paraId="71B45E9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1.093</w:t>
            </w:r>
          </w:p>
        </w:tc>
        <w:tc>
          <w:tcPr>
            <w:tcW w:w="993" w:type="dxa"/>
            <w:tcBorders>
              <w:top w:val="nil"/>
              <w:left w:val="nil"/>
              <w:bottom w:val="nil"/>
              <w:right w:val="nil"/>
            </w:tcBorders>
            <w:shd w:val="clear" w:color="auto" w:fill="auto"/>
            <w:vAlign w:val="center"/>
          </w:tcPr>
          <w:p w14:paraId="2F9E8E5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8.408</w:t>
            </w:r>
          </w:p>
        </w:tc>
        <w:tc>
          <w:tcPr>
            <w:tcW w:w="1134" w:type="dxa"/>
            <w:tcBorders>
              <w:top w:val="nil"/>
              <w:left w:val="nil"/>
              <w:bottom w:val="nil"/>
              <w:right w:val="nil"/>
            </w:tcBorders>
            <w:shd w:val="clear" w:color="auto" w:fill="auto"/>
            <w:vAlign w:val="center"/>
          </w:tcPr>
          <w:p w14:paraId="70C8843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67.573</w:t>
            </w:r>
          </w:p>
        </w:tc>
        <w:tc>
          <w:tcPr>
            <w:tcW w:w="708" w:type="dxa"/>
            <w:tcBorders>
              <w:top w:val="nil"/>
              <w:left w:val="nil"/>
              <w:bottom w:val="nil"/>
              <w:right w:val="nil"/>
            </w:tcBorders>
            <w:shd w:val="clear" w:color="auto" w:fill="auto"/>
            <w:vAlign w:val="center"/>
          </w:tcPr>
          <w:p w14:paraId="57840FA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1.104</w:t>
            </w:r>
          </w:p>
        </w:tc>
        <w:tc>
          <w:tcPr>
            <w:tcW w:w="993" w:type="dxa"/>
            <w:tcBorders>
              <w:top w:val="nil"/>
              <w:left w:val="nil"/>
              <w:bottom w:val="nil"/>
              <w:right w:val="nil"/>
            </w:tcBorders>
            <w:shd w:val="clear" w:color="auto" w:fill="auto"/>
            <w:vAlign w:val="center"/>
          </w:tcPr>
          <w:p w14:paraId="005A9C4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8.491</w:t>
            </w:r>
          </w:p>
        </w:tc>
        <w:tc>
          <w:tcPr>
            <w:tcW w:w="1229" w:type="dxa"/>
            <w:tcBorders>
              <w:top w:val="nil"/>
              <w:left w:val="nil"/>
              <w:bottom w:val="nil"/>
              <w:right w:val="nil"/>
            </w:tcBorders>
            <w:shd w:val="clear" w:color="auto" w:fill="auto"/>
            <w:vAlign w:val="center"/>
          </w:tcPr>
          <w:p w14:paraId="2F2ABC6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67.573</w:t>
            </w:r>
          </w:p>
        </w:tc>
      </w:tr>
      <w:tr w:rsidR="006E3616" w:rsidRPr="00400193" w14:paraId="45046571" w14:textId="77777777" w:rsidTr="00C44D9E">
        <w:trPr>
          <w:cantSplit/>
          <w:trHeight w:val="283"/>
        </w:trPr>
        <w:tc>
          <w:tcPr>
            <w:tcW w:w="458" w:type="dxa"/>
            <w:tcBorders>
              <w:top w:val="nil"/>
              <w:left w:val="nil"/>
              <w:bottom w:val="single" w:sz="4" w:space="0" w:color="auto"/>
              <w:right w:val="nil"/>
            </w:tcBorders>
            <w:shd w:val="clear" w:color="auto" w:fill="auto"/>
            <w:vAlign w:val="center"/>
          </w:tcPr>
          <w:p w14:paraId="155E354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w:t>
            </w:r>
          </w:p>
        </w:tc>
        <w:tc>
          <w:tcPr>
            <w:tcW w:w="717" w:type="dxa"/>
            <w:gridSpan w:val="2"/>
            <w:tcBorders>
              <w:top w:val="nil"/>
              <w:left w:val="nil"/>
              <w:bottom w:val="single" w:sz="4" w:space="0" w:color="auto"/>
              <w:right w:val="nil"/>
            </w:tcBorders>
            <w:shd w:val="clear" w:color="auto" w:fill="auto"/>
            <w:vAlign w:val="center"/>
          </w:tcPr>
          <w:p w14:paraId="5A2E402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0.811</w:t>
            </w:r>
          </w:p>
        </w:tc>
        <w:tc>
          <w:tcPr>
            <w:tcW w:w="947" w:type="dxa"/>
            <w:tcBorders>
              <w:top w:val="nil"/>
              <w:left w:val="nil"/>
              <w:bottom w:val="single" w:sz="4" w:space="0" w:color="auto"/>
              <w:right w:val="nil"/>
            </w:tcBorders>
            <w:shd w:val="clear" w:color="auto" w:fill="auto"/>
            <w:vAlign w:val="center"/>
          </w:tcPr>
          <w:p w14:paraId="3B5FF8D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6.239</w:t>
            </w:r>
          </w:p>
        </w:tc>
        <w:tc>
          <w:tcPr>
            <w:tcW w:w="1134" w:type="dxa"/>
            <w:tcBorders>
              <w:top w:val="nil"/>
              <w:left w:val="nil"/>
              <w:bottom w:val="single" w:sz="4" w:space="0" w:color="auto"/>
              <w:right w:val="nil"/>
            </w:tcBorders>
            <w:shd w:val="clear" w:color="auto" w:fill="auto"/>
            <w:vAlign w:val="center"/>
          </w:tcPr>
          <w:p w14:paraId="6BD99CA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73.812</w:t>
            </w:r>
          </w:p>
        </w:tc>
        <w:tc>
          <w:tcPr>
            <w:tcW w:w="708" w:type="dxa"/>
            <w:tcBorders>
              <w:top w:val="nil"/>
              <w:left w:val="nil"/>
              <w:bottom w:val="single" w:sz="4" w:space="0" w:color="auto"/>
              <w:right w:val="nil"/>
            </w:tcBorders>
            <w:shd w:val="clear" w:color="auto" w:fill="auto"/>
            <w:vAlign w:val="center"/>
          </w:tcPr>
          <w:p w14:paraId="165AAE7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93" w:type="dxa"/>
            <w:tcBorders>
              <w:top w:val="nil"/>
              <w:left w:val="nil"/>
              <w:bottom w:val="single" w:sz="4" w:space="0" w:color="auto"/>
              <w:right w:val="nil"/>
            </w:tcBorders>
            <w:shd w:val="clear" w:color="auto" w:fill="auto"/>
            <w:vAlign w:val="center"/>
          </w:tcPr>
          <w:p w14:paraId="2FE5081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134" w:type="dxa"/>
            <w:tcBorders>
              <w:top w:val="nil"/>
              <w:left w:val="nil"/>
              <w:bottom w:val="single" w:sz="4" w:space="0" w:color="auto"/>
              <w:right w:val="nil"/>
            </w:tcBorders>
            <w:shd w:val="clear" w:color="auto" w:fill="auto"/>
            <w:vAlign w:val="center"/>
          </w:tcPr>
          <w:p w14:paraId="00743EE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08" w:type="dxa"/>
            <w:tcBorders>
              <w:top w:val="nil"/>
              <w:left w:val="nil"/>
              <w:bottom w:val="single" w:sz="4" w:space="0" w:color="auto"/>
              <w:right w:val="nil"/>
            </w:tcBorders>
            <w:shd w:val="clear" w:color="auto" w:fill="auto"/>
            <w:vAlign w:val="center"/>
          </w:tcPr>
          <w:p w14:paraId="069E415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93" w:type="dxa"/>
            <w:tcBorders>
              <w:top w:val="nil"/>
              <w:left w:val="nil"/>
              <w:bottom w:val="single" w:sz="4" w:space="0" w:color="auto"/>
              <w:right w:val="nil"/>
            </w:tcBorders>
            <w:shd w:val="clear" w:color="auto" w:fill="auto"/>
            <w:vAlign w:val="center"/>
          </w:tcPr>
          <w:p w14:paraId="003D988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29" w:type="dxa"/>
            <w:tcBorders>
              <w:top w:val="nil"/>
              <w:left w:val="nil"/>
              <w:bottom w:val="single" w:sz="4" w:space="0" w:color="auto"/>
              <w:right w:val="nil"/>
            </w:tcBorders>
            <w:shd w:val="clear" w:color="auto" w:fill="auto"/>
            <w:vAlign w:val="center"/>
          </w:tcPr>
          <w:p w14:paraId="56102911"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6E3616" w:rsidRPr="00400193" w14:paraId="2C5B7E7E" w14:textId="77777777" w:rsidTr="00C44D9E">
        <w:trPr>
          <w:cantSplit/>
          <w:trHeight w:val="283"/>
        </w:trPr>
        <w:tc>
          <w:tcPr>
            <w:tcW w:w="9021" w:type="dxa"/>
            <w:gridSpan w:val="11"/>
            <w:tcBorders>
              <w:left w:val="nil"/>
              <w:right w:val="nil"/>
            </w:tcBorders>
            <w:vAlign w:val="center"/>
          </w:tcPr>
          <w:p w14:paraId="54B484E7" w14:textId="77777777"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Extraction Method: Principal Component Analysis.</w:t>
            </w:r>
          </w:p>
        </w:tc>
      </w:tr>
    </w:tbl>
    <w:p w14:paraId="4D1062D1" w14:textId="39FBAD0E" w:rsidR="006E3616" w:rsidRPr="00400193" w:rsidRDefault="006E3616" w:rsidP="006E3616">
      <w:pPr>
        <w:pStyle w:val="Caption"/>
        <w:spacing w:after="240"/>
        <w:rPr>
          <w:lang w:eastAsia="zh-CN" w:bidi="hi-IN"/>
        </w:rPr>
      </w:pPr>
      <w:bookmarkStart w:id="524" w:name="_Ref43254308"/>
      <w:bookmarkStart w:id="525" w:name="_Toc5290158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39</w:t>
      </w:r>
      <w:r w:rsidRPr="00400193">
        <w:fldChar w:fldCharType="end"/>
      </w:r>
      <w:bookmarkEnd w:id="524"/>
      <w:r w:rsidRPr="00400193">
        <w:t>: Total variance explained by the components of VW</w:t>
      </w:r>
      <w:bookmarkEnd w:id="525"/>
      <w:r w:rsidRPr="00400193">
        <w:t xml:space="preserve"> </w:t>
      </w:r>
    </w:p>
    <w:p w14:paraId="08ABCADD" w14:textId="6EF01BEB" w:rsidR="006E3616" w:rsidRPr="00400193" w:rsidRDefault="006E3616" w:rsidP="006E3616">
      <w:pPr>
        <w:rPr>
          <w:lang w:eastAsia="zh-CN" w:bidi="hi-IN"/>
        </w:rPr>
      </w:pPr>
      <w:r w:rsidRPr="00400193">
        <w:rPr>
          <w:lang w:eastAsia="zh-CN" w:bidi="hi-IN"/>
        </w:rPr>
        <w:lastRenderedPageBreak/>
        <w:t xml:space="preserve">The KMO value of 0.785 was within the range for factor analysis (0.5–1.0). Bartlett’s test of sphericity gave a Chi-square value of 508.4 with 78 degrees of </w:t>
      </w:r>
      <w:r w:rsidR="000A223A" w:rsidRPr="00400193">
        <w:rPr>
          <w:lang w:eastAsia="zh-CN" w:bidi="hi-IN"/>
        </w:rPr>
        <w:t>freedom and</w:t>
      </w:r>
      <w:r w:rsidRPr="00400193">
        <w:rPr>
          <w:lang w:eastAsia="zh-CN" w:bidi="hi-IN"/>
        </w:rPr>
        <w:t xml:space="preserve"> was significant at ≤0.001 (</w:t>
      </w:r>
      <w:r w:rsidRPr="00400193">
        <w:rPr>
          <w:lang w:eastAsia="zh-CN" w:bidi="hi-IN"/>
        </w:rPr>
        <w:fldChar w:fldCharType="begin"/>
      </w:r>
      <w:r w:rsidRPr="00400193">
        <w:rPr>
          <w:lang w:eastAsia="zh-CN" w:bidi="hi-IN"/>
        </w:rPr>
        <w:instrText xml:space="preserve"> REF _Ref43254411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40</w:t>
      </w:r>
      <w:r w:rsidRPr="00400193">
        <w:rPr>
          <w:lang w:eastAsia="zh-CN" w:bidi="hi-IN"/>
        </w:rPr>
        <w:fldChar w:fldCharType="end"/>
      </w:r>
      <w:r w:rsidRPr="00400193">
        <w:rPr>
          <w:lang w:eastAsia="zh-CN" w:bidi="hi-IN"/>
        </w:rPr>
        <w:t>). The data were therefore suitable for factor analysis.</w:t>
      </w:r>
    </w:p>
    <w:p w14:paraId="41923915" w14:textId="7EC947A8"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_Ref43254497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41</w:t>
      </w:r>
      <w:r w:rsidRPr="00400193">
        <w:rPr>
          <w:lang w:eastAsia="zh-CN" w:bidi="hi-IN"/>
        </w:rPr>
        <w:fldChar w:fldCharType="end"/>
      </w:r>
      <w:r w:rsidRPr="00400193">
        <w:rPr>
          <w:lang w:eastAsia="zh-CN" w:bidi="hi-IN"/>
        </w:rPr>
        <w:t xml:space="preserve"> shows the factor loads. VW6 (Anti-virus and anti-malware tools are used to detect attacks) was the only variable forming Factor 4 with a load of 0.956. All items had a load greater than 0.5.</w:t>
      </w:r>
    </w:p>
    <w:tbl>
      <w:tblPr>
        <w:tblStyle w:val="TableGrid"/>
        <w:tblW w:w="0" w:type="auto"/>
        <w:tblInd w:w="5" w:type="dxa"/>
        <w:tblLook w:val="04A0" w:firstRow="1" w:lastRow="0" w:firstColumn="1" w:lastColumn="0" w:noHBand="0" w:noVBand="1"/>
      </w:tblPr>
      <w:tblGrid>
        <w:gridCol w:w="4673"/>
        <w:gridCol w:w="2693"/>
        <w:gridCol w:w="1650"/>
      </w:tblGrid>
      <w:tr w:rsidR="00A0618E" w:rsidRPr="00400193" w14:paraId="0E5BD4CF" w14:textId="77777777" w:rsidTr="00C44D9E">
        <w:trPr>
          <w:trHeight w:val="283"/>
        </w:trPr>
        <w:tc>
          <w:tcPr>
            <w:tcW w:w="7366" w:type="dxa"/>
            <w:gridSpan w:val="2"/>
            <w:tcBorders>
              <w:top w:val="single" w:sz="4" w:space="0" w:color="auto"/>
              <w:left w:val="nil"/>
              <w:bottom w:val="single" w:sz="4" w:space="0" w:color="auto"/>
              <w:right w:val="nil"/>
            </w:tcBorders>
            <w:shd w:val="clear" w:color="auto" w:fill="auto"/>
          </w:tcPr>
          <w:p w14:paraId="21A4A855"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650" w:type="dxa"/>
            <w:tcBorders>
              <w:top w:val="single" w:sz="4" w:space="0" w:color="auto"/>
              <w:left w:val="nil"/>
              <w:bottom w:val="single" w:sz="4" w:space="0" w:color="auto"/>
              <w:right w:val="nil"/>
            </w:tcBorders>
            <w:shd w:val="clear" w:color="auto" w:fill="auto"/>
            <w:vAlign w:val="center"/>
          </w:tcPr>
          <w:p w14:paraId="44DA863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0.785</w:t>
            </w:r>
          </w:p>
        </w:tc>
      </w:tr>
      <w:tr w:rsidR="00A0618E" w:rsidRPr="00400193" w14:paraId="46C36ED0" w14:textId="77777777" w:rsidTr="00C44D9E">
        <w:trPr>
          <w:trHeight w:val="283"/>
        </w:trPr>
        <w:tc>
          <w:tcPr>
            <w:tcW w:w="4673" w:type="dxa"/>
            <w:vMerge w:val="restart"/>
            <w:tcBorders>
              <w:left w:val="nil"/>
              <w:right w:val="nil"/>
            </w:tcBorders>
            <w:vAlign w:val="center"/>
          </w:tcPr>
          <w:p w14:paraId="73FFC11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3" w:type="dxa"/>
            <w:tcBorders>
              <w:top w:val="single" w:sz="4" w:space="0" w:color="auto"/>
              <w:left w:val="nil"/>
              <w:bottom w:val="single" w:sz="8" w:space="0" w:color="AEAEAE"/>
              <w:right w:val="nil"/>
            </w:tcBorders>
            <w:shd w:val="clear" w:color="auto" w:fill="auto"/>
            <w:vAlign w:val="center"/>
          </w:tcPr>
          <w:p w14:paraId="359FA2E4"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650" w:type="dxa"/>
            <w:tcBorders>
              <w:top w:val="single" w:sz="4" w:space="0" w:color="auto"/>
              <w:left w:val="nil"/>
              <w:bottom w:val="single" w:sz="8" w:space="0" w:color="AEAEAE"/>
              <w:right w:val="nil"/>
            </w:tcBorders>
            <w:shd w:val="clear" w:color="auto" w:fill="auto"/>
            <w:vAlign w:val="center"/>
          </w:tcPr>
          <w:p w14:paraId="4838D15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508.4</w:t>
            </w:r>
          </w:p>
        </w:tc>
      </w:tr>
      <w:tr w:rsidR="00A0618E" w:rsidRPr="00400193" w14:paraId="69A7280A" w14:textId="77777777" w:rsidTr="00C44D9E">
        <w:trPr>
          <w:trHeight w:val="283"/>
        </w:trPr>
        <w:tc>
          <w:tcPr>
            <w:tcW w:w="4673" w:type="dxa"/>
            <w:vMerge/>
            <w:tcBorders>
              <w:left w:val="nil"/>
              <w:right w:val="nil"/>
            </w:tcBorders>
            <w:vAlign w:val="center"/>
          </w:tcPr>
          <w:p w14:paraId="527EFF9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3" w:type="dxa"/>
            <w:tcBorders>
              <w:top w:val="single" w:sz="8" w:space="0" w:color="AEAEAE"/>
              <w:left w:val="nil"/>
              <w:bottom w:val="single" w:sz="8" w:space="0" w:color="AEAEAE"/>
              <w:right w:val="nil"/>
            </w:tcBorders>
            <w:shd w:val="clear" w:color="auto" w:fill="auto"/>
            <w:vAlign w:val="center"/>
          </w:tcPr>
          <w:p w14:paraId="6D2068D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650" w:type="dxa"/>
            <w:tcBorders>
              <w:top w:val="single" w:sz="8" w:space="0" w:color="AEAEAE"/>
              <w:left w:val="nil"/>
              <w:bottom w:val="single" w:sz="8" w:space="0" w:color="AEAEAE"/>
              <w:right w:val="nil"/>
            </w:tcBorders>
            <w:shd w:val="clear" w:color="auto" w:fill="auto"/>
            <w:vAlign w:val="center"/>
          </w:tcPr>
          <w:p w14:paraId="0F6325A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w:t>
            </w:r>
          </w:p>
        </w:tc>
      </w:tr>
      <w:tr w:rsidR="00A0618E" w:rsidRPr="00400193" w14:paraId="727E40EA" w14:textId="77777777" w:rsidTr="00C44D9E">
        <w:trPr>
          <w:trHeight w:val="283"/>
        </w:trPr>
        <w:tc>
          <w:tcPr>
            <w:tcW w:w="4673" w:type="dxa"/>
            <w:vMerge/>
            <w:tcBorders>
              <w:left w:val="nil"/>
              <w:right w:val="nil"/>
            </w:tcBorders>
            <w:vAlign w:val="center"/>
          </w:tcPr>
          <w:p w14:paraId="4CB7FB52"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3" w:type="dxa"/>
            <w:tcBorders>
              <w:top w:val="single" w:sz="8" w:space="0" w:color="AEAEAE"/>
              <w:left w:val="nil"/>
              <w:bottom w:val="single" w:sz="4" w:space="0" w:color="auto"/>
              <w:right w:val="nil"/>
            </w:tcBorders>
            <w:shd w:val="clear" w:color="auto" w:fill="auto"/>
            <w:vAlign w:val="center"/>
          </w:tcPr>
          <w:p w14:paraId="49316403"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650" w:type="dxa"/>
            <w:tcBorders>
              <w:top w:val="single" w:sz="8" w:space="0" w:color="AEAEAE"/>
              <w:left w:val="nil"/>
              <w:bottom w:val="single" w:sz="4" w:space="0" w:color="auto"/>
              <w:right w:val="nil"/>
            </w:tcBorders>
            <w:shd w:val="clear" w:color="auto" w:fill="auto"/>
            <w:vAlign w:val="center"/>
          </w:tcPr>
          <w:p w14:paraId="06D69E29"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08D4FC9" w14:textId="38D56D65" w:rsidR="006E3616" w:rsidRPr="00400193" w:rsidRDefault="006E3616" w:rsidP="006E3616">
      <w:pPr>
        <w:pStyle w:val="Caption"/>
        <w:spacing w:after="240"/>
        <w:rPr>
          <w:lang w:eastAsia="zh-CN" w:bidi="hi-IN"/>
        </w:rPr>
      </w:pPr>
      <w:bookmarkStart w:id="526" w:name="_Ref43254411"/>
      <w:bookmarkStart w:id="527" w:name="_Toc5290158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40</w:t>
      </w:r>
      <w:r w:rsidRPr="00400193">
        <w:fldChar w:fldCharType="end"/>
      </w:r>
      <w:bookmarkEnd w:id="526"/>
      <w:r w:rsidRPr="00400193">
        <w:t>: Kaiser-Meyer-Olkin test and Bartlett's test of sphericity for VW</w:t>
      </w:r>
      <w:bookmarkEnd w:id="527"/>
      <w:r w:rsidRPr="00400193">
        <w:t xml:space="preserve"> </w:t>
      </w:r>
    </w:p>
    <w:p w14:paraId="783AB8BE" w14:textId="7F6FFDB5" w:rsidR="006E3616" w:rsidRPr="00400193" w:rsidRDefault="006E3616" w:rsidP="006E3616">
      <w:pPr>
        <w:rPr>
          <w:lang w:eastAsia="zh-CN" w:bidi="hi-IN"/>
        </w:rPr>
      </w:pPr>
      <w:r w:rsidRPr="00400193">
        <w:rPr>
          <w:lang w:eastAsia="zh-CN" w:bidi="hi-IN"/>
        </w:rPr>
        <w:t xml:space="preserve">There were four new latent clusters of Vulnerabilities and Weaknesses (VW). The determinants in each cluster are shown in </w:t>
      </w:r>
      <w:r w:rsidRPr="00400193">
        <w:rPr>
          <w:lang w:eastAsia="zh-CN" w:bidi="hi-IN"/>
        </w:rPr>
        <w:fldChar w:fldCharType="begin"/>
      </w:r>
      <w:r w:rsidRPr="00400193">
        <w:rPr>
          <w:lang w:eastAsia="zh-CN" w:bidi="hi-IN"/>
        </w:rPr>
        <w:instrText xml:space="preserve"> REF _Ref43254497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41</w:t>
      </w:r>
      <w:r w:rsidRPr="00400193">
        <w:rPr>
          <w:lang w:eastAsia="zh-CN" w:bidi="hi-IN"/>
        </w:rPr>
        <w:fldChar w:fldCharType="end"/>
      </w:r>
      <w:r w:rsidRPr="00400193">
        <w:rPr>
          <w:lang w:eastAsia="zh-CN" w:bidi="hi-IN"/>
        </w:rPr>
        <w:t>. There were four variables assigned to the first cluster (VWN1), on ‘system usage’. The second cluster (VWN2), on social protection, had five variables. There were three variables allocated to the third cluster (VWN3), on ‘functioning weakness’ and only one allocated to the fourth cluster (VWN4), on ‘protective software’. Three of the four new latent clusters had a reliability &gt;0.7, which is good.</w:t>
      </w:r>
    </w:p>
    <w:tbl>
      <w:tblPr>
        <w:tblStyle w:val="TableGrid"/>
        <w:tblW w:w="0" w:type="auto"/>
        <w:tblLook w:val="04A0" w:firstRow="1" w:lastRow="0" w:firstColumn="1" w:lastColumn="0" w:noHBand="0" w:noVBand="1"/>
      </w:tblPr>
      <w:tblGrid>
        <w:gridCol w:w="829"/>
        <w:gridCol w:w="779"/>
        <w:gridCol w:w="778"/>
        <w:gridCol w:w="778"/>
        <w:gridCol w:w="778"/>
        <w:gridCol w:w="1452"/>
        <w:gridCol w:w="1315"/>
        <w:gridCol w:w="865"/>
        <w:gridCol w:w="1452"/>
      </w:tblGrid>
      <w:tr w:rsidR="00A0618E" w:rsidRPr="00400193" w14:paraId="346D33A8" w14:textId="77777777" w:rsidTr="00C44D9E">
        <w:trPr>
          <w:trHeight w:val="283"/>
        </w:trPr>
        <w:tc>
          <w:tcPr>
            <w:tcW w:w="829" w:type="dxa"/>
            <w:vMerge w:val="restart"/>
            <w:tcBorders>
              <w:left w:val="nil"/>
              <w:right w:val="nil"/>
            </w:tcBorders>
            <w:vAlign w:val="center"/>
          </w:tcPr>
          <w:p w14:paraId="7FCE526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Item</w:t>
            </w:r>
          </w:p>
        </w:tc>
        <w:tc>
          <w:tcPr>
            <w:tcW w:w="3113" w:type="dxa"/>
            <w:gridSpan w:val="4"/>
            <w:tcBorders>
              <w:left w:val="nil"/>
              <w:bottom w:val="nil"/>
              <w:right w:val="nil"/>
            </w:tcBorders>
            <w:vAlign w:val="center"/>
          </w:tcPr>
          <w:p w14:paraId="293CEDC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452" w:type="dxa"/>
            <w:vMerge w:val="restart"/>
            <w:tcBorders>
              <w:top w:val="single" w:sz="4" w:space="0" w:color="auto"/>
              <w:left w:val="nil"/>
              <w:right w:val="nil"/>
            </w:tcBorders>
            <w:shd w:val="clear" w:color="auto" w:fill="FFFFFF"/>
            <w:vAlign w:val="center"/>
          </w:tcPr>
          <w:p w14:paraId="2179A39C"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315" w:type="dxa"/>
            <w:vMerge w:val="restart"/>
            <w:tcBorders>
              <w:top w:val="single" w:sz="4" w:space="0" w:color="auto"/>
              <w:left w:val="nil"/>
              <w:right w:val="nil"/>
            </w:tcBorders>
            <w:shd w:val="clear" w:color="auto" w:fill="FFFFFF"/>
            <w:vAlign w:val="center"/>
          </w:tcPr>
          <w:p w14:paraId="52866EBD"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865" w:type="dxa"/>
            <w:vMerge w:val="restart"/>
            <w:tcBorders>
              <w:top w:val="single" w:sz="4" w:space="0" w:color="auto"/>
              <w:left w:val="nil"/>
              <w:right w:val="nil"/>
            </w:tcBorders>
            <w:shd w:val="clear" w:color="auto" w:fill="FFFFFF"/>
            <w:vAlign w:val="center"/>
          </w:tcPr>
          <w:p w14:paraId="0A53250D"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452" w:type="dxa"/>
            <w:vMerge w:val="restart"/>
            <w:tcBorders>
              <w:top w:val="single" w:sz="4" w:space="0" w:color="auto"/>
              <w:left w:val="nil"/>
              <w:right w:val="nil"/>
            </w:tcBorders>
            <w:shd w:val="clear" w:color="auto" w:fill="FFFFFF"/>
            <w:vAlign w:val="center"/>
          </w:tcPr>
          <w:p w14:paraId="32C115C7"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34EEAC6F" w14:textId="77777777" w:rsidTr="00C44D9E">
        <w:trPr>
          <w:trHeight w:val="283"/>
        </w:trPr>
        <w:tc>
          <w:tcPr>
            <w:tcW w:w="829" w:type="dxa"/>
            <w:vMerge/>
            <w:tcBorders>
              <w:left w:val="nil"/>
              <w:bottom w:val="single" w:sz="4" w:space="0" w:color="auto"/>
              <w:right w:val="nil"/>
            </w:tcBorders>
            <w:vAlign w:val="center"/>
          </w:tcPr>
          <w:p w14:paraId="5C638EFE"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779" w:type="dxa"/>
            <w:tcBorders>
              <w:top w:val="nil"/>
              <w:left w:val="nil"/>
              <w:bottom w:val="single" w:sz="4" w:space="0" w:color="auto"/>
              <w:right w:val="nil"/>
            </w:tcBorders>
            <w:shd w:val="clear" w:color="auto" w:fill="FFFFFF"/>
            <w:vAlign w:val="center"/>
          </w:tcPr>
          <w:p w14:paraId="727193B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778" w:type="dxa"/>
            <w:tcBorders>
              <w:top w:val="nil"/>
              <w:left w:val="nil"/>
              <w:bottom w:val="single" w:sz="4" w:space="0" w:color="auto"/>
              <w:right w:val="nil"/>
            </w:tcBorders>
            <w:shd w:val="clear" w:color="auto" w:fill="FFFFFF"/>
            <w:vAlign w:val="center"/>
          </w:tcPr>
          <w:p w14:paraId="0A3DC85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2</w:t>
            </w:r>
          </w:p>
        </w:tc>
        <w:tc>
          <w:tcPr>
            <w:tcW w:w="778" w:type="dxa"/>
            <w:tcBorders>
              <w:top w:val="nil"/>
              <w:left w:val="nil"/>
              <w:bottom w:val="single" w:sz="4" w:space="0" w:color="auto"/>
              <w:right w:val="nil"/>
            </w:tcBorders>
            <w:shd w:val="clear" w:color="auto" w:fill="FFFFFF"/>
            <w:vAlign w:val="center"/>
          </w:tcPr>
          <w:p w14:paraId="7F3AEBF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3</w:t>
            </w:r>
          </w:p>
        </w:tc>
        <w:tc>
          <w:tcPr>
            <w:tcW w:w="778" w:type="dxa"/>
            <w:tcBorders>
              <w:top w:val="nil"/>
              <w:left w:val="nil"/>
              <w:bottom w:val="single" w:sz="4" w:space="0" w:color="auto"/>
              <w:right w:val="nil"/>
            </w:tcBorders>
            <w:shd w:val="clear" w:color="auto" w:fill="FFFFFF"/>
            <w:vAlign w:val="center"/>
          </w:tcPr>
          <w:p w14:paraId="127C794B"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4</w:t>
            </w:r>
          </w:p>
        </w:tc>
        <w:tc>
          <w:tcPr>
            <w:tcW w:w="1452" w:type="dxa"/>
            <w:vMerge/>
            <w:tcBorders>
              <w:left w:val="nil"/>
              <w:bottom w:val="single" w:sz="4" w:space="0" w:color="auto"/>
              <w:right w:val="nil"/>
            </w:tcBorders>
            <w:vAlign w:val="center"/>
          </w:tcPr>
          <w:p w14:paraId="4C45FC33"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315" w:type="dxa"/>
            <w:vMerge/>
            <w:tcBorders>
              <w:left w:val="nil"/>
              <w:bottom w:val="single" w:sz="4" w:space="0" w:color="auto"/>
              <w:right w:val="nil"/>
            </w:tcBorders>
            <w:vAlign w:val="center"/>
          </w:tcPr>
          <w:p w14:paraId="33E91515"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865" w:type="dxa"/>
            <w:vMerge/>
            <w:tcBorders>
              <w:left w:val="nil"/>
              <w:bottom w:val="single" w:sz="4" w:space="0" w:color="auto"/>
              <w:right w:val="nil"/>
            </w:tcBorders>
            <w:vAlign w:val="center"/>
          </w:tcPr>
          <w:p w14:paraId="0FDA9754"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452" w:type="dxa"/>
            <w:vMerge/>
            <w:tcBorders>
              <w:left w:val="nil"/>
              <w:bottom w:val="single" w:sz="4" w:space="0" w:color="auto"/>
              <w:right w:val="nil"/>
            </w:tcBorders>
            <w:vAlign w:val="center"/>
          </w:tcPr>
          <w:p w14:paraId="4FEC3D0B"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r>
      <w:tr w:rsidR="00A0618E" w:rsidRPr="00400193" w14:paraId="2F7A5CE8" w14:textId="77777777" w:rsidTr="00C44D9E">
        <w:trPr>
          <w:trHeight w:val="283"/>
        </w:trPr>
        <w:tc>
          <w:tcPr>
            <w:tcW w:w="829" w:type="dxa"/>
            <w:tcBorders>
              <w:left w:val="nil"/>
              <w:bottom w:val="nil"/>
              <w:right w:val="nil"/>
            </w:tcBorders>
            <w:shd w:val="clear" w:color="auto" w:fill="auto"/>
            <w:vAlign w:val="center"/>
          </w:tcPr>
          <w:p w14:paraId="4359E53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VW1</w:t>
            </w:r>
          </w:p>
        </w:tc>
        <w:tc>
          <w:tcPr>
            <w:tcW w:w="779" w:type="dxa"/>
            <w:tcBorders>
              <w:top w:val="single" w:sz="4" w:space="0" w:color="auto"/>
              <w:left w:val="nil"/>
              <w:bottom w:val="nil"/>
              <w:right w:val="nil"/>
            </w:tcBorders>
            <w:shd w:val="clear" w:color="auto" w:fill="FFFFFF"/>
            <w:vAlign w:val="center"/>
          </w:tcPr>
          <w:p w14:paraId="6ABAF5A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0.884</w:t>
            </w:r>
          </w:p>
        </w:tc>
        <w:tc>
          <w:tcPr>
            <w:tcW w:w="778" w:type="dxa"/>
            <w:tcBorders>
              <w:left w:val="nil"/>
              <w:bottom w:val="nil"/>
              <w:right w:val="nil"/>
            </w:tcBorders>
            <w:vAlign w:val="center"/>
          </w:tcPr>
          <w:p w14:paraId="216EC18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left w:val="nil"/>
              <w:bottom w:val="nil"/>
              <w:right w:val="nil"/>
            </w:tcBorders>
            <w:vAlign w:val="center"/>
          </w:tcPr>
          <w:p w14:paraId="3102A11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left w:val="nil"/>
              <w:bottom w:val="nil"/>
              <w:right w:val="nil"/>
            </w:tcBorders>
            <w:vAlign w:val="center"/>
          </w:tcPr>
          <w:p w14:paraId="4CEBF6A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val="restart"/>
            <w:tcBorders>
              <w:top w:val="single" w:sz="4" w:space="0" w:color="auto"/>
              <w:left w:val="nil"/>
              <w:bottom w:val="nil"/>
              <w:right w:val="nil"/>
            </w:tcBorders>
            <w:shd w:val="clear" w:color="auto" w:fill="FFFFFF"/>
            <w:vAlign w:val="center"/>
          </w:tcPr>
          <w:p w14:paraId="13616C9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0.877</w:t>
            </w:r>
          </w:p>
        </w:tc>
        <w:tc>
          <w:tcPr>
            <w:tcW w:w="1315" w:type="dxa"/>
            <w:vMerge w:val="restart"/>
            <w:tcBorders>
              <w:top w:val="single" w:sz="4" w:space="0" w:color="auto"/>
              <w:left w:val="nil"/>
              <w:bottom w:val="nil"/>
              <w:right w:val="nil"/>
            </w:tcBorders>
            <w:shd w:val="clear" w:color="auto" w:fill="FFFFFF"/>
            <w:vAlign w:val="center"/>
          </w:tcPr>
          <w:p w14:paraId="1B8E7D4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865" w:type="dxa"/>
            <w:vMerge w:val="restart"/>
            <w:tcBorders>
              <w:top w:val="single" w:sz="4" w:space="0" w:color="auto"/>
              <w:left w:val="nil"/>
              <w:bottom w:val="nil"/>
              <w:right w:val="nil"/>
            </w:tcBorders>
            <w:shd w:val="clear" w:color="auto" w:fill="FFFFFF"/>
            <w:vAlign w:val="center"/>
          </w:tcPr>
          <w:p w14:paraId="4468994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VWN1</w:t>
            </w:r>
          </w:p>
        </w:tc>
        <w:tc>
          <w:tcPr>
            <w:tcW w:w="1452" w:type="dxa"/>
            <w:vMerge w:val="restart"/>
            <w:tcBorders>
              <w:top w:val="single" w:sz="4" w:space="0" w:color="auto"/>
              <w:left w:val="nil"/>
              <w:bottom w:val="nil"/>
              <w:right w:val="nil"/>
            </w:tcBorders>
            <w:shd w:val="clear" w:color="auto" w:fill="FFFFFF"/>
            <w:vAlign w:val="center"/>
          </w:tcPr>
          <w:p w14:paraId="7BCE2BF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System usage</w:t>
            </w:r>
          </w:p>
        </w:tc>
      </w:tr>
      <w:tr w:rsidR="00A0618E" w:rsidRPr="00400193" w14:paraId="15C8B996" w14:textId="77777777" w:rsidTr="00C44D9E">
        <w:trPr>
          <w:trHeight w:val="283"/>
        </w:trPr>
        <w:tc>
          <w:tcPr>
            <w:tcW w:w="829" w:type="dxa"/>
            <w:tcBorders>
              <w:top w:val="nil"/>
              <w:left w:val="nil"/>
              <w:bottom w:val="nil"/>
              <w:right w:val="nil"/>
            </w:tcBorders>
            <w:shd w:val="clear" w:color="auto" w:fill="auto"/>
            <w:vAlign w:val="center"/>
          </w:tcPr>
          <w:p w14:paraId="044AFB9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VW2</w:t>
            </w:r>
          </w:p>
        </w:tc>
        <w:tc>
          <w:tcPr>
            <w:tcW w:w="779" w:type="dxa"/>
            <w:tcBorders>
              <w:top w:val="nil"/>
              <w:left w:val="nil"/>
              <w:bottom w:val="nil"/>
              <w:right w:val="nil"/>
            </w:tcBorders>
            <w:shd w:val="clear" w:color="auto" w:fill="FFFFFF"/>
            <w:vAlign w:val="center"/>
          </w:tcPr>
          <w:p w14:paraId="4BA2720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0.836</w:t>
            </w:r>
          </w:p>
        </w:tc>
        <w:tc>
          <w:tcPr>
            <w:tcW w:w="778" w:type="dxa"/>
            <w:tcBorders>
              <w:top w:val="nil"/>
              <w:left w:val="nil"/>
              <w:bottom w:val="nil"/>
              <w:right w:val="nil"/>
            </w:tcBorders>
            <w:vAlign w:val="center"/>
          </w:tcPr>
          <w:p w14:paraId="31FD236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5744DED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0826D56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54D663D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3FC1974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00D687D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4127252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AB491C0" w14:textId="77777777" w:rsidTr="00C44D9E">
        <w:trPr>
          <w:trHeight w:val="283"/>
        </w:trPr>
        <w:tc>
          <w:tcPr>
            <w:tcW w:w="829" w:type="dxa"/>
            <w:tcBorders>
              <w:top w:val="nil"/>
              <w:left w:val="nil"/>
              <w:bottom w:val="nil"/>
              <w:right w:val="nil"/>
            </w:tcBorders>
            <w:shd w:val="clear" w:color="auto" w:fill="auto"/>
            <w:vAlign w:val="center"/>
          </w:tcPr>
          <w:p w14:paraId="508476D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VW3</w:t>
            </w:r>
          </w:p>
        </w:tc>
        <w:tc>
          <w:tcPr>
            <w:tcW w:w="779" w:type="dxa"/>
            <w:tcBorders>
              <w:top w:val="nil"/>
              <w:left w:val="nil"/>
              <w:bottom w:val="nil"/>
              <w:right w:val="nil"/>
            </w:tcBorders>
            <w:shd w:val="clear" w:color="auto" w:fill="FFFFFF"/>
            <w:vAlign w:val="center"/>
          </w:tcPr>
          <w:p w14:paraId="04CF538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0.827</w:t>
            </w:r>
          </w:p>
        </w:tc>
        <w:tc>
          <w:tcPr>
            <w:tcW w:w="778" w:type="dxa"/>
            <w:tcBorders>
              <w:top w:val="nil"/>
              <w:left w:val="nil"/>
              <w:bottom w:val="nil"/>
              <w:right w:val="nil"/>
            </w:tcBorders>
            <w:vAlign w:val="center"/>
          </w:tcPr>
          <w:p w14:paraId="20C2F69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727BF02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17B9D3F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4F04F6C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0C7D1B6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3690D45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6D3022D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7939017" w14:textId="77777777" w:rsidTr="00C44D9E">
        <w:trPr>
          <w:trHeight w:val="283"/>
        </w:trPr>
        <w:tc>
          <w:tcPr>
            <w:tcW w:w="829" w:type="dxa"/>
            <w:tcBorders>
              <w:top w:val="nil"/>
              <w:left w:val="nil"/>
              <w:bottom w:val="nil"/>
              <w:right w:val="nil"/>
            </w:tcBorders>
            <w:shd w:val="clear" w:color="auto" w:fill="auto"/>
            <w:vAlign w:val="center"/>
          </w:tcPr>
          <w:p w14:paraId="2C486D4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VW4</w:t>
            </w:r>
          </w:p>
        </w:tc>
        <w:tc>
          <w:tcPr>
            <w:tcW w:w="779" w:type="dxa"/>
            <w:tcBorders>
              <w:top w:val="nil"/>
              <w:left w:val="nil"/>
              <w:bottom w:val="nil"/>
              <w:right w:val="nil"/>
            </w:tcBorders>
            <w:shd w:val="clear" w:color="auto" w:fill="FFFFFF"/>
            <w:vAlign w:val="center"/>
          </w:tcPr>
          <w:p w14:paraId="7194562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0.712</w:t>
            </w:r>
          </w:p>
        </w:tc>
        <w:tc>
          <w:tcPr>
            <w:tcW w:w="778" w:type="dxa"/>
            <w:tcBorders>
              <w:top w:val="nil"/>
              <w:left w:val="nil"/>
              <w:bottom w:val="nil"/>
              <w:right w:val="nil"/>
            </w:tcBorders>
            <w:vAlign w:val="center"/>
          </w:tcPr>
          <w:p w14:paraId="62B982C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01DA4B0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2E7D43B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169C1DE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7E33DD8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26C6E0E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36AFF69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54C3AE4" w14:textId="77777777" w:rsidTr="00C44D9E">
        <w:trPr>
          <w:trHeight w:val="283"/>
        </w:trPr>
        <w:tc>
          <w:tcPr>
            <w:tcW w:w="829" w:type="dxa"/>
            <w:tcBorders>
              <w:top w:val="nil"/>
              <w:left w:val="nil"/>
              <w:bottom w:val="nil"/>
              <w:right w:val="nil"/>
            </w:tcBorders>
            <w:shd w:val="clear" w:color="auto" w:fill="auto"/>
            <w:vAlign w:val="center"/>
          </w:tcPr>
          <w:p w14:paraId="130B93A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VW9</w:t>
            </w:r>
          </w:p>
        </w:tc>
        <w:tc>
          <w:tcPr>
            <w:tcW w:w="779" w:type="dxa"/>
            <w:tcBorders>
              <w:top w:val="nil"/>
              <w:left w:val="nil"/>
              <w:bottom w:val="nil"/>
              <w:right w:val="nil"/>
            </w:tcBorders>
            <w:shd w:val="clear" w:color="auto" w:fill="FFFFFF"/>
            <w:vAlign w:val="center"/>
          </w:tcPr>
          <w:p w14:paraId="3E2C4A9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4435F29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0.743</w:t>
            </w:r>
          </w:p>
        </w:tc>
        <w:tc>
          <w:tcPr>
            <w:tcW w:w="778" w:type="dxa"/>
            <w:tcBorders>
              <w:top w:val="nil"/>
              <w:left w:val="nil"/>
              <w:bottom w:val="nil"/>
              <w:right w:val="nil"/>
            </w:tcBorders>
            <w:vAlign w:val="center"/>
          </w:tcPr>
          <w:p w14:paraId="64A8A17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3447097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val="restart"/>
            <w:tcBorders>
              <w:top w:val="nil"/>
              <w:left w:val="nil"/>
              <w:bottom w:val="nil"/>
              <w:right w:val="nil"/>
            </w:tcBorders>
            <w:shd w:val="clear" w:color="auto" w:fill="FFFFFF"/>
            <w:vAlign w:val="center"/>
          </w:tcPr>
          <w:p w14:paraId="24427BF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0.711</w:t>
            </w:r>
          </w:p>
        </w:tc>
        <w:tc>
          <w:tcPr>
            <w:tcW w:w="1315" w:type="dxa"/>
            <w:vMerge w:val="restart"/>
            <w:tcBorders>
              <w:top w:val="nil"/>
              <w:left w:val="nil"/>
              <w:bottom w:val="nil"/>
              <w:right w:val="nil"/>
            </w:tcBorders>
            <w:shd w:val="clear" w:color="auto" w:fill="FFFFFF"/>
            <w:vAlign w:val="center"/>
          </w:tcPr>
          <w:p w14:paraId="259A578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w:t>
            </w:r>
          </w:p>
        </w:tc>
        <w:tc>
          <w:tcPr>
            <w:tcW w:w="865" w:type="dxa"/>
            <w:vMerge w:val="restart"/>
            <w:tcBorders>
              <w:top w:val="nil"/>
              <w:left w:val="nil"/>
              <w:bottom w:val="nil"/>
              <w:right w:val="nil"/>
            </w:tcBorders>
            <w:shd w:val="clear" w:color="auto" w:fill="FFFFFF"/>
            <w:vAlign w:val="center"/>
          </w:tcPr>
          <w:p w14:paraId="2D1C6A4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VWN2</w:t>
            </w:r>
          </w:p>
        </w:tc>
        <w:tc>
          <w:tcPr>
            <w:tcW w:w="1452" w:type="dxa"/>
            <w:vMerge w:val="restart"/>
            <w:tcBorders>
              <w:top w:val="nil"/>
              <w:left w:val="nil"/>
              <w:bottom w:val="nil"/>
              <w:right w:val="nil"/>
            </w:tcBorders>
            <w:shd w:val="clear" w:color="auto" w:fill="FFFFFF"/>
            <w:vAlign w:val="center"/>
          </w:tcPr>
          <w:p w14:paraId="3625DAE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Social protection</w:t>
            </w:r>
          </w:p>
        </w:tc>
      </w:tr>
      <w:tr w:rsidR="00A0618E" w:rsidRPr="00400193" w14:paraId="4F83864D" w14:textId="77777777" w:rsidTr="00C44D9E">
        <w:trPr>
          <w:trHeight w:val="283"/>
        </w:trPr>
        <w:tc>
          <w:tcPr>
            <w:tcW w:w="829" w:type="dxa"/>
            <w:tcBorders>
              <w:top w:val="nil"/>
              <w:left w:val="nil"/>
              <w:bottom w:val="nil"/>
              <w:right w:val="nil"/>
            </w:tcBorders>
            <w:shd w:val="clear" w:color="auto" w:fill="auto"/>
            <w:vAlign w:val="center"/>
          </w:tcPr>
          <w:p w14:paraId="387C2EA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VW13</w:t>
            </w:r>
          </w:p>
        </w:tc>
        <w:tc>
          <w:tcPr>
            <w:tcW w:w="779" w:type="dxa"/>
            <w:tcBorders>
              <w:top w:val="nil"/>
              <w:left w:val="nil"/>
              <w:bottom w:val="nil"/>
              <w:right w:val="nil"/>
            </w:tcBorders>
            <w:shd w:val="clear" w:color="auto" w:fill="FFFFFF"/>
            <w:vAlign w:val="center"/>
          </w:tcPr>
          <w:p w14:paraId="0F16466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6497F52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0.738</w:t>
            </w:r>
          </w:p>
        </w:tc>
        <w:tc>
          <w:tcPr>
            <w:tcW w:w="778" w:type="dxa"/>
            <w:tcBorders>
              <w:top w:val="nil"/>
              <w:left w:val="nil"/>
              <w:bottom w:val="nil"/>
              <w:right w:val="nil"/>
            </w:tcBorders>
            <w:vAlign w:val="center"/>
          </w:tcPr>
          <w:p w14:paraId="34A485D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26AED36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1BF0276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6723605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5334F5D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31C78D4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9D5B851" w14:textId="77777777" w:rsidTr="00C44D9E">
        <w:trPr>
          <w:trHeight w:val="283"/>
        </w:trPr>
        <w:tc>
          <w:tcPr>
            <w:tcW w:w="829" w:type="dxa"/>
            <w:tcBorders>
              <w:top w:val="nil"/>
              <w:left w:val="nil"/>
              <w:bottom w:val="nil"/>
              <w:right w:val="nil"/>
            </w:tcBorders>
            <w:shd w:val="clear" w:color="auto" w:fill="auto"/>
            <w:vAlign w:val="center"/>
          </w:tcPr>
          <w:p w14:paraId="03C429F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VW7</w:t>
            </w:r>
          </w:p>
        </w:tc>
        <w:tc>
          <w:tcPr>
            <w:tcW w:w="779" w:type="dxa"/>
            <w:tcBorders>
              <w:top w:val="nil"/>
              <w:left w:val="nil"/>
              <w:bottom w:val="nil"/>
              <w:right w:val="nil"/>
            </w:tcBorders>
            <w:shd w:val="clear" w:color="auto" w:fill="FFFFFF"/>
            <w:vAlign w:val="center"/>
          </w:tcPr>
          <w:p w14:paraId="1789C09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1AAE49F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0.596</w:t>
            </w:r>
          </w:p>
        </w:tc>
        <w:tc>
          <w:tcPr>
            <w:tcW w:w="778" w:type="dxa"/>
            <w:tcBorders>
              <w:top w:val="nil"/>
              <w:left w:val="nil"/>
              <w:bottom w:val="nil"/>
              <w:right w:val="nil"/>
            </w:tcBorders>
            <w:vAlign w:val="center"/>
          </w:tcPr>
          <w:p w14:paraId="2B58F5F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0EE06E5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52F55A7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299B774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4C3C54B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418A832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C10A998" w14:textId="77777777" w:rsidTr="00C44D9E">
        <w:trPr>
          <w:trHeight w:val="283"/>
        </w:trPr>
        <w:tc>
          <w:tcPr>
            <w:tcW w:w="829" w:type="dxa"/>
            <w:tcBorders>
              <w:top w:val="nil"/>
              <w:left w:val="nil"/>
              <w:bottom w:val="nil"/>
              <w:right w:val="nil"/>
            </w:tcBorders>
            <w:shd w:val="clear" w:color="auto" w:fill="auto"/>
            <w:vAlign w:val="center"/>
          </w:tcPr>
          <w:p w14:paraId="170CFD2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VW8</w:t>
            </w:r>
          </w:p>
        </w:tc>
        <w:tc>
          <w:tcPr>
            <w:tcW w:w="779" w:type="dxa"/>
            <w:tcBorders>
              <w:top w:val="nil"/>
              <w:left w:val="nil"/>
              <w:bottom w:val="nil"/>
              <w:right w:val="nil"/>
            </w:tcBorders>
            <w:shd w:val="clear" w:color="auto" w:fill="FFFFFF"/>
            <w:vAlign w:val="center"/>
          </w:tcPr>
          <w:p w14:paraId="68579EA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046E20F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0.579</w:t>
            </w:r>
          </w:p>
        </w:tc>
        <w:tc>
          <w:tcPr>
            <w:tcW w:w="778" w:type="dxa"/>
            <w:tcBorders>
              <w:top w:val="nil"/>
              <w:left w:val="nil"/>
              <w:bottom w:val="nil"/>
              <w:right w:val="nil"/>
            </w:tcBorders>
            <w:vAlign w:val="center"/>
          </w:tcPr>
          <w:p w14:paraId="0FF39BB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0FA8A7B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5437368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6534B0F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3175C33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0DCF7D9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7E21A0F" w14:textId="77777777" w:rsidTr="00C44D9E">
        <w:trPr>
          <w:trHeight w:val="283"/>
        </w:trPr>
        <w:tc>
          <w:tcPr>
            <w:tcW w:w="829" w:type="dxa"/>
            <w:tcBorders>
              <w:top w:val="nil"/>
              <w:left w:val="nil"/>
              <w:bottom w:val="nil"/>
              <w:right w:val="nil"/>
            </w:tcBorders>
            <w:shd w:val="clear" w:color="auto" w:fill="auto"/>
            <w:vAlign w:val="center"/>
          </w:tcPr>
          <w:p w14:paraId="5647137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VW5</w:t>
            </w:r>
          </w:p>
        </w:tc>
        <w:tc>
          <w:tcPr>
            <w:tcW w:w="779" w:type="dxa"/>
            <w:tcBorders>
              <w:top w:val="nil"/>
              <w:left w:val="nil"/>
              <w:bottom w:val="nil"/>
              <w:right w:val="nil"/>
            </w:tcBorders>
            <w:shd w:val="clear" w:color="auto" w:fill="FFFFFF"/>
            <w:vAlign w:val="center"/>
          </w:tcPr>
          <w:p w14:paraId="7FC2C81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6E842BD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0.536</w:t>
            </w:r>
          </w:p>
        </w:tc>
        <w:tc>
          <w:tcPr>
            <w:tcW w:w="778" w:type="dxa"/>
            <w:tcBorders>
              <w:top w:val="nil"/>
              <w:left w:val="nil"/>
              <w:bottom w:val="nil"/>
              <w:right w:val="nil"/>
            </w:tcBorders>
            <w:vAlign w:val="center"/>
          </w:tcPr>
          <w:p w14:paraId="5F91FA1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vAlign w:val="center"/>
          </w:tcPr>
          <w:p w14:paraId="7E35413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5C13BF8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7CA7BB9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49D575D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1D1774A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F692BC1" w14:textId="77777777" w:rsidTr="00C44D9E">
        <w:trPr>
          <w:trHeight w:val="283"/>
        </w:trPr>
        <w:tc>
          <w:tcPr>
            <w:tcW w:w="829" w:type="dxa"/>
            <w:tcBorders>
              <w:top w:val="nil"/>
              <w:left w:val="nil"/>
              <w:bottom w:val="nil"/>
              <w:right w:val="nil"/>
            </w:tcBorders>
            <w:shd w:val="clear" w:color="auto" w:fill="auto"/>
            <w:vAlign w:val="center"/>
          </w:tcPr>
          <w:p w14:paraId="280E759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VW12</w:t>
            </w:r>
          </w:p>
        </w:tc>
        <w:tc>
          <w:tcPr>
            <w:tcW w:w="779" w:type="dxa"/>
            <w:tcBorders>
              <w:top w:val="nil"/>
              <w:left w:val="nil"/>
              <w:bottom w:val="nil"/>
              <w:right w:val="nil"/>
            </w:tcBorders>
            <w:shd w:val="clear" w:color="auto" w:fill="FFFFFF"/>
            <w:vAlign w:val="center"/>
          </w:tcPr>
          <w:p w14:paraId="4DC0CD0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788797A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04D2E93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0.815</w:t>
            </w:r>
          </w:p>
        </w:tc>
        <w:tc>
          <w:tcPr>
            <w:tcW w:w="778" w:type="dxa"/>
            <w:tcBorders>
              <w:top w:val="nil"/>
              <w:left w:val="nil"/>
              <w:bottom w:val="nil"/>
              <w:right w:val="nil"/>
            </w:tcBorders>
            <w:vAlign w:val="center"/>
          </w:tcPr>
          <w:p w14:paraId="2A4AD34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val="restart"/>
            <w:tcBorders>
              <w:top w:val="nil"/>
              <w:left w:val="nil"/>
              <w:bottom w:val="nil"/>
              <w:right w:val="nil"/>
            </w:tcBorders>
            <w:shd w:val="clear" w:color="auto" w:fill="FFFFFF"/>
            <w:vAlign w:val="center"/>
          </w:tcPr>
          <w:p w14:paraId="1397356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0.770</w:t>
            </w:r>
          </w:p>
        </w:tc>
        <w:tc>
          <w:tcPr>
            <w:tcW w:w="1315" w:type="dxa"/>
            <w:vMerge w:val="restart"/>
            <w:tcBorders>
              <w:top w:val="nil"/>
              <w:left w:val="nil"/>
              <w:bottom w:val="nil"/>
              <w:right w:val="nil"/>
            </w:tcBorders>
            <w:shd w:val="clear" w:color="auto" w:fill="FFFFFF"/>
            <w:vAlign w:val="center"/>
          </w:tcPr>
          <w:p w14:paraId="2AE7E97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865" w:type="dxa"/>
            <w:vMerge w:val="restart"/>
            <w:tcBorders>
              <w:top w:val="nil"/>
              <w:left w:val="nil"/>
              <w:bottom w:val="nil"/>
              <w:right w:val="nil"/>
            </w:tcBorders>
            <w:shd w:val="clear" w:color="auto" w:fill="FFFFFF"/>
            <w:vAlign w:val="center"/>
          </w:tcPr>
          <w:p w14:paraId="1DF42D2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VWN3</w:t>
            </w:r>
          </w:p>
        </w:tc>
        <w:tc>
          <w:tcPr>
            <w:tcW w:w="1452" w:type="dxa"/>
            <w:vMerge w:val="restart"/>
            <w:tcBorders>
              <w:top w:val="nil"/>
              <w:left w:val="nil"/>
              <w:bottom w:val="nil"/>
              <w:right w:val="nil"/>
            </w:tcBorders>
            <w:shd w:val="clear" w:color="auto" w:fill="FFFFFF"/>
            <w:vAlign w:val="center"/>
          </w:tcPr>
          <w:p w14:paraId="3B762B5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Functioning weakness</w:t>
            </w:r>
          </w:p>
        </w:tc>
      </w:tr>
      <w:tr w:rsidR="00A0618E" w:rsidRPr="00400193" w14:paraId="52064D99" w14:textId="77777777" w:rsidTr="00C44D9E">
        <w:trPr>
          <w:trHeight w:val="283"/>
        </w:trPr>
        <w:tc>
          <w:tcPr>
            <w:tcW w:w="829" w:type="dxa"/>
            <w:tcBorders>
              <w:top w:val="nil"/>
              <w:left w:val="nil"/>
              <w:bottom w:val="nil"/>
              <w:right w:val="nil"/>
            </w:tcBorders>
            <w:shd w:val="clear" w:color="auto" w:fill="auto"/>
            <w:vAlign w:val="center"/>
          </w:tcPr>
          <w:p w14:paraId="40C056B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VW11</w:t>
            </w:r>
          </w:p>
        </w:tc>
        <w:tc>
          <w:tcPr>
            <w:tcW w:w="779" w:type="dxa"/>
            <w:tcBorders>
              <w:top w:val="nil"/>
              <w:left w:val="nil"/>
              <w:bottom w:val="nil"/>
              <w:right w:val="nil"/>
            </w:tcBorders>
            <w:shd w:val="clear" w:color="auto" w:fill="FFFFFF"/>
            <w:vAlign w:val="center"/>
          </w:tcPr>
          <w:p w14:paraId="2DCB8EE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75355D3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1B464DD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0.807</w:t>
            </w:r>
          </w:p>
        </w:tc>
        <w:tc>
          <w:tcPr>
            <w:tcW w:w="778" w:type="dxa"/>
            <w:tcBorders>
              <w:top w:val="nil"/>
              <w:left w:val="nil"/>
              <w:bottom w:val="nil"/>
              <w:right w:val="nil"/>
            </w:tcBorders>
            <w:vAlign w:val="center"/>
          </w:tcPr>
          <w:p w14:paraId="73250DF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6F94B26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368D5AA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67DBCA4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75EAF6A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DDB08DB" w14:textId="77777777" w:rsidTr="00C44D9E">
        <w:trPr>
          <w:trHeight w:val="283"/>
        </w:trPr>
        <w:tc>
          <w:tcPr>
            <w:tcW w:w="829" w:type="dxa"/>
            <w:tcBorders>
              <w:top w:val="nil"/>
              <w:left w:val="nil"/>
              <w:bottom w:val="nil"/>
              <w:right w:val="nil"/>
            </w:tcBorders>
            <w:shd w:val="clear" w:color="auto" w:fill="auto"/>
            <w:vAlign w:val="center"/>
          </w:tcPr>
          <w:p w14:paraId="56DBBF1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VW10</w:t>
            </w:r>
          </w:p>
        </w:tc>
        <w:tc>
          <w:tcPr>
            <w:tcW w:w="779" w:type="dxa"/>
            <w:tcBorders>
              <w:top w:val="nil"/>
              <w:left w:val="nil"/>
              <w:bottom w:val="nil"/>
              <w:right w:val="nil"/>
            </w:tcBorders>
            <w:shd w:val="clear" w:color="auto" w:fill="FFFFFF"/>
            <w:vAlign w:val="center"/>
          </w:tcPr>
          <w:p w14:paraId="473E033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310EEBA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nil"/>
              <w:right w:val="nil"/>
            </w:tcBorders>
            <w:shd w:val="clear" w:color="auto" w:fill="FFFFFF"/>
            <w:vAlign w:val="center"/>
          </w:tcPr>
          <w:p w14:paraId="2472BA1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0.788</w:t>
            </w:r>
          </w:p>
        </w:tc>
        <w:tc>
          <w:tcPr>
            <w:tcW w:w="778" w:type="dxa"/>
            <w:tcBorders>
              <w:top w:val="nil"/>
              <w:left w:val="nil"/>
              <w:bottom w:val="nil"/>
              <w:right w:val="nil"/>
            </w:tcBorders>
            <w:vAlign w:val="center"/>
          </w:tcPr>
          <w:p w14:paraId="6058B63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4653B4A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15" w:type="dxa"/>
            <w:vMerge/>
            <w:tcBorders>
              <w:top w:val="nil"/>
              <w:left w:val="nil"/>
              <w:bottom w:val="nil"/>
              <w:right w:val="nil"/>
            </w:tcBorders>
            <w:vAlign w:val="center"/>
          </w:tcPr>
          <w:p w14:paraId="1447100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65" w:type="dxa"/>
            <w:vMerge/>
            <w:tcBorders>
              <w:top w:val="nil"/>
              <w:left w:val="nil"/>
              <w:bottom w:val="nil"/>
              <w:right w:val="nil"/>
            </w:tcBorders>
            <w:vAlign w:val="center"/>
          </w:tcPr>
          <w:p w14:paraId="053E21A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52" w:type="dxa"/>
            <w:vMerge/>
            <w:tcBorders>
              <w:top w:val="nil"/>
              <w:left w:val="nil"/>
              <w:bottom w:val="nil"/>
              <w:right w:val="nil"/>
            </w:tcBorders>
            <w:vAlign w:val="center"/>
          </w:tcPr>
          <w:p w14:paraId="3B9DBFF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BB7299B" w14:textId="77777777" w:rsidTr="00C44D9E">
        <w:trPr>
          <w:trHeight w:val="283"/>
        </w:trPr>
        <w:tc>
          <w:tcPr>
            <w:tcW w:w="829" w:type="dxa"/>
            <w:tcBorders>
              <w:top w:val="nil"/>
              <w:left w:val="nil"/>
              <w:bottom w:val="single" w:sz="4" w:space="0" w:color="auto"/>
              <w:right w:val="nil"/>
            </w:tcBorders>
            <w:shd w:val="clear" w:color="auto" w:fill="auto"/>
            <w:vAlign w:val="center"/>
          </w:tcPr>
          <w:p w14:paraId="46EF790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VW6</w:t>
            </w:r>
          </w:p>
        </w:tc>
        <w:tc>
          <w:tcPr>
            <w:tcW w:w="779" w:type="dxa"/>
            <w:tcBorders>
              <w:top w:val="nil"/>
              <w:left w:val="nil"/>
              <w:bottom w:val="single" w:sz="4" w:space="0" w:color="auto"/>
              <w:right w:val="nil"/>
            </w:tcBorders>
            <w:shd w:val="clear" w:color="auto" w:fill="FFFFFF"/>
            <w:vAlign w:val="center"/>
          </w:tcPr>
          <w:p w14:paraId="6C02AF3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single" w:sz="4" w:space="0" w:color="auto"/>
              <w:right w:val="nil"/>
            </w:tcBorders>
            <w:shd w:val="clear" w:color="auto" w:fill="FFFFFF"/>
            <w:vAlign w:val="center"/>
          </w:tcPr>
          <w:p w14:paraId="3E09FC7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single" w:sz="4" w:space="0" w:color="auto"/>
              <w:right w:val="nil"/>
            </w:tcBorders>
            <w:shd w:val="clear" w:color="auto" w:fill="FFFFFF"/>
            <w:vAlign w:val="center"/>
          </w:tcPr>
          <w:p w14:paraId="2026854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78" w:type="dxa"/>
            <w:tcBorders>
              <w:top w:val="nil"/>
              <w:left w:val="nil"/>
              <w:bottom w:val="single" w:sz="4" w:space="0" w:color="auto"/>
              <w:right w:val="nil"/>
            </w:tcBorders>
            <w:shd w:val="clear" w:color="auto" w:fill="FFFFFF"/>
            <w:vAlign w:val="center"/>
          </w:tcPr>
          <w:p w14:paraId="00D46CF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0.956</w:t>
            </w:r>
          </w:p>
        </w:tc>
        <w:tc>
          <w:tcPr>
            <w:tcW w:w="1452" w:type="dxa"/>
            <w:tcBorders>
              <w:top w:val="nil"/>
              <w:left w:val="nil"/>
              <w:bottom w:val="single" w:sz="4" w:space="0" w:color="auto"/>
              <w:right w:val="nil"/>
            </w:tcBorders>
            <w:shd w:val="clear" w:color="auto" w:fill="FFFFFF"/>
            <w:vAlign w:val="center"/>
          </w:tcPr>
          <w:p w14:paraId="7064BD4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NA</w:t>
            </w:r>
          </w:p>
        </w:tc>
        <w:tc>
          <w:tcPr>
            <w:tcW w:w="1315" w:type="dxa"/>
            <w:tcBorders>
              <w:top w:val="nil"/>
              <w:left w:val="nil"/>
              <w:bottom w:val="single" w:sz="4" w:space="0" w:color="auto"/>
              <w:right w:val="nil"/>
            </w:tcBorders>
            <w:shd w:val="clear" w:color="auto" w:fill="FFFFFF"/>
            <w:vAlign w:val="center"/>
          </w:tcPr>
          <w:p w14:paraId="63BD670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865" w:type="dxa"/>
            <w:tcBorders>
              <w:top w:val="nil"/>
              <w:left w:val="nil"/>
              <w:bottom w:val="single" w:sz="4" w:space="0" w:color="auto"/>
              <w:right w:val="nil"/>
            </w:tcBorders>
            <w:shd w:val="clear" w:color="auto" w:fill="FFFFFF"/>
            <w:vAlign w:val="center"/>
          </w:tcPr>
          <w:p w14:paraId="7426DCB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VWN4</w:t>
            </w:r>
          </w:p>
        </w:tc>
        <w:tc>
          <w:tcPr>
            <w:tcW w:w="1452" w:type="dxa"/>
            <w:tcBorders>
              <w:top w:val="nil"/>
              <w:left w:val="nil"/>
              <w:bottom w:val="single" w:sz="4" w:space="0" w:color="auto"/>
              <w:right w:val="nil"/>
            </w:tcBorders>
            <w:shd w:val="clear" w:color="auto" w:fill="FFFFFF"/>
            <w:vAlign w:val="center"/>
          </w:tcPr>
          <w:p w14:paraId="11EF7DB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Protective Software</w:t>
            </w:r>
          </w:p>
        </w:tc>
      </w:tr>
      <w:tr w:rsidR="00A0618E" w:rsidRPr="00400193" w14:paraId="70C4CBD1" w14:textId="77777777" w:rsidTr="00C44D9E">
        <w:trPr>
          <w:trHeight w:val="283"/>
        </w:trPr>
        <w:tc>
          <w:tcPr>
            <w:tcW w:w="9026" w:type="dxa"/>
            <w:gridSpan w:val="9"/>
            <w:tcBorders>
              <w:left w:val="nil"/>
              <w:right w:val="nil"/>
            </w:tcBorders>
            <w:shd w:val="clear" w:color="auto" w:fill="auto"/>
            <w:vAlign w:val="center"/>
          </w:tcPr>
          <w:p w14:paraId="61BBC595" w14:textId="27721DB8"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5 iterations</w:t>
            </w:r>
            <w:r w:rsidR="002B4B41" w:rsidRPr="00400193">
              <w:rPr>
                <w:rFonts w:asciiTheme="minorHAnsi" w:hAnsiTheme="minorHAnsi" w:cstheme="minorHAnsi"/>
                <w:sz w:val="20"/>
                <w:lang w:eastAsia="zh-CN" w:bidi="hi-IN"/>
              </w:rPr>
              <w:t>.</w:t>
            </w:r>
          </w:p>
          <w:p w14:paraId="2CC3DB67" w14:textId="7B97DFC9" w:rsidR="002B4B41" w:rsidRPr="00400193" w:rsidRDefault="002B4B41"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48CC031E" w14:textId="53AC3143" w:rsidR="006E3616" w:rsidRPr="00400193" w:rsidRDefault="006E3616" w:rsidP="006E3616">
      <w:pPr>
        <w:pStyle w:val="Caption"/>
        <w:spacing w:after="240"/>
        <w:rPr>
          <w:lang w:eastAsia="zh-CN" w:bidi="hi-IN"/>
        </w:rPr>
      </w:pPr>
      <w:bookmarkStart w:id="528" w:name="_Ref43254497"/>
      <w:bookmarkStart w:id="529" w:name="_Toc5290158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41</w:t>
      </w:r>
      <w:r w:rsidRPr="00400193">
        <w:fldChar w:fldCharType="end"/>
      </w:r>
      <w:bookmarkEnd w:id="528"/>
      <w:r w:rsidRPr="00400193">
        <w:t>: Cronbach’s alpha, number of questions and rotated component matrix for VW</w:t>
      </w:r>
      <w:bookmarkEnd w:id="529"/>
      <w:r w:rsidRPr="00400193">
        <w:rPr>
          <w:lang w:eastAsia="zh-CN" w:bidi="hi-IN"/>
        </w:rPr>
        <w:t xml:space="preserve"> </w:t>
      </w:r>
    </w:p>
    <w:bookmarkStart w:id="530" w:name="_Hlk23778733"/>
    <w:p w14:paraId="55A068D8" w14:textId="4E465C25" w:rsidR="006E3616" w:rsidRPr="00400193" w:rsidRDefault="006E3616" w:rsidP="006E3616">
      <w:pPr>
        <w:rPr>
          <w:lang w:eastAsia="zh-CN" w:bidi="hi-IN"/>
        </w:rPr>
      </w:pPr>
      <w:r w:rsidRPr="00400193">
        <w:rPr>
          <w:lang w:eastAsia="zh-CN" w:bidi="hi-IN"/>
        </w:rPr>
        <w:lastRenderedPageBreak/>
        <w:fldChar w:fldCharType="begin"/>
      </w:r>
      <w:r w:rsidRPr="00400193">
        <w:rPr>
          <w:lang w:eastAsia="zh-CN" w:bidi="hi-IN"/>
        </w:rPr>
        <w:instrText xml:space="preserve"> REF _Ref43254676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42</w:t>
      </w:r>
      <w:r w:rsidRPr="00400193">
        <w:rPr>
          <w:lang w:eastAsia="zh-CN" w:bidi="hi-IN"/>
        </w:rPr>
        <w:fldChar w:fldCharType="end"/>
      </w:r>
      <w:r w:rsidRPr="00400193">
        <w:rPr>
          <w:lang w:eastAsia="zh-CN" w:bidi="hi-IN"/>
        </w:rPr>
        <w:t xml:space="preserve"> shows CR and AVE for each factor and MSW and ASV values. CR varied from 0.777 to 0.914, all higher than 0.7, and AVE ranged from 0.415 to 0.914. All factors except Factor 2 (0.415) had AVE values higher than 0.5. MSV (0.570) was greater than AVE only for Factor 2 and ASV (0.326) &lt; AVE for all factors. Factor 2 therefore had both convergent and discriminant validity problems. However, AVE was only slightly lower than 0.5. </w:t>
      </w:r>
    </w:p>
    <w:bookmarkEnd w:id="530"/>
    <w:p w14:paraId="05E3033C" w14:textId="77777777" w:rsidR="006E3616" w:rsidRPr="00400193" w:rsidRDefault="006E3616" w:rsidP="006E3616">
      <w:pPr>
        <w:rPr>
          <w:lang w:eastAsia="zh-CN" w:bidi="hi-IN"/>
        </w:rPr>
      </w:pPr>
      <w:r w:rsidRPr="00400193">
        <w:rPr>
          <w:lang w:eastAsia="zh-CN" w:bidi="hi-IN"/>
        </w:rPr>
        <w:t>According to Sano et al. (2016), resilience is about recovering from unpreventable attacks. Both vulnerabilities and weaknesses must be assessed on a case-by-case basis because every company will have different weaknesses and vulnerabilities. Some of these may be mitigated through proper audited procedures and practices, and others reduced by technology, even though they will always be present.</w:t>
      </w:r>
    </w:p>
    <w:tbl>
      <w:tblPr>
        <w:tblStyle w:val="TableGrid"/>
        <w:tblW w:w="0" w:type="auto"/>
        <w:tblLook w:val="04A0" w:firstRow="1" w:lastRow="0" w:firstColumn="1" w:lastColumn="0" w:noHBand="0" w:noVBand="1"/>
      </w:tblPr>
      <w:tblGrid>
        <w:gridCol w:w="2819"/>
        <w:gridCol w:w="1549"/>
        <w:gridCol w:w="1549"/>
        <w:gridCol w:w="1549"/>
        <w:gridCol w:w="1550"/>
      </w:tblGrid>
      <w:tr w:rsidR="00A0618E" w:rsidRPr="00400193" w14:paraId="0C7285FD" w14:textId="77777777" w:rsidTr="00C44D9E">
        <w:trPr>
          <w:trHeight w:val="283"/>
        </w:trPr>
        <w:tc>
          <w:tcPr>
            <w:tcW w:w="2819" w:type="dxa"/>
            <w:tcBorders>
              <w:top w:val="single" w:sz="4" w:space="0" w:color="auto"/>
              <w:left w:val="nil"/>
              <w:bottom w:val="single" w:sz="4" w:space="0" w:color="auto"/>
              <w:right w:val="nil"/>
            </w:tcBorders>
            <w:vAlign w:val="center"/>
          </w:tcPr>
          <w:p w14:paraId="70FFC353"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1549" w:type="dxa"/>
            <w:tcBorders>
              <w:top w:val="single" w:sz="4" w:space="0" w:color="auto"/>
              <w:left w:val="nil"/>
              <w:bottom w:val="single" w:sz="4" w:space="0" w:color="auto"/>
              <w:right w:val="nil"/>
            </w:tcBorders>
            <w:vAlign w:val="center"/>
          </w:tcPr>
          <w:p w14:paraId="1EF53FA4"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1549" w:type="dxa"/>
            <w:tcBorders>
              <w:top w:val="single" w:sz="4" w:space="0" w:color="auto"/>
              <w:left w:val="nil"/>
              <w:bottom w:val="single" w:sz="4" w:space="0" w:color="auto"/>
              <w:right w:val="nil"/>
            </w:tcBorders>
            <w:vAlign w:val="center"/>
          </w:tcPr>
          <w:p w14:paraId="41972D0D"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c>
          <w:tcPr>
            <w:tcW w:w="1549" w:type="dxa"/>
            <w:tcBorders>
              <w:top w:val="single" w:sz="4" w:space="0" w:color="auto"/>
              <w:left w:val="nil"/>
              <w:bottom w:val="single" w:sz="4" w:space="0" w:color="auto"/>
              <w:right w:val="nil"/>
            </w:tcBorders>
            <w:vAlign w:val="center"/>
          </w:tcPr>
          <w:p w14:paraId="5FA82795"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3</w:t>
            </w:r>
          </w:p>
        </w:tc>
        <w:tc>
          <w:tcPr>
            <w:tcW w:w="1550" w:type="dxa"/>
            <w:tcBorders>
              <w:top w:val="single" w:sz="4" w:space="0" w:color="auto"/>
              <w:left w:val="nil"/>
              <w:bottom w:val="single" w:sz="4" w:space="0" w:color="auto"/>
              <w:right w:val="nil"/>
            </w:tcBorders>
            <w:vAlign w:val="center"/>
          </w:tcPr>
          <w:p w14:paraId="5103737E"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4</w:t>
            </w:r>
          </w:p>
        </w:tc>
      </w:tr>
      <w:tr w:rsidR="00A0618E" w:rsidRPr="00400193" w14:paraId="07582088" w14:textId="77777777" w:rsidTr="00C44D9E">
        <w:trPr>
          <w:trHeight w:val="283"/>
        </w:trPr>
        <w:tc>
          <w:tcPr>
            <w:tcW w:w="2819" w:type="dxa"/>
            <w:tcBorders>
              <w:top w:val="single" w:sz="4" w:space="0" w:color="auto"/>
              <w:left w:val="nil"/>
              <w:bottom w:val="nil"/>
              <w:right w:val="nil"/>
            </w:tcBorders>
            <w:vAlign w:val="center"/>
          </w:tcPr>
          <w:p w14:paraId="208AECE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1549" w:type="dxa"/>
            <w:tcBorders>
              <w:top w:val="single" w:sz="4" w:space="0" w:color="auto"/>
              <w:left w:val="nil"/>
              <w:bottom w:val="nil"/>
              <w:right w:val="nil"/>
            </w:tcBorders>
            <w:vAlign w:val="center"/>
          </w:tcPr>
          <w:p w14:paraId="0CAEA03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0.889</w:t>
            </w:r>
          </w:p>
        </w:tc>
        <w:tc>
          <w:tcPr>
            <w:tcW w:w="1549" w:type="dxa"/>
            <w:tcBorders>
              <w:top w:val="single" w:sz="4" w:space="0" w:color="auto"/>
              <w:left w:val="nil"/>
              <w:bottom w:val="nil"/>
              <w:right w:val="nil"/>
            </w:tcBorders>
            <w:vAlign w:val="center"/>
          </w:tcPr>
          <w:p w14:paraId="224589C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0.777</w:t>
            </w:r>
          </w:p>
        </w:tc>
        <w:tc>
          <w:tcPr>
            <w:tcW w:w="1549" w:type="dxa"/>
            <w:tcBorders>
              <w:top w:val="single" w:sz="4" w:space="0" w:color="auto"/>
              <w:left w:val="nil"/>
              <w:bottom w:val="nil"/>
              <w:right w:val="nil"/>
            </w:tcBorders>
            <w:vAlign w:val="center"/>
          </w:tcPr>
          <w:p w14:paraId="60C3F77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0.845</w:t>
            </w:r>
          </w:p>
        </w:tc>
        <w:tc>
          <w:tcPr>
            <w:tcW w:w="1550" w:type="dxa"/>
            <w:tcBorders>
              <w:top w:val="single" w:sz="4" w:space="0" w:color="auto"/>
              <w:left w:val="nil"/>
              <w:bottom w:val="nil"/>
              <w:right w:val="nil"/>
            </w:tcBorders>
            <w:vAlign w:val="center"/>
          </w:tcPr>
          <w:p w14:paraId="58F9EF2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0.914</w:t>
            </w:r>
          </w:p>
        </w:tc>
      </w:tr>
      <w:tr w:rsidR="00A0618E" w:rsidRPr="00400193" w14:paraId="45E11650" w14:textId="77777777" w:rsidTr="00C44D9E">
        <w:trPr>
          <w:trHeight w:val="283"/>
        </w:trPr>
        <w:tc>
          <w:tcPr>
            <w:tcW w:w="2819" w:type="dxa"/>
            <w:tcBorders>
              <w:top w:val="nil"/>
              <w:left w:val="nil"/>
              <w:bottom w:val="nil"/>
              <w:right w:val="nil"/>
            </w:tcBorders>
            <w:vAlign w:val="center"/>
          </w:tcPr>
          <w:p w14:paraId="5AE4BCD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1549" w:type="dxa"/>
            <w:tcBorders>
              <w:top w:val="nil"/>
              <w:left w:val="nil"/>
              <w:bottom w:val="nil"/>
              <w:right w:val="nil"/>
            </w:tcBorders>
            <w:vAlign w:val="center"/>
          </w:tcPr>
          <w:p w14:paraId="142CC61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0.668</w:t>
            </w:r>
          </w:p>
        </w:tc>
        <w:tc>
          <w:tcPr>
            <w:tcW w:w="1549" w:type="dxa"/>
            <w:tcBorders>
              <w:top w:val="nil"/>
              <w:left w:val="nil"/>
              <w:bottom w:val="nil"/>
              <w:right w:val="nil"/>
            </w:tcBorders>
            <w:vAlign w:val="center"/>
          </w:tcPr>
          <w:p w14:paraId="14B744B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0.415</w:t>
            </w:r>
          </w:p>
        </w:tc>
        <w:tc>
          <w:tcPr>
            <w:tcW w:w="1549" w:type="dxa"/>
            <w:tcBorders>
              <w:top w:val="nil"/>
              <w:left w:val="nil"/>
              <w:bottom w:val="nil"/>
              <w:right w:val="nil"/>
            </w:tcBorders>
            <w:vAlign w:val="center"/>
          </w:tcPr>
          <w:p w14:paraId="55D4898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0.645</w:t>
            </w:r>
          </w:p>
        </w:tc>
        <w:tc>
          <w:tcPr>
            <w:tcW w:w="1550" w:type="dxa"/>
            <w:tcBorders>
              <w:top w:val="nil"/>
              <w:left w:val="nil"/>
              <w:bottom w:val="nil"/>
              <w:right w:val="nil"/>
            </w:tcBorders>
            <w:vAlign w:val="center"/>
          </w:tcPr>
          <w:p w14:paraId="55AC165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0.914</w:t>
            </w:r>
          </w:p>
        </w:tc>
      </w:tr>
      <w:tr w:rsidR="00A0618E" w:rsidRPr="00400193" w14:paraId="1589C9B9" w14:textId="77777777" w:rsidTr="00C44D9E">
        <w:trPr>
          <w:trHeight w:val="283"/>
        </w:trPr>
        <w:tc>
          <w:tcPr>
            <w:tcW w:w="2819" w:type="dxa"/>
            <w:tcBorders>
              <w:top w:val="nil"/>
              <w:left w:val="nil"/>
              <w:bottom w:val="nil"/>
              <w:right w:val="nil"/>
            </w:tcBorders>
            <w:vAlign w:val="center"/>
          </w:tcPr>
          <w:p w14:paraId="6721E2B0"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1549" w:type="dxa"/>
            <w:tcBorders>
              <w:top w:val="nil"/>
              <w:left w:val="nil"/>
              <w:bottom w:val="nil"/>
              <w:right w:val="nil"/>
            </w:tcBorders>
            <w:vAlign w:val="center"/>
          </w:tcPr>
          <w:p w14:paraId="1A025BCC"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0.570</w:t>
            </w:r>
          </w:p>
        </w:tc>
        <w:tc>
          <w:tcPr>
            <w:tcW w:w="1549" w:type="dxa"/>
            <w:tcBorders>
              <w:top w:val="nil"/>
              <w:left w:val="nil"/>
              <w:bottom w:val="nil"/>
              <w:right w:val="nil"/>
            </w:tcBorders>
            <w:vAlign w:val="center"/>
          </w:tcPr>
          <w:p w14:paraId="67885D2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549" w:type="dxa"/>
            <w:tcBorders>
              <w:top w:val="nil"/>
              <w:left w:val="nil"/>
              <w:bottom w:val="nil"/>
              <w:right w:val="nil"/>
            </w:tcBorders>
            <w:vAlign w:val="center"/>
          </w:tcPr>
          <w:p w14:paraId="7569816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550" w:type="dxa"/>
            <w:tcBorders>
              <w:top w:val="nil"/>
              <w:left w:val="nil"/>
              <w:bottom w:val="nil"/>
              <w:right w:val="nil"/>
            </w:tcBorders>
            <w:vAlign w:val="center"/>
          </w:tcPr>
          <w:p w14:paraId="6B96DC2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6236C32D" w14:textId="77777777" w:rsidTr="00C44D9E">
        <w:trPr>
          <w:trHeight w:val="283"/>
        </w:trPr>
        <w:tc>
          <w:tcPr>
            <w:tcW w:w="2819" w:type="dxa"/>
            <w:tcBorders>
              <w:top w:val="nil"/>
              <w:left w:val="nil"/>
              <w:bottom w:val="single" w:sz="4" w:space="0" w:color="auto"/>
              <w:right w:val="nil"/>
            </w:tcBorders>
            <w:vAlign w:val="center"/>
          </w:tcPr>
          <w:p w14:paraId="620C7F2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1549" w:type="dxa"/>
            <w:tcBorders>
              <w:top w:val="nil"/>
              <w:left w:val="nil"/>
              <w:bottom w:val="single" w:sz="4" w:space="0" w:color="auto"/>
              <w:right w:val="nil"/>
            </w:tcBorders>
            <w:vAlign w:val="center"/>
          </w:tcPr>
          <w:p w14:paraId="147780F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0.326</w:t>
            </w:r>
          </w:p>
        </w:tc>
        <w:tc>
          <w:tcPr>
            <w:tcW w:w="1549" w:type="dxa"/>
            <w:tcBorders>
              <w:top w:val="nil"/>
              <w:left w:val="nil"/>
              <w:right w:val="nil"/>
            </w:tcBorders>
            <w:vAlign w:val="center"/>
          </w:tcPr>
          <w:p w14:paraId="479B769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549" w:type="dxa"/>
            <w:tcBorders>
              <w:top w:val="nil"/>
              <w:left w:val="nil"/>
              <w:right w:val="nil"/>
            </w:tcBorders>
            <w:vAlign w:val="center"/>
          </w:tcPr>
          <w:p w14:paraId="32219084"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550" w:type="dxa"/>
            <w:tcBorders>
              <w:top w:val="nil"/>
              <w:left w:val="nil"/>
              <w:right w:val="nil"/>
            </w:tcBorders>
            <w:vAlign w:val="center"/>
          </w:tcPr>
          <w:p w14:paraId="4CB1F5FD"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p>
        </w:tc>
      </w:tr>
    </w:tbl>
    <w:p w14:paraId="69EA6E23" w14:textId="60CE089D" w:rsidR="006E3616" w:rsidRPr="00400193" w:rsidRDefault="006E3616" w:rsidP="006E3616">
      <w:pPr>
        <w:pStyle w:val="Caption"/>
        <w:spacing w:after="240"/>
        <w:rPr>
          <w:lang w:eastAsia="zh-CN" w:bidi="hi-IN"/>
        </w:rPr>
      </w:pPr>
      <w:bookmarkStart w:id="531" w:name="_Ref43254676"/>
      <w:bookmarkStart w:id="532" w:name="_Toc5290158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42</w:t>
      </w:r>
      <w:r w:rsidRPr="00400193">
        <w:fldChar w:fldCharType="end"/>
      </w:r>
      <w:bookmarkEnd w:id="531"/>
      <w:r w:rsidRPr="00400193">
        <w:t>: Average variance extracted (AVE), composite reliability (CR), maximum shared variance (MSV) and average shared variance (ASV) for VW</w:t>
      </w:r>
      <w:bookmarkEnd w:id="532"/>
    </w:p>
    <w:p w14:paraId="619017EB" w14:textId="77777777" w:rsidR="006E3616" w:rsidRPr="00400193" w:rsidRDefault="006E3616" w:rsidP="006E3616">
      <w:pPr>
        <w:pStyle w:val="Heading3"/>
        <w:rPr>
          <w:lang w:eastAsia="zh-CN" w:bidi="hi-IN"/>
        </w:rPr>
      </w:pPr>
      <w:bookmarkStart w:id="533" w:name="_Toc61894762"/>
      <w:r w:rsidRPr="00400193">
        <w:rPr>
          <w:lang w:eastAsia="zh-CN" w:bidi="hi-IN"/>
        </w:rPr>
        <w:t>Organisational Vulnerabilities and Weaknesses: Physical and Digital Assets (VWP)</w:t>
      </w:r>
      <w:bookmarkEnd w:id="533"/>
    </w:p>
    <w:p w14:paraId="6FF27F17" w14:textId="33E9A4F7" w:rsidR="006E3616" w:rsidRPr="00400193" w:rsidRDefault="006E3616" w:rsidP="006E3616">
      <w:pPr>
        <w:rPr>
          <w:lang w:eastAsia="zh-CN" w:bidi="hi-IN"/>
        </w:rPr>
      </w:pPr>
      <w:bookmarkStart w:id="534" w:name="_Hlk23779167"/>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_Ref43254806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43</w:t>
      </w:r>
      <w:r w:rsidRPr="00400193">
        <w:rPr>
          <w:lang w:eastAsia="zh-CN" w:bidi="hi-IN"/>
        </w:rPr>
        <w:fldChar w:fldCharType="end"/>
      </w:r>
      <w:r w:rsidRPr="00400193">
        <w:rPr>
          <w:lang w:eastAsia="zh-CN" w:bidi="hi-IN"/>
        </w:rPr>
        <w:t xml:space="preserve">) explains the selection of two main components. which </w:t>
      </w:r>
      <w:r w:rsidR="001F0C59" w:rsidRPr="00400193">
        <w:rPr>
          <w:lang w:eastAsia="zh-CN" w:bidi="hi-IN"/>
        </w:rPr>
        <w:t>constitute</w:t>
      </w:r>
      <w:r w:rsidR="001F0C59" w:rsidRPr="00400193" w:rsidDel="001F0C59">
        <w:rPr>
          <w:lang w:eastAsia="zh-CN" w:bidi="hi-IN"/>
        </w:rPr>
        <w:t xml:space="preserve"> </w:t>
      </w:r>
      <w:r w:rsidRPr="00400193">
        <w:rPr>
          <w:lang w:eastAsia="zh-CN" w:bidi="hi-IN"/>
        </w:rPr>
        <w:t>68.3% of the variance. This resulted in the loss of 31.7% of the original information from the 14 initial variables. The cumulative percentage of variance explained by the first and second components was 52.1% and 68.3%, across 8.1 and 1.5 variables.</w:t>
      </w:r>
      <w:bookmarkStart w:id="535" w:name="_Hlk23779495"/>
      <w:bookmarkStart w:id="536" w:name="_Hlk23779565"/>
    </w:p>
    <w:tbl>
      <w:tblPr>
        <w:tblStyle w:val="TableGrid"/>
        <w:tblW w:w="0" w:type="auto"/>
        <w:tblLayout w:type="fixed"/>
        <w:tblLook w:val="04A0" w:firstRow="1" w:lastRow="0" w:firstColumn="1" w:lastColumn="0" w:noHBand="0" w:noVBand="1"/>
      </w:tblPr>
      <w:tblGrid>
        <w:gridCol w:w="435"/>
        <w:gridCol w:w="699"/>
        <w:gridCol w:w="993"/>
        <w:gridCol w:w="1134"/>
        <w:gridCol w:w="708"/>
        <w:gridCol w:w="981"/>
        <w:gridCol w:w="1146"/>
        <w:gridCol w:w="708"/>
        <w:gridCol w:w="1134"/>
        <w:gridCol w:w="1088"/>
      </w:tblGrid>
      <w:tr w:rsidR="006E3616" w:rsidRPr="00400193" w14:paraId="163847D4" w14:textId="77777777" w:rsidTr="00C44D9E">
        <w:trPr>
          <w:cantSplit/>
          <w:trHeight w:val="283"/>
        </w:trPr>
        <w:tc>
          <w:tcPr>
            <w:tcW w:w="435" w:type="dxa"/>
            <w:vMerge w:val="restart"/>
            <w:tcBorders>
              <w:left w:val="nil"/>
              <w:right w:val="nil"/>
            </w:tcBorders>
            <w:textDirection w:val="btLr"/>
            <w:vAlign w:val="center"/>
          </w:tcPr>
          <w:p w14:paraId="450284B3" w14:textId="77777777" w:rsidR="006E3616" w:rsidRPr="00400193" w:rsidRDefault="006E3616" w:rsidP="003B5486">
            <w:pPr>
              <w:spacing w:line="240" w:lineRule="auto"/>
              <w:ind w:left="113" w:right="113"/>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Component</w:t>
            </w:r>
          </w:p>
        </w:tc>
        <w:tc>
          <w:tcPr>
            <w:tcW w:w="2826" w:type="dxa"/>
            <w:gridSpan w:val="3"/>
            <w:tcBorders>
              <w:top w:val="single" w:sz="4" w:space="0" w:color="auto"/>
              <w:left w:val="nil"/>
              <w:bottom w:val="nil"/>
              <w:right w:val="nil"/>
            </w:tcBorders>
            <w:shd w:val="clear" w:color="auto" w:fill="auto"/>
            <w:vAlign w:val="bottom"/>
          </w:tcPr>
          <w:p w14:paraId="0CA99DD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Initial Eigenvalues</w:t>
            </w:r>
          </w:p>
        </w:tc>
        <w:tc>
          <w:tcPr>
            <w:tcW w:w="2835" w:type="dxa"/>
            <w:gridSpan w:val="3"/>
            <w:tcBorders>
              <w:top w:val="single" w:sz="4" w:space="0" w:color="auto"/>
              <w:left w:val="nil"/>
              <w:bottom w:val="nil"/>
              <w:right w:val="nil"/>
            </w:tcBorders>
            <w:shd w:val="clear" w:color="auto" w:fill="auto"/>
            <w:vAlign w:val="bottom"/>
          </w:tcPr>
          <w:p w14:paraId="621A3B7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Extraction Sums of Squared Loadings</w:t>
            </w:r>
          </w:p>
        </w:tc>
        <w:tc>
          <w:tcPr>
            <w:tcW w:w="2930" w:type="dxa"/>
            <w:gridSpan w:val="3"/>
            <w:tcBorders>
              <w:top w:val="single" w:sz="4" w:space="0" w:color="auto"/>
              <w:left w:val="nil"/>
              <w:bottom w:val="nil"/>
              <w:right w:val="nil"/>
            </w:tcBorders>
            <w:shd w:val="clear" w:color="auto" w:fill="auto"/>
            <w:vAlign w:val="bottom"/>
          </w:tcPr>
          <w:p w14:paraId="2369358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Rotation Sums of Squared Loadings</w:t>
            </w:r>
          </w:p>
        </w:tc>
      </w:tr>
      <w:tr w:rsidR="006E3616" w:rsidRPr="00400193" w14:paraId="4450B3C9" w14:textId="77777777" w:rsidTr="00C44D9E">
        <w:trPr>
          <w:cantSplit/>
          <w:trHeight w:val="283"/>
        </w:trPr>
        <w:tc>
          <w:tcPr>
            <w:tcW w:w="435" w:type="dxa"/>
            <w:vMerge/>
            <w:tcBorders>
              <w:left w:val="nil"/>
              <w:bottom w:val="single" w:sz="4" w:space="0" w:color="auto"/>
              <w:right w:val="nil"/>
            </w:tcBorders>
            <w:vAlign w:val="center"/>
          </w:tcPr>
          <w:p w14:paraId="08284F2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699" w:type="dxa"/>
            <w:tcBorders>
              <w:top w:val="nil"/>
              <w:left w:val="nil"/>
              <w:bottom w:val="single" w:sz="4" w:space="0" w:color="auto"/>
              <w:right w:val="nil"/>
            </w:tcBorders>
            <w:shd w:val="clear" w:color="auto" w:fill="auto"/>
            <w:vAlign w:val="center"/>
          </w:tcPr>
          <w:p w14:paraId="0D727646"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993" w:type="dxa"/>
            <w:tcBorders>
              <w:top w:val="nil"/>
              <w:left w:val="nil"/>
              <w:bottom w:val="single" w:sz="4" w:space="0" w:color="auto"/>
              <w:right w:val="nil"/>
            </w:tcBorders>
            <w:shd w:val="clear" w:color="auto" w:fill="auto"/>
            <w:vAlign w:val="center"/>
          </w:tcPr>
          <w:p w14:paraId="7B3017B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134" w:type="dxa"/>
            <w:tcBorders>
              <w:top w:val="nil"/>
              <w:left w:val="nil"/>
              <w:bottom w:val="single" w:sz="4" w:space="0" w:color="auto"/>
              <w:right w:val="nil"/>
            </w:tcBorders>
            <w:shd w:val="clear" w:color="auto" w:fill="auto"/>
            <w:vAlign w:val="center"/>
          </w:tcPr>
          <w:p w14:paraId="7F0BDCB0"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8" w:type="dxa"/>
            <w:tcBorders>
              <w:top w:val="nil"/>
              <w:left w:val="nil"/>
              <w:bottom w:val="single" w:sz="4" w:space="0" w:color="auto"/>
              <w:right w:val="nil"/>
            </w:tcBorders>
            <w:shd w:val="clear" w:color="auto" w:fill="auto"/>
            <w:vAlign w:val="center"/>
          </w:tcPr>
          <w:p w14:paraId="051E5822"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981" w:type="dxa"/>
            <w:tcBorders>
              <w:top w:val="nil"/>
              <w:left w:val="nil"/>
              <w:bottom w:val="single" w:sz="4" w:space="0" w:color="auto"/>
              <w:right w:val="nil"/>
            </w:tcBorders>
            <w:shd w:val="clear" w:color="auto" w:fill="auto"/>
            <w:vAlign w:val="center"/>
          </w:tcPr>
          <w:p w14:paraId="7827BE2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146" w:type="dxa"/>
            <w:tcBorders>
              <w:top w:val="nil"/>
              <w:left w:val="nil"/>
              <w:bottom w:val="single" w:sz="4" w:space="0" w:color="auto"/>
              <w:right w:val="nil"/>
            </w:tcBorders>
            <w:shd w:val="clear" w:color="auto" w:fill="auto"/>
            <w:vAlign w:val="center"/>
          </w:tcPr>
          <w:p w14:paraId="27B5F785"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c>
          <w:tcPr>
            <w:tcW w:w="708" w:type="dxa"/>
            <w:tcBorders>
              <w:top w:val="nil"/>
              <w:left w:val="nil"/>
              <w:bottom w:val="single" w:sz="4" w:space="0" w:color="auto"/>
              <w:right w:val="nil"/>
            </w:tcBorders>
            <w:shd w:val="clear" w:color="auto" w:fill="auto"/>
            <w:vAlign w:val="center"/>
          </w:tcPr>
          <w:p w14:paraId="0AE562C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Total</w:t>
            </w:r>
          </w:p>
        </w:tc>
        <w:tc>
          <w:tcPr>
            <w:tcW w:w="1134" w:type="dxa"/>
            <w:tcBorders>
              <w:top w:val="nil"/>
              <w:left w:val="nil"/>
              <w:bottom w:val="single" w:sz="4" w:space="0" w:color="auto"/>
              <w:right w:val="nil"/>
            </w:tcBorders>
            <w:shd w:val="clear" w:color="auto" w:fill="auto"/>
            <w:vAlign w:val="center"/>
          </w:tcPr>
          <w:p w14:paraId="1D0B9F13"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of Variance</w:t>
            </w:r>
          </w:p>
        </w:tc>
        <w:tc>
          <w:tcPr>
            <w:tcW w:w="1088" w:type="dxa"/>
            <w:tcBorders>
              <w:top w:val="nil"/>
              <w:left w:val="nil"/>
              <w:bottom w:val="single" w:sz="4" w:space="0" w:color="auto"/>
              <w:right w:val="nil"/>
            </w:tcBorders>
            <w:shd w:val="clear" w:color="auto" w:fill="auto"/>
            <w:vAlign w:val="center"/>
          </w:tcPr>
          <w:p w14:paraId="61E25E83"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Cumulative %</w:t>
            </w:r>
          </w:p>
        </w:tc>
      </w:tr>
      <w:tr w:rsidR="006E3616" w:rsidRPr="00400193" w14:paraId="4547C117" w14:textId="77777777" w:rsidTr="00C44D9E">
        <w:trPr>
          <w:cantSplit/>
          <w:trHeight w:val="283"/>
        </w:trPr>
        <w:tc>
          <w:tcPr>
            <w:tcW w:w="435" w:type="dxa"/>
            <w:tcBorders>
              <w:top w:val="single" w:sz="4" w:space="0" w:color="auto"/>
              <w:left w:val="nil"/>
              <w:bottom w:val="nil"/>
              <w:right w:val="nil"/>
            </w:tcBorders>
            <w:shd w:val="clear" w:color="auto" w:fill="auto"/>
            <w:vAlign w:val="center"/>
          </w:tcPr>
          <w:p w14:paraId="670E0AF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w:t>
            </w:r>
          </w:p>
        </w:tc>
        <w:tc>
          <w:tcPr>
            <w:tcW w:w="699" w:type="dxa"/>
            <w:tcBorders>
              <w:top w:val="single" w:sz="4" w:space="0" w:color="auto"/>
              <w:left w:val="nil"/>
              <w:bottom w:val="nil"/>
              <w:right w:val="nil"/>
            </w:tcBorders>
            <w:shd w:val="clear" w:color="auto" w:fill="auto"/>
            <w:vAlign w:val="center"/>
          </w:tcPr>
          <w:p w14:paraId="20C6D97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8.084</w:t>
            </w:r>
          </w:p>
        </w:tc>
        <w:tc>
          <w:tcPr>
            <w:tcW w:w="993" w:type="dxa"/>
            <w:tcBorders>
              <w:top w:val="single" w:sz="4" w:space="0" w:color="auto"/>
              <w:left w:val="nil"/>
              <w:bottom w:val="nil"/>
              <w:right w:val="nil"/>
            </w:tcBorders>
            <w:shd w:val="clear" w:color="auto" w:fill="auto"/>
            <w:vAlign w:val="center"/>
          </w:tcPr>
          <w:p w14:paraId="0791146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57.742</w:t>
            </w:r>
          </w:p>
        </w:tc>
        <w:tc>
          <w:tcPr>
            <w:tcW w:w="1134" w:type="dxa"/>
            <w:tcBorders>
              <w:top w:val="single" w:sz="4" w:space="0" w:color="auto"/>
              <w:left w:val="nil"/>
              <w:bottom w:val="nil"/>
              <w:right w:val="nil"/>
            </w:tcBorders>
            <w:shd w:val="clear" w:color="auto" w:fill="auto"/>
            <w:vAlign w:val="center"/>
          </w:tcPr>
          <w:p w14:paraId="63C978E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57.742</w:t>
            </w:r>
          </w:p>
        </w:tc>
        <w:tc>
          <w:tcPr>
            <w:tcW w:w="708" w:type="dxa"/>
            <w:tcBorders>
              <w:top w:val="single" w:sz="4" w:space="0" w:color="auto"/>
              <w:left w:val="nil"/>
              <w:bottom w:val="nil"/>
              <w:right w:val="nil"/>
            </w:tcBorders>
            <w:shd w:val="clear" w:color="auto" w:fill="auto"/>
            <w:vAlign w:val="center"/>
          </w:tcPr>
          <w:p w14:paraId="433037E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8.084</w:t>
            </w:r>
          </w:p>
        </w:tc>
        <w:tc>
          <w:tcPr>
            <w:tcW w:w="981" w:type="dxa"/>
            <w:tcBorders>
              <w:top w:val="single" w:sz="4" w:space="0" w:color="auto"/>
              <w:left w:val="nil"/>
              <w:bottom w:val="nil"/>
              <w:right w:val="nil"/>
            </w:tcBorders>
            <w:shd w:val="clear" w:color="auto" w:fill="auto"/>
            <w:vAlign w:val="center"/>
          </w:tcPr>
          <w:p w14:paraId="2BDE11D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57.742</w:t>
            </w:r>
          </w:p>
        </w:tc>
        <w:tc>
          <w:tcPr>
            <w:tcW w:w="1146" w:type="dxa"/>
            <w:tcBorders>
              <w:top w:val="single" w:sz="4" w:space="0" w:color="auto"/>
              <w:left w:val="nil"/>
              <w:bottom w:val="nil"/>
              <w:right w:val="nil"/>
            </w:tcBorders>
            <w:shd w:val="clear" w:color="auto" w:fill="auto"/>
            <w:vAlign w:val="center"/>
          </w:tcPr>
          <w:p w14:paraId="015EDB9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57.742</w:t>
            </w:r>
          </w:p>
        </w:tc>
        <w:tc>
          <w:tcPr>
            <w:tcW w:w="708" w:type="dxa"/>
            <w:tcBorders>
              <w:top w:val="single" w:sz="4" w:space="0" w:color="auto"/>
              <w:left w:val="nil"/>
              <w:bottom w:val="nil"/>
              <w:right w:val="nil"/>
            </w:tcBorders>
            <w:shd w:val="clear" w:color="auto" w:fill="auto"/>
            <w:vAlign w:val="center"/>
          </w:tcPr>
          <w:p w14:paraId="2F1B071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7.337</w:t>
            </w:r>
          </w:p>
        </w:tc>
        <w:tc>
          <w:tcPr>
            <w:tcW w:w="1134" w:type="dxa"/>
            <w:tcBorders>
              <w:top w:val="single" w:sz="4" w:space="0" w:color="auto"/>
              <w:left w:val="nil"/>
              <w:bottom w:val="nil"/>
              <w:right w:val="nil"/>
            </w:tcBorders>
            <w:shd w:val="clear" w:color="auto" w:fill="auto"/>
            <w:vAlign w:val="center"/>
          </w:tcPr>
          <w:p w14:paraId="3AEB27D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52.409</w:t>
            </w:r>
          </w:p>
        </w:tc>
        <w:tc>
          <w:tcPr>
            <w:tcW w:w="1088" w:type="dxa"/>
            <w:tcBorders>
              <w:top w:val="single" w:sz="4" w:space="0" w:color="auto"/>
              <w:left w:val="nil"/>
              <w:bottom w:val="nil"/>
              <w:right w:val="nil"/>
            </w:tcBorders>
            <w:shd w:val="clear" w:color="auto" w:fill="auto"/>
            <w:vAlign w:val="center"/>
          </w:tcPr>
          <w:p w14:paraId="6A6524F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52.409</w:t>
            </w:r>
          </w:p>
        </w:tc>
      </w:tr>
      <w:tr w:rsidR="006E3616" w:rsidRPr="00400193" w14:paraId="08B2F54C" w14:textId="77777777" w:rsidTr="00C44D9E">
        <w:trPr>
          <w:cantSplit/>
          <w:trHeight w:val="283"/>
        </w:trPr>
        <w:tc>
          <w:tcPr>
            <w:tcW w:w="435" w:type="dxa"/>
            <w:tcBorders>
              <w:top w:val="nil"/>
              <w:left w:val="nil"/>
              <w:bottom w:val="nil"/>
              <w:right w:val="nil"/>
            </w:tcBorders>
            <w:shd w:val="clear" w:color="auto" w:fill="auto"/>
            <w:vAlign w:val="center"/>
          </w:tcPr>
          <w:p w14:paraId="6CC7736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w:t>
            </w:r>
          </w:p>
        </w:tc>
        <w:tc>
          <w:tcPr>
            <w:tcW w:w="699" w:type="dxa"/>
            <w:tcBorders>
              <w:top w:val="nil"/>
              <w:left w:val="nil"/>
              <w:bottom w:val="nil"/>
              <w:right w:val="nil"/>
            </w:tcBorders>
            <w:shd w:val="clear" w:color="auto" w:fill="auto"/>
            <w:vAlign w:val="center"/>
          </w:tcPr>
          <w:p w14:paraId="3AA2634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1.477</w:t>
            </w:r>
          </w:p>
        </w:tc>
        <w:tc>
          <w:tcPr>
            <w:tcW w:w="993" w:type="dxa"/>
            <w:tcBorders>
              <w:top w:val="nil"/>
              <w:left w:val="nil"/>
              <w:bottom w:val="nil"/>
              <w:right w:val="nil"/>
            </w:tcBorders>
            <w:shd w:val="clear" w:color="auto" w:fill="auto"/>
            <w:vAlign w:val="center"/>
          </w:tcPr>
          <w:p w14:paraId="02C6506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10.550</w:t>
            </w:r>
          </w:p>
        </w:tc>
        <w:tc>
          <w:tcPr>
            <w:tcW w:w="1134" w:type="dxa"/>
            <w:tcBorders>
              <w:top w:val="nil"/>
              <w:left w:val="nil"/>
              <w:bottom w:val="nil"/>
              <w:right w:val="nil"/>
            </w:tcBorders>
            <w:shd w:val="clear" w:color="auto" w:fill="auto"/>
            <w:vAlign w:val="center"/>
          </w:tcPr>
          <w:p w14:paraId="0D07B4E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68.293</w:t>
            </w:r>
          </w:p>
        </w:tc>
        <w:tc>
          <w:tcPr>
            <w:tcW w:w="708" w:type="dxa"/>
            <w:tcBorders>
              <w:top w:val="nil"/>
              <w:left w:val="nil"/>
              <w:bottom w:val="nil"/>
              <w:right w:val="nil"/>
            </w:tcBorders>
            <w:shd w:val="clear" w:color="auto" w:fill="auto"/>
            <w:vAlign w:val="center"/>
          </w:tcPr>
          <w:p w14:paraId="7BB38C7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1.477</w:t>
            </w:r>
          </w:p>
        </w:tc>
        <w:tc>
          <w:tcPr>
            <w:tcW w:w="981" w:type="dxa"/>
            <w:tcBorders>
              <w:top w:val="nil"/>
              <w:left w:val="nil"/>
              <w:bottom w:val="nil"/>
              <w:right w:val="nil"/>
            </w:tcBorders>
            <w:shd w:val="clear" w:color="auto" w:fill="auto"/>
            <w:vAlign w:val="center"/>
          </w:tcPr>
          <w:p w14:paraId="322152F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10.550</w:t>
            </w:r>
          </w:p>
        </w:tc>
        <w:tc>
          <w:tcPr>
            <w:tcW w:w="1146" w:type="dxa"/>
            <w:tcBorders>
              <w:top w:val="nil"/>
              <w:left w:val="nil"/>
              <w:bottom w:val="nil"/>
              <w:right w:val="nil"/>
            </w:tcBorders>
            <w:shd w:val="clear" w:color="auto" w:fill="auto"/>
            <w:vAlign w:val="center"/>
          </w:tcPr>
          <w:p w14:paraId="4378CE3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68.293</w:t>
            </w:r>
          </w:p>
        </w:tc>
        <w:tc>
          <w:tcPr>
            <w:tcW w:w="708" w:type="dxa"/>
            <w:tcBorders>
              <w:top w:val="nil"/>
              <w:left w:val="nil"/>
              <w:bottom w:val="nil"/>
              <w:right w:val="nil"/>
            </w:tcBorders>
            <w:shd w:val="clear" w:color="auto" w:fill="auto"/>
            <w:vAlign w:val="center"/>
          </w:tcPr>
          <w:p w14:paraId="0C8C9AF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2.224</w:t>
            </w:r>
          </w:p>
        </w:tc>
        <w:tc>
          <w:tcPr>
            <w:tcW w:w="1134" w:type="dxa"/>
            <w:tcBorders>
              <w:top w:val="nil"/>
              <w:left w:val="nil"/>
              <w:bottom w:val="nil"/>
              <w:right w:val="nil"/>
            </w:tcBorders>
            <w:shd w:val="clear" w:color="auto" w:fill="auto"/>
            <w:vAlign w:val="center"/>
          </w:tcPr>
          <w:p w14:paraId="0922581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15.884</w:t>
            </w:r>
          </w:p>
        </w:tc>
        <w:tc>
          <w:tcPr>
            <w:tcW w:w="1088" w:type="dxa"/>
            <w:tcBorders>
              <w:top w:val="nil"/>
              <w:left w:val="nil"/>
              <w:bottom w:val="nil"/>
              <w:right w:val="nil"/>
            </w:tcBorders>
            <w:shd w:val="clear" w:color="auto" w:fill="auto"/>
            <w:vAlign w:val="center"/>
          </w:tcPr>
          <w:p w14:paraId="059A3A1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68.293</w:t>
            </w:r>
          </w:p>
        </w:tc>
      </w:tr>
      <w:tr w:rsidR="006E3616" w:rsidRPr="00400193" w14:paraId="748079F8" w14:textId="77777777" w:rsidTr="00C44D9E">
        <w:trPr>
          <w:cantSplit/>
          <w:trHeight w:val="283"/>
        </w:trPr>
        <w:tc>
          <w:tcPr>
            <w:tcW w:w="435" w:type="dxa"/>
            <w:tcBorders>
              <w:top w:val="nil"/>
              <w:left w:val="nil"/>
              <w:bottom w:val="single" w:sz="8" w:space="0" w:color="AEAEAE"/>
              <w:right w:val="nil"/>
            </w:tcBorders>
            <w:shd w:val="clear" w:color="auto" w:fill="auto"/>
            <w:vAlign w:val="center"/>
          </w:tcPr>
          <w:p w14:paraId="54792AE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699" w:type="dxa"/>
            <w:tcBorders>
              <w:top w:val="nil"/>
              <w:left w:val="nil"/>
              <w:bottom w:val="single" w:sz="8" w:space="0" w:color="AEAEAE"/>
              <w:right w:val="nil"/>
            </w:tcBorders>
            <w:shd w:val="clear" w:color="auto" w:fill="auto"/>
            <w:vAlign w:val="center"/>
          </w:tcPr>
          <w:p w14:paraId="476F553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0.938</w:t>
            </w:r>
          </w:p>
        </w:tc>
        <w:tc>
          <w:tcPr>
            <w:tcW w:w="993" w:type="dxa"/>
            <w:tcBorders>
              <w:top w:val="nil"/>
              <w:left w:val="nil"/>
              <w:bottom w:val="single" w:sz="8" w:space="0" w:color="AEAEAE"/>
              <w:right w:val="nil"/>
            </w:tcBorders>
            <w:shd w:val="clear" w:color="auto" w:fill="auto"/>
            <w:vAlign w:val="center"/>
          </w:tcPr>
          <w:p w14:paraId="152486B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6.702</w:t>
            </w:r>
          </w:p>
        </w:tc>
        <w:tc>
          <w:tcPr>
            <w:tcW w:w="1134" w:type="dxa"/>
            <w:tcBorders>
              <w:top w:val="nil"/>
              <w:left w:val="nil"/>
              <w:bottom w:val="single" w:sz="8" w:space="0" w:color="AEAEAE"/>
              <w:right w:val="nil"/>
            </w:tcBorders>
            <w:shd w:val="clear" w:color="auto" w:fill="auto"/>
            <w:vAlign w:val="center"/>
          </w:tcPr>
          <w:p w14:paraId="355086E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74.995</w:t>
            </w:r>
          </w:p>
        </w:tc>
        <w:tc>
          <w:tcPr>
            <w:tcW w:w="708" w:type="dxa"/>
            <w:tcBorders>
              <w:top w:val="nil"/>
              <w:left w:val="nil"/>
              <w:bottom w:val="single" w:sz="8" w:space="0" w:color="AEAEAE"/>
              <w:right w:val="nil"/>
            </w:tcBorders>
            <w:shd w:val="clear" w:color="auto" w:fill="auto"/>
            <w:vAlign w:val="center"/>
          </w:tcPr>
          <w:p w14:paraId="6D54FC4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81" w:type="dxa"/>
            <w:tcBorders>
              <w:top w:val="nil"/>
              <w:left w:val="nil"/>
              <w:bottom w:val="single" w:sz="8" w:space="0" w:color="AEAEAE"/>
              <w:right w:val="nil"/>
            </w:tcBorders>
            <w:shd w:val="clear" w:color="auto" w:fill="auto"/>
            <w:vAlign w:val="center"/>
          </w:tcPr>
          <w:p w14:paraId="705F02E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146" w:type="dxa"/>
            <w:tcBorders>
              <w:top w:val="nil"/>
              <w:left w:val="nil"/>
              <w:bottom w:val="single" w:sz="8" w:space="0" w:color="AEAEAE"/>
              <w:right w:val="nil"/>
            </w:tcBorders>
            <w:shd w:val="clear" w:color="auto" w:fill="auto"/>
            <w:vAlign w:val="center"/>
          </w:tcPr>
          <w:p w14:paraId="07FEA93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708" w:type="dxa"/>
            <w:tcBorders>
              <w:top w:val="nil"/>
              <w:left w:val="nil"/>
              <w:bottom w:val="single" w:sz="8" w:space="0" w:color="AEAEAE"/>
              <w:right w:val="nil"/>
            </w:tcBorders>
            <w:shd w:val="clear" w:color="auto" w:fill="auto"/>
            <w:vAlign w:val="center"/>
          </w:tcPr>
          <w:p w14:paraId="4FAF5CD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134" w:type="dxa"/>
            <w:tcBorders>
              <w:top w:val="nil"/>
              <w:left w:val="nil"/>
              <w:bottom w:val="single" w:sz="8" w:space="0" w:color="AEAEAE"/>
              <w:right w:val="nil"/>
            </w:tcBorders>
            <w:shd w:val="clear" w:color="auto" w:fill="auto"/>
            <w:vAlign w:val="center"/>
          </w:tcPr>
          <w:p w14:paraId="158A134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88" w:type="dxa"/>
            <w:tcBorders>
              <w:top w:val="nil"/>
              <w:left w:val="nil"/>
              <w:bottom w:val="single" w:sz="8" w:space="0" w:color="AEAEAE"/>
              <w:right w:val="nil"/>
            </w:tcBorders>
            <w:shd w:val="clear" w:color="auto" w:fill="auto"/>
            <w:vAlign w:val="center"/>
          </w:tcPr>
          <w:p w14:paraId="6D125CD6" w14:textId="77777777" w:rsidR="006E3616" w:rsidRPr="00400193" w:rsidRDefault="006E3616" w:rsidP="003B5486">
            <w:pPr>
              <w:spacing w:line="240" w:lineRule="auto"/>
              <w:jc w:val="center"/>
              <w:rPr>
                <w:rFonts w:asciiTheme="minorHAnsi" w:hAnsiTheme="minorHAnsi" w:cstheme="minorHAnsi"/>
                <w:sz w:val="20"/>
                <w:lang w:eastAsia="zh-CN" w:bidi="hi-IN"/>
              </w:rPr>
            </w:pPr>
          </w:p>
        </w:tc>
      </w:tr>
      <w:tr w:rsidR="006E3616" w:rsidRPr="00400193" w14:paraId="08B2ED7F" w14:textId="77777777" w:rsidTr="00C44D9E">
        <w:trPr>
          <w:cantSplit/>
          <w:trHeight w:val="283"/>
        </w:trPr>
        <w:tc>
          <w:tcPr>
            <w:tcW w:w="9026" w:type="dxa"/>
            <w:gridSpan w:val="10"/>
            <w:tcBorders>
              <w:left w:val="nil"/>
              <w:right w:val="nil"/>
            </w:tcBorders>
            <w:vAlign w:val="center"/>
          </w:tcPr>
          <w:p w14:paraId="7FD42596" w14:textId="77777777"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Extraction Method: Principal Component Analysis</w:t>
            </w:r>
          </w:p>
        </w:tc>
      </w:tr>
    </w:tbl>
    <w:p w14:paraId="534DDA4E" w14:textId="07D24884" w:rsidR="006E3616" w:rsidRPr="00400193" w:rsidRDefault="006E3616" w:rsidP="006E3616">
      <w:pPr>
        <w:pStyle w:val="Caption"/>
        <w:spacing w:after="240"/>
        <w:rPr>
          <w:lang w:eastAsia="zh-CN" w:bidi="hi-IN"/>
        </w:rPr>
      </w:pPr>
      <w:bookmarkStart w:id="537" w:name="_Ref43254806"/>
      <w:bookmarkStart w:id="538" w:name="_Toc5290158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43</w:t>
      </w:r>
      <w:r w:rsidRPr="00400193">
        <w:fldChar w:fldCharType="end"/>
      </w:r>
      <w:bookmarkEnd w:id="537"/>
      <w:r w:rsidRPr="00400193">
        <w:t>: Total variance explained by the components of VWP</w:t>
      </w:r>
      <w:bookmarkEnd w:id="538"/>
    </w:p>
    <w:p w14:paraId="22F2D4D6" w14:textId="17B7609C" w:rsidR="006E3616" w:rsidRPr="00400193" w:rsidRDefault="006E3616" w:rsidP="006E3616">
      <w:pPr>
        <w:rPr>
          <w:lang w:eastAsia="zh-CN" w:bidi="hi-IN"/>
        </w:rPr>
      </w:pPr>
      <w:r w:rsidRPr="00400193">
        <w:rPr>
          <w:lang w:eastAsia="zh-CN" w:bidi="hi-IN"/>
        </w:rPr>
        <w:t xml:space="preserve">The KMO value of 0.896 was within the range for factor analysis (0.5–1.0). Bartlett’s test of sphericity gave a Chi-square value of 1195.7 with 91 degrees of </w:t>
      </w:r>
      <w:r w:rsidR="000A223A" w:rsidRPr="00400193">
        <w:rPr>
          <w:lang w:eastAsia="zh-CN" w:bidi="hi-IN"/>
        </w:rPr>
        <w:t>freedom and</w:t>
      </w:r>
      <w:r w:rsidRPr="00400193">
        <w:rPr>
          <w:lang w:eastAsia="zh-CN" w:bidi="hi-IN"/>
        </w:rPr>
        <w:t xml:space="preserve"> </w:t>
      </w:r>
      <w:r w:rsidRPr="00400193">
        <w:rPr>
          <w:lang w:eastAsia="zh-CN" w:bidi="hi-IN"/>
        </w:rPr>
        <w:lastRenderedPageBreak/>
        <w:t>was significant at ≤0.001 (</w:t>
      </w:r>
      <w:r w:rsidRPr="00400193">
        <w:rPr>
          <w:lang w:eastAsia="zh-CN" w:bidi="hi-IN"/>
        </w:rPr>
        <w:fldChar w:fldCharType="begin"/>
      </w:r>
      <w:r w:rsidRPr="00400193">
        <w:rPr>
          <w:lang w:eastAsia="zh-CN" w:bidi="hi-IN"/>
        </w:rPr>
        <w:instrText xml:space="preserve"> REF _Ref43254922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44</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531"/>
        <w:gridCol w:w="2694"/>
        <w:gridCol w:w="1791"/>
      </w:tblGrid>
      <w:tr w:rsidR="00A0618E" w:rsidRPr="00400193" w14:paraId="70E55D21" w14:textId="77777777" w:rsidTr="00C44D9E">
        <w:trPr>
          <w:trHeight w:val="283"/>
        </w:trPr>
        <w:tc>
          <w:tcPr>
            <w:tcW w:w="7225" w:type="dxa"/>
            <w:gridSpan w:val="2"/>
            <w:tcBorders>
              <w:top w:val="single" w:sz="4" w:space="0" w:color="auto"/>
              <w:left w:val="nil"/>
              <w:bottom w:val="single" w:sz="4" w:space="0" w:color="auto"/>
              <w:right w:val="nil"/>
            </w:tcBorders>
            <w:shd w:val="clear" w:color="auto" w:fill="auto"/>
          </w:tcPr>
          <w:p w14:paraId="58DBDA27"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791" w:type="dxa"/>
            <w:tcBorders>
              <w:top w:val="single" w:sz="4" w:space="0" w:color="auto"/>
              <w:left w:val="nil"/>
              <w:bottom w:val="single" w:sz="4" w:space="0" w:color="auto"/>
              <w:right w:val="nil"/>
            </w:tcBorders>
            <w:shd w:val="clear" w:color="auto" w:fill="auto"/>
            <w:vAlign w:val="center"/>
          </w:tcPr>
          <w:p w14:paraId="054CDDC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0.896</w:t>
            </w:r>
          </w:p>
        </w:tc>
      </w:tr>
      <w:tr w:rsidR="00A0618E" w:rsidRPr="00400193" w14:paraId="1BBDA58E" w14:textId="77777777" w:rsidTr="00C44D9E">
        <w:trPr>
          <w:trHeight w:val="283"/>
        </w:trPr>
        <w:tc>
          <w:tcPr>
            <w:tcW w:w="4531" w:type="dxa"/>
            <w:vMerge w:val="restart"/>
            <w:tcBorders>
              <w:left w:val="nil"/>
              <w:right w:val="nil"/>
            </w:tcBorders>
            <w:vAlign w:val="center"/>
          </w:tcPr>
          <w:p w14:paraId="2A32B785"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4" w:type="dxa"/>
            <w:tcBorders>
              <w:top w:val="single" w:sz="4" w:space="0" w:color="auto"/>
              <w:left w:val="nil"/>
              <w:bottom w:val="single" w:sz="8" w:space="0" w:color="AEAEAE"/>
              <w:right w:val="nil"/>
            </w:tcBorders>
            <w:shd w:val="clear" w:color="auto" w:fill="auto"/>
            <w:vAlign w:val="center"/>
          </w:tcPr>
          <w:p w14:paraId="76B73EF5"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791" w:type="dxa"/>
            <w:tcBorders>
              <w:top w:val="single" w:sz="4" w:space="0" w:color="auto"/>
              <w:left w:val="nil"/>
              <w:bottom w:val="single" w:sz="8" w:space="0" w:color="AEAEAE"/>
              <w:right w:val="nil"/>
            </w:tcBorders>
            <w:shd w:val="clear" w:color="auto" w:fill="auto"/>
            <w:vAlign w:val="center"/>
          </w:tcPr>
          <w:p w14:paraId="6EF72E7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1195.7</w:t>
            </w:r>
          </w:p>
        </w:tc>
      </w:tr>
      <w:tr w:rsidR="00A0618E" w:rsidRPr="00400193" w14:paraId="12150D72" w14:textId="77777777" w:rsidTr="00C44D9E">
        <w:trPr>
          <w:trHeight w:val="283"/>
        </w:trPr>
        <w:tc>
          <w:tcPr>
            <w:tcW w:w="4531" w:type="dxa"/>
            <w:vMerge/>
            <w:tcBorders>
              <w:left w:val="nil"/>
              <w:right w:val="nil"/>
            </w:tcBorders>
            <w:vAlign w:val="center"/>
          </w:tcPr>
          <w:p w14:paraId="5584FFD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8" w:space="0" w:color="AEAEAE"/>
              <w:right w:val="nil"/>
            </w:tcBorders>
            <w:shd w:val="clear" w:color="auto" w:fill="auto"/>
            <w:vAlign w:val="center"/>
          </w:tcPr>
          <w:p w14:paraId="6A57D157"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791" w:type="dxa"/>
            <w:tcBorders>
              <w:top w:val="single" w:sz="8" w:space="0" w:color="AEAEAE"/>
              <w:left w:val="nil"/>
              <w:bottom w:val="single" w:sz="8" w:space="0" w:color="AEAEAE"/>
              <w:right w:val="nil"/>
            </w:tcBorders>
            <w:shd w:val="clear" w:color="auto" w:fill="auto"/>
            <w:vAlign w:val="center"/>
          </w:tcPr>
          <w:p w14:paraId="4606E89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91</w:t>
            </w:r>
          </w:p>
        </w:tc>
      </w:tr>
      <w:tr w:rsidR="00A0618E" w:rsidRPr="00400193" w14:paraId="62DACE6A" w14:textId="77777777" w:rsidTr="00C44D9E">
        <w:trPr>
          <w:trHeight w:val="283"/>
        </w:trPr>
        <w:tc>
          <w:tcPr>
            <w:tcW w:w="4531" w:type="dxa"/>
            <w:vMerge/>
            <w:tcBorders>
              <w:left w:val="nil"/>
              <w:right w:val="nil"/>
            </w:tcBorders>
            <w:vAlign w:val="center"/>
          </w:tcPr>
          <w:p w14:paraId="4CB1912D"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4" w:space="0" w:color="auto"/>
              <w:right w:val="nil"/>
            </w:tcBorders>
            <w:shd w:val="clear" w:color="auto" w:fill="auto"/>
            <w:vAlign w:val="center"/>
          </w:tcPr>
          <w:p w14:paraId="531B3F1E"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791" w:type="dxa"/>
            <w:tcBorders>
              <w:top w:val="single" w:sz="8" w:space="0" w:color="AEAEAE"/>
              <w:left w:val="nil"/>
              <w:bottom w:val="single" w:sz="4" w:space="0" w:color="auto"/>
              <w:right w:val="nil"/>
            </w:tcBorders>
            <w:shd w:val="clear" w:color="auto" w:fill="auto"/>
            <w:vAlign w:val="center"/>
          </w:tcPr>
          <w:p w14:paraId="57513E95"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7F2DB51C" w14:textId="4126F8A3" w:rsidR="006E3616" w:rsidRPr="00400193" w:rsidRDefault="006E3616" w:rsidP="006E3616">
      <w:pPr>
        <w:pStyle w:val="Caption"/>
        <w:spacing w:after="240"/>
        <w:rPr>
          <w:lang w:eastAsia="zh-CN" w:bidi="hi-IN"/>
        </w:rPr>
      </w:pPr>
      <w:bookmarkStart w:id="539" w:name="_Ref43254922"/>
      <w:bookmarkStart w:id="540" w:name="_Toc5290158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44</w:t>
      </w:r>
      <w:r w:rsidRPr="00400193">
        <w:fldChar w:fldCharType="end"/>
      </w:r>
      <w:bookmarkEnd w:id="539"/>
      <w:r w:rsidRPr="00400193">
        <w:t>: Kaiser–Meyer–Olkin test and Bartlett's test of sphericity for VWP</w:t>
      </w:r>
      <w:bookmarkEnd w:id="540"/>
    </w:p>
    <w:p w14:paraId="1789F600" w14:textId="071F2A2F" w:rsidR="006E3616" w:rsidRPr="00400193" w:rsidRDefault="00C44D9E" w:rsidP="006E3616">
      <w:pPr>
        <w:rPr>
          <w:lang w:eastAsia="zh-CN" w:bidi="hi-IN"/>
        </w:rPr>
      </w:pPr>
      <w:r w:rsidRPr="00400193">
        <w:rPr>
          <w:lang w:eastAsia="zh-CN" w:bidi="hi-IN"/>
        </w:rPr>
        <w:fldChar w:fldCharType="begin"/>
      </w:r>
      <w:r w:rsidRPr="00400193">
        <w:rPr>
          <w:lang w:eastAsia="zh-CN" w:bidi="hi-IN"/>
        </w:rPr>
        <w:instrText xml:space="preserve"> REF _Ref43254951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45</w:t>
      </w:r>
      <w:r w:rsidRPr="00400193">
        <w:rPr>
          <w:lang w:eastAsia="zh-CN" w:bidi="hi-IN"/>
        </w:rPr>
        <w:fldChar w:fldCharType="end"/>
      </w:r>
      <w:r w:rsidRPr="00400193">
        <w:rPr>
          <w:lang w:eastAsia="zh-CN" w:bidi="hi-IN"/>
        </w:rPr>
        <w:t xml:space="preserve"> shows the factor loads, which were all greater than 0.5. </w:t>
      </w:r>
      <w:r w:rsidR="006E3616" w:rsidRPr="00400193">
        <w:rPr>
          <w:lang w:eastAsia="zh-CN" w:bidi="hi-IN"/>
        </w:rPr>
        <w:t>There were two new latent clusters for Organisational vulnerabilities and weaknesses: physical and digital assets (VWP). Ten variables were assigned to the first cluster (VWPN1), on ‘electronic insecurity’, and four to the second (VWPN2), ‘physical weaknesses’. The first factor had excellent reliability of &gt;0.9, but the reliability of the second was only acceptable (0.547) (</w:t>
      </w:r>
      <w:r w:rsidR="006E3616" w:rsidRPr="00400193">
        <w:rPr>
          <w:lang w:eastAsia="zh-CN" w:bidi="hi-IN"/>
        </w:rPr>
        <w:fldChar w:fldCharType="begin"/>
      </w:r>
      <w:r w:rsidR="006E3616" w:rsidRPr="00400193">
        <w:rPr>
          <w:lang w:eastAsia="zh-CN" w:bidi="hi-IN"/>
        </w:rPr>
        <w:instrText xml:space="preserve"> REF _Ref43254951 \h </w:instrText>
      </w:r>
      <w:r w:rsidR="006E3616" w:rsidRPr="00400193">
        <w:rPr>
          <w:lang w:eastAsia="zh-CN" w:bidi="hi-IN"/>
        </w:rPr>
      </w:r>
      <w:r w:rsidR="006E36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45</w:t>
      </w:r>
      <w:r w:rsidR="006E3616" w:rsidRPr="00400193">
        <w:rPr>
          <w:lang w:eastAsia="zh-CN" w:bidi="hi-IN"/>
        </w:rPr>
        <w:fldChar w:fldCharType="end"/>
      </w:r>
      <w:r w:rsidR="006E3616" w:rsidRPr="00400193">
        <w:rPr>
          <w:lang w:eastAsia="zh-CN" w:bidi="hi-IN"/>
        </w:rPr>
        <w:t>).</w:t>
      </w:r>
    </w:p>
    <w:tbl>
      <w:tblPr>
        <w:tblStyle w:val="TableGrid"/>
        <w:tblW w:w="0" w:type="auto"/>
        <w:tblLook w:val="04A0" w:firstRow="1" w:lastRow="0" w:firstColumn="1" w:lastColumn="0" w:noHBand="0" w:noVBand="1"/>
      </w:tblPr>
      <w:tblGrid>
        <w:gridCol w:w="993"/>
        <w:gridCol w:w="1356"/>
        <w:gridCol w:w="959"/>
        <w:gridCol w:w="1537"/>
        <w:gridCol w:w="1390"/>
        <w:gridCol w:w="1201"/>
        <w:gridCol w:w="1590"/>
      </w:tblGrid>
      <w:tr w:rsidR="00A0618E" w:rsidRPr="00400193" w14:paraId="23A9E8E7" w14:textId="77777777" w:rsidTr="00834122">
        <w:trPr>
          <w:trHeight w:val="283"/>
        </w:trPr>
        <w:tc>
          <w:tcPr>
            <w:tcW w:w="993" w:type="dxa"/>
            <w:vMerge w:val="restart"/>
            <w:tcBorders>
              <w:left w:val="nil"/>
              <w:right w:val="nil"/>
            </w:tcBorders>
            <w:vAlign w:val="center"/>
          </w:tcPr>
          <w:p w14:paraId="22AF172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Item</w:t>
            </w:r>
          </w:p>
        </w:tc>
        <w:tc>
          <w:tcPr>
            <w:tcW w:w="2315" w:type="dxa"/>
            <w:gridSpan w:val="2"/>
            <w:tcBorders>
              <w:top w:val="single" w:sz="4" w:space="0" w:color="auto"/>
              <w:left w:val="nil"/>
              <w:bottom w:val="nil"/>
              <w:right w:val="nil"/>
            </w:tcBorders>
            <w:shd w:val="clear" w:color="auto" w:fill="FFFFFF"/>
            <w:vAlign w:val="center"/>
          </w:tcPr>
          <w:p w14:paraId="3218BD2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537" w:type="dxa"/>
            <w:vMerge w:val="restart"/>
            <w:tcBorders>
              <w:top w:val="single" w:sz="4" w:space="0" w:color="auto"/>
              <w:left w:val="nil"/>
              <w:right w:val="nil"/>
            </w:tcBorders>
            <w:shd w:val="clear" w:color="auto" w:fill="FFFFFF"/>
            <w:vAlign w:val="center"/>
          </w:tcPr>
          <w:p w14:paraId="7A1DC75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390" w:type="dxa"/>
            <w:vMerge w:val="restart"/>
            <w:tcBorders>
              <w:top w:val="single" w:sz="4" w:space="0" w:color="auto"/>
              <w:left w:val="nil"/>
              <w:right w:val="nil"/>
            </w:tcBorders>
            <w:shd w:val="clear" w:color="auto" w:fill="FFFFFF"/>
            <w:vAlign w:val="center"/>
          </w:tcPr>
          <w:p w14:paraId="6375B26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201" w:type="dxa"/>
            <w:vMerge w:val="restart"/>
            <w:tcBorders>
              <w:top w:val="single" w:sz="4" w:space="0" w:color="auto"/>
              <w:left w:val="nil"/>
              <w:right w:val="nil"/>
            </w:tcBorders>
            <w:shd w:val="clear" w:color="auto" w:fill="FFFFFF"/>
            <w:vAlign w:val="center"/>
          </w:tcPr>
          <w:p w14:paraId="35499958"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590" w:type="dxa"/>
            <w:vMerge w:val="restart"/>
            <w:tcBorders>
              <w:top w:val="single" w:sz="4" w:space="0" w:color="auto"/>
              <w:left w:val="nil"/>
              <w:right w:val="nil"/>
            </w:tcBorders>
            <w:shd w:val="clear" w:color="auto" w:fill="FFFFFF"/>
            <w:vAlign w:val="center"/>
          </w:tcPr>
          <w:p w14:paraId="638C97D6"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465E7F89" w14:textId="77777777" w:rsidTr="00834122">
        <w:trPr>
          <w:trHeight w:val="283"/>
        </w:trPr>
        <w:tc>
          <w:tcPr>
            <w:tcW w:w="993" w:type="dxa"/>
            <w:vMerge/>
            <w:tcBorders>
              <w:left w:val="nil"/>
              <w:bottom w:val="single" w:sz="4" w:space="0" w:color="auto"/>
              <w:right w:val="nil"/>
            </w:tcBorders>
            <w:vAlign w:val="center"/>
          </w:tcPr>
          <w:p w14:paraId="48589892"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356" w:type="dxa"/>
            <w:tcBorders>
              <w:top w:val="nil"/>
              <w:left w:val="nil"/>
              <w:bottom w:val="single" w:sz="4" w:space="0" w:color="auto"/>
              <w:right w:val="nil"/>
            </w:tcBorders>
            <w:vAlign w:val="center"/>
          </w:tcPr>
          <w:p w14:paraId="09E1EAC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959" w:type="dxa"/>
            <w:tcBorders>
              <w:top w:val="nil"/>
              <w:left w:val="nil"/>
              <w:bottom w:val="single" w:sz="4" w:space="0" w:color="auto"/>
              <w:right w:val="nil"/>
            </w:tcBorders>
            <w:vAlign w:val="center"/>
          </w:tcPr>
          <w:p w14:paraId="3AF90161"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2</w:t>
            </w:r>
          </w:p>
        </w:tc>
        <w:tc>
          <w:tcPr>
            <w:tcW w:w="1537" w:type="dxa"/>
            <w:vMerge/>
            <w:tcBorders>
              <w:left w:val="nil"/>
              <w:bottom w:val="single" w:sz="4" w:space="0" w:color="auto"/>
              <w:right w:val="nil"/>
            </w:tcBorders>
            <w:vAlign w:val="center"/>
          </w:tcPr>
          <w:p w14:paraId="7DB6B057"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390" w:type="dxa"/>
            <w:vMerge/>
            <w:tcBorders>
              <w:left w:val="nil"/>
              <w:bottom w:val="single" w:sz="4" w:space="0" w:color="auto"/>
              <w:right w:val="nil"/>
            </w:tcBorders>
            <w:vAlign w:val="center"/>
          </w:tcPr>
          <w:p w14:paraId="6497EC18"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201" w:type="dxa"/>
            <w:vMerge/>
            <w:tcBorders>
              <w:left w:val="nil"/>
              <w:bottom w:val="single" w:sz="4" w:space="0" w:color="auto"/>
              <w:right w:val="nil"/>
            </w:tcBorders>
            <w:vAlign w:val="center"/>
          </w:tcPr>
          <w:p w14:paraId="3349438A"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590" w:type="dxa"/>
            <w:vMerge/>
            <w:tcBorders>
              <w:left w:val="nil"/>
              <w:bottom w:val="single" w:sz="4" w:space="0" w:color="auto"/>
              <w:right w:val="nil"/>
            </w:tcBorders>
            <w:vAlign w:val="center"/>
          </w:tcPr>
          <w:p w14:paraId="1CB0D16A"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r>
      <w:tr w:rsidR="00A0618E" w:rsidRPr="00400193" w14:paraId="1AED5A15" w14:textId="77777777" w:rsidTr="00834122">
        <w:trPr>
          <w:trHeight w:val="283"/>
        </w:trPr>
        <w:tc>
          <w:tcPr>
            <w:tcW w:w="993" w:type="dxa"/>
            <w:tcBorders>
              <w:left w:val="nil"/>
              <w:bottom w:val="nil"/>
              <w:right w:val="nil"/>
            </w:tcBorders>
            <w:shd w:val="clear" w:color="auto" w:fill="auto"/>
            <w:vAlign w:val="center"/>
          </w:tcPr>
          <w:p w14:paraId="324F952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VWP6</w:t>
            </w:r>
          </w:p>
        </w:tc>
        <w:tc>
          <w:tcPr>
            <w:tcW w:w="1356" w:type="dxa"/>
            <w:tcBorders>
              <w:left w:val="nil"/>
              <w:bottom w:val="nil"/>
              <w:right w:val="nil"/>
            </w:tcBorders>
            <w:shd w:val="clear" w:color="auto" w:fill="FFFFFF"/>
            <w:vAlign w:val="center"/>
          </w:tcPr>
          <w:p w14:paraId="321A69C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0.888</w:t>
            </w:r>
          </w:p>
        </w:tc>
        <w:tc>
          <w:tcPr>
            <w:tcW w:w="959" w:type="dxa"/>
            <w:tcBorders>
              <w:left w:val="nil"/>
              <w:bottom w:val="nil"/>
              <w:right w:val="nil"/>
            </w:tcBorders>
            <w:vAlign w:val="center"/>
          </w:tcPr>
          <w:p w14:paraId="3A5841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val="restart"/>
            <w:tcBorders>
              <w:top w:val="single" w:sz="4" w:space="0" w:color="auto"/>
              <w:left w:val="nil"/>
              <w:bottom w:val="nil"/>
              <w:right w:val="nil"/>
            </w:tcBorders>
            <w:shd w:val="clear" w:color="auto" w:fill="FFFFFF"/>
            <w:vAlign w:val="center"/>
          </w:tcPr>
          <w:p w14:paraId="66C9EF7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0.958</w:t>
            </w:r>
          </w:p>
        </w:tc>
        <w:tc>
          <w:tcPr>
            <w:tcW w:w="1390" w:type="dxa"/>
            <w:vMerge w:val="restart"/>
            <w:tcBorders>
              <w:top w:val="single" w:sz="4" w:space="0" w:color="auto"/>
              <w:left w:val="nil"/>
              <w:bottom w:val="nil"/>
              <w:right w:val="nil"/>
            </w:tcBorders>
            <w:shd w:val="clear" w:color="auto" w:fill="FFFFFF"/>
            <w:vAlign w:val="center"/>
          </w:tcPr>
          <w:p w14:paraId="6BF4429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w:t>
            </w:r>
          </w:p>
        </w:tc>
        <w:tc>
          <w:tcPr>
            <w:tcW w:w="1201" w:type="dxa"/>
            <w:vMerge w:val="restart"/>
            <w:tcBorders>
              <w:top w:val="single" w:sz="4" w:space="0" w:color="auto"/>
              <w:left w:val="nil"/>
              <w:bottom w:val="nil"/>
              <w:right w:val="nil"/>
            </w:tcBorders>
            <w:shd w:val="clear" w:color="auto" w:fill="FFFFFF"/>
            <w:vAlign w:val="center"/>
          </w:tcPr>
          <w:p w14:paraId="14AC0BC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VWPN1</w:t>
            </w:r>
          </w:p>
        </w:tc>
        <w:tc>
          <w:tcPr>
            <w:tcW w:w="1590" w:type="dxa"/>
            <w:vMerge w:val="restart"/>
            <w:tcBorders>
              <w:top w:val="single" w:sz="4" w:space="0" w:color="auto"/>
              <w:left w:val="nil"/>
              <w:bottom w:val="nil"/>
              <w:right w:val="nil"/>
            </w:tcBorders>
            <w:shd w:val="clear" w:color="auto" w:fill="FFFFFF"/>
            <w:vAlign w:val="center"/>
          </w:tcPr>
          <w:p w14:paraId="274B9DB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Electronic insecurity</w:t>
            </w:r>
          </w:p>
        </w:tc>
      </w:tr>
      <w:tr w:rsidR="00A0618E" w:rsidRPr="00400193" w14:paraId="76A3D6B3" w14:textId="77777777" w:rsidTr="00834122">
        <w:trPr>
          <w:trHeight w:val="283"/>
        </w:trPr>
        <w:tc>
          <w:tcPr>
            <w:tcW w:w="993" w:type="dxa"/>
            <w:tcBorders>
              <w:top w:val="nil"/>
              <w:left w:val="nil"/>
              <w:bottom w:val="nil"/>
              <w:right w:val="nil"/>
            </w:tcBorders>
            <w:shd w:val="clear" w:color="auto" w:fill="auto"/>
            <w:vAlign w:val="center"/>
          </w:tcPr>
          <w:p w14:paraId="1EA595B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VWP9</w:t>
            </w:r>
          </w:p>
        </w:tc>
        <w:tc>
          <w:tcPr>
            <w:tcW w:w="1356" w:type="dxa"/>
            <w:tcBorders>
              <w:top w:val="nil"/>
              <w:left w:val="nil"/>
              <w:bottom w:val="nil"/>
              <w:right w:val="nil"/>
            </w:tcBorders>
            <w:shd w:val="clear" w:color="auto" w:fill="FFFFFF"/>
            <w:vAlign w:val="center"/>
          </w:tcPr>
          <w:p w14:paraId="516E8A1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0.886</w:t>
            </w:r>
          </w:p>
        </w:tc>
        <w:tc>
          <w:tcPr>
            <w:tcW w:w="959" w:type="dxa"/>
            <w:tcBorders>
              <w:top w:val="nil"/>
              <w:left w:val="nil"/>
              <w:bottom w:val="nil"/>
              <w:right w:val="nil"/>
            </w:tcBorders>
            <w:vAlign w:val="center"/>
          </w:tcPr>
          <w:p w14:paraId="18B5708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03AB87E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668A332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5ED8ADB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398D23D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D40DC45" w14:textId="77777777" w:rsidTr="00834122">
        <w:trPr>
          <w:trHeight w:val="283"/>
        </w:trPr>
        <w:tc>
          <w:tcPr>
            <w:tcW w:w="993" w:type="dxa"/>
            <w:tcBorders>
              <w:top w:val="nil"/>
              <w:left w:val="nil"/>
              <w:bottom w:val="nil"/>
              <w:right w:val="nil"/>
            </w:tcBorders>
            <w:shd w:val="clear" w:color="auto" w:fill="auto"/>
            <w:vAlign w:val="center"/>
          </w:tcPr>
          <w:p w14:paraId="06707FB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VWP10</w:t>
            </w:r>
          </w:p>
        </w:tc>
        <w:tc>
          <w:tcPr>
            <w:tcW w:w="1356" w:type="dxa"/>
            <w:tcBorders>
              <w:top w:val="nil"/>
              <w:left w:val="nil"/>
              <w:bottom w:val="nil"/>
              <w:right w:val="nil"/>
            </w:tcBorders>
            <w:shd w:val="clear" w:color="auto" w:fill="FFFFFF"/>
            <w:vAlign w:val="center"/>
          </w:tcPr>
          <w:p w14:paraId="24DFB47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0.868</w:t>
            </w:r>
          </w:p>
        </w:tc>
        <w:tc>
          <w:tcPr>
            <w:tcW w:w="959" w:type="dxa"/>
            <w:tcBorders>
              <w:top w:val="nil"/>
              <w:left w:val="nil"/>
              <w:bottom w:val="nil"/>
              <w:right w:val="nil"/>
            </w:tcBorders>
            <w:vAlign w:val="center"/>
          </w:tcPr>
          <w:p w14:paraId="351A38A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49FC44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6DD110B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087B6BE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01E6C5D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8847E2C" w14:textId="77777777" w:rsidTr="00834122">
        <w:trPr>
          <w:trHeight w:val="283"/>
        </w:trPr>
        <w:tc>
          <w:tcPr>
            <w:tcW w:w="993" w:type="dxa"/>
            <w:tcBorders>
              <w:top w:val="nil"/>
              <w:left w:val="nil"/>
              <w:bottom w:val="nil"/>
              <w:right w:val="nil"/>
            </w:tcBorders>
            <w:shd w:val="clear" w:color="auto" w:fill="auto"/>
            <w:vAlign w:val="center"/>
          </w:tcPr>
          <w:p w14:paraId="0C4EECA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VWP5</w:t>
            </w:r>
          </w:p>
        </w:tc>
        <w:tc>
          <w:tcPr>
            <w:tcW w:w="1356" w:type="dxa"/>
            <w:tcBorders>
              <w:top w:val="nil"/>
              <w:left w:val="nil"/>
              <w:bottom w:val="nil"/>
              <w:right w:val="nil"/>
            </w:tcBorders>
            <w:shd w:val="clear" w:color="auto" w:fill="FFFFFF"/>
            <w:vAlign w:val="center"/>
          </w:tcPr>
          <w:p w14:paraId="4AD9AC3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0.861</w:t>
            </w:r>
          </w:p>
        </w:tc>
        <w:tc>
          <w:tcPr>
            <w:tcW w:w="959" w:type="dxa"/>
            <w:tcBorders>
              <w:top w:val="nil"/>
              <w:left w:val="nil"/>
              <w:bottom w:val="nil"/>
              <w:right w:val="nil"/>
            </w:tcBorders>
            <w:vAlign w:val="center"/>
          </w:tcPr>
          <w:p w14:paraId="1BB141C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7A3478C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4A0976A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681AC0B5"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655FD53D"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66F09C0" w14:textId="77777777" w:rsidTr="00834122">
        <w:trPr>
          <w:trHeight w:val="283"/>
        </w:trPr>
        <w:tc>
          <w:tcPr>
            <w:tcW w:w="993" w:type="dxa"/>
            <w:tcBorders>
              <w:top w:val="nil"/>
              <w:left w:val="nil"/>
              <w:bottom w:val="nil"/>
              <w:right w:val="nil"/>
            </w:tcBorders>
            <w:shd w:val="clear" w:color="auto" w:fill="auto"/>
            <w:vAlign w:val="center"/>
          </w:tcPr>
          <w:p w14:paraId="7DE91ED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VWP7</w:t>
            </w:r>
          </w:p>
        </w:tc>
        <w:tc>
          <w:tcPr>
            <w:tcW w:w="1356" w:type="dxa"/>
            <w:tcBorders>
              <w:top w:val="nil"/>
              <w:left w:val="nil"/>
              <w:bottom w:val="nil"/>
              <w:right w:val="nil"/>
            </w:tcBorders>
            <w:shd w:val="clear" w:color="auto" w:fill="FFFFFF"/>
            <w:vAlign w:val="center"/>
          </w:tcPr>
          <w:p w14:paraId="7352366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0.846</w:t>
            </w:r>
          </w:p>
        </w:tc>
        <w:tc>
          <w:tcPr>
            <w:tcW w:w="959" w:type="dxa"/>
            <w:tcBorders>
              <w:top w:val="nil"/>
              <w:left w:val="nil"/>
              <w:bottom w:val="nil"/>
              <w:right w:val="nil"/>
            </w:tcBorders>
            <w:vAlign w:val="center"/>
          </w:tcPr>
          <w:p w14:paraId="33FD6B0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1BFFB72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3C21EAD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7C3B499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09831FFE"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73FEDBC" w14:textId="77777777" w:rsidTr="00834122">
        <w:trPr>
          <w:trHeight w:val="283"/>
        </w:trPr>
        <w:tc>
          <w:tcPr>
            <w:tcW w:w="993" w:type="dxa"/>
            <w:tcBorders>
              <w:top w:val="nil"/>
              <w:left w:val="nil"/>
              <w:bottom w:val="nil"/>
              <w:right w:val="nil"/>
            </w:tcBorders>
            <w:shd w:val="clear" w:color="auto" w:fill="auto"/>
            <w:vAlign w:val="center"/>
          </w:tcPr>
          <w:p w14:paraId="6CD5C03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VWP11</w:t>
            </w:r>
          </w:p>
        </w:tc>
        <w:tc>
          <w:tcPr>
            <w:tcW w:w="1356" w:type="dxa"/>
            <w:tcBorders>
              <w:top w:val="nil"/>
              <w:left w:val="nil"/>
              <w:bottom w:val="nil"/>
              <w:right w:val="nil"/>
            </w:tcBorders>
            <w:shd w:val="clear" w:color="auto" w:fill="FFFFFF"/>
            <w:vAlign w:val="center"/>
          </w:tcPr>
          <w:p w14:paraId="5F3D254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0.835</w:t>
            </w:r>
          </w:p>
        </w:tc>
        <w:tc>
          <w:tcPr>
            <w:tcW w:w="959" w:type="dxa"/>
            <w:tcBorders>
              <w:top w:val="nil"/>
              <w:left w:val="nil"/>
              <w:bottom w:val="nil"/>
              <w:right w:val="nil"/>
            </w:tcBorders>
            <w:vAlign w:val="center"/>
          </w:tcPr>
          <w:p w14:paraId="47CAE58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4DD4981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6FDB12E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42710760"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0534D79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E9AD5D1" w14:textId="77777777" w:rsidTr="00834122">
        <w:trPr>
          <w:trHeight w:val="283"/>
        </w:trPr>
        <w:tc>
          <w:tcPr>
            <w:tcW w:w="993" w:type="dxa"/>
            <w:tcBorders>
              <w:top w:val="nil"/>
              <w:left w:val="nil"/>
              <w:bottom w:val="nil"/>
              <w:right w:val="nil"/>
            </w:tcBorders>
            <w:shd w:val="clear" w:color="auto" w:fill="auto"/>
            <w:vAlign w:val="center"/>
          </w:tcPr>
          <w:p w14:paraId="4A90276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VWP8</w:t>
            </w:r>
          </w:p>
        </w:tc>
        <w:tc>
          <w:tcPr>
            <w:tcW w:w="1356" w:type="dxa"/>
            <w:tcBorders>
              <w:top w:val="nil"/>
              <w:left w:val="nil"/>
              <w:bottom w:val="nil"/>
              <w:right w:val="nil"/>
            </w:tcBorders>
            <w:shd w:val="clear" w:color="auto" w:fill="FFFFFF"/>
            <w:vAlign w:val="center"/>
          </w:tcPr>
          <w:p w14:paraId="1743852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0.815</w:t>
            </w:r>
          </w:p>
        </w:tc>
        <w:tc>
          <w:tcPr>
            <w:tcW w:w="959" w:type="dxa"/>
            <w:tcBorders>
              <w:top w:val="nil"/>
              <w:left w:val="nil"/>
              <w:bottom w:val="nil"/>
              <w:right w:val="nil"/>
            </w:tcBorders>
            <w:vAlign w:val="center"/>
          </w:tcPr>
          <w:p w14:paraId="1458565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1BF4A59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138159D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64613C1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014C13A8"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5067B1C" w14:textId="77777777" w:rsidTr="00834122">
        <w:trPr>
          <w:trHeight w:val="283"/>
        </w:trPr>
        <w:tc>
          <w:tcPr>
            <w:tcW w:w="993" w:type="dxa"/>
            <w:tcBorders>
              <w:top w:val="nil"/>
              <w:left w:val="nil"/>
              <w:bottom w:val="nil"/>
              <w:right w:val="nil"/>
            </w:tcBorders>
            <w:shd w:val="clear" w:color="auto" w:fill="auto"/>
            <w:vAlign w:val="center"/>
          </w:tcPr>
          <w:p w14:paraId="75099F3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VWP13</w:t>
            </w:r>
          </w:p>
        </w:tc>
        <w:tc>
          <w:tcPr>
            <w:tcW w:w="1356" w:type="dxa"/>
            <w:tcBorders>
              <w:top w:val="nil"/>
              <w:left w:val="nil"/>
              <w:bottom w:val="nil"/>
              <w:right w:val="nil"/>
            </w:tcBorders>
            <w:shd w:val="clear" w:color="auto" w:fill="FFFFFF"/>
            <w:vAlign w:val="center"/>
          </w:tcPr>
          <w:p w14:paraId="0D2D388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0.766</w:t>
            </w:r>
          </w:p>
        </w:tc>
        <w:tc>
          <w:tcPr>
            <w:tcW w:w="959" w:type="dxa"/>
            <w:tcBorders>
              <w:top w:val="nil"/>
              <w:left w:val="nil"/>
              <w:bottom w:val="nil"/>
              <w:right w:val="nil"/>
            </w:tcBorders>
            <w:vAlign w:val="center"/>
          </w:tcPr>
          <w:p w14:paraId="1ADE542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5E4F567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24B4646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377C891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3FA4817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440EA41" w14:textId="77777777" w:rsidTr="00834122">
        <w:trPr>
          <w:trHeight w:val="283"/>
        </w:trPr>
        <w:tc>
          <w:tcPr>
            <w:tcW w:w="993" w:type="dxa"/>
            <w:tcBorders>
              <w:top w:val="nil"/>
              <w:left w:val="nil"/>
              <w:bottom w:val="nil"/>
              <w:right w:val="nil"/>
            </w:tcBorders>
            <w:shd w:val="clear" w:color="auto" w:fill="auto"/>
            <w:vAlign w:val="center"/>
          </w:tcPr>
          <w:p w14:paraId="04AD975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VWP12</w:t>
            </w:r>
          </w:p>
        </w:tc>
        <w:tc>
          <w:tcPr>
            <w:tcW w:w="1356" w:type="dxa"/>
            <w:tcBorders>
              <w:top w:val="nil"/>
              <w:left w:val="nil"/>
              <w:bottom w:val="nil"/>
              <w:right w:val="nil"/>
            </w:tcBorders>
            <w:shd w:val="clear" w:color="auto" w:fill="FFFFFF"/>
            <w:vAlign w:val="center"/>
          </w:tcPr>
          <w:p w14:paraId="1293F15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0.758</w:t>
            </w:r>
          </w:p>
        </w:tc>
        <w:tc>
          <w:tcPr>
            <w:tcW w:w="959" w:type="dxa"/>
            <w:tcBorders>
              <w:top w:val="nil"/>
              <w:left w:val="nil"/>
              <w:bottom w:val="nil"/>
              <w:right w:val="nil"/>
            </w:tcBorders>
            <w:vAlign w:val="center"/>
          </w:tcPr>
          <w:p w14:paraId="509DB54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4D401A2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2F37BD8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086DE352"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7AB6720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06783B2" w14:textId="77777777" w:rsidTr="00834122">
        <w:trPr>
          <w:trHeight w:val="283"/>
        </w:trPr>
        <w:tc>
          <w:tcPr>
            <w:tcW w:w="993" w:type="dxa"/>
            <w:tcBorders>
              <w:top w:val="nil"/>
              <w:left w:val="nil"/>
              <w:bottom w:val="nil"/>
              <w:right w:val="nil"/>
            </w:tcBorders>
            <w:shd w:val="clear" w:color="auto" w:fill="auto"/>
            <w:vAlign w:val="center"/>
          </w:tcPr>
          <w:p w14:paraId="0967A18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VWP14</w:t>
            </w:r>
          </w:p>
        </w:tc>
        <w:tc>
          <w:tcPr>
            <w:tcW w:w="1356" w:type="dxa"/>
            <w:tcBorders>
              <w:top w:val="nil"/>
              <w:left w:val="nil"/>
              <w:bottom w:val="nil"/>
              <w:right w:val="nil"/>
            </w:tcBorders>
            <w:shd w:val="clear" w:color="auto" w:fill="FFFFFF"/>
            <w:vAlign w:val="center"/>
          </w:tcPr>
          <w:p w14:paraId="67AD3AD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0.755</w:t>
            </w:r>
          </w:p>
        </w:tc>
        <w:tc>
          <w:tcPr>
            <w:tcW w:w="959" w:type="dxa"/>
            <w:tcBorders>
              <w:top w:val="nil"/>
              <w:left w:val="nil"/>
              <w:bottom w:val="nil"/>
              <w:right w:val="nil"/>
            </w:tcBorders>
            <w:vAlign w:val="center"/>
          </w:tcPr>
          <w:p w14:paraId="7BB7592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537" w:type="dxa"/>
            <w:vMerge/>
            <w:tcBorders>
              <w:top w:val="nil"/>
              <w:left w:val="nil"/>
              <w:bottom w:val="nil"/>
              <w:right w:val="nil"/>
            </w:tcBorders>
            <w:vAlign w:val="center"/>
          </w:tcPr>
          <w:p w14:paraId="43E3B0C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11011E4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72F26F4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59A4554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60674BA" w14:textId="77777777" w:rsidTr="00834122">
        <w:trPr>
          <w:trHeight w:val="283"/>
        </w:trPr>
        <w:tc>
          <w:tcPr>
            <w:tcW w:w="993" w:type="dxa"/>
            <w:tcBorders>
              <w:top w:val="nil"/>
              <w:left w:val="nil"/>
              <w:bottom w:val="nil"/>
              <w:right w:val="nil"/>
            </w:tcBorders>
            <w:shd w:val="clear" w:color="auto" w:fill="auto"/>
            <w:vAlign w:val="center"/>
          </w:tcPr>
          <w:p w14:paraId="6E33F86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VWP4</w:t>
            </w:r>
          </w:p>
        </w:tc>
        <w:tc>
          <w:tcPr>
            <w:tcW w:w="1356" w:type="dxa"/>
            <w:tcBorders>
              <w:top w:val="nil"/>
              <w:left w:val="nil"/>
              <w:bottom w:val="nil"/>
              <w:right w:val="nil"/>
            </w:tcBorders>
            <w:shd w:val="clear" w:color="auto" w:fill="FFFFFF"/>
            <w:vAlign w:val="center"/>
          </w:tcPr>
          <w:p w14:paraId="5ACDCF8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59" w:type="dxa"/>
            <w:tcBorders>
              <w:top w:val="nil"/>
              <w:left w:val="nil"/>
              <w:bottom w:val="nil"/>
              <w:right w:val="nil"/>
            </w:tcBorders>
            <w:shd w:val="clear" w:color="auto" w:fill="FFFFFF"/>
            <w:vAlign w:val="center"/>
          </w:tcPr>
          <w:p w14:paraId="24A0345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0.745</w:t>
            </w:r>
          </w:p>
        </w:tc>
        <w:tc>
          <w:tcPr>
            <w:tcW w:w="1537" w:type="dxa"/>
            <w:vMerge w:val="restart"/>
            <w:tcBorders>
              <w:top w:val="nil"/>
              <w:left w:val="nil"/>
              <w:bottom w:val="nil"/>
              <w:right w:val="nil"/>
            </w:tcBorders>
            <w:shd w:val="clear" w:color="auto" w:fill="FFFFFF"/>
            <w:vAlign w:val="center"/>
          </w:tcPr>
          <w:p w14:paraId="3105629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0.547</w:t>
            </w:r>
          </w:p>
        </w:tc>
        <w:tc>
          <w:tcPr>
            <w:tcW w:w="1390" w:type="dxa"/>
            <w:vMerge w:val="restart"/>
            <w:tcBorders>
              <w:top w:val="nil"/>
              <w:left w:val="nil"/>
              <w:bottom w:val="nil"/>
              <w:right w:val="nil"/>
            </w:tcBorders>
            <w:shd w:val="clear" w:color="auto" w:fill="FFFFFF"/>
            <w:vAlign w:val="center"/>
          </w:tcPr>
          <w:p w14:paraId="36A5464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1201" w:type="dxa"/>
            <w:vMerge w:val="restart"/>
            <w:tcBorders>
              <w:top w:val="nil"/>
              <w:left w:val="nil"/>
              <w:bottom w:val="nil"/>
              <w:right w:val="nil"/>
            </w:tcBorders>
            <w:shd w:val="clear" w:color="auto" w:fill="FFFFFF"/>
            <w:vAlign w:val="center"/>
          </w:tcPr>
          <w:p w14:paraId="7D84F2F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VWPN2</w:t>
            </w:r>
          </w:p>
        </w:tc>
        <w:tc>
          <w:tcPr>
            <w:tcW w:w="1590" w:type="dxa"/>
            <w:vMerge w:val="restart"/>
            <w:tcBorders>
              <w:top w:val="nil"/>
              <w:left w:val="nil"/>
              <w:bottom w:val="nil"/>
              <w:right w:val="nil"/>
            </w:tcBorders>
            <w:shd w:val="clear" w:color="auto" w:fill="FFFFFF"/>
            <w:vAlign w:val="center"/>
          </w:tcPr>
          <w:p w14:paraId="706904C1" w14:textId="77777777" w:rsidR="006E3616" w:rsidRPr="00400193" w:rsidRDefault="006E3616" w:rsidP="003B5486">
            <w:pPr>
              <w:spacing w:line="240" w:lineRule="auto"/>
              <w:rPr>
                <w:rFonts w:asciiTheme="minorHAnsi" w:hAnsiTheme="minorHAnsi" w:cstheme="minorHAnsi"/>
                <w:sz w:val="20"/>
                <w:lang w:eastAsia="zh-CN" w:bidi="hi-IN"/>
              </w:rPr>
            </w:pPr>
            <w:r w:rsidRPr="00400193">
              <w:rPr>
                <w:rFonts w:asciiTheme="minorHAnsi" w:hAnsiTheme="minorHAnsi" w:cstheme="minorHAnsi"/>
                <w:sz w:val="20"/>
                <w:lang w:eastAsia="zh-CN" w:bidi="hi-IN"/>
              </w:rPr>
              <w:t>Physical</w:t>
            </w:r>
          </w:p>
          <w:p w14:paraId="07E84E0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 xml:space="preserve">Weaknesses </w:t>
            </w:r>
          </w:p>
        </w:tc>
      </w:tr>
      <w:tr w:rsidR="00A0618E" w:rsidRPr="00400193" w14:paraId="07D38550" w14:textId="77777777" w:rsidTr="00834122">
        <w:trPr>
          <w:trHeight w:val="283"/>
        </w:trPr>
        <w:tc>
          <w:tcPr>
            <w:tcW w:w="993" w:type="dxa"/>
            <w:tcBorders>
              <w:top w:val="nil"/>
              <w:left w:val="nil"/>
              <w:bottom w:val="nil"/>
              <w:right w:val="nil"/>
            </w:tcBorders>
            <w:shd w:val="clear" w:color="auto" w:fill="auto"/>
            <w:vAlign w:val="center"/>
          </w:tcPr>
          <w:p w14:paraId="70B8EC0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VWP2</w:t>
            </w:r>
          </w:p>
        </w:tc>
        <w:tc>
          <w:tcPr>
            <w:tcW w:w="1356" w:type="dxa"/>
            <w:tcBorders>
              <w:top w:val="nil"/>
              <w:left w:val="nil"/>
              <w:bottom w:val="nil"/>
              <w:right w:val="nil"/>
            </w:tcBorders>
            <w:shd w:val="clear" w:color="auto" w:fill="FFFFFF"/>
            <w:vAlign w:val="center"/>
          </w:tcPr>
          <w:p w14:paraId="01435DC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59" w:type="dxa"/>
            <w:tcBorders>
              <w:top w:val="nil"/>
              <w:left w:val="nil"/>
              <w:bottom w:val="nil"/>
              <w:right w:val="nil"/>
            </w:tcBorders>
            <w:shd w:val="clear" w:color="auto" w:fill="FFFFFF"/>
            <w:vAlign w:val="center"/>
          </w:tcPr>
          <w:p w14:paraId="107051D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0.713</w:t>
            </w:r>
          </w:p>
        </w:tc>
        <w:tc>
          <w:tcPr>
            <w:tcW w:w="1537" w:type="dxa"/>
            <w:vMerge/>
            <w:tcBorders>
              <w:top w:val="nil"/>
              <w:left w:val="nil"/>
              <w:bottom w:val="nil"/>
              <w:right w:val="nil"/>
            </w:tcBorders>
            <w:vAlign w:val="center"/>
          </w:tcPr>
          <w:p w14:paraId="3FFF61D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4359732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59A43D1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0CC8A0F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DEC1D9F" w14:textId="77777777" w:rsidTr="00834122">
        <w:trPr>
          <w:trHeight w:val="283"/>
        </w:trPr>
        <w:tc>
          <w:tcPr>
            <w:tcW w:w="993" w:type="dxa"/>
            <w:tcBorders>
              <w:top w:val="nil"/>
              <w:left w:val="nil"/>
              <w:bottom w:val="nil"/>
              <w:right w:val="nil"/>
            </w:tcBorders>
            <w:shd w:val="clear" w:color="auto" w:fill="auto"/>
            <w:vAlign w:val="center"/>
          </w:tcPr>
          <w:p w14:paraId="58AE0B4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VWP3</w:t>
            </w:r>
          </w:p>
        </w:tc>
        <w:tc>
          <w:tcPr>
            <w:tcW w:w="1356" w:type="dxa"/>
            <w:tcBorders>
              <w:top w:val="nil"/>
              <w:left w:val="nil"/>
              <w:bottom w:val="nil"/>
              <w:right w:val="nil"/>
            </w:tcBorders>
            <w:shd w:val="clear" w:color="auto" w:fill="FFFFFF"/>
            <w:vAlign w:val="center"/>
          </w:tcPr>
          <w:p w14:paraId="27F38BF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59" w:type="dxa"/>
            <w:tcBorders>
              <w:top w:val="nil"/>
              <w:left w:val="nil"/>
              <w:bottom w:val="nil"/>
              <w:right w:val="nil"/>
            </w:tcBorders>
            <w:shd w:val="clear" w:color="auto" w:fill="FFFFFF"/>
            <w:vAlign w:val="center"/>
          </w:tcPr>
          <w:p w14:paraId="454E6A0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0.650</w:t>
            </w:r>
          </w:p>
        </w:tc>
        <w:tc>
          <w:tcPr>
            <w:tcW w:w="1537" w:type="dxa"/>
            <w:vMerge/>
            <w:tcBorders>
              <w:top w:val="nil"/>
              <w:left w:val="nil"/>
              <w:bottom w:val="nil"/>
              <w:right w:val="nil"/>
            </w:tcBorders>
            <w:vAlign w:val="center"/>
          </w:tcPr>
          <w:p w14:paraId="6C45CDA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390" w:type="dxa"/>
            <w:vMerge/>
            <w:tcBorders>
              <w:top w:val="nil"/>
              <w:left w:val="nil"/>
              <w:bottom w:val="nil"/>
              <w:right w:val="nil"/>
            </w:tcBorders>
            <w:vAlign w:val="center"/>
          </w:tcPr>
          <w:p w14:paraId="4CEF745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01" w:type="dxa"/>
            <w:vMerge/>
            <w:tcBorders>
              <w:top w:val="nil"/>
              <w:left w:val="nil"/>
              <w:bottom w:val="nil"/>
              <w:right w:val="nil"/>
            </w:tcBorders>
            <w:vAlign w:val="center"/>
          </w:tcPr>
          <w:p w14:paraId="194EB3A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590" w:type="dxa"/>
            <w:vMerge/>
            <w:tcBorders>
              <w:top w:val="nil"/>
              <w:left w:val="nil"/>
              <w:bottom w:val="nil"/>
              <w:right w:val="nil"/>
            </w:tcBorders>
            <w:vAlign w:val="center"/>
          </w:tcPr>
          <w:p w14:paraId="7B4FC2A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182B8C8" w14:textId="77777777" w:rsidTr="00834122">
        <w:trPr>
          <w:trHeight w:val="283"/>
        </w:trPr>
        <w:tc>
          <w:tcPr>
            <w:tcW w:w="9026" w:type="dxa"/>
            <w:gridSpan w:val="7"/>
            <w:tcBorders>
              <w:left w:val="nil"/>
              <w:right w:val="nil"/>
            </w:tcBorders>
            <w:shd w:val="clear" w:color="auto" w:fill="auto"/>
            <w:vAlign w:val="center"/>
          </w:tcPr>
          <w:p w14:paraId="6069A5F5" w14:textId="3DE896DF"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r w:rsidR="002B4B41" w:rsidRPr="00400193">
              <w:rPr>
                <w:rFonts w:asciiTheme="minorHAnsi" w:hAnsiTheme="minorHAnsi" w:cstheme="minorHAnsi"/>
                <w:sz w:val="20"/>
                <w:lang w:eastAsia="zh-CN" w:bidi="hi-IN"/>
              </w:rPr>
              <w:t>.</w:t>
            </w:r>
          </w:p>
          <w:p w14:paraId="7F63C4D2" w14:textId="50109A1E" w:rsidR="002B4B41" w:rsidRPr="00400193" w:rsidRDefault="002B4B41"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7EF79A4F" w14:textId="2CC327AE" w:rsidR="006E3616" w:rsidRPr="00400193" w:rsidRDefault="006E3616" w:rsidP="006E3616">
      <w:pPr>
        <w:pStyle w:val="Caption"/>
        <w:spacing w:after="240"/>
      </w:pPr>
      <w:bookmarkStart w:id="541" w:name="_Ref43254951"/>
      <w:bookmarkStart w:id="542" w:name="_Toc5290159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45</w:t>
      </w:r>
      <w:r w:rsidRPr="00400193">
        <w:fldChar w:fldCharType="end"/>
      </w:r>
      <w:bookmarkEnd w:id="541"/>
      <w:r w:rsidRPr="00400193">
        <w:t>: Cronbach’s alpha, number of questions and rotated component matrix for VWP</w:t>
      </w:r>
      <w:bookmarkEnd w:id="542"/>
    </w:p>
    <w:p w14:paraId="7BE7B7BD" w14:textId="35099C1E" w:rsidR="006E3616" w:rsidRPr="00400193" w:rsidRDefault="006E3616" w:rsidP="006E3616">
      <w:r w:rsidRPr="00400193">
        <w:fldChar w:fldCharType="begin"/>
      </w:r>
      <w:r w:rsidRPr="00400193">
        <w:instrText xml:space="preserve"> REF _Ref43255127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46</w:t>
      </w:r>
      <w:r w:rsidRPr="00400193">
        <w:fldChar w:fldCharType="end"/>
      </w:r>
      <w:r w:rsidRPr="00400193">
        <w:t xml:space="preserve"> shows CR and AVE for each factor and MSW and ASV values. CR varied from 0.523 to 0.956, so the value for Factor 2 was lower than 0.7. AVE ranged from 0.447 to 0.688, with Factor 2 lower than 0.5. MSV (0.808) &gt; AVE and ASV (0.573) &gt; AVE for Factor 2. There were therefore problems with reliability, convergent validity, and discriminant validity for Factor 2. </w:t>
      </w:r>
    </w:p>
    <w:p w14:paraId="38A47881" w14:textId="77777777" w:rsidR="00834122" w:rsidRPr="00400193" w:rsidRDefault="00834122" w:rsidP="006E3616"/>
    <w:tbl>
      <w:tblPr>
        <w:tblStyle w:val="TableGrid"/>
        <w:tblW w:w="0" w:type="auto"/>
        <w:tblLook w:val="04A0" w:firstRow="1" w:lastRow="0" w:firstColumn="1" w:lastColumn="0" w:noHBand="0" w:noVBand="1"/>
      </w:tblPr>
      <w:tblGrid>
        <w:gridCol w:w="4390"/>
        <w:gridCol w:w="2409"/>
        <w:gridCol w:w="2217"/>
      </w:tblGrid>
      <w:tr w:rsidR="00A0618E" w:rsidRPr="00400193" w14:paraId="49C2A716" w14:textId="77777777" w:rsidTr="00834122">
        <w:trPr>
          <w:trHeight w:val="283"/>
        </w:trPr>
        <w:tc>
          <w:tcPr>
            <w:tcW w:w="4390" w:type="dxa"/>
            <w:tcBorders>
              <w:top w:val="single" w:sz="4" w:space="0" w:color="auto"/>
              <w:left w:val="nil"/>
              <w:bottom w:val="single" w:sz="4" w:space="0" w:color="auto"/>
              <w:right w:val="nil"/>
            </w:tcBorders>
            <w:vAlign w:val="center"/>
          </w:tcPr>
          <w:p w14:paraId="0380D55C"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lastRenderedPageBreak/>
              <w:t>Parameters</w:t>
            </w:r>
          </w:p>
        </w:tc>
        <w:tc>
          <w:tcPr>
            <w:tcW w:w="2409" w:type="dxa"/>
            <w:tcBorders>
              <w:top w:val="single" w:sz="4" w:space="0" w:color="auto"/>
              <w:left w:val="nil"/>
              <w:bottom w:val="single" w:sz="4" w:space="0" w:color="auto"/>
              <w:right w:val="nil"/>
            </w:tcBorders>
            <w:vAlign w:val="center"/>
          </w:tcPr>
          <w:p w14:paraId="0085DC1B"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2217" w:type="dxa"/>
            <w:tcBorders>
              <w:top w:val="single" w:sz="4" w:space="0" w:color="auto"/>
              <w:left w:val="nil"/>
              <w:bottom w:val="single" w:sz="4" w:space="0" w:color="auto"/>
              <w:right w:val="nil"/>
            </w:tcBorders>
            <w:vAlign w:val="center"/>
          </w:tcPr>
          <w:p w14:paraId="2A599555"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r>
      <w:tr w:rsidR="00A0618E" w:rsidRPr="00400193" w14:paraId="06DB722F" w14:textId="77777777" w:rsidTr="00834122">
        <w:trPr>
          <w:trHeight w:val="283"/>
        </w:trPr>
        <w:tc>
          <w:tcPr>
            <w:tcW w:w="4390" w:type="dxa"/>
            <w:tcBorders>
              <w:top w:val="single" w:sz="4" w:space="0" w:color="auto"/>
              <w:left w:val="nil"/>
              <w:bottom w:val="nil"/>
              <w:right w:val="nil"/>
            </w:tcBorders>
            <w:vAlign w:val="center"/>
          </w:tcPr>
          <w:p w14:paraId="4B90C7BA"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2409" w:type="dxa"/>
            <w:tcBorders>
              <w:top w:val="single" w:sz="4" w:space="0" w:color="auto"/>
              <w:left w:val="nil"/>
              <w:bottom w:val="nil"/>
              <w:right w:val="nil"/>
            </w:tcBorders>
            <w:vAlign w:val="center"/>
          </w:tcPr>
          <w:p w14:paraId="0C4B0CB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0.956</w:t>
            </w:r>
          </w:p>
        </w:tc>
        <w:tc>
          <w:tcPr>
            <w:tcW w:w="2217" w:type="dxa"/>
            <w:tcBorders>
              <w:top w:val="single" w:sz="4" w:space="0" w:color="auto"/>
              <w:left w:val="nil"/>
              <w:bottom w:val="nil"/>
              <w:right w:val="nil"/>
            </w:tcBorders>
            <w:vAlign w:val="center"/>
          </w:tcPr>
          <w:p w14:paraId="3634137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0.523</w:t>
            </w:r>
          </w:p>
        </w:tc>
      </w:tr>
      <w:tr w:rsidR="00A0618E" w:rsidRPr="00400193" w14:paraId="274817A5" w14:textId="77777777" w:rsidTr="00834122">
        <w:trPr>
          <w:trHeight w:val="283"/>
        </w:trPr>
        <w:tc>
          <w:tcPr>
            <w:tcW w:w="4390" w:type="dxa"/>
            <w:tcBorders>
              <w:top w:val="nil"/>
              <w:left w:val="nil"/>
              <w:bottom w:val="nil"/>
              <w:right w:val="nil"/>
            </w:tcBorders>
            <w:vAlign w:val="center"/>
          </w:tcPr>
          <w:p w14:paraId="2BB8202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2409" w:type="dxa"/>
            <w:tcBorders>
              <w:top w:val="nil"/>
              <w:left w:val="nil"/>
              <w:bottom w:val="nil"/>
              <w:right w:val="nil"/>
            </w:tcBorders>
            <w:vAlign w:val="center"/>
          </w:tcPr>
          <w:p w14:paraId="51B68961"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0.688</w:t>
            </w:r>
          </w:p>
        </w:tc>
        <w:tc>
          <w:tcPr>
            <w:tcW w:w="2217" w:type="dxa"/>
            <w:tcBorders>
              <w:top w:val="nil"/>
              <w:left w:val="nil"/>
              <w:bottom w:val="nil"/>
              <w:right w:val="nil"/>
            </w:tcBorders>
            <w:vAlign w:val="center"/>
          </w:tcPr>
          <w:p w14:paraId="62C128D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0.447</w:t>
            </w:r>
          </w:p>
        </w:tc>
      </w:tr>
      <w:tr w:rsidR="00A0618E" w:rsidRPr="00400193" w14:paraId="49335C96" w14:textId="77777777" w:rsidTr="00834122">
        <w:trPr>
          <w:trHeight w:val="283"/>
        </w:trPr>
        <w:tc>
          <w:tcPr>
            <w:tcW w:w="4390" w:type="dxa"/>
            <w:tcBorders>
              <w:top w:val="nil"/>
              <w:left w:val="nil"/>
              <w:bottom w:val="nil"/>
              <w:right w:val="nil"/>
            </w:tcBorders>
            <w:vAlign w:val="center"/>
          </w:tcPr>
          <w:p w14:paraId="13BFEB7D"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2409" w:type="dxa"/>
            <w:tcBorders>
              <w:top w:val="nil"/>
              <w:left w:val="nil"/>
              <w:bottom w:val="nil"/>
              <w:right w:val="nil"/>
            </w:tcBorders>
            <w:vAlign w:val="center"/>
          </w:tcPr>
          <w:p w14:paraId="44B9C605"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0.808</w:t>
            </w:r>
          </w:p>
        </w:tc>
        <w:tc>
          <w:tcPr>
            <w:tcW w:w="2217" w:type="dxa"/>
            <w:tcBorders>
              <w:top w:val="nil"/>
              <w:left w:val="nil"/>
              <w:bottom w:val="nil"/>
              <w:right w:val="nil"/>
            </w:tcBorders>
            <w:vAlign w:val="center"/>
          </w:tcPr>
          <w:p w14:paraId="25EE7CB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r>
      <w:tr w:rsidR="00A0618E" w:rsidRPr="00400193" w14:paraId="38ACC332" w14:textId="77777777" w:rsidTr="00834122">
        <w:trPr>
          <w:trHeight w:val="283"/>
        </w:trPr>
        <w:tc>
          <w:tcPr>
            <w:tcW w:w="4390" w:type="dxa"/>
            <w:tcBorders>
              <w:top w:val="nil"/>
              <w:left w:val="nil"/>
              <w:bottom w:val="single" w:sz="4" w:space="0" w:color="auto"/>
              <w:right w:val="nil"/>
            </w:tcBorders>
            <w:vAlign w:val="center"/>
          </w:tcPr>
          <w:p w14:paraId="5273B3BE"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2409" w:type="dxa"/>
            <w:tcBorders>
              <w:top w:val="nil"/>
              <w:left w:val="nil"/>
              <w:bottom w:val="single" w:sz="4" w:space="0" w:color="auto"/>
              <w:right w:val="nil"/>
            </w:tcBorders>
            <w:vAlign w:val="center"/>
          </w:tcPr>
          <w:p w14:paraId="3BC3644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0.573</w:t>
            </w:r>
          </w:p>
        </w:tc>
        <w:tc>
          <w:tcPr>
            <w:tcW w:w="2217" w:type="dxa"/>
            <w:tcBorders>
              <w:top w:val="nil"/>
              <w:left w:val="nil"/>
              <w:right w:val="nil"/>
            </w:tcBorders>
            <w:vAlign w:val="center"/>
          </w:tcPr>
          <w:p w14:paraId="51EAD2FB" w14:textId="77777777" w:rsidR="006E3616" w:rsidRPr="00400193" w:rsidRDefault="006E3616" w:rsidP="003B5486">
            <w:pPr>
              <w:keepNext/>
              <w:spacing w:line="240" w:lineRule="auto"/>
              <w:jc w:val="left"/>
              <w:rPr>
                <w:rFonts w:asciiTheme="minorHAnsi" w:hAnsiTheme="minorHAnsi" w:cstheme="minorHAnsi"/>
                <w:sz w:val="20"/>
                <w:szCs w:val="18"/>
                <w:lang w:eastAsia="zh-CN" w:bidi="hi-IN"/>
              </w:rPr>
            </w:pPr>
          </w:p>
        </w:tc>
      </w:tr>
    </w:tbl>
    <w:p w14:paraId="56C9311A" w14:textId="660A2AEE" w:rsidR="006E3616" w:rsidRPr="00400193" w:rsidRDefault="006E3616" w:rsidP="006E3616">
      <w:pPr>
        <w:pStyle w:val="Caption"/>
        <w:spacing w:after="240"/>
      </w:pPr>
      <w:bookmarkStart w:id="543" w:name="_Ref43255127"/>
      <w:bookmarkStart w:id="544" w:name="_Toc5290159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46</w:t>
      </w:r>
      <w:r w:rsidRPr="00400193">
        <w:fldChar w:fldCharType="end"/>
      </w:r>
      <w:bookmarkEnd w:id="543"/>
      <w:r w:rsidRPr="00400193">
        <w:t>: Average variance extracted (AVE), composite reliability (CR), maximum shared variance (MSV) and average shared variance (ASV) for VWP</w:t>
      </w:r>
      <w:bookmarkEnd w:id="544"/>
    </w:p>
    <w:p w14:paraId="7F6D8769" w14:textId="77777777" w:rsidR="006E3616" w:rsidRPr="00400193" w:rsidRDefault="006E3616" w:rsidP="006E3616">
      <w:pPr>
        <w:pStyle w:val="Heading3"/>
        <w:rPr>
          <w:lang w:eastAsia="zh-CN" w:bidi="hi-IN"/>
        </w:rPr>
      </w:pPr>
      <w:bookmarkStart w:id="545" w:name="_Toc61894763"/>
      <w:bookmarkEnd w:id="534"/>
      <w:bookmarkEnd w:id="535"/>
      <w:bookmarkEnd w:id="536"/>
      <w:r w:rsidRPr="00400193">
        <w:rPr>
          <w:lang w:eastAsia="zh-CN" w:bidi="hi-IN"/>
        </w:rPr>
        <w:t>Responses in Place (RP)</w:t>
      </w:r>
      <w:bookmarkEnd w:id="545"/>
    </w:p>
    <w:p w14:paraId="27F0C699" w14:textId="5FCFDC13"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_Ref43255289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47</w:t>
      </w:r>
      <w:r w:rsidRPr="00400193">
        <w:rPr>
          <w:lang w:eastAsia="zh-CN" w:bidi="hi-IN"/>
        </w:rPr>
        <w:fldChar w:fldCharType="end"/>
      </w:r>
      <w:r w:rsidRPr="00400193">
        <w:rPr>
          <w:lang w:eastAsia="zh-CN" w:bidi="hi-IN"/>
        </w:rPr>
        <w:t xml:space="preserve">) </w:t>
      </w:r>
      <w:r w:rsidR="001F0C59" w:rsidRPr="00400193">
        <w:rPr>
          <w:lang w:eastAsia="zh-CN" w:bidi="hi-IN"/>
        </w:rPr>
        <w:t>validates</w:t>
      </w:r>
      <w:r w:rsidR="001F0C59" w:rsidRPr="00400193" w:rsidDel="001F0C59">
        <w:rPr>
          <w:lang w:eastAsia="zh-CN" w:bidi="hi-IN"/>
        </w:rPr>
        <w:t xml:space="preserve"> </w:t>
      </w:r>
      <w:r w:rsidRPr="00400193">
        <w:rPr>
          <w:lang w:eastAsia="zh-CN" w:bidi="hi-IN"/>
        </w:rPr>
        <w:t>the selection of three main components, which explained 69.6% of the variance. This resulted in the loss of 30.4% of the original information from the 18 initial variables. The cumulative percentage of variance explained by the first, second and third components was 32.1%, 52.5% and 69.6%, across 8.3, 3.1 and 1.1 variables.</w:t>
      </w:r>
    </w:p>
    <w:tbl>
      <w:tblPr>
        <w:tblStyle w:val="TableGrid"/>
        <w:tblW w:w="8987" w:type="dxa"/>
        <w:tblLayout w:type="fixed"/>
        <w:tblLook w:val="04A0" w:firstRow="1" w:lastRow="0" w:firstColumn="1" w:lastColumn="0" w:noHBand="0" w:noVBand="1"/>
      </w:tblPr>
      <w:tblGrid>
        <w:gridCol w:w="709"/>
        <w:gridCol w:w="709"/>
        <w:gridCol w:w="992"/>
        <w:gridCol w:w="1134"/>
        <w:gridCol w:w="709"/>
        <w:gridCol w:w="907"/>
        <w:gridCol w:w="1134"/>
        <w:gridCol w:w="85"/>
        <w:gridCol w:w="624"/>
        <w:gridCol w:w="907"/>
        <w:gridCol w:w="1021"/>
        <w:gridCol w:w="56"/>
      </w:tblGrid>
      <w:tr w:rsidR="006E3616" w:rsidRPr="00400193" w14:paraId="73CA18B4" w14:textId="77777777" w:rsidTr="00834122">
        <w:trPr>
          <w:gridAfter w:val="1"/>
          <w:wAfter w:w="56" w:type="dxa"/>
          <w:cantSplit/>
          <w:trHeight w:val="283"/>
        </w:trPr>
        <w:tc>
          <w:tcPr>
            <w:tcW w:w="709" w:type="dxa"/>
            <w:vMerge w:val="restart"/>
            <w:tcBorders>
              <w:left w:val="nil"/>
              <w:right w:val="nil"/>
            </w:tcBorders>
            <w:textDirection w:val="btLr"/>
          </w:tcPr>
          <w:p w14:paraId="5AFFB45F" w14:textId="2457CEFE" w:rsidR="006E3616" w:rsidRPr="00400193" w:rsidRDefault="006E3616" w:rsidP="00834122">
            <w:pPr>
              <w:spacing w:line="240" w:lineRule="auto"/>
              <w:ind w:left="113" w:right="113"/>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Latent Variable</w:t>
            </w:r>
          </w:p>
        </w:tc>
        <w:tc>
          <w:tcPr>
            <w:tcW w:w="2835" w:type="dxa"/>
            <w:gridSpan w:val="3"/>
            <w:tcBorders>
              <w:left w:val="nil"/>
              <w:bottom w:val="nil"/>
              <w:right w:val="nil"/>
            </w:tcBorders>
            <w:vAlign w:val="center"/>
          </w:tcPr>
          <w:p w14:paraId="1EB783B8"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Initial Eigenvalues</w:t>
            </w:r>
          </w:p>
        </w:tc>
        <w:tc>
          <w:tcPr>
            <w:tcW w:w="2835" w:type="dxa"/>
            <w:gridSpan w:val="4"/>
            <w:tcBorders>
              <w:left w:val="nil"/>
              <w:bottom w:val="nil"/>
              <w:right w:val="nil"/>
            </w:tcBorders>
            <w:vAlign w:val="center"/>
          </w:tcPr>
          <w:p w14:paraId="0144F035"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Extraction Sums of Squared Loadings</w:t>
            </w:r>
          </w:p>
        </w:tc>
        <w:tc>
          <w:tcPr>
            <w:tcW w:w="2552" w:type="dxa"/>
            <w:gridSpan w:val="3"/>
            <w:tcBorders>
              <w:left w:val="nil"/>
              <w:bottom w:val="nil"/>
              <w:right w:val="nil"/>
            </w:tcBorders>
            <w:vAlign w:val="center"/>
          </w:tcPr>
          <w:p w14:paraId="4CBFC3DF"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Rotation Sums of Squared Loadings</w:t>
            </w:r>
          </w:p>
        </w:tc>
      </w:tr>
      <w:tr w:rsidR="00834122" w:rsidRPr="00400193" w14:paraId="28CA8EF3" w14:textId="77777777" w:rsidTr="00834122">
        <w:trPr>
          <w:cantSplit/>
          <w:trHeight w:val="283"/>
        </w:trPr>
        <w:tc>
          <w:tcPr>
            <w:tcW w:w="709" w:type="dxa"/>
            <w:vMerge/>
            <w:tcBorders>
              <w:left w:val="nil"/>
              <w:right w:val="nil"/>
            </w:tcBorders>
            <w:vAlign w:val="center"/>
          </w:tcPr>
          <w:p w14:paraId="2B229CC4"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709" w:type="dxa"/>
            <w:tcBorders>
              <w:top w:val="nil"/>
              <w:left w:val="nil"/>
              <w:bottom w:val="single" w:sz="4" w:space="0" w:color="auto"/>
              <w:right w:val="nil"/>
            </w:tcBorders>
            <w:shd w:val="clear" w:color="auto" w:fill="auto"/>
            <w:vAlign w:val="center"/>
          </w:tcPr>
          <w:p w14:paraId="69E4C9EA"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92" w:type="dxa"/>
            <w:tcBorders>
              <w:top w:val="nil"/>
              <w:left w:val="nil"/>
              <w:bottom w:val="single" w:sz="4" w:space="0" w:color="auto"/>
              <w:right w:val="nil"/>
            </w:tcBorders>
            <w:shd w:val="clear" w:color="auto" w:fill="auto"/>
            <w:vAlign w:val="center"/>
          </w:tcPr>
          <w:p w14:paraId="0923177D"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134" w:type="dxa"/>
            <w:tcBorders>
              <w:top w:val="nil"/>
              <w:left w:val="nil"/>
              <w:bottom w:val="single" w:sz="4" w:space="0" w:color="auto"/>
              <w:right w:val="nil"/>
            </w:tcBorders>
            <w:shd w:val="clear" w:color="auto" w:fill="auto"/>
            <w:vAlign w:val="center"/>
          </w:tcPr>
          <w:p w14:paraId="2248C518"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c>
          <w:tcPr>
            <w:tcW w:w="709" w:type="dxa"/>
            <w:tcBorders>
              <w:top w:val="nil"/>
              <w:left w:val="nil"/>
              <w:bottom w:val="single" w:sz="4" w:space="0" w:color="auto"/>
              <w:right w:val="nil"/>
            </w:tcBorders>
            <w:shd w:val="clear" w:color="auto" w:fill="auto"/>
            <w:vAlign w:val="center"/>
          </w:tcPr>
          <w:p w14:paraId="5CBDE36A"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07" w:type="dxa"/>
            <w:tcBorders>
              <w:top w:val="nil"/>
              <w:left w:val="nil"/>
              <w:bottom w:val="single" w:sz="4" w:space="0" w:color="auto"/>
              <w:right w:val="nil"/>
            </w:tcBorders>
            <w:shd w:val="clear" w:color="auto" w:fill="auto"/>
            <w:vAlign w:val="center"/>
          </w:tcPr>
          <w:p w14:paraId="7BCA2E1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134" w:type="dxa"/>
            <w:tcBorders>
              <w:top w:val="nil"/>
              <w:left w:val="nil"/>
              <w:bottom w:val="single" w:sz="4" w:space="0" w:color="auto"/>
              <w:right w:val="nil"/>
            </w:tcBorders>
            <w:shd w:val="clear" w:color="auto" w:fill="auto"/>
            <w:vAlign w:val="center"/>
          </w:tcPr>
          <w:p w14:paraId="1657780F"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c>
          <w:tcPr>
            <w:tcW w:w="709" w:type="dxa"/>
            <w:gridSpan w:val="2"/>
            <w:tcBorders>
              <w:top w:val="nil"/>
              <w:left w:val="nil"/>
              <w:bottom w:val="single" w:sz="4" w:space="0" w:color="auto"/>
              <w:right w:val="nil"/>
            </w:tcBorders>
            <w:shd w:val="clear" w:color="auto" w:fill="auto"/>
            <w:vAlign w:val="center"/>
          </w:tcPr>
          <w:p w14:paraId="34A59E68"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07" w:type="dxa"/>
            <w:tcBorders>
              <w:top w:val="nil"/>
              <w:left w:val="nil"/>
              <w:bottom w:val="single" w:sz="4" w:space="0" w:color="auto"/>
              <w:right w:val="nil"/>
            </w:tcBorders>
            <w:shd w:val="clear" w:color="auto" w:fill="auto"/>
            <w:vAlign w:val="center"/>
          </w:tcPr>
          <w:p w14:paraId="50BAD625"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077" w:type="dxa"/>
            <w:gridSpan w:val="2"/>
            <w:tcBorders>
              <w:top w:val="nil"/>
              <w:left w:val="nil"/>
              <w:bottom w:val="single" w:sz="4" w:space="0" w:color="auto"/>
              <w:right w:val="nil"/>
            </w:tcBorders>
            <w:shd w:val="clear" w:color="auto" w:fill="auto"/>
            <w:vAlign w:val="center"/>
          </w:tcPr>
          <w:p w14:paraId="2AB62588"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r>
      <w:tr w:rsidR="00834122" w:rsidRPr="00400193" w14:paraId="7CEC2DDE" w14:textId="77777777" w:rsidTr="00834122">
        <w:trPr>
          <w:cantSplit/>
          <w:trHeight w:val="283"/>
        </w:trPr>
        <w:tc>
          <w:tcPr>
            <w:tcW w:w="709" w:type="dxa"/>
            <w:tcBorders>
              <w:top w:val="single" w:sz="4" w:space="0" w:color="auto"/>
              <w:left w:val="nil"/>
              <w:bottom w:val="single" w:sz="8" w:space="0" w:color="AEAEAE"/>
              <w:right w:val="nil"/>
            </w:tcBorders>
            <w:shd w:val="clear" w:color="auto" w:fill="auto"/>
            <w:vAlign w:val="center"/>
          </w:tcPr>
          <w:p w14:paraId="7DDAD11F"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709" w:type="dxa"/>
            <w:tcBorders>
              <w:top w:val="single" w:sz="4" w:space="0" w:color="auto"/>
              <w:left w:val="nil"/>
              <w:bottom w:val="single" w:sz="8" w:space="0" w:color="AEAEAE"/>
              <w:right w:val="nil"/>
            </w:tcBorders>
            <w:shd w:val="clear" w:color="auto" w:fill="auto"/>
            <w:vAlign w:val="center"/>
          </w:tcPr>
          <w:p w14:paraId="4E95921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8.348</w:t>
            </w:r>
          </w:p>
        </w:tc>
        <w:tc>
          <w:tcPr>
            <w:tcW w:w="992" w:type="dxa"/>
            <w:tcBorders>
              <w:top w:val="single" w:sz="4" w:space="0" w:color="auto"/>
              <w:left w:val="nil"/>
              <w:bottom w:val="single" w:sz="8" w:space="0" w:color="AEAEAE"/>
              <w:right w:val="nil"/>
            </w:tcBorders>
            <w:shd w:val="clear" w:color="auto" w:fill="auto"/>
            <w:vAlign w:val="center"/>
          </w:tcPr>
          <w:p w14:paraId="5B1251B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46.381</w:t>
            </w:r>
          </w:p>
        </w:tc>
        <w:tc>
          <w:tcPr>
            <w:tcW w:w="1134" w:type="dxa"/>
            <w:tcBorders>
              <w:top w:val="single" w:sz="4" w:space="0" w:color="auto"/>
              <w:left w:val="nil"/>
              <w:bottom w:val="single" w:sz="8" w:space="0" w:color="AEAEAE"/>
              <w:right w:val="nil"/>
            </w:tcBorders>
            <w:shd w:val="clear" w:color="auto" w:fill="auto"/>
            <w:vAlign w:val="center"/>
          </w:tcPr>
          <w:p w14:paraId="68D51598"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46.381</w:t>
            </w:r>
          </w:p>
        </w:tc>
        <w:tc>
          <w:tcPr>
            <w:tcW w:w="709" w:type="dxa"/>
            <w:tcBorders>
              <w:top w:val="single" w:sz="4" w:space="0" w:color="auto"/>
              <w:left w:val="nil"/>
              <w:bottom w:val="single" w:sz="8" w:space="0" w:color="AEAEAE"/>
              <w:right w:val="nil"/>
            </w:tcBorders>
            <w:shd w:val="clear" w:color="auto" w:fill="auto"/>
            <w:vAlign w:val="center"/>
          </w:tcPr>
          <w:p w14:paraId="51AA52B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8.348</w:t>
            </w:r>
          </w:p>
        </w:tc>
        <w:tc>
          <w:tcPr>
            <w:tcW w:w="907" w:type="dxa"/>
            <w:tcBorders>
              <w:top w:val="single" w:sz="4" w:space="0" w:color="auto"/>
              <w:left w:val="nil"/>
              <w:bottom w:val="single" w:sz="8" w:space="0" w:color="AEAEAE"/>
              <w:right w:val="nil"/>
            </w:tcBorders>
            <w:shd w:val="clear" w:color="auto" w:fill="auto"/>
            <w:vAlign w:val="center"/>
          </w:tcPr>
          <w:p w14:paraId="0E332E6A"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46.381</w:t>
            </w:r>
          </w:p>
        </w:tc>
        <w:tc>
          <w:tcPr>
            <w:tcW w:w="1134" w:type="dxa"/>
            <w:tcBorders>
              <w:top w:val="single" w:sz="4" w:space="0" w:color="auto"/>
              <w:left w:val="nil"/>
              <w:bottom w:val="single" w:sz="8" w:space="0" w:color="AEAEAE"/>
              <w:right w:val="nil"/>
            </w:tcBorders>
            <w:shd w:val="clear" w:color="auto" w:fill="auto"/>
            <w:vAlign w:val="center"/>
          </w:tcPr>
          <w:p w14:paraId="5C88516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46.381</w:t>
            </w:r>
          </w:p>
        </w:tc>
        <w:tc>
          <w:tcPr>
            <w:tcW w:w="709" w:type="dxa"/>
            <w:gridSpan w:val="2"/>
            <w:tcBorders>
              <w:top w:val="single" w:sz="4" w:space="0" w:color="auto"/>
              <w:left w:val="nil"/>
              <w:bottom w:val="single" w:sz="8" w:space="0" w:color="AEAEAE"/>
              <w:right w:val="nil"/>
            </w:tcBorders>
            <w:shd w:val="clear" w:color="auto" w:fill="auto"/>
            <w:vAlign w:val="center"/>
          </w:tcPr>
          <w:p w14:paraId="74A6CAE8"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5.772</w:t>
            </w:r>
          </w:p>
        </w:tc>
        <w:tc>
          <w:tcPr>
            <w:tcW w:w="907" w:type="dxa"/>
            <w:tcBorders>
              <w:top w:val="single" w:sz="4" w:space="0" w:color="auto"/>
              <w:left w:val="nil"/>
              <w:bottom w:val="single" w:sz="8" w:space="0" w:color="AEAEAE"/>
              <w:right w:val="nil"/>
            </w:tcBorders>
            <w:shd w:val="clear" w:color="auto" w:fill="auto"/>
            <w:vAlign w:val="center"/>
          </w:tcPr>
          <w:p w14:paraId="3DC309DD"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32.066</w:t>
            </w:r>
          </w:p>
        </w:tc>
        <w:tc>
          <w:tcPr>
            <w:tcW w:w="1077" w:type="dxa"/>
            <w:gridSpan w:val="2"/>
            <w:tcBorders>
              <w:top w:val="single" w:sz="4" w:space="0" w:color="auto"/>
              <w:left w:val="nil"/>
              <w:bottom w:val="single" w:sz="8" w:space="0" w:color="AEAEAE"/>
              <w:right w:val="nil"/>
            </w:tcBorders>
            <w:shd w:val="clear" w:color="auto" w:fill="auto"/>
            <w:vAlign w:val="center"/>
          </w:tcPr>
          <w:p w14:paraId="7E5E263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32.066</w:t>
            </w:r>
          </w:p>
        </w:tc>
      </w:tr>
      <w:tr w:rsidR="00834122" w:rsidRPr="00400193" w14:paraId="5A917B70" w14:textId="77777777" w:rsidTr="00834122">
        <w:trPr>
          <w:cantSplit/>
          <w:trHeight w:val="283"/>
        </w:trPr>
        <w:tc>
          <w:tcPr>
            <w:tcW w:w="709" w:type="dxa"/>
            <w:tcBorders>
              <w:top w:val="single" w:sz="8" w:space="0" w:color="AEAEAE"/>
              <w:left w:val="nil"/>
              <w:bottom w:val="single" w:sz="8" w:space="0" w:color="AEAEAE"/>
              <w:right w:val="nil"/>
            </w:tcBorders>
            <w:shd w:val="clear" w:color="auto" w:fill="auto"/>
            <w:vAlign w:val="center"/>
          </w:tcPr>
          <w:p w14:paraId="0BA8987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w:t>
            </w:r>
          </w:p>
        </w:tc>
        <w:tc>
          <w:tcPr>
            <w:tcW w:w="709" w:type="dxa"/>
            <w:tcBorders>
              <w:top w:val="single" w:sz="8" w:space="0" w:color="AEAEAE"/>
              <w:left w:val="nil"/>
              <w:bottom w:val="single" w:sz="8" w:space="0" w:color="AEAEAE"/>
              <w:right w:val="nil"/>
            </w:tcBorders>
            <w:shd w:val="clear" w:color="auto" w:fill="auto"/>
            <w:vAlign w:val="center"/>
          </w:tcPr>
          <w:p w14:paraId="5DED8F4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3.052</w:t>
            </w:r>
          </w:p>
        </w:tc>
        <w:tc>
          <w:tcPr>
            <w:tcW w:w="992" w:type="dxa"/>
            <w:tcBorders>
              <w:top w:val="single" w:sz="8" w:space="0" w:color="AEAEAE"/>
              <w:left w:val="nil"/>
              <w:bottom w:val="single" w:sz="8" w:space="0" w:color="AEAEAE"/>
              <w:right w:val="nil"/>
            </w:tcBorders>
            <w:shd w:val="clear" w:color="auto" w:fill="auto"/>
            <w:vAlign w:val="center"/>
          </w:tcPr>
          <w:p w14:paraId="7D9D86C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16.958</w:t>
            </w:r>
          </w:p>
        </w:tc>
        <w:tc>
          <w:tcPr>
            <w:tcW w:w="1134" w:type="dxa"/>
            <w:tcBorders>
              <w:top w:val="single" w:sz="8" w:space="0" w:color="AEAEAE"/>
              <w:left w:val="nil"/>
              <w:bottom w:val="single" w:sz="8" w:space="0" w:color="AEAEAE"/>
              <w:right w:val="nil"/>
            </w:tcBorders>
            <w:shd w:val="clear" w:color="auto" w:fill="auto"/>
            <w:vAlign w:val="center"/>
          </w:tcPr>
          <w:p w14:paraId="1F487C2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63.339</w:t>
            </w:r>
          </w:p>
        </w:tc>
        <w:tc>
          <w:tcPr>
            <w:tcW w:w="709" w:type="dxa"/>
            <w:tcBorders>
              <w:top w:val="single" w:sz="8" w:space="0" w:color="AEAEAE"/>
              <w:left w:val="nil"/>
              <w:bottom w:val="single" w:sz="8" w:space="0" w:color="AEAEAE"/>
              <w:right w:val="nil"/>
            </w:tcBorders>
            <w:shd w:val="clear" w:color="auto" w:fill="auto"/>
            <w:vAlign w:val="center"/>
          </w:tcPr>
          <w:p w14:paraId="3ACFA16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3.052</w:t>
            </w:r>
          </w:p>
        </w:tc>
        <w:tc>
          <w:tcPr>
            <w:tcW w:w="907" w:type="dxa"/>
            <w:tcBorders>
              <w:top w:val="single" w:sz="8" w:space="0" w:color="AEAEAE"/>
              <w:left w:val="nil"/>
              <w:bottom w:val="single" w:sz="8" w:space="0" w:color="AEAEAE"/>
              <w:right w:val="nil"/>
            </w:tcBorders>
            <w:shd w:val="clear" w:color="auto" w:fill="auto"/>
            <w:vAlign w:val="center"/>
          </w:tcPr>
          <w:p w14:paraId="4A6F15CD"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16.958</w:t>
            </w:r>
          </w:p>
        </w:tc>
        <w:tc>
          <w:tcPr>
            <w:tcW w:w="1134" w:type="dxa"/>
            <w:tcBorders>
              <w:top w:val="single" w:sz="8" w:space="0" w:color="AEAEAE"/>
              <w:left w:val="nil"/>
              <w:bottom w:val="single" w:sz="8" w:space="0" w:color="AEAEAE"/>
              <w:right w:val="nil"/>
            </w:tcBorders>
            <w:shd w:val="clear" w:color="auto" w:fill="auto"/>
            <w:vAlign w:val="center"/>
          </w:tcPr>
          <w:p w14:paraId="22A4343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63.339</w:t>
            </w:r>
          </w:p>
        </w:tc>
        <w:tc>
          <w:tcPr>
            <w:tcW w:w="709" w:type="dxa"/>
            <w:gridSpan w:val="2"/>
            <w:tcBorders>
              <w:top w:val="single" w:sz="8" w:space="0" w:color="AEAEAE"/>
              <w:left w:val="nil"/>
              <w:bottom w:val="single" w:sz="8" w:space="0" w:color="AEAEAE"/>
              <w:right w:val="nil"/>
            </w:tcBorders>
            <w:shd w:val="clear" w:color="auto" w:fill="auto"/>
            <w:vAlign w:val="center"/>
          </w:tcPr>
          <w:p w14:paraId="1073D43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3.683</w:t>
            </w:r>
          </w:p>
        </w:tc>
        <w:tc>
          <w:tcPr>
            <w:tcW w:w="907" w:type="dxa"/>
            <w:tcBorders>
              <w:top w:val="single" w:sz="8" w:space="0" w:color="AEAEAE"/>
              <w:left w:val="nil"/>
              <w:bottom w:val="single" w:sz="8" w:space="0" w:color="AEAEAE"/>
              <w:right w:val="nil"/>
            </w:tcBorders>
            <w:shd w:val="clear" w:color="auto" w:fill="auto"/>
            <w:vAlign w:val="center"/>
          </w:tcPr>
          <w:p w14:paraId="469FDD6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20.464</w:t>
            </w:r>
          </w:p>
        </w:tc>
        <w:tc>
          <w:tcPr>
            <w:tcW w:w="1077" w:type="dxa"/>
            <w:gridSpan w:val="2"/>
            <w:tcBorders>
              <w:top w:val="single" w:sz="8" w:space="0" w:color="AEAEAE"/>
              <w:left w:val="nil"/>
              <w:bottom w:val="single" w:sz="8" w:space="0" w:color="AEAEAE"/>
              <w:right w:val="nil"/>
            </w:tcBorders>
            <w:shd w:val="clear" w:color="auto" w:fill="auto"/>
            <w:vAlign w:val="center"/>
          </w:tcPr>
          <w:p w14:paraId="7DFC7E98"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52.529</w:t>
            </w:r>
          </w:p>
        </w:tc>
      </w:tr>
      <w:tr w:rsidR="00834122" w:rsidRPr="00400193" w14:paraId="0825E7BC" w14:textId="77777777" w:rsidTr="00834122">
        <w:trPr>
          <w:cantSplit/>
          <w:trHeight w:val="283"/>
        </w:trPr>
        <w:tc>
          <w:tcPr>
            <w:tcW w:w="709" w:type="dxa"/>
            <w:tcBorders>
              <w:top w:val="single" w:sz="8" w:space="0" w:color="AEAEAE"/>
              <w:left w:val="nil"/>
              <w:bottom w:val="single" w:sz="8" w:space="0" w:color="AEAEAE"/>
              <w:right w:val="nil"/>
            </w:tcBorders>
            <w:shd w:val="clear" w:color="auto" w:fill="auto"/>
            <w:vAlign w:val="center"/>
          </w:tcPr>
          <w:p w14:paraId="1A39590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w:t>
            </w:r>
          </w:p>
        </w:tc>
        <w:tc>
          <w:tcPr>
            <w:tcW w:w="709" w:type="dxa"/>
            <w:tcBorders>
              <w:top w:val="single" w:sz="8" w:space="0" w:color="AEAEAE"/>
              <w:left w:val="nil"/>
              <w:bottom w:val="single" w:sz="8" w:space="0" w:color="AEAEAE"/>
              <w:right w:val="nil"/>
            </w:tcBorders>
            <w:shd w:val="clear" w:color="auto" w:fill="auto"/>
            <w:vAlign w:val="center"/>
          </w:tcPr>
          <w:p w14:paraId="2518ECC9"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1.135</w:t>
            </w:r>
          </w:p>
        </w:tc>
        <w:tc>
          <w:tcPr>
            <w:tcW w:w="992" w:type="dxa"/>
            <w:tcBorders>
              <w:top w:val="single" w:sz="8" w:space="0" w:color="AEAEAE"/>
              <w:left w:val="nil"/>
              <w:bottom w:val="single" w:sz="8" w:space="0" w:color="AEAEAE"/>
              <w:right w:val="nil"/>
            </w:tcBorders>
            <w:shd w:val="clear" w:color="auto" w:fill="auto"/>
            <w:vAlign w:val="center"/>
          </w:tcPr>
          <w:p w14:paraId="484097F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6.304</w:t>
            </w:r>
          </w:p>
        </w:tc>
        <w:tc>
          <w:tcPr>
            <w:tcW w:w="1134" w:type="dxa"/>
            <w:tcBorders>
              <w:top w:val="single" w:sz="8" w:space="0" w:color="AEAEAE"/>
              <w:left w:val="nil"/>
              <w:bottom w:val="single" w:sz="8" w:space="0" w:color="AEAEAE"/>
              <w:right w:val="nil"/>
            </w:tcBorders>
            <w:shd w:val="clear" w:color="auto" w:fill="auto"/>
            <w:vAlign w:val="center"/>
          </w:tcPr>
          <w:p w14:paraId="71119F8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69.643</w:t>
            </w:r>
          </w:p>
        </w:tc>
        <w:tc>
          <w:tcPr>
            <w:tcW w:w="709" w:type="dxa"/>
            <w:tcBorders>
              <w:top w:val="single" w:sz="8" w:space="0" w:color="AEAEAE"/>
              <w:left w:val="nil"/>
              <w:bottom w:val="single" w:sz="8" w:space="0" w:color="AEAEAE"/>
              <w:right w:val="nil"/>
            </w:tcBorders>
            <w:shd w:val="clear" w:color="auto" w:fill="auto"/>
            <w:vAlign w:val="center"/>
          </w:tcPr>
          <w:p w14:paraId="4C214FD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1.135</w:t>
            </w:r>
          </w:p>
        </w:tc>
        <w:tc>
          <w:tcPr>
            <w:tcW w:w="907" w:type="dxa"/>
            <w:tcBorders>
              <w:top w:val="single" w:sz="8" w:space="0" w:color="AEAEAE"/>
              <w:left w:val="nil"/>
              <w:bottom w:val="single" w:sz="8" w:space="0" w:color="AEAEAE"/>
              <w:right w:val="nil"/>
            </w:tcBorders>
            <w:shd w:val="clear" w:color="auto" w:fill="auto"/>
            <w:vAlign w:val="center"/>
          </w:tcPr>
          <w:p w14:paraId="34FFB5B5"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6.304</w:t>
            </w:r>
          </w:p>
        </w:tc>
        <w:tc>
          <w:tcPr>
            <w:tcW w:w="1134" w:type="dxa"/>
            <w:tcBorders>
              <w:top w:val="single" w:sz="8" w:space="0" w:color="AEAEAE"/>
              <w:left w:val="nil"/>
              <w:bottom w:val="single" w:sz="8" w:space="0" w:color="AEAEAE"/>
              <w:right w:val="nil"/>
            </w:tcBorders>
            <w:shd w:val="clear" w:color="auto" w:fill="auto"/>
            <w:vAlign w:val="center"/>
          </w:tcPr>
          <w:p w14:paraId="50EA9DBF"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69.643</w:t>
            </w:r>
          </w:p>
        </w:tc>
        <w:tc>
          <w:tcPr>
            <w:tcW w:w="709" w:type="dxa"/>
            <w:gridSpan w:val="2"/>
            <w:tcBorders>
              <w:top w:val="single" w:sz="8" w:space="0" w:color="AEAEAE"/>
              <w:left w:val="nil"/>
              <w:bottom w:val="single" w:sz="8" w:space="0" w:color="AEAEAE"/>
              <w:right w:val="nil"/>
            </w:tcBorders>
            <w:shd w:val="clear" w:color="auto" w:fill="auto"/>
            <w:vAlign w:val="center"/>
          </w:tcPr>
          <w:p w14:paraId="53B27CAE"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3.080</w:t>
            </w:r>
          </w:p>
        </w:tc>
        <w:tc>
          <w:tcPr>
            <w:tcW w:w="907" w:type="dxa"/>
            <w:tcBorders>
              <w:top w:val="single" w:sz="8" w:space="0" w:color="AEAEAE"/>
              <w:left w:val="nil"/>
              <w:bottom w:val="single" w:sz="8" w:space="0" w:color="AEAEAE"/>
              <w:right w:val="nil"/>
            </w:tcBorders>
            <w:shd w:val="clear" w:color="auto" w:fill="auto"/>
            <w:vAlign w:val="center"/>
          </w:tcPr>
          <w:p w14:paraId="0166065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17.114</w:t>
            </w:r>
          </w:p>
        </w:tc>
        <w:tc>
          <w:tcPr>
            <w:tcW w:w="1077" w:type="dxa"/>
            <w:gridSpan w:val="2"/>
            <w:tcBorders>
              <w:top w:val="single" w:sz="8" w:space="0" w:color="AEAEAE"/>
              <w:left w:val="nil"/>
              <w:bottom w:val="single" w:sz="8" w:space="0" w:color="AEAEAE"/>
              <w:right w:val="nil"/>
            </w:tcBorders>
            <w:shd w:val="clear" w:color="auto" w:fill="auto"/>
            <w:vAlign w:val="center"/>
          </w:tcPr>
          <w:p w14:paraId="420D028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69.643</w:t>
            </w:r>
          </w:p>
        </w:tc>
      </w:tr>
      <w:tr w:rsidR="00834122" w:rsidRPr="00400193" w14:paraId="6B13E7FE" w14:textId="77777777" w:rsidTr="00834122">
        <w:trPr>
          <w:cantSplit/>
          <w:trHeight w:val="283"/>
        </w:trPr>
        <w:tc>
          <w:tcPr>
            <w:tcW w:w="709" w:type="dxa"/>
            <w:tcBorders>
              <w:top w:val="single" w:sz="8" w:space="0" w:color="AEAEAE"/>
              <w:left w:val="nil"/>
              <w:bottom w:val="single" w:sz="4" w:space="0" w:color="auto"/>
              <w:right w:val="nil"/>
            </w:tcBorders>
            <w:shd w:val="clear" w:color="auto" w:fill="auto"/>
            <w:vAlign w:val="center"/>
          </w:tcPr>
          <w:p w14:paraId="3137C035"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w:t>
            </w:r>
          </w:p>
        </w:tc>
        <w:tc>
          <w:tcPr>
            <w:tcW w:w="709" w:type="dxa"/>
            <w:tcBorders>
              <w:top w:val="single" w:sz="8" w:space="0" w:color="AEAEAE"/>
              <w:left w:val="nil"/>
              <w:bottom w:val="single" w:sz="4" w:space="0" w:color="auto"/>
              <w:right w:val="nil"/>
            </w:tcBorders>
            <w:shd w:val="clear" w:color="auto" w:fill="auto"/>
            <w:vAlign w:val="center"/>
          </w:tcPr>
          <w:p w14:paraId="42D591D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0.894</w:t>
            </w:r>
          </w:p>
        </w:tc>
        <w:tc>
          <w:tcPr>
            <w:tcW w:w="992" w:type="dxa"/>
            <w:tcBorders>
              <w:top w:val="single" w:sz="8" w:space="0" w:color="AEAEAE"/>
              <w:left w:val="nil"/>
              <w:bottom w:val="single" w:sz="4" w:space="0" w:color="auto"/>
              <w:right w:val="nil"/>
            </w:tcBorders>
            <w:shd w:val="clear" w:color="auto" w:fill="auto"/>
            <w:vAlign w:val="center"/>
          </w:tcPr>
          <w:p w14:paraId="16489DC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4.967</w:t>
            </w:r>
          </w:p>
        </w:tc>
        <w:tc>
          <w:tcPr>
            <w:tcW w:w="1134" w:type="dxa"/>
            <w:tcBorders>
              <w:top w:val="single" w:sz="8" w:space="0" w:color="AEAEAE"/>
              <w:left w:val="nil"/>
              <w:bottom w:val="single" w:sz="4" w:space="0" w:color="auto"/>
              <w:right w:val="nil"/>
            </w:tcBorders>
            <w:shd w:val="clear" w:color="auto" w:fill="auto"/>
            <w:vAlign w:val="center"/>
          </w:tcPr>
          <w:p w14:paraId="7AD8B4E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74.610</w:t>
            </w:r>
          </w:p>
        </w:tc>
        <w:tc>
          <w:tcPr>
            <w:tcW w:w="709" w:type="dxa"/>
            <w:tcBorders>
              <w:top w:val="single" w:sz="8" w:space="0" w:color="AEAEAE"/>
              <w:left w:val="nil"/>
              <w:bottom w:val="single" w:sz="4" w:space="0" w:color="auto"/>
              <w:right w:val="nil"/>
            </w:tcBorders>
            <w:shd w:val="clear" w:color="auto" w:fill="auto"/>
            <w:vAlign w:val="center"/>
          </w:tcPr>
          <w:p w14:paraId="669FE55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907" w:type="dxa"/>
            <w:tcBorders>
              <w:top w:val="single" w:sz="8" w:space="0" w:color="AEAEAE"/>
              <w:left w:val="nil"/>
              <w:bottom w:val="single" w:sz="4" w:space="0" w:color="auto"/>
              <w:right w:val="nil"/>
            </w:tcBorders>
            <w:shd w:val="clear" w:color="auto" w:fill="auto"/>
            <w:vAlign w:val="center"/>
          </w:tcPr>
          <w:p w14:paraId="1F2D3CA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1134" w:type="dxa"/>
            <w:tcBorders>
              <w:top w:val="single" w:sz="8" w:space="0" w:color="AEAEAE"/>
              <w:left w:val="nil"/>
              <w:bottom w:val="single" w:sz="4" w:space="0" w:color="auto"/>
              <w:right w:val="nil"/>
            </w:tcBorders>
            <w:shd w:val="clear" w:color="auto" w:fill="auto"/>
            <w:vAlign w:val="center"/>
          </w:tcPr>
          <w:p w14:paraId="257C9F8C"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709" w:type="dxa"/>
            <w:gridSpan w:val="2"/>
            <w:tcBorders>
              <w:top w:val="single" w:sz="8" w:space="0" w:color="AEAEAE"/>
              <w:left w:val="nil"/>
              <w:bottom w:val="single" w:sz="4" w:space="0" w:color="auto"/>
              <w:right w:val="nil"/>
            </w:tcBorders>
            <w:shd w:val="clear" w:color="auto" w:fill="auto"/>
            <w:vAlign w:val="center"/>
          </w:tcPr>
          <w:p w14:paraId="39017F4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907" w:type="dxa"/>
            <w:tcBorders>
              <w:top w:val="single" w:sz="8" w:space="0" w:color="AEAEAE"/>
              <w:left w:val="nil"/>
              <w:bottom w:val="single" w:sz="4" w:space="0" w:color="auto"/>
              <w:right w:val="nil"/>
            </w:tcBorders>
            <w:shd w:val="clear" w:color="auto" w:fill="auto"/>
            <w:vAlign w:val="center"/>
          </w:tcPr>
          <w:p w14:paraId="097C69DD"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1077" w:type="dxa"/>
            <w:gridSpan w:val="2"/>
            <w:tcBorders>
              <w:top w:val="single" w:sz="8" w:space="0" w:color="AEAEAE"/>
              <w:left w:val="nil"/>
              <w:bottom w:val="single" w:sz="4" w:space="0" w:color="auto"/>
              <w:right w:val="nil"/>
            </w:tcBorders>
            <w:shd w:val="clear" w:color="auto" w:fill="auto"/>
            <w:vAlign w:val="center"/>
          </w:tcPr>
          <w:p w14:paraId="04F5F71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r>
      <w:tr w:rsidR="006E3616" w:rsidRPr="00400193" w14:paraId="2BADA64C" w14:textId="77777777" w:rsidTr="00834122">
        <w:trPr>
          <w:gridAfter w:val="1"/>
          <w:wAfter w:w="56" w:type="dxa"/>
          <w:cantSplit/>
          <w:trHeight w:val="283"/>
        </w:trPr>
        <w:tc>
          <w:tcPr>
            <w:tcW w:w="8931" w:type="dxa"/>
            <w:gridSpan w:val="11"/>
            <w:tcBorders>
              <w:left w:val="nil"/>
              <w:right w:val="nil"/>
            </w:tcBorders>
            <w:vAlign w:val="center"/>
          </w:tcPr>
          <w:p w14:paraId="75B7EA8A" w14:textId="77777777" w:rsidR="006E3616" w:rsidRPr="00400193" w:rsidRDefault="006E3616" w:rsidP="003B5486">
            <w:pPr>
              <w:keepNext/>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Extraction Method: Principal Component Analysis</w:t>
            </w:r>
          </w:p>
        </w:tc>
      </w:tr>
    </w:tbl>
    <w:p w14:paraId="3FD17652" w14:textId="2C796980" w:rsidR="006E3616" w:rsidRPr="00400193" w:rsidRDefault="006E3616" w:rsidP="006E3616">
      <w:pPr>
        <w:pStyle w:val="Caption"/>
        <w:spacing w:after="240"/>
        <w:rPr>
          <w:lang w:eastAsia="zh-CN" w:bidi="hi-IN"/>
        </w:rPr>
      </w:pPr>
      <w:bookmarkStart w:id="546" w:name="_Ref43255289"/>
      <w:bookmarkStart w:id="547" w:name="_Toc5290159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47</w:t>
      </w:r>
      <w:r w:rsidRPr="00400193">
        <w:fldChar w:fldCharType="end"/>
      </w:r>
      <w:bookmarkEnd w:id="546"/>
      <w:r w:rsidRPr="00400193">
        <w:t>: Total variance explained by the components of RP</w:t>
      </w:r>
      <w:bookmarkEnd w:id="547"/>
    </w:p>
    <w:p w14:paraId="61B4F0EB" w14:textId="325A9FE7" w:rsidR="006E3616" w:rsidRPr="00400193" w:rsidRDefault="006E3616" w:rsidP="006E3616">
      <w:pPr>
        <w:rPr>
          <w:lang w:eastAsia="zh-CN" w:bidi="hi-IN"/>
        </w:rPr>
      </w:pPr>
      <w:r w:rsidRPr="00400193">
        <w:rPr>
          <w:lang w:eastAsia="zh-CN" w:bidi="hi-IN"/>
        </w:rPr>
        <w:t>The KMO value of 0.897 was within the range for factor analysis (0.5–1.0). Bartlett’s test of sphericity gave a Chi-square value of 1370.8 with 153 degrees of freedom and was significant at ≤0.001 (</w:t>
      </w:r>
      <w:r w:rsidRPr="00400193">
        <w:rPr>
          <w:lang w:eastAsia="zh-CN" w:bidi="hi-IN"/>
        </w:rPr>
        <w:fldChar w:fldCharType="begin"/>
      </w:r>
      <w:r w:rsidRPr="00400193">
        <w:rPr>
          <w:lang w:eastAsia="zh-CN" w:bidi="hi-IN"/>
        </w:rPr>
        <w:instrText xml:space="preserve"> REF _Ref43255354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48</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531"/>
        <w:gridCol w:w="2694"/>
        <w:gridCol w:w="1791"/>
      </w:tblGrid>
      <w:tr w:rsidR="00A0618E" w:rsidRPr="00400193" w14:paraId="2C352EAE" w14:textId="77777777" w:rsidTr="00B11F3B">
        <w:trPr>
          <w:trHeight w:val="283"/>
        </w:trPr>
        <w:tc>
          <w:tcPr>
            <w:tcW w:w="7225" w:type="dxa"/>
            <w:gridSpan w:val="2"/>
            <w:tcBorders>
              <w:top w:val="single" w:sz="4" w:space="0" w:color="auto"/>
              <w:left w:val="nil"/>
              <w:bottom w:val="single" w:sz="4" w:space="0" w:color="auto"/>
              <w:right w:val="nil"/>
            </w:tcBorders>
            <w:shd w:val="clear" w:color="auto" w:fill="auto"/>
          </w:tcPr>
          <w:p w14:paraId="758B4BFF"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791" w:type="dxa"/>
            <w:tcBorders>
              <w:top w:val="single" w:sz="4" w:space="0" w:color="auto"/>
              <w:left w:val="nil"/>
              <w:bottom w:val="single" w:sz="4" w:space="0" w:color="auto"/>
              <w:right w:val="nil"/>
            </w:tcBorders>
            <w:shd w:val="clear" w:color="auto" w:fill="auto"/>
            <w:vAlign w:val="center"/>
          </w:tcPr>
          <w:p w14:paraId="7BEF73AA"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0.897</w:t>
            </w:r>
          </w:p>
        </w:tc>
      </w:tr>
      <w:tr w:rsidR="00A0618E" w:rsidRPr="00400193" w14:paraId="00B05BB5" w14:textId="77777777" w:rsidTr="00B11F3B">
        <w:trPr>
          <w:trHeight w:val="283"/>
        </w:trPr>
        <w:tc>
          <w:tcPr>
            <w:tcW w:w="4531" w:type="dxa"/>
            <w:vMerge w:val="restart"/>
            <w:tcBorders>
              <w:left w:val="nil"/>
              <w:right w:val="nil"/>
            </w:tcBorders>
            <w:vAlign w:val="center"/>
          </w:tcPr>
          <w:p w14:paraId="0F4C8EAC"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4" w:type="dxa"/>
            <w:tcBorders>
              <w:top w:val="single" w:sz="4" w:space="0" w:color="auto"/>
              <w:left w:val="nil"/>
              <w:bottom w:val="single" w:sz="8" w:space="0" w:color="AEAEAE"/>
              <w:right w:val="nil"/>
            </w:tcBorders>
            <w:shd w:val="clear" w:color="auto" w:fill="auto"/>
            <w:vAlign w:val="center"/>
          </w:tcPr>
          <w:p w14:paraId="070A1E93"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791" w:type="dxa"/>
            <w:tcBorders>
              <w:top w:val="single" w:sz="4" w:space="0" w:color="auto"/>
              <w:left w:val="nil"/>
              <w:bottom w:val="single" w:sz="8" w:space="0" w:color="AEAEAE"/>
              <w:right w:val="nil"/>
            </w:tcBorders>
            <w:shd w:val="clear" w:color="auto" w:fill="auto"/>
            <w:vAlign w:val="center"/>
          </w:tcPr>
          <w:p w14:paraId="2A43A8D2"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1370.8</w:t>
            </w:r>
          </w:p>
        </w:tc>
      </w:tr>
      <w:tr w:rsidR="00A0618E" w:rsidRPr="00400193" w14:paraId="1E1C118B" w14:textId="77777777" w:rsidTr="00B11F3B">
        <w:trPr>
          <w:trHeight w:val="283"/>
        </w:trPr>
        <w:tc>
          <w:tcPr>
            <w:tcW w:w="4531" w:type="dxa"/>
            <w:vMerge/>
            <w:tcBorders>
              <w:left w:val="nil"/>
              <w:right w:val="nil"/>
            </w:tcBorders>
            <w:vAlign w:val="center"/>
          </w:tcPr>
          <w:p w14:paraId="08BAD2F3"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8" w:space="0" w:color="AEAEAE"/>
              <w:right w:val="nil"/>
            </w:tcBorders>
            <w:shd w:val="clear" w:color="auto" w:fill="auto"/>
            <w:vAlign w:val="center"/>
          </w:tcPr>
          <w:p w14:paraId="023B5D7E"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791" w:type="dxa"/>
            <w:tcBorders>
              <w:top w:val="single" w:sz="8" w:space="0" w:color="AEAEAE"/>
              <w:left w:val="nil"/>
              <w:bottom w:val="single" w:sz="8" w:space="0" w:color="AEAEAE"/>
              <w:right w:val="nil"/>
            </w:tcBorders>
            <w:shd w:val="clear" w:color="auto" w:fill="auto"/>
            <w:vAlign w:val="center"/>
          </w:tcPr>
          <w:p w14:paraId="3A7E660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153</w:t>
            </w:r>
          </w:p>
        </w:tc>
      </w:tr>
      <w:tr w:rsidR="00A0618E" w:rsidRPr="00400193" w14:paraId="1946494C" w14:textId="77777777" w:rsidTr="00B11F3B">
        <w:trPr>
          <w:trHeight w:val="283"/>
        </w:trPr>
        <w:tc>
          <w:tcPr>
            <w:tcW w:w="4531" w:type="dxa"/>
            <w:vMerge/>
            <w:tcBorders>
              <w:left w:val="nil"/>
              <w:right w:val="nil"/>
            </w:tcBorders>
            <w:vAlign w:val="center"/>
          </w:tcPr>
          <w:p w14:paraId="35D9B3C6"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4" w:space="0" w:color="auto"/>
              <w:right w:val="nil"/>
            </w:tcBorders>
            <w:shd w:val="clear" w:color="auto" w:fill="auto"/>
            <w:vAlign w:val="center"/>
          </w:tcPr>
          <w:p w14:paraId="7BD28832"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791" w:type="dxa"/>
            <w:tcBorders>
              <w:top w:val="single" w:sz="8" w:space="0" w:color="AEAEAE"/>
              <w:left w:val="nil"/>
              <w:bottom w:val="single" w:sz="4" w:space="0" w:color="auto"/>
              <w:right w:val="nil"/>
            </w:tcBorders>
            <w:shd w:val="clear" w:color="auto" w:fill="auto"/>
            <w:vAlign w:val="center"/>
          </w:tcPr>
          <w:p w14:paraId="56BFDB20"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3876A6F3" w14:textId="5D553808" w:rsidR="006E3616" w:rsidRPr="00400193" w:rsidRDefault="006E3616" w:rsidP="006E3616">
      <w:pPr>
        <w:pStyle w:val="Caption"/>
        <w:spacing w:after="240"/>
      </w:pPr>
      <w:bookmarkStart w:id="548" w:name="_Ref43255354"/>
      <w:bookmarkStart w:id="549" w:name="_Toc5290159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48</w:t>
      </w:r>
      <w:r w:rsidRPr="00400193">
        <w:fldChar w:fldCharType="end"/>
      </w:r>
      <w:bookmarkEnd w:id="548"/>
      <w:r w:rsidRPr="00400193">
        <w:t>: Kaiser-Meyer-Olkin test and Bartlett's test of sphericity for RP</w:t>
      </w:r>
      <w:bookmarkEnd w:id="549"/>
    </w:p>
    <w:p w14:paraId="6573F143" w14:textId="454C8F88" w:rsidR="00B11F3B" w:rsidRPr="00400193" w:rsidRDefault="006E3616" w:rsidP="00B11F3B">
      <w:pPr>
        <w:rPr>
          <w:lang w:eastAsia="zh-CN" w:bidi="hi-IN"/>
        </w:rPr>
      </w:pPr>
      <w:r w:rsidRPr="00400193">
        <w:rPr>
          <w:lang w:eastAsia="zh-CN" w:bidi="hi-IN"/>
        </w:rPr>
        <w:fldChar w:fldCharType="begin"/>
      </w:r>
      <w:r w:rsidRPr="00400193">
        <w:rPr>
          <w:lang w:eastAsia="zh-CN" w:bidi="hi-IN"/>
        </w:rPr>
        <w:instrText xml:space="preserve"> REF _Ref43255382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49</w:t>
      </w:r>
      <w:r w:rsidRPr="00400193">
        <w:rPr>
          <w:lang w:eastAsia="zh-CN" w:bidi="hi-IN"/>
        </w:rPr>
        <w:fldChar w:fldCharType="end"/>
      </w:r>
      <w:r w:rsidRPr="00400193">
        <w:rPr>
          <w:lang w:eastAsia="zh-CN" w:bidi="hi-IN"/>
        </w:rPr>
        <w:t xml:space="preserve"> shows the factor loads, all of which were greater than 0.6.</w:t>
      </w:r>
      <w:r w:rsidR="00B11F3B" w:rsidRPr="00400193">
        <w:rPr>
          <w:lang w:eastAsia="zh-CN" w:bidi="hi-IN"/>
        </w:rPr>
        <w:t xml:space="preserve"> There were three new latent clusters for Responses in Place (RP). Ten variables were assigned to the first cluster (RPN1), on ‘login at network use’, four to the second (RPN2), on ‘identification of computer usage’ and four to the third (RPN3), on ‘protection measures’. The three new latent clusters had a reliability &gt;0.87, which is satisfactory (</w:t>
      </w:r>
      <w:r w:rsidR="00B11F3B" w:rsidRPr="00400193">
        <w:rPr>
          <w:lang w:eastAsia="zh-CN" w:bidi="hi-IN"/>
        </w:rPr>
        <w:fldChar w:fldCharType="begin"/>
      </w:r>
      <w:r w:rsidR="00B11F3B" w:rsidRPr="00400193">
        <w:rPr>
          <w:lang w:eastAsia="zh-CN" w:bidi="hi-IN"/>
        </w:rPr>
        <w:instrText xml:space="preserve"> REF _Ref43255382 \h </w:instrText>
      </w:r>
      <w:r w:rsidR="00B11F3B" w:rsidRPr="00400193">
        <w:rPr>
          <w:lang w:eastAsia="zh-CN" w:bidi="hi-IN"/>
        </w:rPr>
      </w:r>
      <w:r w:rsidR="00B11F3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49</w:t>
      </w:r>
      <w:r w:rsidR="00B11F3B" w:rsidRPr="00400193">
        <w:rPr>
          <w:lang w:eastAsia="zh-CN" w:bidi="hi-IN"/>
        </w:rPr>
        <w:fldChar w:fldCharType="end"/>
      </w:r>
      <w:r w:rsidR="00B11F3B" w:rsidRPr="00400193">
        <w:rPr>
          <w:lang w:eastAsia="zh-CN" w:bidi="hi-IN"/>
        </w:rPr>
        <w:t>).</w:t>
      </w:r>
    </w:p>
    <w:tbl>
      <w:tblPr>
        <w:tblStyle w:val="TableGrid"/>
        <w:tblW w:w="0" w:type="auto"/>
        <w:tblLook w:val="04A0" w:firstRow="1" w:lastRow="0" w:firstColumn="1" w:lastColumn="0" w:noHBand="0" w:noVBand="1"/>
      </w:tblPr>
      <w:tblGrid>
        <w:gridCol w:w="942"/>
        <w:gridCol w:w="1033"/>
        <w:gridCol w:w="926"/>
        <w:gridCol w:w="871"/>
        <w:gridCol w:w="1426"/>
        <w:gridCol w:w="1291"/>
        <w:gridCol w:w="1063"/>
        <w:gridCol w:w="1474"/>
      </w:tblGrid>
      <w:tr w:rsidR="00A0618E" w:rsidRPr="00400193" w14:paraId="3E9F66B0" w14:textId="77777777" w:rsidTr="00B11F3B">
        <w:trPr>
          <w:trHeight w:val="283"/>
        </w:trPr>
        <w:tc>
          <w:tcPr>
            <w:tcW w:w="942" w:type="dxa"/>
            <w:vMerge w:val="restart"/>
            <w:tcBorders>
              <w:left w:val="nil"/>
              <w:right w:val="nil"/>
            </w:tcBorders>
            <w:vAlign w:val="center"/>
          </w:tcPr>
          <w:p w14:paraId="147D524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lastRenderedPageBreak/>
              <w:t>Item</w:t>
            </w:r>
          </w:p>
        </w:tc>
        <w:tc>
          <w:tcPr>
            <w:tcW w:w="2830" w:type="dxa"/>
            <w:gridSpan w:val="3"/>
            <w:tcBorders>
              <w:top w:val="single" w:sz="4" w:space="0" w:color="auto"/>
              <w:left w:val="nil"/>
              <w:bottom w:val="nil"/>
              <w:right w:val="nil"/>
            </w:tcBorders>
            <w:shd w:val="clear" w:color="auto" w:fill="FFFFFF"/>
            <w:vAlign w:val="center"/>
          </w:tcPr>
          <w:p w14:paraId="26CAE56F"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426" w:type="dxa"/>
            <w:vMerge w:val="restart"/>
            <w:tcBorders>
              <w:top w:val="single" w:sz="4" w:space="0" w:color="auto"/>
              <w:left w:val="nil"/>
              <w:right w:val="nil"/>
            </w:tcBorders>
            <w:shd w:val="clear" w:color="auto" w:fill="FFFFFF"/>
            <w:vAlign w:val="center"/>
          </w:tcPr>
          <w:p w14:paraId="50D0932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291" w:type="dxa"/>
            <w:vMerge w:val="restart"/>
            <w:tcBorders>
              <w:top w:val="single" w:sz="4" w:space="0" w:color="auto"/>
              <w:left w:val="nil"/>
              <w:right w:val="nil"/>
            </w:tcBorders>
            <w:shd w:val="clear" w:color="auto" w:fill="FFFFFF"/>
            <w:vAlign w:val="center"/>
          </w:tcPr>
          <w:p w14:paraId="6CAA82C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063" w:type="dxa"/>
            <w:vMerge w:val="restart"/>
            <w:tcBorders>
              <w:top w:val="single" w:sz="4" w:space="0" w:color="auto"/>
              <w:left w:val="nil"/>
              <w:right w:val="nil"/>
            </w:tcBorders>
            <w:shd w:val="clear" w:color="auto" w:fill="FFFFFF"/>
            <w:vAlign w:val="center"/>
          </w:tcPr>
          <w:p w14:paraId="6468FCCA"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474" w:type="dxa"/>
            <w:vMerge w:val="restart"/>
            <w:tcBorders>
              <w:top w:val="single" w:sz="4" w:space="0" w:color="auto"/>
              <w:left w:val="nil"/>
              <w:right w:val="nil"/>
            </w:tcBorders>
            <w:shd w:val="clear" w:color="auto" w:fill="FFFFFF"/>
            <w:vAlign w:val="center"/>
          </w:tcPr>
          <w:p w14:paraId="2AB6B736"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3C47EFF0" w14:textId="77777777" w:rsidTr="00B11F3B">
        <w:trPr>
          <w:trHeight w:val="283"/>
        </w:trPr>
        <w:tc>
          <w:tcPr>
            <w:tcW w:w="942" w:type="dxa"/>
            <w:vMerge/>
            <w:tcBorders>
              <w:left w:val="nil"/>
              <w:bottom w:val="single" w:sz="4" w:space="0" w:color="auto"/>
              <w:right w:val="nil"/>
            </w:tcBorders>
            <w:vAlign w:val="center"/>
          </w:tcPr>
          <w:p w14:paraId="04334023"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033" w:type="dxa"/>
            <w:tcBorders>
              <w:top w:val="nil"/>
              <w:left w:val="nil"/>
              <w:bottom w:val="single" w:sz="4" w:space="0" w:color="auto"/>
              <w:right w:val="nil"/>
            </w:tcBorders>
            <w:vAlign w:val="center"/>
          </w:tcPr>
          <w:p w14:paraId="3D303C28"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926" w:type="dxa"/>
            <w:tcBorders>
              <w:top w:val="nil"/>
              <w:left w:val="nil"/>
              <w:bottom w:val="single" w:sz="4" w:space="0" w:color="auto"/>
              <w:right w:val="nil"/>
            </w:tcBorders>
            <w:vAlign w:val="center"/>
          </w:tcPr>
          <w:p w14:paraId="7E80A245"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2</w:t>
            </w:r>
          </w:p>
        </w:tc>
        <w:tc>
          <w:tcPr>
            <w:tcW w:w="871" w:type="dxa"/>
            <w:tcBorders>
              <w:top w:val="nil"/>
              <w:left w:val="nil"/>
              <w:bottom w:val="single" w:sz="4" w:space="0" w:color="auto"/>
              <w:right w:val="nil"/>
            </w:tcBorders>
            <w:vAlign w:val="center"/>
          </w:tcPr>
          <w:p w14:paraId="27DE25C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3</w:t>
            </w:r>
          </w:p>
        </w:tc>
        <w:tc>
          <w:tcPr>
            <w:tcW w:w="1426" w:type="dxa"/>
            <w:vMerge/>
            <w:tcBorders>
              <w:left w:val="nil"/>
              <w:bottom w:val="single" w:sz="4" w:space="0" w:color="auto"/>
              <w:right w:val="nil"/>
            </w:tcBorders>
            <w:vAlign w:val="center"/>
          </w:tcPr>
          <w:p w14:paraId="105D29AE"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291" w:type="dxa"/>
            <w:vMerge/>
            <w:tcBorders>
              <w:left w:val="nil"/>
              <w:bottom w:val="single" w:sz="4" w:space="0" w:color="auto"/>
              <w:right w:val="nil"/>
            </w:tcBorders>
            <w:vAlign w:val="center"/>
          </w:tcPr>
          <w:p w14:paraId="6114A385"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063" w:type="dxa"/>
            <w:vMerge/>
            <w:tcBorders>
              <w:left w:val="nil"/>
              <w:bottom w:val="single" w:sz="4" w:space="0" w:color="auto"/>
              <w:right w:val="nil"/>
            </w:tcBorders>
            <w:vAlign w:val="center"/>
          </w:tcPr>
          <w:p w14:paraId="6FD1FEB4"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474" w:type="dxa"/>
            <w:vMerge/>
            <w:tcBorders>
              <w:left w:val="nil"/>
              <w:bottom w:val="single" w:sz="4" w:space="0" w:color="auto"/>
              <w:right w:val="nil"/>
            </w:tcBorders>
            <w:vAlign w:val="center"/>
          </w:tcPr>
          <w:p w14:paraId="662533FA"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r>
      <w:tr w:rsidR="00A0618E" w:rsidRPr="00400193" w14:paraId="52147B78" w14:textId="77777777" w:rsidTr="00B11F3B">
        <w:trPr>
          <w:trHeight w:val="283"/>
        </w:trPr>
        <w:tc>
          <w:tcPr>
            <w:tcW w:w="942" w:type="dxa"/>
            <w:tcBorders>
              <w:left w:val="nil"/>
              <w:bottom w:val="nil"/>
              <w:right w:val="nil"/>
            </w:tcBorders>
            <w:shd w:val="clear" w:color="auto" w:fill="auto"/>
            <w:vAlign w:val="center"/>
          </w:tcPr>
          <w:p w14:paraId="2ECC962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RP15</w:t>
            </w:r>
          </w:p>
        </w:tc>
        <w:tc>
          <w:tcPr>
            <w:tcW w:w="1033" w:type="dxa"/>
            <w:tcBorders>
              <w:left w:val="nil"/>
              <w:bottom w:val="nil"/>
              <w:right w:val="nil"/>
            </w:tcBorders>
            <w:shd w:val="clear" w:color="auto" w:fill="FFFFFF"/>
            <w:vAlign w:val="center"/>
          </w:tcPr>
          <w:p w14:paraId="79A9AA2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0.826</w:t>
            </w:r>
          </w:p>
        </w:tc>
        <w:tc>
          <w:tcPr>
            <w:tcW w:w="926" w:type="dxa"/>
            <w:tcBorders>
              <w:left w:val="nil"/>
              <w:bottom w:val="nil"/>
              <w:right w:val="nil"/>
            </w:tcBorders>
            <w:vAlign w:val="center"/>
          </w:tcPr>
          <w:p w14:paraId="7CF0FB9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left w:val="nil"/>
              <w:bottom w:val="nil"/>
              <w:right w:val="nil"/>
            </w:tcBorders>
            <w:shd w:val="clear" w:color="auto" w:fill="FFFFFF"/>
            <w:vAlign w:val="center"/>
          </w:tcPr>
          <w:p w14:paraId="43F0F23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val="restart"/>
            <w:tcBorders>
              <w:top w:val="single" w:sz="4" w:space="0" w:color="auto"/>
              <w:left w:val="nil"/>
              <w:right w:val="nil"/>
            </w:tcBorders>
            <w:shd w:val="clear" w:color="auto" w:fill="FFFFFF"/>
            <w:vAlign w:val="center"/>
          </w:tcPr>
          <w:p w14:paraId="0D89663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0.935</w:t>
            </w:r>
          </w:p>
        </w:tc>
        <w:tc>
          <w:tcPr>
            <w:tcW w:w="1291" w:type="dxa"/>
            <w:vMerge w:val="restart"/>
            <w:tcBorders>
              <w:top w:val="single" w:sz="4" w:space="0" w:color="auto"/>
              <w:left w:val="nil"/>
              <w:right w:val="nil"/>
            </w:tcBorders>
            <w:shd w:val="clear" w:color="auto" w:fill="FFFFFF"/>
            <w:vAlign w:val="center"/>
          </w:tcPr>
          <w:p w14:paraId="6B2379A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10</w:t>
            </w:r>
          </w:p>
        </w:tc>
        <w:tc>
          <w:tcPr>
            <w:tcW w:w="1063" w:type="dxa"/>
            <w:vMerge w:val="restart"/>
            <w:tcBorders>
              <w:top w:val="single" w:sz="4" w:space="0" w:color="auto"/>
              <w:left w:val="nil"/>
              <w:right w:val="nil"/>
            </w:tcBorders>
            <w:shd w:val="clear" w:color="auto" w:fill="FFFFFF"/>
            <w:vAlign w:val="center"/>
          </w:tcPr>
          <w:p w14:paraId="4AFF4A3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RPN1</w:t>
            </w:r>
          </w:p>
        </w:tc>
        <w:tc>
          <w:tcPr>
            <w:tcW w:w="1474" w:type="dxa"/>
            <w:vMerge w:val="restart"/>
            <w:tcBorders>
              <w:top w:val="single" w:sz="4" w:space="0" w:color="auto"/>
              <w:left w:val="nil"/>
              <w:right w:val="nil"/>
            </w:tcBorders>
            <w:shd w:val="clear" w:color="auto" w:fill="FFFFFF"/>
            <w:vAlign w:val="center"/>
          </w:tcPr>
          <w:p w14:paraId="3ED0247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Login at network use</w:t>
            </w:r>
          </w:p>
        </w:tc>
      </w:tr>
      <w:tr w:rsidR="00A0618E" w:rsidRPr="00400193" w14:paraId="5D0372C2" w14:textId="77777777" w:rsidTr="00B11F3B">
        <w:trPr>
          <w:trHeight w:val="283"/>
        </w:trPr>
        <w:tc>
          <w:tcPr>
            <w:tcW w:w="942" w:type="dxa"/>
            <w:tcBorders>
              <w:top w:val="nil"/>
              <w:left w:val="nil"/>
              <w:bottom w:val="nil"/>
              <w:right w:val="nil"/>
            </w:tcBorders>
            <w:shd w:val="clear" w:color="auto" w:fill="auto"/>
            <w:vAlign w:val="center"/>
          </w:tcPr>
          <w:p w14:paraId="76D17CF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RP17</w:t>
            </w:r>
          </w:p>
        </w:tc>
        <w:tc>
          <w:tcPr>
            <w:tcW w:w="1033" w:type="dxa"/>
            <w:tcBorders>
              <w:top w:val="nil"/>
              <w:left w:val="nil"/>
              <w:bottom w:val="nil"/>
              <w:right w:val="nil"/>
            </w:tcBorders>
            <w:shd w:val="clear" w:color="auto" w:fill="FFFFFF"/>
            <w:vAlign w:val="center"/>
          </w:tcPr>
          <w:p w14:paraId="5DB2F4E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0.824</w:t>
            </w:r>
          </w:p>
        </w:tc>
        <w:tc>
          <w:tcPr>
            <w:tcW w:w="926" w:type="dxa"/>
            <w:tcBorders>
              <w:top w:val="nil"/>
              <w:left w:val="nil"/>
              <w:bottom w:val="nil"/>
              <w:right w:val="nil"/>
            </w:tcBorders>
            <w:vAlign w:val="center"/>
          </w:tcPr>
          <w:p w14:paraId="356B1E1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696EF53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60C2C93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2BAD918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3CB4C66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7E2B450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B4F73DA" w14:textId="77777777" w:rsidTr="00B11F3B">
        <w:trPr>
          <w:trHeight w:val="283"/>
        </w:trPr>
        <w:tc>
          <w:tcPr>
            <w:tcW w:w="942" w:type="dxa"/>
            <w:tcBorders>
              <w:top w:val="nil"/>
              <w:left w:val="nil"/>
              <w:bottom w:val="nil"/>
              <w:right w:val="nil"/>
            </w:tcBorders>
            <w:shd w:val="clear" w:color="auto" w:fill="auto"/>
            <w:vAlign w:val="center"/>
          </w:tcPr>
          <w:p w14:paraId="6856614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RP16</w:t>
            </w:r>
          </w:p>
        </w:tc>
        <w:tc>
          <w:tcPr>
            <w:tcW w:w="1033" w:type="dxa"/>
            <w:tcBorders>
              <w:top w:val="nil"/>
              <w:left w:val="nil"/>
              <w:bottom w:val="nil"/>
              <w:right w:val="nil"/>
            </w:tcBorders>
            <w:shd w:val="clear" w:color="auto" w:fill="FFFFFF"/>
            <w:vAlign w:val="center"/>
          </w:tcPr>
          <w:p w14:paraId="54DDE03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0.821</w:t>
            </w:r>
          </w:p>
        </w:tc>
        <w:tc>
          <w:tcPr>
            <w:tcW w:w="926" w:type="dxa"/>
            <w:tcBorders>
              <w:top w:val="nil"/>
              <w:left w:val="nil"/>
              <w:bottom w:val="nil"/>
              <w:right w:val="nil"/>
            </w:tcBorders>
            <w:vAlign w:val="center"/>
          </w:tcPr>
          <w:p w14:paraId="5EEF838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2594F0C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DE631B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630D825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184DDCB6"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7E18DFD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EF3DE80" w14:textId="77777777" w:rsidTr="00B11F3B">
        <w:trPr>
          <w:trHeight w:val="283"/>
        </w:trPr>
        <w:tc>
          <w:tcPr>
            <w:tcW w:w="942" w:type="dxa"/>
            <w:tcBorders>
              <w:top w:val="nil"/>
              <w:left w:val="nil"/>
              <w:bottom w:val="nil"/>
              <w:right w:val="nil"/>
            </w:tcBorders>
            <w:shd w:val="clear" w:color="auto" w:fill="auto"/>
            <w:vAlign w:val="center"/>
          </w:tcPr>
          <w:p w14:paraId="521C2FB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RP14</w:t>
            </w:r>
          </w:p>
        </w:tc>
        <w:tc>
          <w:tcPr>
            <w:tcW w:w="1033" w:type="dxa"/>
            <w:tcBorders>
              <w:top w:val="nil"/>
              <w:left w:val="nil"/>
              <w:bottom w:val="nil"/>
              <w:right w:val="nil"/>
            </w:tcBorders>
            <w:shd w:val="clear" w:color="auto" w:fill="FFFFFF"/>
            <w:vAlign w:val="center"/>
          </w:tcPr>
          <w:p w14:paraId="1E5F37D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0.769</w:t>
            </w:r>
          </w:p>
        </w:tc>
        <w:tc>
          <w:tcPr>
            <w:tcW w:w="926" w:type="dxa"/>
            <w:tcBorders>
              <w:top w:val="nil"/>
              <w:left w:val="nil"/>
              <w:bottom w:val="nil"/>
              <w:right w:val="nil"/>
            </w:tcBorders>
            <w:vAlign w:val="center"/>
          </w:tcPr>
          <w:p w14:paraId="45ED8A4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44DE532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2027FF9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39842AB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1E670AB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7213DC3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3FC7055" w14:textId="77777777" w:rsidTr="00B11F3B">
        <w:trPr>
          <w:trHeight w:val="283"/>
        </w:trPr>
        <w:tc>
          <w:tcPr>
            <w:tcW w:w="942" w:type="dxa"/>
            <w:tcBorders>
              <w:top w:val="nil"/>
              <w:left w:val="nil"/>
              <w:bottom w:val="nil"/>
              <w:right w:val="nil"/>
            </w:tcBorders>
            <w:shd w:val="clear" w:color="auto" w:fill="auto"/>
            <w:vAlign w:val="center"/>
          </w:tcPr>
          <w:p w14:paraId="6CABE17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RP10</w:t>
            </w:r>
          </w:p>
        </w:tc>
        <w:tc>
          <w:tcPr>
            <w:tcW w:w="1033" w:type="dxa"/>
            <w:tcBorders>
              <w:top w:val="nil"/>
              <w:left w:val="nil"/>
              <w:bottom w:val="nil"/>
              <w:right w:val="nil"/>
            </w:tcBorders>
            <w:shd w:val="clear" w:color="auto" w:fill="FFFFFF"/>
            <w:vAlign w:val="center"/>
          </w:tcPr>
          <w:p w14:paraId="18F4792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0.673</w:t>
            </w:r>
          </w:p>
        </w:tc>
        <w:tc>
          <w:tcPr>
            <w:tcW w:w="926" w:type="dxa"/>
            <w:tcBorders>
              <w:top w:val="nil"/>
              <w:left w:val="nil"/>
              <w:bottom w:val="nil"/>
              <w:right w:val="nil"/>
            </w:tcBorders>
            <w:vAlign w:val="center"/>
          </w:tcPr>
          <w:p w14:paraId="75D8A38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13078F5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2413207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0CD1A55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61BFC25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1490042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63BC52F" w14:textId="77777777" w:rsidTr="00B11F3B">
        <w:trPr>
          <w:trHeight w:val="283"/>
        </w:trPr>
        <w:tc>
          <w:tcPr>
            <w:tcW w:w="942" w:type="dxa"/>
            <w:tcBorders>
              <w:top w:val="nil"/>
              <w:left w:val="nil"/>
              <w:bottom w:val="nil"/>
              <w:right w:val="nil"/>
            </w:tcBorders>
            <w:shd w:val="clear" w:color="auto" w:fill="auto"/>
            <w:vAlign w:val="center"/>
          </w:tcPr>
          <w:p w14:paraId="366E6C1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RP13</w:t>
            </w:r>
          </w:p>
        </w:tc>
        <w:tc>
          <w:tcPr>
            <w:tcW w:w="1033" w:type="dxa"/>
            <w:tcBorders>
              <w:top w:val="nil"/>
              <w:left w:val="nil"/>
              <w:bottom w:val="nil"/>
              <w:right w:val="nil"/>
            </w:tcBorders>
            <w:shd w:val="clear" w:color="auto" w:fill="FFFFFF"/>
            <w:vAlign w:val="center"/>
          </w:tcPr>
          <w:p w14:paraId="4536322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0.672</w:t>
            </w:r>
          </w:p>
        </w:tc>
        <w:tc>
          <w:tcPr>
            <w:tcW w:w="926" w:type="dxa"/>
            <w:tcBorders>
              <w:top w:val="nil"/>
              <w:left w:val="nil"/>
              <w:bottom w:val="nil"/>
              <w:right w:val="nil"/>
            </w:tcBorders>
            <w:vAlign w:val="center"/>
          </w:tcPr>
          <w:p w14:paraId="4B2E128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4189862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3EC807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3308A66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6DE4831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7286536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4B62D47" w14:textId="77777777" w:rsidTr="00B11F3B">
        <w:trPr>
          <w:trHeight w:val="283"/>
        </w:trPr>
        <w:tc>
          <w:tcPr>
            <w:tcW w:w="942" w:type="dxa"/>
            <w:tcBorders>
              <w:top w:val="nil"/>
              <w:left w:val="nil"/>
              <w:bottom w:val="nil"/>
              <w:right w:val="nil"/>
            </w:tcBorders>
            <w:shd w:val="clear" w:color="auto" w:fill="auto"/>
            <w:vAlign w:val="center"/>
          </w:tcPr>
          <w:p w14:paraId="5E08594A"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RP12</w:t>
            </w:r>
          </w:p>
        </w:tc>
        <w:tc>
          <w:tcPr>
            <w:tcW w:w="1033" w:type="dxa"/>
            <w:tcBorders>
              <w:top w:val="nil"/>
              <w:left w:val="nil"/>
              <w:bottom w:val="nil"/>
              <w:right w:val="nil"/>
            </w:tcBorders>
            <w:shd w:val="clear" w:color="auto" w:fill="FFFFFF"/>
            <w:vAlign w:val="center"/>
          </w:tcPr>
          <w:p w14:paraId="0156551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0.665</w:t>
            </w:r>
          </w:p>
        </w:tc>
        <w:tc>
          <w:tcPr>
            <w:tcW w:w="926" w:type="dxa"/>
            <w:tcBorders>
              <w:top w:val="nil"/>
              <w:left w:val="nil"/>
              <w:bottom w:val="nil"/>
              <w:right w:val="nil"/>
            </w:tcBorders>
            <w:vAlign w:val="center"/>
          </w:tcPr>
          <w:p w14:paraId="680AE15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0474ABB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0AEC654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29F4EC9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34253A5E"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133CF601"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2ACA1A0" w14:textId="77777777" w:rsidTr="00B11F3B">
        <w:trPr>
          <w:trHeight w:val="283"/>
        </w:trPr>
        <w:tc>
          <w:tcPr>
            <w:tcW w:w="942" w:type="dxa"/>
            <w:tcBorders>
              <w:top w:val="nil"/>
              <w:left w:val="nil"/>
              <w:bottom w:val="nil"/>
              <w:right w:val="nil"/>
            </w:tcBorders>
            <w:shd w:val="clear" w:color="auto" w:fill="auto"/>
            <w:vAlign w:val="center"/>
          </w:tcPr>
          <w:p w14:paraId="7BF3B70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RP18</w:t>
            </w:r>
          </w:p>
        </w:tc>
        <w:tc>
          <w:tcPr>
            <w:tcW w:w="1033" w:type="dxa"/>
            <w:tcBorders>
              <w:top w:val="nil"/>
              <w:left w:val="nil"/>
              <w:bottom w:val="nil"/>
              <w:right w:val="nil"/>
            </w:tcBorders>
            <w:shd w:val="clear" w:color="auto" w:fill="FFFFFF"/>
            <w:vAlign w:val="center"/>
          </w:tcPr>
          <w:p w14:paraId="4FC0CD1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0.656</w:t>
            </w:r>
          </w:p>
        </w:tc>
        <w:tc>
          <w:tcPr>
            <w:tcW w:w="926" w:type="dxa"/>
            <w:tcBorders>
              <w:top w:val="nil"/>
              <w:left w:val="nil"/>
              <w:bottom w:val="nil"/>
              <w:right w:val="nil"/>
            </w:tcBorders>
            <w:vAlign w:val="center"/>
          </w:tcPr>
          <w:p w14:paraId="32891E3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5158C7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5DEB13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5B42567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1AFBDCE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4B55B925"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7DD934C" w14:textId="77777777" w:rsidTr="00B11F3B">
        <w:trPr>
          <w:trHeight w:val="283"/>
        </w:trPr>
        <w:tc>
          <w:tcPr>
            <w:tcW w:w="942" w:type="dxa"/>
            <w:tcBorders>
              <w:top w:val="nil"/>
              <w:left w:val="nil"/>
              <w:bottom w:val="nil"/>
              <w:right w:val="nil"/>
            </w:tcBorders>
            <w:shd w:val="clear" w:color="auto" w:fill="auto"/>
            <w:vAlign w:val="center"/>
          </w:tcPr>
          <w:p w14:paraId="23C1412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RP11</w:t>
            </w:r>
          </w:p>
        </w:tc>
        <w:tc>
          <w:tcPr>
            <w:tcW w:w="1033" w:type="dxa"/>
            <w:tcBorders>
              <w:top w:val="nil"/>
              <w:left w:val="nil"/>
              <w:bottom w:val="nil"/>
              <w:right w:val="nil"/>
            </w:tcBorders>
            <w:shd w:val="clear" w:color="auto" w:fill="FFFFFF"/>
            <w:vAlign w:val="center"/>
          </w:tcPr>
          <w:p w14:paraId="47ED60B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0.634</w:t>
            </w:r>
          </w:p>
        </w:tc>
        <w:tc>
          <w:tcPr>
            <w:tcW w:w="926" w:type="dxa"/>
            <w:tcBorders>
              <w:top w:val="nil"/>
              <w:left w:val="nil"/>
              <w:bottom w:val="nil"/>
              <w:right w:val="nil"/>
            </w:tcBorders>
            <w:vAlign w:val="center"/>
          </w:tcPr>
          <w:p w14:paraId="78A332E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27E3ADA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6489469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0165084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1BFBA9A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20A8D419"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426D6B6" w14:textId="77777777" w:rsidTr="00B11F3B">
        <w:trPr>
          <w:trHeight w:val="283"/>
        </w:trPr>
        <w:tc>
          <w:tcPr>
            <w:tcW w:w="942" w:type="dxa"/>
            <w:tcBorders>
              <w:top w:val="nil"/>
              <w:left w:val="nil"/>
              <w:bottom w:val="nil"/>
              <w:right w:val="nil"/>
            </w:tcBorders>
            <w:shd w:val="clear" w:color="auto" w:fill="auto"/>
            <w:vAlign w:val="center"/>
          </w:tcPr>
          <w:p w14:paraId="5A687C0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RP9</w:t>
            </w:r>
          </w:p>
        </w:tc>
        <w:tc>
          <w:tcPr>
            <w:tcW w:w="1033" w:type="dxa"/>
            <w:tcBorders>
              <w:top w:val="nil"/>
              <w:left w:val="nil"/>
              <w:bottom w:val="nil"/>
              <w:right w:val="nil"/>
            </w:tcBorders>
            <w:shd w:val="clear" w:color="auto" w:fill="FFFFFF"/>
            <w:vAlign w:val="center"/>
          </w:tcPr>
          <w:p w14:paraId="756AD738"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0.608</w:t>
            </w:r>
          </w:p>
        </w:tc>
        <w:tc>
          <w:tcPr>
            <w:tcW w:w="926" w:type="dxa"/>
            <w:tcBorders>
              <w:top w:val="nil"/>
              <w:left w:val="nil"/>
              <w:bottom w:val="nil"/>
              <w:right w:val="nil"/>
            </w:tcBorders>
            <w:vAlign w:val="center"/>
          </w:tcPr>
          <w:p w14:paraId="1ECF6A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1629B48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bottom w:val="nil"/>
              <w:right w:val="nil"/>
            </w:tcBorders>
            <w:shd w:val="clear" w:color="auto" w:fill="FFFFFF"/>
            <w:vAlign w:val="center"/>
          </w:tcPr>
          <w:p w14:paraId="58FFEAB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bottom w:val="nil"/>
              <w:right w:val="nil"/>
            </w:tcBorders>
            <w:shd w:val="clear" w:color="auto" w:fill="FFFFFF"/>
            <w:vAlign w:val="center"/>
          </w:tcPr>
          <w:p w14:paraId="6CDBA35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bottom w:val="nil"/>
              <w:right w:val="nil"/>
            </w:tcBorders>
            <w:shd w:val="clear" w:color="auto" w:fill="FFFFFF"/>
            <w:vAlign w:val="center"/>
          </w:tcPr>
          <w:p w14:paraId="4115A03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bottom w:val="nil"/>
              <w:right w:val="nil"/>
            </w:tcBorders>
            <w:shd w:val="clear" w:color="auto" w:fill="FFFFFF"/>
            <w:vAlign w:val="center"/>
          </w:tcPr>
          <w:p w14:paraId="75B10C0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EF805A2" w14:textId="77777777" w:rsidTr="00B11F3B">
        <w:trPr>
          <w:trHeight w:val="283"/>
        </w:trPr>
        <w:tc>
          <w:tcPr>
            <w:tcW w:w="942" w:type="dxa"/>
            <w:tcBorders>
              <w:top w:val="nil"/>
              <w:left w:val="nil"/>
              <w:bottom w:val="nil"/>
              <w:right w:val="nil"/>
            </w:tcBorders>
            <w:shd w:val="clear" w:color="auto" w:fill="auto"/>
            <w:vAlign w:val="center"/>
          </w:tcPr>
          <w:p w14:paraId="0107D54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RP7</w:t>
            </w:r>
          </w:p>
        </w:tc>
        <w:tc>
          <w:tcPr>
            <w:tcW w:w="1033" w:type="dxa"/>
            <w:tcBorders>
              <w:top w:val="nil"/>
              <w:left w:val="nil"/>
              <w:bottom w:val="nil"/>
              <w:right w:val="nil"/>
            </w:tcBorders>
            <w:shd w:val="clear" w:color="auto" w:fill="FFFFFF"/>
            <w:vAlign w:val="center"/>
          </w:tcPr>
          <w:p w14:paraId="248D60A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5EC2B7E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0.791</w:t>
            </w:r>
          </w:p>
        </w:tc>
        <w:tc>
          <w:tcPr>
            <w:tcW w:w="871" w:type="dxa"/>
            <w:tcBorders>
              <w:top w:val="nil"/>
              <w:left w:val="nil"/>
              <w:bottom w:val="nil"/>
              <w:right w:val="nil"/>
            </w:tcBorders>
            <w:shd w:val="clear" w:color="auto" w:fill="FFFFFF"/>
            <w:vAlign w:val="center"/>
          </w:tcPr>
          <w:p w14:paraId="6F16AD5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val="restart"/>
            <w:tcBorders>
              <w:top w:val="nil"/>
              <w:left w:val="nil"/>
              <w:right w:val="nil"/>
            </w:tcBorders>
            <w:shd w:val="clear" w:color="auto" w:fill="FFFFFF"/>
            <w:vAlign w:val="center"/>
          </w:tcPr>
          <w:p w14:paraId="5405BC0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0.866</w:t>
            </w:r>
          </w:p>
        </w:tc>
        <w:tc>
          <w:tcPr>
            <w:tcW w:w="1291" w:type="dxa"/>
            <w:vMerge w:val="restart"/>
            <w:tcBorders>
              <w:top w:val="nil"/>
              <w:left w:val="nil"/>
              <w:right w:val="nil"/>
            </w:tcBorders>
            <w:shd w:val="clear" w:color="auto" w:fill="FFFFFF"/>
            <w:vAlign w:val="center"/>
          </w:tcPr>
          <w:p w14:paraId="7B0B1A1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1063" w:type="dxa"/>
            <w:vMerge w:val="restart"/>
            <w:tcBorders>
              <w:top w:val="nil"/>
              <w:left w:val="nil"/>
              <w:right w:val="nil"/>
            </w:tcBorders>
            <w:shd w:val="clear" w:color="auto" w:fill="FFFFFF"/>
            <w:vAlign w:val="center"/>
          </w:tcPr>
          <w:p w14:paraId="73F5552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RPN2</w:t>
            </w:r>
          </w:p>
        </w:tc>
        <w:tc>
          <w:tcPr>
            <w:tcW w:w="1474" w:type="dxa"/>
            <w:vMerge w:val="restart"/>
            <w:tcBorders>
              <w:top w:val="nil"/>
              <w:left w:val="nil"/>
              <w:right w:val="nil"/>
            </w:tcBorders>
            <w:shd w:val="clear" w:color="auto" w:fill="FFFFFF"/>
            <w:vAlign w:val="center"/>
          </w:tcPr>
          <w:p w14:paraId="25D1716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Identification of computer usage</w:t>
            </w:r>
          </w:p>
        </w:tc>
      </w:tr>
      <w:tr w:rsidR="00A0618E" w:rsidRPr="00400193" w14:paraId="58021305" w14:textId="77777777" w:rsidTr="00B11F3B">
        <w:trPr>
          <w:trHeight w:val="283"/>
        </w:trPr>
        <w:tc>
          <w:tcPr>
            <w:tcW w:w="942" w:type="dxa"/>
            <w:tcBorders>
              <w:top w:val="nil"/>
              <w:left w:val="nil"/>
              <w:bottom w:val="nil"/>
              <w:right w:val="nil"/>
            </w:tcBorders>
            <w:shd w:val="clear" w:color="auto" w:fill="auto"/>
            <w:vAlign w:val="center"/>
          </w:tcPr>
          <w:p w14:paraId="3BFCFEC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RP5</w:t>
            </w:r>
          </w:p>
        </w:tc>
        <w:tc>
          <w:tcPr>
            <w:tcW w:w="1033" w:type="dxa"/>
            <w:tcBorders>
              <w:top w:val="nil"/>
              <w:left w:val="nil"/>
              <w:bottom w:val="nil"/>
              <w:right w:val="nil"/>
            </w:tcBorders>
            <w:shd w:val="clear" w:color="auto" w:fill="FFFFFF"/>
            <w:vAlign w:val="center"/>
          </w:tcPr>
          <w:p w14:paraId="73C7EE7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5815207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0.782</w:t>
            </w:r>
          </w:p>
        </w:tc>
        <w:tc>
          <w:tcPr>
            <w:tcW w:w="871" w:type="dxa"/>
            <w:tcBorders>
              <w:top w:val="nil"/>
              <w:left w:val="nil"/>
              <w:bottom w:val="nil"/>
              <w:right w:val="nil"/>
            </w:tcBorders>
            <w:vAlign w:val="center"/>
          </w:tcPr>
          <w:p w14:paraId="3D8AE37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top w:val="single" w:sz="4" w:space="0" w:color="auto"/>
              <w:left w:val="nil"/>
              <w:bottom w:val="single" w:sz="4" w:space="0" w:color="auto"/>
              <w:right w:val="nil"/>
            </w:tcBorders>
            <w:vAlign w:val="center"/>
          </w:tcPr>
          <w:p w14:paraId="144570E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single" w:sz="4" w:space="0" w:color="auto"/>
              <w:left w:val="nil"/>
              <w:bottom w:val="single" w:sz="4" w:space="0" w:color="auto"/>
              <w:right w:val="nil"/>
            </w:tcBorders>
            <w:vAlign w:val="center"/>
          </w:tcPr>
          <w:p w14:paraId="4709F10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single" w:sz="4" w:space="0" w:color="auto"/>
              <w:left w:val="nil"/>
              <w:bottom w:val="single" w:sz="4" w:space="0" w:color="auto"/>
              <w:right w:val="nil"/>
            </w:tcBorders>
            <w:vAlign w:val="center"/>
          </w:tcPr>
          <w:p w14:paraId="636FF3C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single" w:sz="4" w:space="0" w:color="auto"/>
              <w:left w:val="nil"/>
              <w:bottom w:val="single" w:sz="4" w:space="0" w:color="auto"/>
              <w:right w:val="nil"/>
            </w:tcBorders>
            <w:vAlign w:val="center"/>
          </w:tcPr>
          <w:p w14:paraId="58E80484"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EB8EFA3" w14:textId="77777777" w:rsidTr="00B11F3B">
        <w:trPr>
          <w:trHeight w:val="283"/>
        </w:trPr>
        <w:tc>
          <w:tcPr>
            <w:tcW w:w="942" w:type="dxa"/>
            <w:tcBorders>
              <w:top w:val="nil"/>
              <w:left w:val="nil"/>
              <w:bottom w:val="nil"/>
              <w:right w:val="nil"/>
            </w:tcBorders>
            <w:shd w:val="clear" w:color="auto" w:fill="auto"/>
            <w:vAlign w:val="center"/>
          </w:tcPr>
          <w:p w14:paraId="62A0833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RP8</w:t>
            </w:r>
          </w:p>
        </w:tc>
        <w:tc>
          <w:tcPr>
            <w:tcW w:w="1033" w:type="dxa"/>
            <w:tcBorders>
              <w:top w:val="nil"/>
              <w:left w:val="nil"/>
              <w:bottom w:val="nil"/>
              <w:right w:val="nil"/>
            </w:tcBorders>
            <w:shd w:val="clear" w:color="auto" w:fill="FFFFFF"/>
            <w:vAlign w:val="center"/>
          </w:tcPr>
          <w:p w14:paraId="42D63A4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2F87A91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0.723</w:t>
            </w:r>
          </w:p>
        </w:tc>
        <w:tc>
          <w:tcPr>
            <w:tcW w:w="871" w:type="dxa"/>
            <w:tcBorders>
              <w:top w:val="nil"/>
              <w:left w:val="nil"/>
              <w:bottom w:val="nil"/>
              <w:right w:val="nil"/>
            </w:tcBorders>
            <w:vAlign w:val="center"/>
          </w:tcPr>
          <w:p w14:paraId="026DA5C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top w:val="single" w:sz="4" w:space="0" w:color="auto"/>
              <w:left w:val="nil"/>
              <w:bottom w:val="single" w:sz="4" w:space="0" w:color="auto"/>
              <w:right w:val="nil"/>
            </w:tcBorders>
            <w:vAlign w:val="center"/>
          </w:tcPr>
          <w:p w14:paraId="437D8A6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single" w:sz="4" w:space="0" w:color="auto"/>
              <w:left w:val="nil"/>
              <w:bottom w:val="single" w:sz="4" w:space="0" w:color="auto"/>
              <w:right w:val="nil"/>
            </w:tcBorders>
            <w:vAlign w:val="center"/>
          </w:tcPr>
          <w:p w14:paraId="4233535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single" w:sz="4" w:space="0" w:color="auto"/>
              <w:left w:val="nil"/>
              <w:bottom w:val="single" w:sz="4" w:space="0" w:color="auto"/>
              <w:right w:val="nil"/>
            </w:tcBorders>
            <w:vAlign w:val="center"/>
          </w:tcPr>
          <w:p w14:paraId="4611B4E8"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single" w:sz="4" w:space="0" w:color="auto"/>
              <w:left w:val="nil"/>
              <w:bottom w:val="single" w:sz="4" w:space="0" w:color="auto"/>
              <w:right w:val="nil"/>
            </w:tcBorders>
            <w:vAlign w:val="center"/>
          </w:tcPr>
          <w:p w14:paraId="305602D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266BD8A" w14:textId="77777777" w:rsidTr="00B11F3B">
        <w:trPr>
          <w:trHeight w:val="283"/>
        </w:trPr>
        <w:tc>
          <w:tcPr>
            <w:tcW w:w="942" w:type="dxa"/>
            <w:tcBorders>
              <w:top w:val="nil"/>
              <w:left w:val="nil"/>
              <w:bottom w:val="nil"/>
              <w:right w:val="nil"/>
            </w:tcBorders>
            <w:shd w:val="clear" w:color="auto" w:fill="auto"/>
            <w:vAlign w:val="center"/>
          </w:tcPr>
          <w:p w14:paraId="47CE3D1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RP6</w:t>
            </w:r>
          </w:p>
        </w:tc>
        <w:tc>
          <w:tcPr>
            <w:tcW w:w="1033" w:type="dxa"/>
            <w:tcBorders>
              <w:top w:val="nil"/>
              <w:left w:val="nil"/>
              <w:bottom w:val="nil"/>
              <w:right w:val="nil"/>
            </w:tcBorders>
            <w:shd w:val="clear" w:color="auto" w:fill="FFFFFF"/>
            <w:vAlign w:val="center"/>
          </w:tcPr>
          <w:p w14:paraId="4E0BA04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2F11CC9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0.692</w:t>
            </w:r>
          </w:p>
        </w:tc>
        <w:tc>
          <w:tcPr>
            <w:tcW w:w="871" w:type="dxa"/>
            <w:tcBorders>
              <w:top w:val="nil"/>
              <w:left w:val="nil"/>
              <w:bottom w:val="nil"/>
              <w:right w:val="nil"/>
            </w:tcBorders>
            <w:vAlign w:val="center"/>
          </w:tcPr>
          <w:p w14:paraId="58E1B6A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top w:val="single" w:sz="4" w:space="0" w:color="auto"/>
              <w:left w:val="nil"/>
              <w:bottom w:val="nil"/>
              <w:right w:val="nil"/>
            </w:tcBorders>
            <w:vAlign w:val="center"/>
          </w:tcPr>
          <w:p w14:paraId="66293F0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single" w:sz="4" w:space="0" w:color="auto"/>
              <w:left w:val="nil"/>
              <w:bottom w:val="nil"/>
              <w:right w:val="nil"/>
            </w:tcBorders>
            <w:vAlign w:val="center"/>
          </w:tcPr>
          <w:p w14:paraId="5763838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single" w:sz="4" w:space="0" w:color="auto"/>
              <w:left w:val="nil"/>
              <w:bottom w:val="nil"/>
              <w:right w:val="nil"/>
            </w:tcBorders>
            <w:vAlign w:val="center"/>
          </w:tcPr>
          <w:p w14:paraId="1FBA7EC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single" w:sz="4" w:space="0" w:color="auto"/>
              <w:left w:val="nil"/>
              <w:bottom w:val="nil"/>
              <w:right w:val="nil"/>
            </w:tcBorders>
            <w:vAlign w:val="center"/>
          </w:tcPr>
          <w:p w14:paraId="509F82B8"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D258D53" w14:textId="77777777" w:rsidTr="00B11F3B">
        <w:trPr>
          <w:trHeight w:val="283"/>
        </w:trPr>
        <w:tc>
          <w:tcPr>
            <w:tcW w:w="942" w:type="dxa"/>
            <w:tcBorders>
              <w:top w:val="nil"/>
              <w:left w:val="nil"/>
              <w:bottom w:val="nil"/>
              <w:right w:val="nil"/>
            </w:tcBorders>
            <w:shd w:val="clear" w:color="auto" w:fill="auto"/>
          </w:tcPr>
          <w:p w14:paraId="0A8211C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RP3</w:t>
            </w:r>
          </w:p>
        </w:tc>
        <w:tc>
          <w:tcPr>
            <w:tcW w:w="1033" w:type="dxa"/>
            <w:tcBorders>
              <w:top w:val="nil"/>
              <w:left w:val="nil"/>
              <w:bottom w:val="nil"/>
              <w:right w:val="nil"/>
            </w:tcBorders>
            <w:shd w:val="clear" w:color="auto" w:fill="FFFFFF"/>
          </w:tcPr>
          <w:p w14:paraId="3AF1C7E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tcPr>
          <w:p w14:paraId="688FC2D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tcPr>
          <w:p w14:paraId="6E33641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0.913</w:t>
            </w:r>
          </w:p>
        </w:tc>
        <w:tc>
          <w:tcPr>
            <w:tcW w:w="1426" w:type="dxa"/>
            <w:vMerge w:val="restart"/>
            <w:tcBorders>
              <w:top w:val="nil"/>
              <w:left w:val="nil"/>
              <w:right w:val="nil"/>
            </w:tcBorders>
            <w:shd w:val="clear" w:color="auto" w:fill="FFFFFF"/>
            <w:vAlign w:val="center"/>
          </w:tcPr>
          <w:p w14:paraId="44947F7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0.892</w:t>
            </w:r>
          </w:p>
        </w:tc>
        <w:tc>
          <w:tcPr>
            <w:tcW w:w="1291" w:type="dxa"/>
            <w:vMerge w:val="restart"/>
            <w:tcBorders>
              <w:top w:val="nil"/>
              <w:left w:val="nil"/>
              <w:right w:val="nil"/>
            </w:tcBorders>
            <w:shd w:val="clear" w:color="auto" w:fill="FFFFFF"/>
            <w:vAlign w:val="center"/>
          </w:tcPr>
          <w:p w14:paraId="0FEB6E86"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1063" w:type="dxa"/>
            <w:vMerge w:val="restart"/>
            <w:tcBorders>
              <w:top w:val="nil"/>
              <w:left w:val="nil"/>
              <w:right w:val="nil"/>
            </w:tcBorders>
            <w:shd w:val="clear" w:color="auto" w:fill="FFFFFF"/>
            <w:vAlign w:val="center"/>
          </w:tcPr>
          <w:p w14:paraId="55FBC02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RPN3</w:t>
            </w:r>
          </w:p>
        </w:tc>
        <w:tc>
          <w:tcPr>
            <w:tcW w:w="1474" w:type="dxa"/>
            <w:vMerge w:val="restart"/>
            <w:tcBorders>
              <w:top w:val="nil"/>
              <w:left w:val="nil"/>
              <w:right w:val="nil"/>
            </w:tcBorders>
            <w:shd w:val="clear" w:color="auto" w:fill="FFFFFF"/>
            <w:vAlign w:val="center"/>
          </w:tcPr>
          <w:p w14:paraId="360872B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Protection measures</w:t>
            </w:r>
          </w:p>
        </w:tc>
      </w:tr>
      <w:tr w:rsidR="00A0618E" w:rsidRPr="00400193" w14:paraId="201073B5" w14:textId="77777777" w:rsidTr="00B11F3B">
        <w:trPr>
          <w:trHeight w:val="283"/>
        </w:trPr>
        <w:tc>
          <w:tcPr>
            <w:tcW w:w="942" w:type="dxa"/>
            <w:tcBorders>
              <w:top w:val="nil"/>
              <w:left w:val="nil"/>
              <w:bottom w:val="nil"/>
              <w:right w:val="nil"/>
            </w:tcBorders>
            <w:shd w:val="clear" w:color="auto" w:fill="auto"/>
          </w:tcPr>
          <w:p w14:paraId="24ABA7DC"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RP4</w:t>
            </w:r>
          </w:p>
        </w:tc>
        <w:tc>
          <w:tcPr>
            <w:tcW w:w="1033" w:type="dxa"/>
            <w:tcBorders>
              <w:top w:val="nil"/>
              <w:left w:val="nil"/>
              <w:bottom w:val="nil"/>
              <w:right w:val="nil"/>
            </w:tcBorders>
            <w:shd w:val="clear" w:color="auto" w:fill="FFFFFF"/>
          </w:tcPr>
          <w:p w14:paraId="68535C6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tcPr>
          <w:p w14:paraId="610C4E6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tcPr>
          <w:p w14:paraId="3027C837"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0.895</w:t>
            </w:r>
          </w:p>
        </w:tc>
        <w:tc>
          <w:tcPr>
            <w:tcW w:w="1426" w:type="dxa"/>
            <w:vMerge/>
            <w:tcBorders>
              <w:left w:val="nil"/>
              <w:right w:val="nil"/>
            </w:tcBorders>
            <w:vAlign w:val="center"/>
          </w:tcPr>
          <w:p w14:paraId="0138ABD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vAlign w:val="center"/>
          </w:tcPr>
          <w:p w14:paraId="76242F7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vAlign w:val="center"/>
          </w:tcPr>
          <w:p w14:paraId="653EC1F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vAlign w:val="center"/>
          </w:tcPr>
          <w:p w14:paraId="33A3701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BC33A5F" w14:textId="77777777" w:rsidTr="00B11F3B">
        <w:trPr>
          <w:trHeight w:val="283"/>
        </w:trPr>
        <w:tc>
          <w:tcPr>
            <w:tcW w:w="942" w:type="dxa"/>
            <w:tcBorders>
              <w:top w:val="nil"/>
              <w:left w:val="nil"/>
              <w:bottom w:val="nil"/>
              <w:right w:val="nil"/>
            </w:tcBorders>
            <w:shd w:val="clear" w:color="auto" w:fill="auto"/>
          </w:tcPr>
          <w:p w14:paraId="3233AD9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RP2</w:t>
            </w:r>
          </w:p>
        </w:tc>
        <w:tc>
          <w:tcPr>
            <w:tcW w:w="1033" w:type="dxa"/>
            <w:tcBorders>
              <w:top w:val="nil"/>
              <w:left w:val="nil"/>
              <w:bottom w:val="nil"/>
              <w:right w:val="nil"/>
            </w:tcBorders>
            <w:shd w:val="clear" w:color="auto" w:fill="FFFFFF"/>
          </w:tcPr>
          <w:p w14:paraId="039639B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tcPr>
          <w:p w14:paraId="3531EBF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tcPr>
          <w:p w14:paraId="57372B1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0.843</w:t>
            </w:r>
          </w:p>
        </w:tc>
        <w:tc>
          <w:tcPr>
            <w:tcW w:w="1426" w:type="dxa"/>
            <w:vMerge/>
            <w:tcBorders>
              <w:left w:val="nil"/>
              <w:right w:val="nil"/>
            </w:tcBorders>
            <w:vAlign w:val="center"/>
          </w:tcPr>
          <w:p w14:paraId="7A7C031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vAlign w:val="center"/>
          </w:tcPr>
          <w:p w14:paraId="028E7F7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vAlign w:val="center"/>
          </w:tcPr>
          <w:p w14:paraId="2FBDAFD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vAlign w:val="center"/>
          </w:tcPr>
          <w:p w14:paraId="1B104F69"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9C59A3B" w14:textId="77777777" w:rsidTr="00B11F3B">
        <w:trPr>
          <w:trHeight w:val="283"/>
        </w:trPr>
        <w:tc>
          <w:tcPr>
            <w:tcW w:w="942" w:type="dxa"/>
            <w:tcBorders>
              <w:top w:val="nil"/>
              <w:left w:val="nil"/>
              <w:right w:val="nil"/>
            </w:tcBorders>
            <w:shd w:val="clear" w:color="auto" w:fill="auto"/>
          </w:tcPr>
          <w:p w14:paraId="6BA3366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RP1</w:t>
            </w:r>
          </w:p>
        </w:tc>
        <w:tc>
          <w:tcPr>
            <w:tcW w:w="1033" w:type="dxa"/>
            <w:tcBorders>
              <w:top w:val="nil"/>
              <w:left w:val="nil"/>
              <w:right w:val="nil"/>
            </w:tcBorders>
            <w:shd w:val="clear" w:color="auto" w:fill="FFFFFF"/>
          </w:tcPr>
          <w:p w14:paraId="6F6C3E0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right w:val="nil"/>
            </w:tcBorders>
            <w:shd w:val="clear" w:color="auto" w:fill="FFFFFF"/>
          </w:tcPr>
          <w:p w14:paraId="2695712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right w:val="nil"/>
            </w:tcBorders>
            <w:shd w:val="clear" w:color="auto" w:fill="FFFFFF"/>
          </w:tcPr>
          <w:p w14:paraId="4E21FB4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0.814</w:t>
            </w:r>
          </w:p>
        </w:tc>
        <w:tc>
          <w:tcPr>
            <w:tcW w:w="1426" w:type="dxa"/>
            <w:vMerge/>
            <w:tcBorders>
              <w:left w:val="nil"/>
              <w:right w:val="nil"/>
            </w:tcBorders>
            <w:vAlign w:val="center"/>
          </w:tcPr>
          <w:p w14:paraId="08B2533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vAlign w:val="center"/>
          </w:tcPr>
          <w:p w14:paraId="3C2E950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vAlign w:val="center"/>
          </w:tcPr>
          <w:p w14:paraId="62183503"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vAlign w:val="center"/>
          </w:tcPr>
          <w:p w14:paraId="55B69D83"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2CB1B6C" w14:textId="77777777" w:rsidTr="00B11F3B">
        <w:trPr>
          <w:trHeight w:val="283"/>
        </w:trPr>
        <w:tc>
          <w:tcPr>
            <w:tcW w:w="9026" w:type="dxa"/>
            <w:gridSpan w:val="8"/>
            <w:tcBorders>
              <w:left w:val="nil"/>
              <w:right w:val="nil"/>
            </w:tcBorders>
            <w:vAlign w:val="center"/>
          </w:tcPr>
          <w:p w14:paraId="073916F5" w14:textId="3DC4182E"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r w:rsidR="002B4B41" w:rsidRPr="00400193">
              <w:rPr>
                <w:rFonts w:asciiTheme="minorHAnsi" w:hAnsiTheme="minorHAnsi" w:cstheme="minorHAnsi"/>
                <w:sz w:val="20"/>
                <w:lang w:eastAsia="zh-CN" w:bidi="hi-IN"/>
              </w:rPr>
              <w:t>.</w:t>
            </w:r>
          </w:p>
          <w:p w14:paraId="0CBABC01" w14:textId="3432578C" w:rsidR="002B4B41" w:rsidRPr="00400193" w:rsidRDefault="002B4B41"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74E7ECC0" w14:textId="5C530F95" w:rsidR="006E3616" w:rsidRPr="00400193" w:rsidRDefault="006E3616" w:rsidP="00B11F3B">
      <w:pPr>
        <w:pStyle w:val="Caption"/>
        <w:spacing w:after="240"/>
        <w:rPr>
          <w:lang w:eastAsia="zh-CN" w:bidi="hi-IN"/>
        </w:rPr>
      </w:pPr>
      <w:bookmarkStart w:id="550" w:name="_Ref43255382"/>
      <w:bookmarkStart w:id="551" w:name="_Toc5290159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49</w:t>
      </w:r>
      <w:r w:rsidRPr="00400193">
        <w:fldChar w:fldCharType="end"/>
      </w:r>
      <w:bookmarkEnd w:id="550"/>
      <w:r w:rsidRPr="00400193">
        <w:t>: Cronbach’s alpha, number of questions and rotated component matrix for RP</w:t>
      </w:r>
      <w:bookmarkEnd w:id="551"/>
    </w:p>
    <w:p w14:paraId="37BC0DB3" w14:textId="1E8E3FA3"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_Ref43255571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50</w:t>
      </w:r>
      <w:r w:rsidRPr="00400193">
        <w:rPr>
          <w:lang w:eastAsia="zh-CN" w:bidi="hi-IN"/>
        </w:rPr>
        <w:fldChar w:fldCharType="end"/>
      </w:r>
      <w:r w:rsidRPr="00400193">
        <w:rPr>
          <w:lang w:eastAsia="zh-CN" w:bidi="hi-IN"/>
        </w:rPr>
        <w:t xml:space="preserve"> shows CR and AVE for each factor and MSW and ASV values. CR varied from 0.835 and 0.924, all higher than 0.7. AVE ranged from 0.518 to 0.752, all higher than 0.5. MSV (0.664) &gt; AVE, except for Factor 3 and ASV (0.443) &lt; AVE for all factors. There were therefore problems for discriminant validity principally in Factors 1 and 2. </w:t>
      </w:r>
    </w:p>
    <w:tbl>
      <w:tblPr>
        <w:tblStyle w:val="TableGrid"/>
        <w:tblW w:w="0" w:type="auto"/>
        <w:tblLook w:val="04A0" w:firstRow="1" w:lastRow="0" w:firstColumn="1" w:lastColumn="0" w:noHBand="0" w:noVBand="1"/>
      </w:tblPr>
      <w:tblGrid>
        <w:gridCol w:w="3380"/>
        <w:gridCol w:w="1857"/>
        <w:gridCol w:w="1857"/>
        <w:gridCol w:w="1857"/>
      </w:tblGrid>
      <w:tr w:rsidR="00A0618E" w:rsidRPr="00400193" w14:paraId="7E31951B" w14:textId="77777777" w:rsidTr="00B11F3B">
        <w:trPr>
          <w:trHeight w:val="283"/>
        </w:trPr>
        <w:tc>
          <w:tcPr>
            <w:tcW w:w="3380" w:type="dxa"/>
            <w:tcBorders>
              <w:top w:val="single" w:sz="4" w:space="0" w:color="auto"/>
              <w:left w:val="nil"/>
              <w:bottom w:val="single" w:sz="4" w:space="0" w:color="auto"/>
              <w:right w:val="nil"/>
            </w:tcBorders>
            <w:vAlign w:val="center"/>
          </w:tcPr>
          <w:p w14:paraId="4466529C"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1857" w:type="dxa"/>
            <w:tcBorders>
              <w:top w:val="single" w:sz="4" w:space="0" w:color="auto"/>
              <w:left w:val="nil"/>
              <w:bottom w:val="single" w:sz="4" w:space="0" w:color="auto"/>
              <w:right w:val="nil"/>
            </w:tcBorders>
            <w:vAlign w:val="center"/>
          </w:tcPr>
          <w:p w14:paraId="247C088F"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1857" w:type="dxa"/>
            <w:tcBorders>
              <w:top w:val="single" w:sz="4" w:space="0" w:color="auto"/>
              <w:left w:val="nil"/>
              <w:bottom w:val="single" w:sz="4" w:space="0" w:color="auto"/>
              <w:right w:val="nil"/>
            </w:tcBorders>
            <w:vAlign w:val="center"/>
          </w:tcPr>
          <w:p w14:paraId="45612047"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c>
          <w:tcPr>
            <w:tcW w:w="1857" w:type="dxa"/>
            <w:tcBorders>
              <w:top w:val="single" w:sz="4" w:space="0" w:color="auto"/>
              <w:left w:val="nil"/>
              <w:bottom w:val="single" w:sz="4" w:space="0" w:color="auto"/>
              <w:right w:val="nil"/>
            </w:tcBorders>
            <w:vAlign w:val="center"/>
          </w:tcPr>
          <w:p w14:paraId="3A2024D3"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3</w:t>
            </w:r>
          </w:p>
        </w:tc>
      </w:tr>
      <w:tr w:rsidR="00A0618E" w:rsidRPr="00400193" w14:paraId="1947EC19" w14:textId="77777777" w:rsidTr="00B11F3B">
        <w:trPr>
          <w:trHeight w:val="283"/>
        </w:trPr>
        <w:tc>
          <w:tcPr>
            <w:tcW w:w="3380" w:type="dxa"/>
            <w:tcBorders>
              <w:top w:val="single" w:sz="4" w:space="0" w:color="auto"/>
              <w:left w:val="nil"/>
              <w:bottom w:val="nil"/>
              <w:right w:val="nil"/>
            </w:tcBorders>
            <w:vAlign w:val="center"/>
          </w:tcPr>
          <w:p w14:paraId="4F322092"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1857" w:type="dxa"/>
            <w:tcBorders>
              <w:top w:val="single" w:sz="4" w:space="0" w:color="auto"/>
              <w:left w:val="nil"/>
              <w:bottom w:val="nil"/>
              <w:right w:val="nil"/>
            </w:tcBorders>
            <w:vAlign w:val="center"/>
          </w:tcPr>
          <w:p w14:paraId="5118734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0.914</w:t>
            </w:r>
          </w:p>
        </w:tc>
        <w:tc>
          <w:tcPr>
            <w:tcW w:w="1857" w:type="dxa"/>
            <w:tcBorders>
              <w:top w:val="single" w:sz="4" w:space="0" w:color="auto"/>
              <w:left w:val="nil"/>
              <w:bottom w:val="nil"/>
              <w:right w:val="nil"/>
            </w:tcBorders>
            <w:vAlign w:val="center"/>
          </w:tcPr>
          <w:p w14:paraId="320C514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0.835</w:t>
            </w:r>
          </w:p>
        </w:tc>
        <w:tc>
          <w:tcPr>
            <w:tcW w:w="1857" w:type="dxa"/>
            <w:tcBorders>
              <w:top w:val="single" w:sz="4" w:space="0" w:color="auto"/>
              <w:left w:val="nil"/>
              <w:bottom w:val="nil"/>
              <w:right w:val="nil"/>
            </w:tcBorders>
            <w:vAlign w:val="center"/>
          </w:tcPr>
          <w:p w14:paraId="1D95DCE5"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0.924</w:t>
            </w:r>
          </w:p>
        </w:tc>
      </w:tr>
      <w:tr w:rsidR="00A0618E" w:rsidRPr="00400193" w14:paraId="589245E4" w14:textId="77777777" w:rsidTr="00B11F3B">
        <w:trPr>
          <w:trHeight w:val="283"/>
        </w:trPr>
        <w:tc>
          <w:tcPr>
            <w:tcW w:w="3380" w:type="dxa"/>
            <w:tcBorders>
              <w:top w:val="nil"/>
              <w:left w:val="nil"/>
              <w:bottom w:val="nil"/>
              <w:right w:val="nil"/>
            </w:tcBorders>
            <w:vAlign w:val="center"/>
          </w:tcPr>
          <w:p w14:paraId="773949AE"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1857" w:type="dxa"/>
            <w:tcBorders>
              <w:top w:val="nil"/>
              <w:left w:val="nil"/>
              <w:bottom w:val="nil"/>
              <w:right w:val="nil"/>
            </w:tcBorders>
            <w:vAlign w:val="center"/>
          </w:tcPr>
          <w:p w14:paraId="6BCC86C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0.518</w:t>
            </w:r>
          </w:p>
        </w:tc>
        <w:tc>
          <w:tcPr>
            <w:tcW w:w="1857" w:type="dxa"/>
            <w:tcBorders>
              <w:top w:val="nil"/>
              <w:left w:val="nil"/>
              <w:bottom w:val="nil"/>
              <w:right w:val="nil"/>
            </w:tcBorders>
            <w:vAlign w:val="center"/>
          </w:tcPr>
          <w:p w14:paraId="205C6A9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0.560</w:t>
            </w:r>
          </w:p>
        </w:tc>
        <w:tc>
          <w:tcPr>
            <w:tcW w:w="1857" w:type="dxa"/>
            <w:tcBorders>
              <w:top w:val="nil"/>
              <w:left w:val="nil"/>
              <w:bottom w:val="nil"/>
              <w:right w:val="nil"/>
            </w:tcBorders>
            <w:vAlign w:val="center"/>
          </w:tcPr>
          <w:p w14:paraId="147145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0.752</w:t>
            </w:r>
          </w:p>
        </w:tc>
      </w:tr>
      <w:tr w:rsidR="00A0618E" w:rsidRPr="00400193" w14:paraId="4AFABCA0" w14:textId="77777777" w:rsidTr="00B11F3B">
        <w:trPr>
          <w:trHeight w:val="283"/>
        </w:trPr>
        <w:tc>
          <w:tcPr>
            <w:tcW w:w="3380" w:type="dxa"/>
            <w:tcBorders>
              <w:top w:val="nil"/>
              <w:left w:val="nil"/>
              <w:bottom w:val="nil"/>
              <w:right w:val="nil"/>
            </w:tcBorders>
            <w:vAlign w:val="center"/>
          </w:tcPr>
          <w:p w14:paraId="7E901969"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1857" w:type="dxa"/>
            <w:tcBorders>
              <w:top w:val="nil"/>
              <w:left w:val="nil"/>
              <w:bottom w:val="nil"/>
              <w:right w:val="nil"/>
            </w:tcBorders>
            <w:vAlign w:val="center"/>
          </w:tcPr>
          <w:p w14:paraId="792BCC5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0.664</w:t>
            </w:r>
          </w:p>
        </w:tc>
        <w:tc>
          <w:tcPr>
            <w:tcW w:w="1857" w:type="dxa"/>
            <w:tcBorders>
              <w:top w:val="nil"/>
              <w:left w:val="nil"/>
              <w:bottom w:val="nil"/>
              <w:right w:val="nil"/>
            </w:tcBorders>
            <w:vAlign w:val="center"/>
          </w:tcPr>
          <w:p w14:paraId="204A7DAC"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857" w:type="dxa"/>
            <w:tcBorders>
              <w:top w:val="nil"/>
              <w:left w:val="nil"/>
              <w:bottom w:val="nil"/>
              <w:right w:val="nil"/>
            </w:tcBorders>
            <w:vAlign w:val="center"/>
          </w:tcPr>
          <w:p w14:paraId="64C3EA2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44F22119" w14:textId="77777777" w:rsidTr="00B11F3B">
        <w:trPr>
          <w:trHeight w:val="283"/>
        </w:trPr>
        <w:tc>
          <w:tcPr>
            <w:tcW w:w="3380" w:type="dxa"/>
            <w:tcBorders>
              <w:top w:val="nil"/>
              <w:left w:val="nil"/>
              <w:bottom w:val="single" w:sz="4" w:space="0" w:color="auto"/>
              <w:right w:val="nil"/>
            </w:tcBorders>
            <w:vAlign w:val="center"/>
          </w:tcPr>
          <w:p w14:paraId="10231387"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1857" w:type="dxa"/>
            <w:tcBorders>
              <w:top w:val="nil"/>
              <w:left w:val="nil"/>
              <w:bottom w:val="single" w:sz="4" w:space="0" w:color="auto"/>
              <w:right w:val="nil"/>
            </w:tcBorders>
            <w:vAlign w:val="center"/>
          </w:tcPr>
          <w:p w14:paraId="2CB0EDDF"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0.443</w:t>
            </w:r>
          </w:p>
        </w:tc>
        <w:tc>
          <w:tcPr>
            <w:tcW w:w="1857" w:type="dxa"/>
            <w:tcBorders>
              <w:top w:val="nil"/>
              <w:left w:val="nil"/>
              <w:right w:val="nil"/>
            </w:tcBorders>
            <w:vAlign w:val="center"/>
          </w:tcPr>
          <w:p w14:paraId="1AA256F6"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857" w:type="dxa"/>
            <w:tcBorders>
              <w:top w:val="nil"/>
              <w:left w:val="nil"/>
              <w:right w:val="nil"/>
            </w:tcBorders>
            <w:vAlign w:val="center"/>
          </w:tcPr>
          <w:p w14:paraId="60EED1C3"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p>
        </w:tc>
      </w:tr>
    </w:tbl>
    <w:p w14:paraId="17EC8E35" w14:textId="0196801F" w:rsidR="006E3616" w:rsidRPr="00400193" w:rsidRDefault="006E3616" w:rsidP="006E3616">
      <w:pPr>
        <w:pStyle w:val="Caption"/>
        <w:spacing w:after="240"/>
        <w:rPr>
          <w:lang w:eastAsia="zh-CN" w:bidi="hi-IN"/>
        </w:rPr>
      </w:pPr>
      <w:bookmarkStart w:id="552" w:name="_Ref43255571"/>
      <w:bookmarkStart w:id="553" w:name="_Toc5290159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50</w:t>
      </w:r>
      <w:r w:rsidRPr="00400193">
        <w:fldChar w:fldCharType="end"/>
      </w:r>
      <w:bookmarkEnd w:id="552"/>
      <w:r w:rsidRPr="00400193">
        <w:t>: Average variance extracted (AVE), composite reliability (CR), maximum shared variance (MSV) and average shared variance (ASV) for RP</w:t>
      </w:r>
      <w:bookmarkEnd w:id="553"/>
    </w:p>
    <w:p w14:paraId="69183DB9" w14:textId="7F1EEF4C" w:rsidR="006E3616" w:rsidRPr="00400193" w:rsidRDefault="006E3616" w:rsidP="006E3616">
      <w:pPr>
        <w:rPr>
          <w:lang w:eastAsia="zh-CN" w:bidi="hi-IN"/>
        </w:rPr>
      </w:pPr>
      <w:r w:rsidRPr="00400193">
        <w:rPr>
          <w:lang w:eastAsia="zh-CN" w:bidi="hi-IN"/>
        </w:rPr>
        <w:t xml:space="preserve">Researchers like Schneier (2012) and Sano et al. (2016) have emphasised the importance of detection and response. They noted that in-depth security keeps most attacks from penetrating to the point where damage may be done. Suitable measures include internal audit procedures to deter or catch threats from inside the company, but some attacks will still occur. Even the idea of using more than one operating system does not prevent attacks. Cyber-security must therefore assume that an attack </w:t>
      </w:r>
      <w:r w:rsidRPr="00400193">
        <w:rPr>
          <w:lang w:eastAsia="zh-CN" w:bidi="hi-IN"/>
        </w:rPr>
        <w:lastRenderedPageBreak/>
        <w:t xml:space="preserve">will occur, detect the attack as early as possible, respond to the attack appropriately, and prevent any damage from spreading. Detection and research into detection (Vasudevan </w:t>
      </w:r>
      <w:r w:rsidR="00337F8A" w:rsidRPr="00400193">
        <w:rPr>
          <w:lang w:eastAsia="zh-CN" w:bidi="hi-IN"/>
        </w:rPr>
        <w:t>and</w:t>
      </w:r>
      <w:r w:rsidRPr="00400193">
        <w:rPr>
          <w:lang w:eastAsia="zh-CN" w:bidi="hi-IN"/>
        </w:rPr>
        <w:t xml:space="preserve"> Selvakumar, 2016) are therefore very important.</w:t>
      </w:r>
    </w:p>
    <w:p w14:paraId="6204E46E" w14:textId="77777777" w:rsidR="006E3616" w:rsidRPr="00400193" w:rsidRDefault="006E3616" w:rsidP="006E3616">
      <w:pPr>
        <w:pStyle w:val="Heading3"/>
        <w:rPr>
          <w:lang w:eastAsia="zh-CN" w:bidi="hi-IN"/>
        </w:rPr>
      </w:pPr>
      <w:bookmarkStart w:id="554" w:name="_Toc61894764"/>
      <w:r w:rsidRPr="00400193">
        <w:rPr>
          <w:lang w:eastAsia="zh-CN" w:bidi="hi-IN"/>
        </w:rPr>
        <w:t>Organisational Resilience (OR)</w:t>
      </w:r>
      <w:bookmarkEnd w:id="554"/>
    </w:p>
    <w:p w14:paraId="70BC4452" w14:textId="5E144F62" w:rsidR="006E3616" w:rsidRPr="00400193" w:rsidRDefault="006E3616" w:rsidP="006E3616">
      <w:pPr>
        <w:rPr>
          <w:lang w:eastAsia="zh-CN" w:bidi="hi-IN"/>
        </w:rPr>
      </w:pPr>
      <w:r w:rsidRPr="00400193">
        <w:rPr>
          <w:lang w:eastAsia="zh-CN" w:bidi="hi-IN"/>
        </w:rPr>
        <w:t>The total variance table (</w:t>
      </w:r>
      <w:r w:rsidRPr="00400193">
        <w:rPr>
          <w:lang w:eastAsia="zh-CN" w:bidi="hi-IN"/>
        </w:rPr>
        <w:fldChar w:fldCharType="begin"/>
      </w:r>
      <w:r w:rsidRPr="00400193">
        <w:rPr>
          <w:lang w:eastAsia="zh-CN" w:bidi="hi-IN"/>
        </w:rPr>
        <w:instrText xml:space="preserve"> REF _Ref43255676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51</w:t>
      </w:r>
      <w:r w:rsidRPr="00400193">
        <w:rPr>
          <w:lang w:eastAsia="zh-CN" w:bidi="hi-IN"/>
        </w:rPr>
        <w:fldChar w:fldCharType="end"/>
      </w:r>
      <w:r w:rsidRPr="00400193">
        <w:rPr>
          <w:lang w:eastAsia="zh-CN" w:bidi="hi-IN"/>
        </w:rPr>
        <w:t xml:space="preserve">) </w:t>
      </w:r>
      <w:r w:rsidR="00677C86" w:rsidRPr="00400193">
        <w:rPr>
          <w:lang w:eastAsia="zh-CN" w:bidi="hi-IN"/>
        </w:rPr>
        <w:t>describes</w:t>
      </w:r>
      <w:r w:rsidRPr="00400193">
        <w:rPr>
          <w:lang w:eastAsia="zh-CN" w:bidi="hi-IN"/>
        </w:rPr>
        <w:t xml:space="preserve"> the selection of the three main components. These factors explained 70.4% of the variance, resulting in the loss of 29.6% of the original information from the 21 initial variables. The cumulative percentage of variance explained by the first, second and third components was 34.3%, 53.2% and 70.4%, across 12.2, 1.4 and 1.2 variables.</w:t>
      </w:r>
    </w:p>
    <w:tbl>
      <w:tblPr>
        <w:tblStyle w:val="TableGrid"/>
        <w:tblW w:w="9026" w:type="dxa"/>
        <w:tblLayout w:type="fixed"/>
        <w:tblLook w:val="04A0" w:firstRow="1" w:lastRow="0" w:firstColumn="1" w:lastColumn="0" w:noHBand="0" w:noVBand="1"/>
      </w:tblPr>
      <w:tblGrid>
        <w:gridCol w:w="709"/>
        <w:gridCol w:w="709"/>
        <w:gridCol w:w="992"/>
        <w:gridCol w:w="1134"/>
        <w:gridCol w:w="709"/>
        <w:gridCol w:w="907"/>
        <w:gridCol w:w="1077"/>
        <w:gridCol w:w="627"/>
        <w:gridCol w:w="964"/>
        <w:gridCol w:w="1134"/>
        <w:gridCol w:w="64"/>
      </w:tblGrid>
      <w:tr w:rsidR="00B11F3B" w:rsidRPr="00400193" w14:paraId="7FBA64C0" w14:textId="77777777" w:rsidTr="00B11F3B">
        <w:trPr>
          <w:cantSplit/>
          <w:trHeight w:val="283"/>
        </w:trPr>
        <w:tc>
          <w:tcPr>
            <w:tcW w:w="709" w:type="dxa"/>
            <w:vMerge w:val="restart"/>
            <w:tcBorders>
              <w:left w:val="nil"/>
              <w:right w:val="nil"/>
            </w:tcBorders>
            <w:textDirection w:val="btLr"/>
            <w:vAlign w:val="center"/>
          </w:tcPr>
          <w:p w14:paraId="0196015E" w14:textId="0369B1CA" w:rsidR="006E3616" w:rsidRPr="00400193" w:rsidRDefault="006E3616" w:rsidP="003B5486">
            <w:pPr>
              <w:spacing w:line="240" w:lineRule="auto"/>
              <w:ind w:left="113" w:right="113"/>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Latent Variable</w:t>
            </w:r>
          </w:p>
        </w:tc>
        <w:tc>
          <w:tcPr>
            <w:tcW w:w="2835" w:type="dxa"/>
            <w:gridSpan w:val="3"/>
            <w:tcBorders>
              <w:left w:val="nil"/>
              <w:bottom w:val="nil"/>
              <w:right w:val="nil"/>
            </w:tcBorders>
            <w:vAlign w:val="center"/>
          </w:tcPr>
          <w:p w14:paraId="72BF251F"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Initial Eigenvalues</w:t>
            </w:r>
          </w:p>
        </w:tc>
        <w:tc>
          <w:tcPr>
            <w:tcW w:w="2693" w:type="dxa"/>
            <w:gridSpan w:val="3"/>
            <w:tcBorders>
              <w:left w:val="nil"/>
              <w:bottom w:val="nil"/>
              <w:right w:val="nil"/>
            </w:tcBorders>
            <w:vAlign w:val="center"/>
          </w:tcPr>
          <w:p w14:paraId="2A001C63"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Extraction Sums of Squared Loadings</w:t>
            </w:r>
          </w:p>
        </w:tc>
        <w:tc>
          <w:tcPr>
            <w:tcW w:w="2789" w:type="dxa"/>
            <w:gridSpan w:val="4"/>
            <w:tcBorders>
              <w:left w:val="nil"/>
              <w:bottom w:val="nil"/>
              <w:right w:val="nil"/>
            </w:tcBorders>
            <w:vAlign w:val="center"/>
          </w:tcPr>
          <w:p w14:paraId="614DC639"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Rotation Sums of Squared Loadings</w:t>
            </w:r>
          </w:p>
        </w:tc>
      </w:tr>
      <w:tr w:rsidR="00B11F3B" w:rsidRPr="00400193" w14:paraId="1BE52229" w14:textId="77777777" w:rsidTr="00B11F3B">
        <w:trPr>
          <w:gridAfter w:val="1"/>
          <w:wAfter w:w="64" w:type="dxa"/>
          <w:cantSplit/>
          <w:trHeight w:val="283"/>
        </w:trPr>
        <w:tc>
          <w:tcPr>
            <w:tcW w:w="709" w:type="dxa"/>
            <w:vMerge/>
            <w:tcBorders>
              <w:left w:val="nil"/>
              <w:right w:val="nil"/>
            </w:tcBorders>
            <w:vAlign w:val="center"/>
          </w:tcPr>
          <w:p w14:paraId="2CB8171B"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p>
        </w:tc>
        <w:tc>
          <w:tcPr>
            <w:tcW w:w="709" w:type="dxa"/>
            <w:tcBorders>
              <w:top w:val="nil"/>
              <w:left w:val="nil"/>
              <w:bottom w:val="single" w:sz="4" w:space="0" w:color="auto"/>
              <w:right w:val="nil"/>
            </w:tcBorders>
            <w:shd w:val="clear" w:color="auto" w:fill="auto"/>
            <w:vAlign w:val="center"/>
          </w:tcPr>
          <w:p w14:paraId="2D5B3C4E"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92" w:type="dxa"/>
            <w:tcBorders>
              <w:top w:val="nil"/>
              <w:left w:val="nil"/>
              <w:bottom w:val="single" w:sz="4" w:space="0" w:color="auto"/>
              <w:right w:val="nil"/>
            </w:tcBorders>
            <w:shd w:val="clear" w:color="auto" w:fill="auto"/>
            <w:vAlign w:val="center"/>
          </w:tcPr>
          <w:p w14:paraId="2025397B"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134" w:type="dxa"/>
            <w:tcBorders>
              <w:top w:val="nil"/>
              <w:left w:val="nil"/>
              <w:bottom w:val="single" w:sz="4" w:space="0" w:color="auto"/>
              <w:right w:val="nil"/>
            </w:tcBorders>
            <w:shd w:val="clear" w:color="auto" w:fill="auto"/>
            <w:vAlign w:val="center"/>
          </w:tcPr>
          <w:p w14:paraId="4F1ADF8D"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c>
          <w:tcPr>
            <w:tcW w:w="709" w:type="dxa"/>
            <w:tcBorders>
              <w:top w:val="nil"/>
              <w:left w:val="nil"/>
              <w:bottom w:val="single" w:sz="4" w:space="0" w:color="auto"/>
              <w:right w:val="nil"/>
            </w:tcBorders>
            <w:shd w:val="clear" w:color="auto" w:fill="auto"/>
            <w:vAlign w:val="center"/>
          </w:tcPr>
          <w:p w14:paraId="54FF0315"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07" w:type="dxa"/>
            <w:tcBorders>
              <w:top w:val="nil"/>
              <w:left w:val="nil"/>
              <w:bottom w:val="single" w:sz="4" w:space="0" w:color="auto"/>
              <w:right w:val="nil"/>
            </w:tcBorders>
            <w:shd w:val="clear" w:color="auto" w:fill="auto"/>
            <w:vAlign w:val="center"/>
          </w:tcPr>
          <w:p w14:paraId="562614D2"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077" w:type="dxa"/>
            <w:tcBorders>
              <w:top w:val="nil"/>
              <w:left w:val="nil"/>
              <w:bottom w:val="single" w:sz="4" w:space="0" w:color="auto"/>
              <w:right w:val="nil"/>
            </w:tcBorders>
            <w:shd w:val="clear" w:color="auto" w:fill="auto"/>
            <w:vAlign w:val="center"/>
          </w:tcPr>
          <w:p w14:paraId="0DF98E1D"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c>
          <w:tcPr>
            <w:tcW w:w="627" w:type="dxa"/>
            <w:tcBorders>
              <w:top w:val="nil"/>
              <w:left w:val="nil"/>
              <w:bottom w:val="single" w:sz="4" w:space="0" w:color="auto"/>
              <w:right w:val="nil"/>
            </w:tcBorders>
            <w:shd w:val="clear" w:color="auto" w:fill="auto"/>
            <w:vAlign w:val="center"/>
          </w:tcPr>
          <w:p w14:paraId="39CDAF80"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Total</w:t>
            </w:r>
          </w:p>
        </w:tc>
        <w:tc>
          <w:tcPr>
            <w:tcW w:w="964" w:type="dxa"/>
            <w:tcBorders>
              <w:top w:val="nil"/>
              <w:left w:val="nil"/>
              <w:bottom w:val="single" w:sz="4" w:space="0" w:color="auto"/>
              <w:right w:val="nil"/>
            </w:tcBorders>
            <w:shd w:val="clear" w:color="auto" w:fill="auto"/>
            <w:vAlign w:val="center"/>
          </w:tcPr>
          <w:p w14:paraId="22D2877C"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 of Variance</w:t>
            </w:r>
          </w:p>
        </w:tc>
        <w:tc>
          <w:tcPr>
            <w:tcW w:w="1134" w:type="dxa"/>
            <w:tcBorders>
              <w:top w:val="nil"/>
              <w:left w:val="nil"/>
              <w:bottom w:val="single" w:sz="4" w:space="0" w:color="auto"/>
              <w:right w:val="nil"/>
            </w:tcBorders>
            <w:shd w:val="clear" w:color="auto" w:fill="auto"/>
            <w:vAlign w:val="center"/>
          </w:tcPr>
          <w:p w14:paraId="01A46C8E" w14:textId="77777777" w:rsidR="006E3616" w:rsidRPr="00400193" w:rsidRDefault="006E3616" w:rsidP="003B5486">
            <w:pPr>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Cumulative %</w:t>
            </w:r>
          </w:p>
        </w:tc>
      </w:tr>
      <w:tr w:rsidR="00B11F3B" w:rsidRPr="00400193" w14:paraId="2BB66F43" w14:textId="77777777" w:rsidTr="00B11F3B">
        <w:trPr>
          <w:gridAfter w:val="1"/>
          <w:wAfter w:w="64" w:type="dxa"/>
          <w:cantSplit/>
          <w:trHeight w:val="283"/>
        </w:trPr>
        <w:tc>
          <w:tcPr>
            <w:tcW w:w="709" w:type="dxa"/>
            <w:tcBorders>
              <w:top w:val="single" w:sz="4" w:space="0" w:color="auto"/>
              <w:left w:val="nil"/>
              <w:bottom w:val="single" w:sz="8" w:space="0" w:color="AEAEAE"/>
              <w:right w:val="nil"/>
            </w:tcBorders>
            <w:shd w:val="clear" w:color="auto" w:fill="auto"/>
            <w:vAlign w:val="center"/>
          </w:tcPr>
          <w:p w14:paraId="405C369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709" w:type="dxa"/>
            <w:tcBorders>
              <w:top w:val="single" w:sz="4" w:space="0" w:color="auto"/>
              <w:left w:val="nil"/>
              <w:bottom w:val="single" w:sz="8" w:space="0" w:color="AEAEAE"/>
              <w:right w:val="nil"/>
            </w:tcBorders>
            <w:shd w:val="clear" w:color="auto" w:fill="auto"/>
            <w:vAlign w:val="center"/>
          </w:tcPr>
          <w:p w14:paraId="2CA63C72"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12.170</w:t>
            </w:r>
          </w:p>
        </w:tc>
        <w:tc>
          <w:tcPr>
            <w:tcW w:w="992" w:type="dxa"/>
            <w:tcBorders>
              <w:top w:val="single" w:sz="4" w:space="0" w:color="auto"/>
              <w:left w:val="single" w:sz="8" w:space="0" w:color="E0E0E0"/>
              <w:bottom w:val="single" w:sz="8" w:space="0" w:color="AEAEAE"/>
              <w:right w:val="nil"/>
            </w:tcBorders>
            <w:shd w:val="clear" w:color="auto" w:fill="auto"/>
            <w:vAlign w:val="center"/>
          </w:tcPr>
          <w:p w14:paraId="0069A275"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57.952</w:t>
            </w:r>
          </w:p>
        </w:tc>
        <w:tc>
          <w:tcPr>
            <w:tcW w:w="1134" w:type="dxa"/>
            <w:tcBorders>
              <w:top w:val="single" w:sz="4" w:space="0" w:color="auto"/>
              <w:left w:val="nil"/>
              <w:bottom w:val="single" w:sz="8" w:space="0" w:color="AEAEAE"/>
              <w:right w:val="nil"/>
            </w:tcBorders>
            <w:shd w:val="clear" w:color="auto" w:fill="auto"/>
            <w:vAlign w:val="center"/>
          </w:tcPr>
          <w:p w14:paraId="6F8A091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57.952</w:t>
            </w:r>
          </w:p>
        </w:tc>
        <w:tc>
          <w:tcPr>
            <w:tcW w:w="709" w:type="dxa"/>
            <w:tcBorders>
              <w:top w:val="single" w:sz="4" w:space="0" w:color="auto"/>
              <w:left w:val="nil"/>
              <w:bottom w:val="single" w:sz="8" w:space="0" w:color="AEAEAE"/>
              <w:right w:val="nil"/>
            </w:tcBorders>
            <w:shd w:val="clear" w:color="auto" w:fill="auto"/>
            <w:vAlign w:val="center"/>
          </w:tcPr>
          <w:p w14:paraId="1D8BA61A"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12.170</w:t>
            </w:r>
          </w:p>
        </w:tc>
        <w:tc>
          <w:tcPr>
            <w:tcW w:w="907" w:type="dxa"/>
            <w:tcBorders>
              <w:top w:val="single" w:sz="4" w:space="0" w:color="auto"/>
              <w:left w:val="nil"/>
              <w:bottom w:val="single" w:sz="8" w:space="0" w:color="AEAEAE"/>
              <w:right w:val="nil"/>
            </w:tcBorders>
            <w:shd w:val="clear" w:color="auto" w:fill="auto"/>
            <w:vAlign w:val="center"/>
          </w:tcPr>
          <w:p w14:paraId="11700725"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57.952</w:t>
            </w:r>
          </w:p>
        </w:tc>
        <w:tc>
          <w:tcPr>
            <w:tcW w:w="1077" w:type="dxa"/>
            <w:tcBorders>
              <w:top w:val="single" w:sz="4" w:space="0" w:color="auto"/>
              <w:left w:val="nil"/>
              <w:bottom w:val="single" w:sz="8" w:space="0" w:color="AEAEAE"/>
              <w:right w:val="nil"/>
            </w:tcBorders>
            <w:shd w:val="clear" w:color="auto" w:fill="auto"/>
            <w:vAlign w:val="center"/>
          </w:tcPr>
          <w:p w14:paraId="11CEC5CD"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57.952</w:t>
            </w:r>
          </w:p>
        </w:tc>
        <w:tc>
          <w:tcPr>
            <w:tcW w:w="627" w:type="dxa"/>
            <w:tcBorders>
              <w:top w:val="single" w:sz="4" w:space="0" w:color="auto"/>
              <w:left w:val="nil"/>
              <w:bottom w:val="single" w:sz="8" w:space="0" w:color="AEAEAE"/>
              <w:right w:val="nil"/>
            </w:tcBorders>
            <w:shd w:val="clear" w:color="auto" w:fill="auto"/>
            <w:vAlign w:val="center"/>
          </w:tcPr>
          <w:p w14:paraId="4486F528"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7.206</w:t>
            </w:r>
          </w:p>
        </w:tc>
        <w:tc>
          <w:tcPr>
            <w:tcW w:w="964" w:type="dxa"/>
            <w:tcBorders>
              <w:top w:val="single" w:sz="4" w:space="0" w:color="auto"/>
              <w:left w:val="nil"/>
              <w:bottom w:val="single" w:sz="8" w:space="0" w:color="AEAEAE"/>
              <w:right w:val="nil"/>
            </w:tcBorders>
            <w:shd w:val="clear" w:color="auto" w:fill="auto"/>
            <w:vAlign w:val="center"/>
          </w:tcPr>
          <w:p w14:paraId="0877D56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34.317</w:t>
            </w:r>
          </w:p>
        </w:tc>
        <w:tc>
          <w:tcPr>
            <w:tcW w:w="1134" w:type="dxa"/>
            <w:tcBorders>
              <w:top w:val="single" w:sz="4" w:space="0" w:color="auto"/>
              <w:left w:val="nil"/>
              <w:bottom w:val="single" w:sz="8" w:space="0" w:color="AEAEAE"/>
              <w:right w:val="nil"/>
            </w:tcBorders>
            <w:shd w:val="clear" w:color="auto" w:fill="auto"/>
            <w:vAlign w:val="center"/>
          </w:tcPr>
          <w:p w14:paraId="78428A09"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34.317</w:t>
            </w:r>
          </w:p>
        </w:tc>
      </w:tr>
      <w:tr w:rsidR="00B11F3B" w:rsidRPr="00400193" w14:paraId="635E6FFE" w14:textId="77777777" w:rsidTr="00B11F3B">
        <w:trPr>
          <w:gridAfter w:val="1"/>
          <w:wAfter w:w="64" w:type="dxa"/>
          <w:cantSplit/>
          <w:trHeight w:val="283"/>
        </w:trPr>
        <w:tc>
          <w:tcPr>
            <w:tcW w:w="709" w:type="dxa"/>
            <w:tcBorders>
              <w:top w:val="single" w:sz="8" w:space="0" w:color="AEAEAE"/>
              <w:left w:val="nil"/>
              <w:bottom w:val="single" w:sz="8" w:space="0" w:color="AEAEAE"/>
              <w:right w:val="nil"/>
            </w:tcBorders>
            <w:shd w:val="clear" w:color="auto" w:fill="auto"/>
            <w:vAlign w:val="center"/>
          </w:tcPr>
          <w:p w14:paraId="10D717B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w:t>
            </w:r>
          </w:p>
        </w:tc>
        <w:tc>
          <w:tcPr>
            <w:tcW w:w="709" w:type="dxa"/>
            <w:tcBorders>
              <w:top w:val="single" w:sz="8" w:space="0" w:color="AEAEAE"/>
              <w:left w:val="nil"/>
              <w:bottom w:val="single" w:sz="8" w:space="0" w:color="AEAEAE"/>
              <w:right w:val="nil"/>
            </w:tcBorders>
            <w:shd w:val="clear" w:color="auto" w:fill="auto"/>
            <w:vAlign w:val="center"/>
          </w:tcPr>
          <w:p w14:paraId="26B567B4"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1.370</w:t>
            </w:r>
          </w:p>
        </w:tc>
        <w:tc>
          <w:tcPr>
            <w:tcW w:w="992" w:type="dxa"/>
            <w:tcBorders>
              <w:top w:val="single" w:sz="8" w:space="0" w:color="AEAEAE"/>
              <w:left w:val="single" w:sz="8" w:space="0" w:color="E0E0E0"/>
              <w:bottom w:val="single" w:sz="8" w:space="0" w:color="AEAEAE"/>
              <w:right w:val="nil"/>
            </w:tcBorders>
            <w:shd w:val="clear" w:color="auto" w:fill="auto"/>
            <w:vAlign w:val="center"/>
          </w:tcPr>
          <w:p w14:paraId="18581BEA"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6.526</w:t>
            </w:r>
          </w:p>
        </w:tc>
        <w:tc>
          <w:tcPr>
            <w:tcW w:w="1134" w:type="dxa"/>
            <w:tcBorders>
              <w:top w:val="single" w:sz="8" w:space="0" w:color="AEAEAE"/>
              <w:left w:val="nil"/>
              <w:bottom w:val="single" w:sz="8" w:space="0" w:color="AEAEAE"/>
              <w:right w:val="nil"/>
            </w:tcBorders>
            <w:shd w:val="clear" w:color="auto" w:fill="auto"/>
            <w:vAlign w:val="center"/>
          </w:tcPr>
          <w:p w14:paraId="0733AA57"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64.479</w:t>
            </w:r>
          </w:p>
        </w:tc>
        <w:tc>
          <w:tcPr>
            <w:tcW w:w="709" w:type="dxa"/>
            <w:tcBorders>
              <w:top w:val="single" w:sz="8" w:space="0" w:color="AEAEAE"/>
              <w:left w:val="nil"/>
              <w:bottom w:val="single" w:sz="8" w:space="0" w:color="AEAEAE"/>
              <w:right w:val="nil"/>
            </w:tcBorders>
            <w:shd w:val="clear" w:color="auto" w:fill="auto"/>
            <w:vAlign w:val="center"/>
          </w:tcPr>
          <w:p w14:paraId="641A8646"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1.370</w:t>
            </w:r>
          </w:p>
        </w:tc>
        <w:tc>
          <w:tcPr>
            <w:tcW w:w="907" w:type="dxa"/>
            <w:tcBorders>
              <w:top w:val="single" w:sz="8" w:space="0" w:color="AEAEAE"/>
              <w:left w:val="nil"/>
              <w:bottom w:val="single" w:sz="8" w:space="0" w:color="AEAEAE"/>
              <w:right w:val="nil"/>
            </w:tcBorders>
            <w:shd w:val="clear" w:color="auto" w:fill="auto"/>
            <w:vAlign w:val="center"/>
          </w:tcPr>
          <w:p w14:paraId="689E0DE2"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6.526</w:t>
            </w:r>
          </w:p>
        </w:tc>
        <w:tc>
          <w:tcPr>
            <w:tcW w:w="1077" w:type="dxa"/>
            <w:tcBorders>
              <w:top w:val="single" w:sz="8" w:space="0" w:color="AEAEAE"/>
              <w:left w:val="nil"/>
              <w:bottom w:val="single" w:sz="8" w:space="0" w:color="AEAEAE"/>
              <w:right w:val="nil"/>
            </w:tcBorders>
            <w:shd w:val="clear" w:color="auto" w:fill="auto"/>
            <w:vAlign w:val="center"/>
          </w:tcPr>
          <w:p w14:paraId="12878ADE"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64.479</w:t>
            </w:r>
          </w:p>
        </w:tc>
        <w:tc>
          <w:tcPr>
            <w:tcW w:w="627" w:type="dxa"/>
            <w:tcBorders>
              <w:top w:val="single" w:sz="8" w:space="0" w:color="AEAEAE"/>
              <w:left w:val="nil"/>
              <w:bottom w:val="single" w:sz="8" w:space="0" w:color="AEAEAE"/>
              <w:right w:val="nil"/>
            </w:tcBorders>
            <w:shd w:val="clear" w:color="auto" w:fill="auto"/>
            <w:vAlign w:val="center"/>
          </w:tcPr>
          <w:p w14:paraId="74E73279"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3.957</w:t>
            </w:r>
          </w:p>
        </w:tc>
        <w:tc>
          <w:tcPr>
            <w:tcW w:w="964" w:type="dxa"/>
            <w:tcBorders>
              <w:top w:val="single" w:sz="8" w:space="0" w:color="AEAEAE"/>
              <w:left w:val="nil"/>
              <w:bottom w:val="single" w:sz="8" w:space="0" w:color="AEAEAE"/>
              <w:right w:val="nil"/>
            </w:tcBorders>
            <w:shd w:val="clear" w:color="auto" w:fill="auto"/>
            <w:vAlign w:val="center"/>
          </w:tcPr>
          <w:p w14:paraId="64884544"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18.843</w:t>
            </w:r>
          </w:p>
        </w:tc>
        <w:tc>
          <w:tcPr>
            <w:tcW w:w="1134" w:type="dxa"/>
            <w:tcBorders>
              <w:top w:val="single" w:sz="8" w:space="0" w:color="AEAEAE"/>
              <w:left w:val="nil"/>
              <w:bottom w:val="single" w:sz="8" w:space="0" w:color="AEAEAE"/>
              <w:right w:val="nil"/>
            </w:tcBorders>
            <w:shd w:val="clear" w:color="auto" w:fill="auto"/>
            <w:vAlign w:val="center"/>
          </w:tcPr>
          <w:p w14:paraId="5AD61E8A"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53.160</w:t>
            </w:r>
          </w:p>
        </w:tc>
      </w:tr>
      <w:tr w:rsidR="00B11F3B" w:rsidRPr="00400193" w14:paraId="4C77CAB0" w14:textId="77777777" w:rsidTr="00B11F3B">
        <w:trPr>
          <w:gridAfter w:val="1"/>
          <w:wAfter w:w="64" w:type="dxa"/>
          <w:cantSplit/>
          <w:trHeight w:val="283"/>
        </w:trPr>
        <w:tc>
          <w:tcPr>
            <w:tcW w:w="709" w:type="dxa"/>
            <w:tcBorders>
              <w:top w:val="single" w:sz="8" w:space="0" w:color="AEAEAE"/>
              <w:left w:val="nil"/>
              <w:bottom w:val="single" w:sz="8" w:space="0" w:color="AEAEAE"/>
              <w:right w:val="nil"/>
            </w:tcBorders>
            <w:shd w:val="clear" w:color="auto" w:fill="auto"/>
            <w:vAlign w:val="center"/>
          </w:tcPr>
          <w:p w14:paraId="38FB57A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w:t>
            </w:r>
          </w:p>
        </w:tc>
        <w:tc>
          <w:tcPr>
            <w:tcW w:w="709" w:type="dxa"/>
            <w:tcBorders>
              <w:top w:val="single" w:sz="8" w:space="0" w:color="AEAEAE"/>
              <w:left w:val="nil"/>
              <w:bottom w:val="single" w:sz="8" w:space="0" w:color="AEAEAE"/>
              <w:right w:val="nil"/>
            </w:tcBorders>
            <w:shd w:val="clear" w:color="auto" w:fill="auto"/>
            <w:vAlign w:val="center"/>
          </w:tcPr>
          <w:p w14:paraId="1D5DE56E"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1.244</w:t>
            </w:r>
          </w:p>
        </w:tc>
        <w:tc>
          <w:tcPr>
            <w:tcW w:w="992" w:type="dxa"/>
            <w:tcBorders>
              <w:top w:val="single" w:sz="8" w:space="0" w:color="AEAEAE"/>
              <w:left w:val="single" w:sz="8" w:space="0" w:color="E0E0E0"/>
              <w:bottom w:val="single" w:sz="8" w:space="0" w:color="AEAEAE"/>
              <w:right w:val="nil"/>
            </w:tcBorders>
            <w:shd w:val="clear" w:color="auto" w:fill="auto"/>
            <w:vAlign w:val="center"/>
          </w:tcPr>
          <w:p w14:paraId="36375EF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5.926</w:t>
            </w:r>
          </w:p>
        </w:tc>
        <w:tc>
          <w:tcPr>
            <w:tcW w:w="1134" w:type="dxa"/>
            <w:tcBorders>
              <w:top w:val="single" w:sz="8" w:space="0" w:color="AEAEAE"/>
              <w:left w:val="nil"/>
              <w:bottom w:val="single" w:sz="8" w:space="0" w:color="AEAEAE"/>
              <w:right w:val="nil"/>
            </w:tcBorders>
            <w:shd w:val="clear" w:color="auto" w:fill="auto"/>
            <w:vAlign w:val="center"/>
          </w:tcPr>
          <w:p w14:paraId="0541FCF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70.404</w:t>
            </w:r>
          </w:p>
        </w:tc>
        <w:tc>
          <w:tcPr>
            <w:tcW w:w="709" w:type="dxa"/>
            <w:tcBorders>
              <w:top w:val="single" w:sz="8" w:space="0" w:color="AEAEAE"/>
              <w:left w:val="nil"/>
              <w:bottom w:val="single" w:sz="8" w:space="0" w:color="AEAEAE"/>
              <w:right w:val="nil"/>
            </w:tcBorders>
            <w:shd w:val="clear" w:color="auto" w:fill="auto"/>
            <w:vAlign w:val="center"/>
          </w:tcPr>
          <w:p w14:paraId="4F91AEFF"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1.244</w:t>
            </w:r>
          </w:p>
        </w:tc>
        <w:tc>
          <w:tcPr>
            <w:tcW w:w="907" w:type="dxa"/>
            <w:tcBorders>
              <w:top w:val="single" w:sz="8" w:space="0" w:color="AEAEAE"/>
              <w:left w:val="nil"/>
              <w:bottom w:val="single" w:sz="8" w:space="0" w:color="AEAEAE"/>
              <w:right w:val="nil"/>
            </w:tcBorders>
            <w:shd w:val="clear" w:color="auto" w:fill="auto"/>
            <w:vAlign w:val="center"/>
          </w:tcPr>
          <w:p w14:paraId="22F359BC"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5.926</w:t>
            </w:r>
          </w:p>
        </w:tc>
        <w:tc>
          <w:tcPr>
            <w:tcW w:w="1077" w:type="dxa"/>
            <w:tcBorders>
              <w:top w:val="single" w:sz="8" w:space="0" w:color="AEAEAE"/>
              <w:left w:val="nil"/>
              <w:bottom w:val="single" w:sz="8" w:space="0" w:color="AEAEAE"/>
              <w:right w:val="nil"/>
            </w:tcBorders>
            <w:shd w:val="clear" w:color="auto" w:fill="auto"/>
            <w:vAlign w:val="center"/>
          </w:tcPr>
          <w:p w14:paraId="6CC646C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70.404</w:t>
            </w:r>
          </w:p>
        </w:tc>
        <w:tc>
          <w:tcPr>
            <w:tcW w:w="627" w:type="dxa"/>
            <w:tcBorders>
              <w:top w:val="single" w:sz="8" w:space="0" w:color="AEAEAE"/>
              <w:left w:val="nil"/>
              <w:bottom w:val="single" w:sz="8" w:space="0" w:color="AEAEAE"/>
              <w:right w:val="nil"/>
            </w:tcBorders>
            <w:shd w:val="clear" w:color="auto" w:fill="auto"/>
            <w:vAlign w:val="center"/>
          </w:tcPr>
          <w:p w14:paraId="0D95429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3.621</w:t>
            </w:r>
          </w:p>
        </w:tc>
        <w:tc>
          <w:tcPr>
            <w:tcW w:w="964" w:type="dxa"/>
            <w:tcBorders>
              <w:top w:val="single" w:sz="8" w:space="0" w:color="AEAEAE"/>
              <w:left w:val="nil"/>
              <w:bottom w:val="single" w:sz="8" w:space="0" w:color="AEAEAE"/>
              <w:right w:val="nil"/>
            </w:tcBorders>
            <w:shd w:val="clear" w:color="auto" w:fill="auto"/>
            <w:vAlign w:val="center"/>
          </w:tcPr>
          <w:p w14:paraId="3227703F"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17.245</w:t>
            </w:r>
          </w:p>
        </w:tc>
        <w:tc>
          <w:tcPr>
            <w:tcW w:w="1134" w:type="dxa"/>
            <w:tcBorders>
              <w:top w:val="single" w:sz="8" w:space="0" w:color="AEAEAE"/>
              <w:left w:val="nil"/>
              <w:bottom w:val="single" w:sz="8" w:space="0" w:color="AEAEAE"/>
              <w:right w:val="nil"/>
            </w:tcBorders>
            <w:shd w:val="clear" w:color="auto" w:fill="auto"/>
            <w:vAlign w:val="center"/>
          </w:tcPr>
          <w:p w14:paraId="2E09E3E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70.404</w:t>
            </w:r>
          </w:p>
        </w:tc>
      </w:tr>
      <w:tr w:rsidR="00B11F3B" w:rsidRPr="00400193" w14:paraId="522306D4" w14:textId="77777777" w:rsidTr="00B11F3B">
        <w:trPr>
          <w:gridAfter w:val="1"/>
          <w:wAfter w:w="64" w:type="dxa"/>
          <w:cantSplit/>
          <w:trHeight w:val="283"/>
        </w:trPr>
        <w:tc>
          <w:tcPr>
            <w:tcW w:w="709" w:type="dxa"/>
            <w:tcBorders>
              <w:top w:val="single" w:sz="8" w:space="0" w:color="AEAEAE"/>
              <w:left w:val="nil"/>
              <w:bottom w:val="single" w:sz="4" w:space="0" w:color="auto"/>
              <w:right w:val="nil"/>
            </w:tcBorders>
            <w:shd w:val="clear" w:color="auto" w:fill="auto"/>
            <w:vAlign w:val="center"/>
          </w:tcPr>
          <w:p w14:paraId="2AA7924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w:t>
            </w:r>
          </w:p>
        </w:tc>
        <w:tc>
          <w:tcPr>
            <w:tcW w:w="709" w:type="dxa"/>
            <w:tcBorders>
              <w:top w:val="single" w:sz="8" w:space="0" w:color="AEAEAE"/>
              <w:left w:val="nil"/>
              <w:bottom w:val="single" w:sz="4" w:space="0" w:color="auto"/>
              <w:right w:val="nil"/>
            </w:tcBorders>
            <w:shd w:val="clear" w:color="auto" w:fill="auto"/>
            <w:vAlign w:val="center"/>
          </w:tcPr>
          <w:p w14:paraId="79A2E36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0.876</w:t>
            </w:r>
          </w:p>
        </w:tc>
        <w:tc>
          <w:tcPr>
            <w:tcW w:w="992" w:type="dxa"/>
            <w:tcBorders>
              <w:top w:val="single" w:sz="8" w:space="0" w:color="AEAEAE"/>
              <w:left w:val="single" w:sz="8" w:space="0" w:color="E0E0E0"/>
              <w:bottom w:val="single" w:sz="4" w:space="0" w:color="auto"/>
              <w:right w:val="nil"/>
            </w:tcBorders>
            <w:shd w:val="clear" w:color="auto" w:fill="auto"/>
            <w:vAlign w:val="center"/>
          </w:tcPr>
          <w:p w14:paraId="78FA3F01"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4.172</w:t>
            </w:r>
          </w:p>
        </w:tc>
        <w:tc>
          <w:tcPr>
            <w:tcW w:w="1134" w:type="dxa"/>
            <w:tcBorders>
              <w:top w:val="single" w:sz="8" w:space="0" w:color="AEAEAE"/>
              <w:left w:val="nil"/>
              <w:bottom w:val="single" w:sz="4" w:space="0" w:color="auto"/>
              <w:right w:val="nil"/>
            </w:tcBorders>
            <w:shd w:val="clear" w:color="auto" w:fill="auto"/>
            <w:vAlign w:val="center"/>
          </w:tcPr>
          <w:p w14:paraId="334FF4E3"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74.576</w:t>
            </w:r>
          </w:p>
        </w:tc>
        <w:tc>
          <w:tcPr>
            <w:tcW w:w="709" w:type="dxa"/>
            <w:tcBorders>
              <w:top w:val="single" w:sz="8" w:space="0" w:color="AEAEAE"/>
              <w:left w:val="nil"/>
              <w:bottom w:val="single" w:sz="4" w:space="0" w:color="auto"/>
              <w:right w:val="nil"/>
            </w:tcBorders>
            <w:shd w:val="clear" w:color="auto" w:fill="auto"/>
            <w:vAlign w:val="center"/>
          </w:tcPr>
          <w:p w14:paraId="1D72751E"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907" w:type="dxa"/>
            <w:tcBorders>
              <w:top w:val="single" w:sz="8" w:space="0" w:color="AEAEAE"/>
              <w:left w:val="nil"/>
              <w:bottom w:val="single" w:sz="4" w:space="0" w:color="auto"/>
              <w:right w:val="nil"/>
            </w:tcBorders>
            <w:shd w:val="clear" w:color="auto" w:fill="auto"/>
            <w:vAlign w:val="center"/>
          </w:tcPr>
          <w:p w14:paraId="4B03D2C5"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1077" w:type="dxa"/>
            <w:tcBorders>
              <w:top w:val="single" w:sz="8" w:space="0" w:color="AEAEAE"/>
              <w:left w:val="nil"/>
              <w:bottom w:val="single" w:sz="4" w:space="0" w:color="auto"/>
              <w:right w:val="nil"/>
            </w:tcBorders>
            <w:shd w:val="clear" w:color="auto" w:fill="auto"/>
            <w:vAlign w:val="center"/>
          </w:tcPr>
          <w:p w14:paraId="6CB9A55B"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627" w:type="dxa"/>
            <w:tcBorders>
              <w:top w:val="single" w:sz="8" w:space="0" w:color="AEAEAE"/>
              <w:left w:val="nil"/>
              <w:bottom w:val="single" w:sz="4" w:space="0" w:color="auto"/>
              <w:right w:val="nil"/>
            </w:tcBorders>
            <w:shd w:val="clear" w:color="auto" w:fill="auto"/>
            <w:vAlign w:val="center"/>
          </w:tcPr>
          <w:p w14:paraId="29099370"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964" w:type="dxa"/>
            <w:tcBorders>
              <w:top w:val="single" w:sz="8" w:space="0" w:color="AEAEAE"/>
              <w:left w:val="nil"/>
              <w:bottom w:val="single" w:sz="4" w:space="0" w:color="auto"/>
              <w:right w:val="nil"/>
            </w:tcBorders>
            <w:shd w:val="clear" w:color="auto" w:fill="auto"/>
            <w:vAlign w:val="center"/>
          </w:tcPr>
          <w:p w14:paraId="6F6A016F"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c>
          <w:tcPr>
            <w:tcW w:w="1134" w:type="dxa"/>
            <w:tcBorders>
              <w:top w:val="single" w:sz="8" w:space="0" w:color="AEAEAE"/>
              <w:left w:val="nil"/>
              <w:bottom w:val="single" w:sz="4" w:space="0" w:color="auto"/>
              <w:right w:val="nil"/>
            </w:tcBorders>
            <w:shd w:val="clear" w:color="auto" w:fill="auto"/>
            <w:vAlign w:val="center"/>
          </w:tcPr>
          <w:p w14:paraId="50C5DFAE" w14:textId="77777777" w:rsidR="006E3616" w:rsidRPr="00400193" w:rsidRDefault="006E3616" w:rsidP="003B5486">
            <w:pPr>
              <w:spacing w:line="240" w:lineRule="auto"/>
              <w:jc w:val="center"/>
              <w:rPr>
                <w:rFonts w:asciiTheme="minorHAnsi" w:hAnsiTheme="minorHAnsi" w:cstheme="minorHAnsi"/>
                <w:sz w:val="18"/>
                <w:szCs w:val="18"/>
                <w:lang w:eastAsia="zh-CN" w:bidi="hi-IN"/>
              </w:rPr>
            </w:pPr>
          </w:p>
        </w:tc>
      </w:tr>
      <w:tr w:rsidR="006E3616" w:rsidRPr="00400193" w14:paraId="6CCD5ED7" w14:textId="77777777" w:rsidTr="00B11F3B">
        <w:trPr>
          <w:cantSplit/>
          <w:trHeight w:val="283"/>
        </w:trPr>
        <w:tc>
          <w:tcPr>
            <w:tcW w:w="9026" w:type="dxa"/>
            <w:gridSpan w:val="11"/>
            <w:tcBorders>
              <w:left w:val="nil"/>
              <w:right w:val="nil"/>
            </w:tcBorders>
            <w:vAlign w:val="center"/>
          </w:tcPr>
          <w:p w14:paraId="24C9CD15" w14:textId="77777777" w:rsidR="006E3616" w:rsidRPr="00400193" w:rsidRDefault="006E3616" w:rsidP="003B5486">
            <w:pPr>
              <w:keepNext/>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Extraction Method: Principal Component Analysis</w:t>
            </w:r>
          </w:p>
        </w:tc>
      </w:tr>
    </w:tbl>
    <w:p w14:paraId="1DBC517F" w14:textId="796337F5" w:rsidR="006E3616" w:rsidRPr="00400193" w:rsidRDefault="006E3616" w:rsidP="006E3616">
      <w:pPr>
        <w:pStyle w:val="Caption"/>
        <w:spacing w:after="240"/>
        <w:rPr>
          <w:lang w:eastAsia="zh-CN" w:bidi="hi-IN"/>
        </w:rPr>
      </w:pPr>
      <w:bookmarkStart w:id="555" w:name="_Ref43255676"/>
      <w:bookmarkStart w:id="556" w:name="_Toc5290159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51</w:t>
      </w:r>
      <w:r w:rsidRPr="00400193">
        <w:fldChar w:fldCharType="end"/>
      </w:r>
      <w:bookmarkEnd w:id="555"/>
      <w:r w:rsidRPr="00400193">
        <w:t>: Total variance explained by the components of OR</w:t>
      </w:r>
      <w:bookmarkEnd w:id="556"/>
      <w:r w:rsidRPr="00400193">
        <w:t xml:space="preserve"> </w:t>
      </w:r>
    </w:p>
    <w:p w14:paraId="5C8F447C" w14:textId="74C33E2D" w:rsidR="006E3616" w:rsidRPr="00400193" w:rsidRDefault="006E3616" w:rsidP="006E3616">
      <w:pPr>
        <w:rPr>
          <w:lang w:eastAsia="zh-CN" w:bidi="hi-IN"/>
        </w:rPr>
      </w:pPr>
      <w:r w:rsidRPr="00400193">
        <w:rPr>
          <w:lang w:eastAsia="zh-CN" w:bidi="hi-IN"/>
        </w:rPr>
        <w:t>The KMO value of 0.930 was within the range for factor analysis (0.5–1.0). Bartlett’s test of sphericity gave a Chi-square value of 1012.6 with 105 degrees of freedom and was significant at ≤0.001 (</w:t>
      </w:r>
      <w:r w:rsidRPr="00400193">
        <w:rPr>
          <w:lang w:eastAsia="zh-CN" w:bidi="hi-IN"/>
        </w:rPr>
        <w:fldChar w:fldCharType="begin"/>
      </w:r>
      <w:r w:rsidRPr="00400193">
        <w:rPr>
          <w:lang w:eastAsia="zh-CN" w:bidi="hi-IN"/>
        </w:rPr>
        <w:instrText xml:space="preserve"> REF _Ref43255765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52</w:t>
      </w:r>
      <w:r w:rsidRPr="00400193">
        <w:rPr>
          <w:lang w:eastAsia="zh-CN" w:bidi="hi-IN"/>
        </w:rPr>
        <w:fldChar w:fldCharType="end"/>
      </w:r>
      <w:r w:rsidRPr="00400193">
        <w:rPr>
          <w:lang w:eastAsia="zh-CN" w:bidi="hi-IN"/>
        </w:rPr>
        <w:t>). The data were therefore suitable for factor analysis.</w:t>
      </w:r>
    </w:p>
    <w:tbl>
      <w:tblPr>
        <w:tblStyle w:val="TableGrid"/>
        <w:tblW w:w="0" w:type="auto"/>
        <w:tblInd w:w="5" w:type="dxa"/>
        <w:tblLook w:val="04A0" w:firstRow="1" w:lastRow="0" w:firstColumn="1" w:lastColumn="0" w:noHBand="0" w:noVBand="1"/>
      </w:tblPr>
      <w:tblGrid>
        <w:gridCol w:w="4531"/>
        <w:gridCol w:w="2694"/>
        <w:gridCol w:w="1791"/>
      </w:tblGrid>
      <w:tr w:rsidR="00A0618E" w:rsidRPr="00400193" w14:paraId="1CFF3A2C" w14:textId="77777777" w:rsidTr="00013AF7">
        <w:trPr>
          <w:trHeight w:val="283"/>
        </w:trPr>
        <w:tc>
          <w:tcPr>
            <w:tcW w:w="7225" w:type="dxa"/>
            <w:gridSpan w:val="2"/>
            <w:tcBorders>
              <w:top w:val="single" w:sz="4" w:space="0" w:color="auto"/>
              <w:left w:val="nil"/>
              <w:bottom w:val="single" w:sz="4" w:space="0" w:color="auto"/>
              <w:right w:val="nil"/>
            </w:tcBorders>
            <w:shd w:val="clear" w:color="auto" w:fill="auto"/>
          </w:tcPr>
          <w:p w14:paraId="7F433098" w14:textId="77777777" w:rsidR="006E3616" w:rsidRPr="00400193" w:rsidRDefault="006E3616" w:rsidP="003B5486">
            <w:pPr>
              <w:spacing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Kaiser–Meyer–Olkin Measure of Sampling Adequacy</w:t>
            </w:r>
          </w:p>
        </w:tc>
        <w:tc>
          <w:tcPr>
            <w:tcW w:w="1791" w:type="dxa"/>
            <w:tcBorders>
              <w:top w:val="single" w:sz="4" w:space="0" w:color="auto"/>
              <w:left w:val="nil"/>
              <w:bottom w:val="single" w:sz="4" w:space="0" w:color="auto"/>
              <w:right w:val="nil"/>
            </w:tcBorders>
            <w:shd w:val="clear" w:color="auto" w:fill="auto"/>
            <w:vAlign w:val="center"/>
          </w:tcPr>
          <w:p w14:paraId="4FAC3878"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0.924</w:t>
            </w:r>
          </w:p>
        </w:tc>
      </w:tr>
      <w:tr w:rsidR="00A0618E" w:rsidRPr="00400193" w14:paraId="2C1F140D" w14:textId="77777777" w:rsidTr="00013AF7">
        <w:trPr>
          <w:trHeight w:val="283"/>
        </w:trPr>
        <w:tc>
          <w:tcPr>
            <w:tcW w:w="4531" w:type="dxa"/>
            <w:vMerge w:val="restart"/>
            <w:tcBorders>
              <w:left w:val="nil"/>
              <w:right w:val="nil"/>
            </w:tcBorders>
            <w:vAlign w:val="center"/>
          </w:tcPr>
          <w:p w14:paraId="0667770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Bartlett's Test of Sphericity</w:t>
            </w:r>
          </w:p>
        </w:tc>
        <w:tc>
          <w:tcPr>
            <w:tcW w:w="2694" w:type="dxa"/>
            <w:tcBorders>
              <w:top w:val="single" w:sz="4" w:space="0" w:color="auto"/>
              <w:left w:val="nil"/>
              <w:bottom w:val="single" w:sz="8" w:space="0" w:color="AEAEAE"/>
              <w:right w:val="nil"/>
            </w:tcBorders>
            <w:shd w:val="clear" w:color="auto" w:fill="auto"/>
            <w:vAlign w:val="center"/>
          </w:tcPr>
          <w:p w14:paraId="4A4D7D70"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Approximation Chi-Square:</w:t>
            </w:r>
          </w:p>
        </w:tc>
        <w:tc>
          <w:tcPr>
            <w:tcW w:w="1791" w:type="dxa"/>
            <w:tcBorders>
              <w:top w:val="single" w:sz="4" w:space="0" w:color="auto"/>
              <w:left w:val="nil"/>
              <w:bottom w:val="single" w:sz="8" w:space="0" w:color="AEAEAE"/>
              <w:right w:val="nil"/>
            </w:tcBorders>
            <w:shd w:val="clear" w:color="auto" w:fill="auto"/>
          </w:tcPr>
          <w:p w14:paraId="19D2193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1839.8</w:t>
            </w:r>
          </w:p>
        </w:tc>
      </w:tr>
      <w:tr w:rsidR="00A0618E" w:rsidRPr="00400193" w14:paraId="632398DD" w14:textId="77777777" w:rsidTr="00013AF7">
        <w:trPr>
          <w:trHeight w:val="283"/>
        </w:trPr>
        <w:tc>
          <w:tcPr>
            <w:tcW w:w="4531" w:type="dxa"/>
            <w:vMerge/>
            <w:tcBorders>
              <w:left w:val="nil"/>
              <w:right w:val="nil"/>
            </w:tcBorders>
            <w:vAlign w:val="center"/>
          </w:tcPr>
          <w:p w14:paraId="3F50F6DD"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8" w:space="0" w:color="AEAEAE"/>
              <w:right w:val="nil"/>
            </w:tcBorders>
            <w:shd w:val="clear" w:color="auto" w:fill="auto"/>
            <w:vAlign w:val="center"/>
          </w:tcPr>
          <w:p w14:paraId="201B425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Degree of freedom:</w:t>
            </w:r>
          </w:p>
        </w:tc>
        <w:tc>
          <w:tcPr>
            <w:tcW w:w="1791" w:type="dxa"/>
            <w:tcBorders>
              <w:top w:val="single" w:sz="8" w:space="0" w:color="AEAEAE"/>
              <w:left w:val="nil"/>
              <w:bottom w:val="single" w:sz="8" w:space="0" w:color="AEAEAE"/>
              <w:right w:val="nil"/>
            </w:tcBorders>
            <w:shd w:val="clear" w:color="auto" w:fill="auto"/>
          </w:tcPr>
          <w:p w14:paraId="50CCFD7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210</w:t>
            </w:r>
          </w:p>
        </w:tc>
      </w:tr>
      <w:tr w:rsidR="00A0618E" w:rsidRPr="00400193" w14:paraId="55B24898" w14:textId="77777777" w:rsidTr="00013AF7">
        <w:trPr>
          <w:trHeight w:val="283"/>
        </w:trPr>
        <w:tc>
          <w:tcPr>
            <w:tcW w:w="4531" w:type="dxa"/>
            <w:vMerge/>
            <w:tcBorders>
              <w:left w:val="nil"/>
              <w:right w:val="nil"/>
            </w:tcBorders>
            <w:vAlign w:val="center"/>
          </w:tcPr>
          <w:p w14:paraId="67AC34B1" w14:textId="77777777" w:rsidR="006E3616" w:rsidRPr="00400193" w:rsidRDefault="006E3616" w:rsidP="003B5486">
            <w:pPr>
              <w:spacing w:line="240" w:lineRule="auto"/>
              <w:jc w:val="left"/>
              <w:rPr>
                <w:rFonts w:asciiTheme="minorHAnsi" w:hAnsiTheme="minorHAnsi" w:cstheme="minorHAnsi"/>
                <w:sz w:val="20"/>
                <w:szCs w:val="18"/>
                <w:lang w:eastAsia="zh-CN" w:bidi="hi-IN"/>
              </w:rPr>
            </w:pPr>
          </w:p>
        </w:tc>
        <w:tc>
          <w:tcPr>
            <w:tcW w:w="2694" w:type="dxa"/>
            <w:tcBorders>
              <w:top w:val="single" w:sz="8" w:space="0" w:color="AEAEAE"/>
              <w:left w:val="nil"/>
              <w:bottom w:val="single" w:sz="4" w:space="0" w:color="auto"/>
              <w:right w:val="nil"/>
            </w:tcBorders>
            <w:shd w:val="clear" w:color="auto" w:fill="auto"/>
            <w:vAlign w:val="center"/>
          </w:tcPr>
          <w:p w14:paraId="546E6568" w14:textId="77777777" w:rsidR="006E3616" w:rsidRPr="00400193" w:rsidRDefault="006E3616" w:rsidP="003B5486">
            <w:pPr>
              <w:spacing w:line="240" w:lineRule="auto"/>
              <w:jc w:val="righ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Significance:</w:t>
            </w:r>
          </w:p>
        </w:tc>
        <w:tc>
          <w:tcPr>
            <w:tcW w:w="1791" w:type="dxa"/>
            <w:tcBorders>
              <w:top w:val="single" w:sz="8" w:space="0" w:color="AEAEAE"/>
              <w:left w:val="nil"/>
              <w:bottom w:val="single" w:sz="4" w:space="0" w:color="auto"/>
              <w:right w:val="nil"/>
            </w:tcBorders>
            <w:shd w:val="clear" w:color="auto" w:fill="auto"/>
          </w:tcPr>
          <w:p w14:paraId="2A353155"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w:t>
            </w:r>
          </w:p>
        </w:tc>
      </w:tr>
    </w:tbl>
    <w:p w14:paraId="3397CA55" w14:textId="174B4E05" w:rsidR="006E3616" w:rsidRPr="00400193" w:rsidRDefault="006E3616" w:rsidP="006E3616">
      <w:pPr>
        <w:pStyle w:val="Caption"/>
        <w:rPr>
          <w:lang w:eastAsia="zh-CN" w:bidi="hi-IN"/>
        </w:rPr>
      </w:pPr>
      <w:bookmarkStart w:id="557" w:name="_Ref43255765"/>
      <w:bookmarkStart w:id="558" w:name="_Toc5290159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52</w:t>
      </w:r>
      <w:r w:rsidRPr="00400193">
        <w:fldChar w:fldCharType="end"/>
      </w:r>
      <w:bookmarkEnd w:id="557"/>
      <w:r w:rsidRPr="00400193">
        <w:t>: Kaiser–Meyer–Olkin test and Bartlett's test of sphericity for RP</w:t>
      </w:r>
      <w:bookmarkEnd w:id="558"/>
      <w:r w:rsidRPr="00400193">
        <w:t xml:space="preserve"> </w:t>
      </w:r>
    </w:p>
    <w:p w14:paraId="6139F3EC" w14:textId="77777777" w:rsidR="006E3616" w:rsidRPr="00400193" w:rsidRDefault="006E3616" w:rsidP="006E3616">
      <w:pPr>
        <w:rPr>
          <w:lang w:eastAsia="zh-CN" w:bidi="hi-IN"/>
        </w:rPr>
      </w:pPr>
    </w:p>
    <w:p w14:paraId="074F84CC" w14:textId="1BF7F2C0"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_Ref43255801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53</w:t>
      </w:r>
      <w:r w:rsidRPr="00400193">
        <w:rPr>
          <w:lang w:eastAsia="zh-CN" w:bidi="hi-IN"/>
        </w:rPr>
        <w:fldChar w:fldCharType="end"/>
      </w:r>
      <w:r w:rsidRPr="00400193">
        <w:rPr>
          <w:lang w:eastAsia="zh-CN" w:bidi="hi-IN"/>
        </w:rPr>
        <w:t xml:space="preserve"> shows the factor loads. </w:t>
      </w:r>
      <w:r w:rsidR="00013AF7" w:rsidRPr="00400193">
        <w:rPr>
          <w:lang w:eastAsia="zh-CN" w:bidi="hi-IN"/>
        </w:rPr>
        <w:t>There were three new latent clusters for organisational resilience (OR). In total, 14 variables were allocated to the first cluster (ORN1) on ‘secure connection’. Three variables were assigned to the second cluster (ORN2), on ‘control of problems’ and four to the third (ORN3), on ‘connection measures’. The three new latent clusters had a reliability of &gt;0.8, which is satisfactory (</w:t>
      </w:r>
      <w:r w:rsidR="00013AF7" w:rsidRPr="00400193">
        <w:rPr>
          <w:lang w:eastAsia="zh-CN" w:bidi="hi-IN"/>
        </w:rPr>
        <w:fldChar w:fldCharType="begin"/>
      </w:r>
      <w:r w:rsidR="00013AF7" w:rsidRPr="00400193">
        <w:rPr>
          <w:lang w:eastAsia="zh-CN" w:bidi="hi-IN"/>
        </w:rPr>
        <w:instrText xml:space="preserve"> REF _Ref43255801 \h </w:instrText>
      </w:r>
      <w:r w:rsidR="00013AF7" w:rsidRPr="00400193">
        <w:rPr>
          <w:lang w:eastAsia="zh-CN" w:bidi="hi-IN"/>
        </w:rPr>
      </w:r>
      <w:r w:rsidR="00013AF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53</w:t>
      </w:r>
      <w:r w:rsidR="00013AF7" w:rsidRPr="00400193">
        <w:rPr>
          <w:lang w:eastAsia="zh-CN" w:bidi="hi-IN"/>
        </w:rPr>
        <w:fldChar w:fldCharType="end"/>
      </w:r>
      <w:r w:rsidR="00013AF7" w:rsidRPr="00400193">
        <w:rPr>
          <w:lang w:eastAsia="zh-CN" w:bidi="hi-IN"/>
        </w:rPr>
        <w:t>).</w:t>
      </w:r>
    </w:p>
    <w:p w14:paraId="1E2FB3BE" w14:textId="77777777" w:rsidR="00013AF7" w:rsidRPr="00400193" w:rsidRDefault="00013AF7" w:rsidP="006E3616">
      <w:pPr>
        <w:rPr>
          <w:lang w:eastAsia="zh-CN" w:bidi="hi-IN"/>
        </w:rPr>
      </w:pPr>
    </w:p>
    <w:tbl>
      <w:tblPr>
        <w:tblStyle w:val="TableGrid"/>
        <w:tblW w:w="0" w:type="auto"/>
        <w:tblLook w:val="04A0" w:firstRow="1" w:lastRow="0" w:firstColumn="1" w:lastColumn="0" w:noHBand="0" w:noVBand="1"/>
      </w:tblPr>
      <w:tblGrid>
        <w:gridCol w:w="942"/>
        <w:gridCol w:w="1033"/>
        <w:gridCol w:w="926"/>
        <w:gridCol w:w="871"/>
        <w:gridCol w:w="1426"/>
        <w:gridCol w:w="1291"/>
        <w:gridCol w:w="1063"/>
        <w:gridCol w:w="1474"/>
      </w:tblGrid>
      <w:tr w:rsidR="00A0618E" w:rsidRPr="00400193" w14:paraId="2619FD15" w14:textId="77777777" w:rsidTr="00013AF7">
        <w:trPr>
          <w:trHeight w:val="283"/>
        </w:trPr>
        <w:tc>
          <w:tcPr>
            <w:tcW w:w="942" w:type="dxa"/>
            <w:vMerge w:val="restart"/>
            <w:tcBorders>
              <w:left w:val="nil"/>
              <w:right w:val="nil"/>
            </w:tcBorders>
            <w:vAlign w:val="center"/>
          </w:tcPr>
          <w:p w14:paraId="10A63458"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lastRenderedPageBreak/>
              <w:t>Item</w:t>
            </w:r>
          </w:p>
        </w:tc>
        <w:tc>
          <w:tcPr>
            <w:tcW w:w="2830" w:type="dxa"/>
            <w:gridSpan w:val="3"/>
            <w:tcBorders>
              <w:top w:val="single" w:sz="4" w:space="0" w:color="auto"/>
              <w:left w:val="nil"/>
              <w:bottom w:val="nil"/>
              <w:right w:val="nil"/>
            </w:tcBorders>
            <w:shd w:val="clear" w:color="auto" w:fill="FFFFFF"/>
            <w:vAlign w:val="center"/>
          </w:tcPr>
          <w:p w14:paraId="5332CA37"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 xml:space="preserve">Component matrix </w:t>
            </w:r>
            <w:r w:rsidRPr="00400193">
              <w:rPr>
                <w:rFonts w:asciiTheme="minorHAnsi" w:hAnsiTheme="minorHAnsi" w:cstheme="minorHAnsi"/>
                <w:b/>
                <w:bCs/>
                <w:sz w:val="20"/>
                <w:vertAlign w:val="superscript"/>
                <w:lang w:eastAsia="zh-CN" w:bidi="hi-IN"/>
              </w:rPr>
              <w:t>ab</w:t>
            </w:r>
          </w:p>
        </w:tc>
        <w:tc>
          <w:tcPr>
            <w:tcW w:w="1426" w:type="dxa"/>
            <w:vMerge w:val="restart"/>
            <w:tcBorders>
              <w:top w:val="single" w:sz="4" w:space="0" w:color="auto"/>
              <w:left w:val="nil"/>
              <w:right w:val="nil"/>
            </w:tcBorders>
            <w:shd w:val="clear" w:color="auto" w:fill="FFFFFF"/>
            <w:vAlign w:val="center"/>
          </w:tcPr>
          <w:p w14:paraId="5E848D4D"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Cronbach’s Alpha</w:t>
            </w:r>
          </w:p>
        </w:tc>
        <w:tc>
          <w:tcPr>
            <w:tcW w:w="1291" w:type="dxa"/>
            <w:vMerge w:val="restart"/>
            <w:tcBorders>
              <w:top w:val="single" w:sz="4" w:space="0" w:color="auto"/>
              <w:left w:val="nil"/>
              <w:right w:val="nil"/>
            </w:tcBorders>
            <w:shd w:val="clear" w:color="auto" w:fill="FFFFFF"/>
            <w:vAlign w:val="center"/>
          </w:tcPr>
          <w:p w14:paraId="1E2D9D57"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No. of Questions</w:t>
            </w:r>
          </w:p>
        </w:tc>
        <w:tc>
          <w:tcPr>
            <w:tcW w:w="1063" w:type="dxa"/>
            <w:vMerge w:val="restart"/>
            <w:tcBorders>
              <w:top w:val="single" w:sz="4" w:space="0" w:color="auto"/>
              <w:left w:val="nil"/>
              <w:right w:val="nil"/>
            </w:tcBorders>
            <w:shd w:val="clear" w:color="auto" w:fill="FFFFFF"/>
            <w:vAlign w:val="center"/>
          </w:tcPr>
          <w:p w14:paraId="56F9C854"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Code</w:t>
            </w:r>
          </w:p>
        </w:tc>
        <w:tc>
          <w:tcPr>
            <w:tcW w:w="1474" w:type="dxa"/>
            <w:vMerge w:val="restart"/>
            <w:tcBorders>
              <w:top w:val="single" w:sz="4" w:space="0" w:color="auto"/>
              <w:left w:val="nil"/>
              <w:right w:val="nil"/>
            </w:tcBorders>
            <w:shd w:val="clear" w:color="auto" w:fill="FFFFFF"/>
            <w:vAlign w:val="center"/>
          </w:tcPr>
          <w:p w14:paraId="4787216C" w14:textId="77777777" w:rsidR="006E3616" w:rsidRPr="00400193" w:rsidRDefault="006E3616" w:rsidP="003B5486">
            <w:pPr>
              <w:spacing w:line="240" w:lineRule="auto"/>
              <w:jc w:val="left"/>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New Description</w:t>
            </w:r>
          </w:p>
        </w:tc>
      </w:tr>
      <w:tr w:rsidR="00A0618E" w:rsidRPr="00400193" w14:paraId="7977BAE7" w14:textId="77777777" w:rsidTr="00013AF7">
        <w:trPr>
          <w:trHeight w:val="283"/>
        </w:trPr>
        <w:tc>
          <w:tcPr>
            <w:tcW w:w="942" w:type="dxa"/>
            <w:vMerge/>
            <w:tcBorders>
              <w:left w:val="nil"/>
              <w:bottom w:val="single" w:sz="4" w:space="0" w:color="auto"/>
              <w:right w:val="nil"/>
            </w:tcBorders>
            <w:vAlign w:val="center"/>
          </w:tcPr>
          <w:p w14:paraId="4E0EE818"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033" w:type="dxa"/>
            <w:tcBorders>
              <w:top w:val="nil"/>
              <w:left w:val="nil"/>
              <w:bottom w:val="single" w:sz="4" w:space="0" w:color="auto"/>
              <w:right w:val="nil"/>
            </w:tcBorders>
            <w:vAlign w:val="center"/>
          </w:tcPr>
          <w:p w14:paraId="2CEAB5EA"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1</w:t>
            </w:r>
          </w:p>
        </w:tc>
        <w:tc>
          <w:tcPr>
            <w:tcW w:w="926" w:type="dxa"/>
            <w:tcBorders>
              <w:top w:val="nil"/>
              <w:left w:val="nil"/>
              <w:bottom w:val="single" w:sz="4" w:space="0" w:color="auto"/>
              <w:right w:val="nil"/>
            </w:tcBorders>
            <w:vAlign w:val="center"/>
          </w:tcPr>
          <w:p w14:paraId="435199A4"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2</w:t>
            </w:r>
          </w:p>
        </w:tc>
        <w:tc>
          <w:tcPr>
            <w:tcW w:w="871" w:type="dxa"/>
            <w:tcBorders>
              <w:top w:val="nil"/>
              <w:left w:val="nil"/>
              <w:bottom w:val="single" w:sz="4" w:space="0" w:color="auto"/>
              <w:right w:val="nil"/>
            </w:tcBorders>
            <w:vAlign w:val="center"/>
          </w:tcPr>
          <w:p w14:paraId="2C7FF4EE" w14:textId="77777777" w:rsidR="006E3616" w:rsidRPr="00400193" w:rsidRDefault="006E3616" w:rsidP="003B5486">
            <w:pPr>
              <w:spacing w:line="240" w:lineRule="auto"/>
              <w:jc w:val="center"/>
              <w:rPr>
                <w:rFonts w:asciiTheme="minorHAnsi" w:hAnsiTheme="minorHAnsi" w:cstheme="minorHAnsi"/>
                <w:b/>
                <w:bCs/>
                <w:sz w:val="20"/>
                <w:lang w:eastAsia="zh-CN" w:bidi="hi-IN"/>
              </w:rPr>
            </w:pPr>
            <w:r w:rsidRPr="00400193">
              <w:rPr>
                <w:rFonts w:asciiTheme="minorHAnsi" w:hAnsiTheme="minorHAnsi" w:cstheme="minorHAnsi"/>
                <w:b/>
                <w:bCs/>
                <w:sz w:val="20"/>
                <w:lang w:eastAsia="zh-CN" w:bidi="hi-IN"/>
              </w:rPr>
              <w:t>3</w:t>
            </w:r>
          </w:p>
        </w:tc>
        <w:tc>
          <w:tcPr>
            <w:tcW w:w="1426" w:type="dxa"/>
            <w:vMerge/>
            <w:tcBorders>
              <w:left w:val="nil"/>
              <w:bottom w:val="single" w:sz="4" w:space="0" w:color="auto"/>
              <w:right w:val="nil"/>
            </w:tcBorders>
            <w:vAlign w:val="center"/>
          </w:tcPr>
          <w:p w14:paraId="43E42BD2"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291" w:type="dxa"/>
            <w:vMerge/>
            <w:tcBorders>
              <w:left w:val="nil"/>
              <w:bottom w:val="single" w:sz="4" w:space="0" w:color="auto"/>
              <w:right w:val="nil"/>
            </w:tcBorders>
            <w:vAlign w:val="center"/>
          </w:tcPr>
          <w:p w14:paraId="2371FD91" w14:textId="77777777" w:rsidR="006E3616" w:rsidRPr="00400193" w:rsidRDefault="006E3616" w:rsidP="003B5486">
            <w:pPr>
              <w:spacing w:line="240" w:lineRule="auto"/>
              <w:jc w:val="center"/>
              <w:rPr>
                <w:rFonts w:asciiTheme="minorHAnsi" w:hAnsiTheme="minorHAnsi" w:cstheme="minorHAnsi"/>
                <w:b/>
                <w:bCs/>
                <w:sz w:val="20"/>
                <w:lang w:eastAsia="zh-CN" w:bidi="hi-IN"/>
              </w:rPr>
            </w:pPr>
          </w:p>
        </w:tc>
        <w:tc>
          <w:tcPr>
            <w:tcW w:w="1063" w:type="dxa"/>
            <w:vMerge/>
            <w:tcBorders>
              <w:left w:val="nil"/>
              <w:bottom w:val="single" w:sz="4" w:space="0" w:color="auto"/>
              <w:right w:val="nil"/>
            </w:tcBorders>
            <w:vAlign w:val="center"/>
          </w:tcPr>
          <w:p w14:paraId="67197B31"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c>
          <w:tcPr>
            <w:tcW w:w="1474" w:type="dxa"/>
            <w:vMerge/>
            <w:tcBorders>
              <w:left w:val="nil"/>
              <w:bottom w:val="single" w:sz="4" w:space="0" w:color="auto"/>
              <w:right w:val="nil"/>
            </w:tcBorders>
            <w:vAlign w:val="center"/>
          </w:tcPr>
          <w:p w14:paraId="5797E6A2" w14:textId="77777777" w:rsidR="006E3616" w:rsidRPr="00400193" w:rsidRDefault="006E3616" w:rsidP="003B5486">
            <w:pPr>
              <w:spacing w:line="240" w:lineRule="auto"/>
              <w:jc w:val="left"/>
              <w:rPr>
                <w:rFonts w:asciiTheme="minorHAnsi" w:hAnsiTheme="minorHAnsi" w:cstheme="minorHAnsi"/>
                <w:b/>
                <w:bCs/>
                <w:sz w:val="20"/>
                <w:lang w:eastAsia="zh-CN" w:bidi="hi-IN"/>
              </w:rPr>
            </w:pPr>
          </w:p>
        </w:tc>
      </w:tr>
      <w:tr w:rsidR="00A0618E" w:rsidRPr="00400193" w14:paraId="4609C9AA" w14:textId="77777777" w:rsidTr="00013AF7">
        <w:trPr>
          <w:trHeight w:val="283"/>
        </w:trPr>
        <w:tc>
          <w:tcPr>
            <w:tcW w:w="942" w:type="dxa"/>
            <w:tcBorders>
              <w:left w:val="nil"/>
              <w:bottom w:val="nil"/>
              <w:right w:val="nil"/>
            </w:tcBorders>
            <w:shd w:val="clear" w:color="auto" w:fill="auto"/>
            <w:vAlign w:val="center"/>
          </w:tcPr>
          <w:p w14:paraId="014A18E6"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OR8</w:t>
            </w:r>
          </w:p>
        </w:tc>
        <w:tc>
          <w:tcPr>
            <w:tcW w:w="1033" w:type="dxa"/>
            <w:tcBorders>
              <w:left w:val="nil"/>
              <w:bottom w:val="nil"/>
              <w:right w:val="nil"/>
            </w:tcBorders>
            <w:shd w:val="clear" w:color="auto" w:fill="FFFFFF"/>
            <w:vAlign w:val="center"/>
          </w:tcPr>
          <w:p w14:paraId="12A9CF1A"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0.803</w:t>
            </w:r>
          </w:p>
        </w:tc>
        <w:tc>
          <w:tcPr>
            <w:tcW w:w="926" w:type="dxa"/>
            <w:tcBorders>
              <w:left w:val="nil"/>
              <w:bottom w:val="nil"/>
              <w:right w:val="nil"/>
            </w:tcBorders>
            <w:vAlign w:val="center"/>
          </w:tcPr>
          <w:p w14:paraId="177ADDF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left w:val="nil"/>
              <w:bottom w:val="nil"/>
              <w:right w:val="nil"/>
            </w:tcBorders>
            <w:shd w:val="clear" w:color="auto" w:fill="FFFFFF"/>
            <w:vAlign w:val="center"/>
          </w:tcPr>
          <w:p w14:paraId="5FA2BAB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val="restart"/>
            <w:tcBorders>
              <w:top w:val="single" w:sz="4" w:space="0" w:color="auto"/>
              <w:left w:val="nil"/>
              <w:right w:val="nil"/>
            </w:tcBorders>
            <w:shd w:val="clear" w:color="auto" w:fill="FFFFFF"/>
            <w:vAlign w:val="center"/>
          </w:tcPr>
          <w:p w14:paraId="00E2D0F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0.954</w:t>
            </w:r>
          </w:p>
        </w:tc>
        <w:tc>
          <w:tcPr>
            <w:tcW w:w="1291" w:type="dxa"/>
            <w:vMerge w:val="restart"/>
            <w:tcBorders>
              <w:top w:val="single" w:sz="4" w:space="0" w:color="auto"/>
              <w:left w:val="nil"/>
              <w:right w:val="nil"/>
            </w:tcBorders>
            <w:shd w:val="clear" w:color="auto" w:fill="FFFFFF"/>
            <w:vAlign w:val="center"/>
          </w:tcPr>
          <w:p w14:paraId="1877964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14</w:t>
            </w:r>
          </w:p>
        </w:tc>
        <w:tc>
          <w:tcPr>
            <w:tcW w:w="1063" w:type="dxa"/>
            <w:vMerge w:val="restart"/>
            <w:tcBorders>
              <w:top w:val="single" w:sz="4" w:space="0" w:color="auto"/>
              <w:left w:val="nil"/>
              <w:right w:val="nil"/>
            </w:tcBorders>
            <w:shd w:val="clear" w:color="auto" w:fill="FFFFFF"/>
            <w:vAlign w:val="center"/>
          </w:tcPr>
          <w:p w14:paraId="3ECC257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ORN1</w:t>
            </w:r>
          </w:p>
        </w:tc>
        <w:tc>
          <w:tcPr>
            <w:tcW w:w="1474" w:type="dxa"/>
            <w:vMerge w:val="restart"/>
            <w:tcBorders>
              <w:top w:val="single" w:sz="4" w:space="0" w:color="auto"/>
              <w:left w:val="nil"/>
              <w:right w:val="nil"/>
            </w:tcBorders>
            <w:shd w:val="clear" w:color="auto" w:fill="FFFFFF"/>
            <w:vAlign w:val="center"/>
          </w:tcPr>
          <w:p w14:paraId="38C704A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Secure connection</w:t>
            </w:r>
          </w:p>
        </w:tc>
      </w:tr>
      <w:tr w:rsidR="00A0618E" w:rsidRPr="00400193" w14:paraId="362C584F" w14:textId="77777777" w:rsidTr="00013AF7">
        <w:trPr>
          <w:trHeight w:val="283"/>
        </w:trPr>
        <w:tc>
          <w:tcPr>
            <w:tcW w:w="942" w:type="dxa"/>
            <w:tcBorders>
              <w:top w:val="nil"/>
              <w:left w:val="nil"/>
              <w:bottom w:val="nil"/>
              <w:right w:val="nil"/>
            </w:tcBorders>
            <w:shd w:val="clear" w:color="auto" w:fill="auto"/>
            <w:vAlign w:val="center"/>
          </w:tcPr>
          <w:p w14:paraId="008A608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OR13</w:t>
            </w:r>
          </w:p>
        </w:tc>
        <w:tc>
          <w:tcPr>
            <w:tcW w:w="1033" w:type="dxa"/>
            <w:tcBorders>
              <w:top w:val="nil"/>
              <w:left w:val="nil"/>
              <w:bottom w:val="nil"/>
              <w:right w:val="nil"/>
            </w:tcBorders>
            <w:shd w:val="clear" w:color="auto" w:fill="FFFFFF"/>
            <w:vAlign w:val="center"/>
          </w:tcPr>
          <w:p w14:paraId="57A6698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0.790</w:t>
            </w:r>
          </w:p>
        </w:tc>
        <w:tc>
          <w:tcPr>
            <w:tcW w:w="926" w:type="dxa"/>
            <w:tcBorders>
              <w:top w:val="nil"/>
              <w:left w:val="nil"/>
              <w:bottom w:val="nil"/>
              <w:right w:val="nil"/>
            </w:tcBorders>
            <w:vAlign w:val="center"/>
          </w:tcPr>
          <w:p w14:paraId="262BEA6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7DCCBF8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32DD2BF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69EB542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04083E5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4B4BCE0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AC589BA" w14:textId="77777777" w:rsidTr="00013AF7">
        <w:trPr>
          <w:trHeight w:val="283"/>
        </w:trPr>
        <w:tc>
          <w:tcPr>
            <w:tcW w:w="942" w:type="dxa"/>
            <w:tcBorders>
              <w:top w:val="nil"/>
              <w:left w:val="nil"/>
              <w:bottom w:val="nil"/>
              <w:right w:val="nil"/>
            </w:tcBorders>
            <w:shd w:val="clear" w:color="auto" w:fill="auto"/>
            <w:vAlign w:val="center"/>
          </w:tcPr>
          <w:p w14:paraId="5E44A02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OR10</w:t>
            </w:r>
          </w:p>
        </w:tc>
        <w:tc>
          <w:tcPr>
            <w:tcW w:w="1033" w:type="dxa"/>
            <w:tcBorders>
              <w:top w:val="nil"/>
              <w:left w:val="nil"/>
              <w:bottom w:val="nil"/>
              <w:right w:val="nil"/>
            </w:tcBorders>
            <w:shd w:val="clear" w:color="auto" w:fill="FFFFFF"/>
            <w:vAlign w:val="center"/>
          </w:tcPr>
          <w:p w14:paraId="09C0964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0.761</w:t>
            </w:r>
          </w:p>
        </w:tc>
        <w:tc>
          <w:tcPr>
            <w:tcW w:w="926" w:type="dxa"/>
            <w:tcBorders>
              <w:top w:val="nil"/>
              <w:left w:val="nil"/>
              <w:bottom w:val="nil"/>
              <w:right w:val="nil"/>
            </w:tcBorders>
            <w:vAlign w:val="center"/>
          </w:tcPr>
          <w:p w14:paraId="3C526F7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418B3F9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1613340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79C00F3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58158C6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4DB8EF6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556D1742" w14:textId="77777777" w:rsidTr="00013AF7">
        <w:trPr>
          <w:trHeight w:val="283"/>
        </w:trPr>
        <w:tc>
          <w:tcPr>
            <w:tcW w:w="942" w:type="dxa"/>
            <w:tcBorders>
              <w:top w:val="nil"/>
              <w:left w:val="nil"/>
              <w:bottom w:val="nil"/>
              <w:right w:val="nil"/>
            </w:tcBorders>
            <w:shd w:val="clear" w:color="auto" w:fill="auto"/>
            <w:vAlign w:val="center"/>
          </w:tcPr>
          <w:p w14:paraId="174184B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OR5</w:t>
            </w:r>
          </w:p>
        </w:tc>
        <w:tc>
          <w:tcPr>
            <w:tcW w:w="1033" w:type="dxa"/>
            <w:tcBorders>
              <w:top w:val="nil"/>
              <w:left w:val="nil"/>
              <w:bottom w:val="nil"/>
              <w:right w:val="nil"/>
            </w:tcBorders>
            <w:shd w:val="clear" w:color="auto" w:fill="FFFFFF"/>
            <w:vAlign w:val="center"/>
          </w:tcPr>
          <w:p w14:paraId="478CC8F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0.759</w:t>
            </w:r>
          </w:p>
        </w:tc>
        <w:tc>
          <w:tcPr>
            <w:tcW w:w="926" w:type="dxa"/>
            <w:tcBorders>
              <w:top w:val="nil"/>
              <w:left w:val="nil"/>
              <w:bottom w:val="nil"/>
              <w:right w:val="nil"/>
            </w:tcBorders>
            <w:vAlign w:val="center"/>
          </w:tcPr>
          <w:p w14:paraId="7F06112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26CC0CA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7D0F6C6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53BF0C5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6349BD9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1EFC704E"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1F933F1C" w14:textId="77777777" w:rsidTr="00013AF7">
        <w:trPr>
          <w:trHeight w:val="283"/>
        </w:trPr>
        <w:tc>
          <w:tcPr>
            <w:tcW w:w="942" w:type="dxa"/>
            <w:tcBorders>
              <w:top w:val="nil"/>
              <w:left w:val="nil"/>
              <w:bottom w:val="nil"/>
              <w:right w:val="nil"/>
            </w:tcBorders>
            <w:shd w:val="clear" w:color="auto" w:fill="auto"/>
            <w:vAlign w:val="center"/>
          </w:tcPr>
          <w:p w14:paraId="55221E49"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OR12</w:t>
            </w:r>
          </w:p>
        </w:tc>
        <w:tc>
          <w:tcPr>
            <w:tcW w:w="1033" w:type="dxa"/>
            <w:tcBorders>
              <w:top w:val="nil"/>
              <w:left w:val="nil"/>
              <w:bottom w:val="nil"/>
              <w:right w:val="nil"/>
            </w:tcBorders>
            <w:shd w:val="clear" w:color="auto" w:fill="FFFFFF"/>
            <w:vAlign w:val="center"/>
          </w:tcPr>
          <w:p w14:paraId="18F0B22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0.734</w:t>
            </w:r>
          </w:p>
        </w:tc>
        <w:tc>
          <w:tcPr>
            <w:tcW w:w="926" w:type="dxa"/>
            <w:tcBorders>
              <w:top w:val="nil"/>
              <w:left w:val="nil"/>
              <w:bottom w:val="nil"/>
              <w:right w:val="nil"/>
            </w:tcBorders>
            <w:vAlign w:val="center"/>
          </w:tcPr>
          <w:p w14:paraId="64EF87F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5440DE7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7A4124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4C5D7EA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39D10FE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245D04F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19244A4" w14:textId="77777777" w:rsidTr="00013AF7">
        <w:trPr>
          <w:trHeight w:val="283"/>
        </w:trPr>
        <w:tc>
          <w:tcPr>
            <w:tcW w:w="942" w:type="dxa"/>
            <w:tcBorders>
              <w:top w:val="nil"/>
              <w:left w:val="nil"/>
              <w:bottom w:val="nil"/>
              <w:right w:val="nil"/>
            </w:tcBorders>
            <w:shd w:val="clear" w:color="auto" w:fill="auto"/>
            <w:vAlign w:val="center"/>
          </w:tcPr>
          <w:p w14:paraId="6EE8D96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OR7</w:t>
            </w:r>
          </w:p>
        </w:tc>
        <w:tc>
          <w:tcPr>
            <w:tcW w:w="1033" w:type="dxa"/>
            <w:tcBorders>
              <w:top w:val="nil"/>
              <w:left w:val="nil"/>
              <w:bottom w:val="nil"/>
              <w:right w:val="nil"/>
            </w:tcBorders>
            <w:shd w:val="clear" w:color="auto" w:fill="FFFFFF"/>
            <w:vAlign w:val="center"/>
          </w:tcPr>
          <w:p w14:paraId="75EA3D0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0.724</w:t>
            </w:r>
          </w:p>
        </w:tc>
        <w:tc>
          <w:tcPr>
            <w:tcW w:w="926" w:type="dxa"/>
            <w:tcBorders>
              <w:top w:val="nil"/>
              <w:left w:val="nil"/>
              <w:bottom w:val="nil"/>
              <w:right w:val="nil"/>
            </w:tcBorders>
            <w:vAlign w:val="center"/>
          </w:tcPr>
          <w:p w14:paraId="36334CD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6918C41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76270E8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5365340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6C89A211"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771B68D9"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9C45740" w14:textId="77777777" w:rsidTr="00013AF7">
        <w:trPr>
          <w:trHeight w:val="283"/>
        </w:trPr>
        <w:tc>
          <w:tcPr>
            <w:tcW w:w="942" w:type="dxa"/>
            <w:tcBorders>
              <w:top w:val="nil"/>
              <w:left w:val="nil"/>
              <w:bottom w:val="nil"/>
              <w:right w:val="nil"/>
            </w:tcBorders>
            <w:shd w:val="clear" w:color="auto" w:fill="auto"/>
            <w:vAlign w:val="center"/>
          </w:tcPr>
          <w:p w14:paraId="1360328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OR9</w:t>
            </w:r>
          </w:p>
        </w:tc>
        <w:tc>
          <w:tcPr>
            <w:tcW w:w="1033" w:type="dxa"/>
            <w:tcBorders>
              <w:top w:val="nil"/>
              <w:left w:val="nil"/>
              <w:bottom w:val="nil"/>
              <w:right w:val="nil"/>
            </w:tcBorders>
            <w:shd w:val="clear" w:color="auto" w:fill="FFFFFF"/>
            <w:vAlign w:val="center"/>
          </w:tcPr>
          <w:p w14:paraId="6C7E3A2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0.707</w:t>
            </w:r>
          </w:p>
        </w:tc>
        <w:tc>
          <w:tcPr>
            <w:tcW w:w="926" w:type="dxa"/>
            <w:tcBorders>
              <w:top w:val="nil"/>
              <w:left w:val="nil"/>
              <w:bottom w:val="nil"/>
              <w:right w:val="nil"/>
            </w:tcBorders>
            <w:vAlign w:val="center"/>
          </w:tcPr>
          <w:p w14:paraId="4188F7D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3E9852F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74B3842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25E0BAE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396E424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55F2416A"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6936FD3" w14:textId="77777777" w:rsidTr="00013AF7">
        <w:trPr>
          <w:trHeight w:val="283"/>
        </w:trPr>
        <w:tc>
          <w:tcPr>
            <w:tcW w:w="942" w:type="dxa"/>
            <w:tcBorders>
              <w:top w:val="nil"/>
              <w:left w:val="nil"/>
              <w:bottom w:val="nil"/>
              <w:right w:val="nil"/>
            </w:tcBorders>
            <w:shd w:val="clear" w:color="auto" w:fill="auto"/>
            <w:vAlign w:val="center"/>
          </w:tcPr>
          <w:p w14:paraId="0C5400A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OR15</w:t>
            </w:r>
          </w:p>
        </w:tc>
        <w:tc>
          <w:tcPr>
            <w:tcW w:w="1033" w:type="dxa"/>
            <w:tcBorders>
              <w:top w:val="nil"/>
              <w:left w:val="nil"/>
              <w:bottom w:val="nil"/>
              <w:right w:val="nil"/>
            </w:tcBorders>
            <w:shd w:val="clear" w:color="auto" w:fill="FFFFFF"/>
            <w:vAlign w:val="center"/>
          </w:tcPr>
          <w:p w14:paraId="0DA8D3D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0.686</w:t>
            </w:r>
          </w:p>
        </w:tc>
        <w:tc>
          <w:tcPr>
            <w:tcW w:w="926" w:type="dxa"/>
            <w:tcBorders>
              <w:top w:val="nil"/>
              <w:left w:val="nil"/>
              <w:bottom w:val="nil"/>
              <w:right w:val="nil"/>
            </w:tcBorders>
            <w:vAlign w:val="center"/>
          </w:tcPr>
          <w:p w14:paraId="20D2BCA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4F9C810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420EB70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49900D9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36670ED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2AB1EB0F"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C34BF15" w14:textId="77777777" w:rsidTr="00013AF7">
        <w:trPr>
          <w:trHeight w:val="283"/>
        </w:trPr>
        <w:tc>
          <w:tcPr>
            <w:tcW w:w="942" w:type="dxa"/>
            <w:tcBorders>
              <w:top w:val="nil"/>
              <w:left w:val="nil"/>
              <w:bottom w:val="nil"/>
              <w:right w:val="nil"/>
            </w:tcBorders>
            <w:shd w:val="clear" w:color="auto" w:fill="auto"/>
            <w:vAlign w:val="center"/>
          </w:tcPr>
          <w:p w14:paraId="6135AF2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OR16</w:t>
            </w:r>
          </w:p>
        </w:tc>
        <w:tc>
          <w:tcPr>
            <w:tcW w:w="1033" w:type="dxa"/>
            <w:tcBorders>
              <w:top w:val="nil"/>
              <w:left w:val="nil"/>
              <w:bottom w:val="nil"/>
              <w:right w:val="nil"/>
            </w:tcBorders>
            <w:shd w:val="clear" w:color="auto" w:fill="FFFFFF"/>
            <w:vAlign w:val="center"/>
          </w:tcPr>
          <w:p w14:paraId="638DE354"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0.659</w:t>
            </w:r>
          </w:p>
        </w:tc>
        <w:tc>
          <w:tcPr>
            <w:tcW w:w="926" w:type="dxa"/>
            <w:tcBorders>
              <w:top w:val="nil"/>
              <w:left w:val="nil"/>
              <w:bottom w:val="nil"/>
              <w:right w:val="nil"/>
            </w:tcBorders>
            <w:vAlign w:val="center"/>
          </w:tcPr>
          <w:p w14:paraId="5556FE2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0560386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761211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443F160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433C8D2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05006BD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6A83E38" w14:textId="77777777" w:rsidTr="00013AF7">
        <w:trPr>
          <w:trHeight w:val="283"/>
        </w:trPr>
        <w:tc>
          <w:tcPr>
            <w:tcW w:w="942" w:type="dxa"/>
            <w:tcBorders>
              <w:top w:val="nil"/>
              <w:left w:val="nil"/>
              <w:bottom w:val="nil"/>
              <w:right w:val="nil"/>
            </w:tcBorders>
            <w:shd w:val="clear" w:color="auto" w:fill="auto"/>
            <w:vAlign w:val="center"/>
          </w:tcPr>
          <w:p w14:paraId="0E93957F"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OR14</w:t>
            </w:r>
          </w:p>
        </w:tc>
        <w:tc>
          <w:tcPr>
            <w:tcW w:w="1033" w:type="dxa"/>
            <w:tcBorders>
              <w:top w:val="nil"/>
              <w:left w:val="nil"/>
              <w:bottom w:val="nil"/>
              <w:right w:val="nil"/>
            </w:tcBorders>
            <w:shd w:val="clear" w:color="auto" w:fill="FFFFFF"/>
            <w:vAlign w:val="center"/>
          </w:tcPr>
          <w:p w14:paraId="4EDAEF3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0.647</w:t>
            </w:r>
          </w:p>
        </w:tc>
        <w:tc>
          <w:tcPr>
            <w:tcW w:w="926" w:type="dxa"/>
            <w:tcBorders>
              <w:top w:val="nil"/>
              <w:left w:val="nil"/>
              <w:bottom w:val="nil"/>
              <w:right w:val="nil"/>
            </w:tcBorders>
            <w:vAlign w:val="center"/>
          </w:tcPr>
          <w:p w14:paraId="401724A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52E5420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4022E4F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15B6396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0AC44F2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281D49E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265322B1" w14:textId="77777777" w:rsidTr="00013AF7">
        <w:trPr>
          <w:trHeight w:val="283"/>
        </w:trPr>
        <w:tc>
          <w:tcPr>
            <w:tcW w:w="942" w:type="dxa"/>
            <w:tcBorders>
              <w:top w:val="nil"/>
              <w:left w:val="nil"/>
              <w:bottom w:val="nil"/>
              <w:right w:val="nil"/>
            </w:tcBorders>
            <w:shd w:val="clear" w:color="auto" w:fill="auto"/>
            <w:vAlign w:val="center"/>
          </w:tcPr>
          <w:p w14:paraId="7F67990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OR6</w:t>
            </w:r>
          </w:p>
        </w:tc>
        <w:tc>
          <w:tcPr>
            <w:tcW w:w="1033" w:type="dxa"/>
            <w:tcBorders>
              <w:top w:val="nil"/>
              <w:left w:val="nil"/>
              <w:bottom w:val="nil"/>
              <w:right w:val="nil"/>
            </w:tcBorders>
            <w:shd w:val="clear" w:color="auto" w:fill="FFFFFF"/>
            <w:vAlign w:val="center"/>
          </w:tcPr>
          <w:p w14:paraId="44665B3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0.628</w:t>
            </w:r>
          </w:p>
        </w:tc>
        <w:tc>
          <w:tcPr>
            <w:tcW w:w="926" w:type="dxa"/>
            <w:tcBorders>
              <w:top w:val="nil"/>
              <w:left w:val="nil"/>
              <w:bottom w:val="nil"/>
              <w:right w:val="nil"/>
            </w:tcBorders>
            <w:shd w:val="clear" w:color="auto" w:fill="FFFFFF"/>
            <w:vAlign w:val="center"/>
          </w:tcPr>
          <w:p w14:paraId="25C707E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vAlign w:val="center"/>
          </w:tcPr>
          <w:p w14:paraId="5F87137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5C02A14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6BF32EC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6B57B69B"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1F053872"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3EA594D" w14:textId="77777777" w:rsidTr="00013AF7">
        <w:trPr>
          <w:trHeight w:val="283"/>
        </w:trPr>
        <w:tc>
          <w:tcPr>
            <w:tcW w:w="942" w:type="dxa"/>
            <w:tcBorders>
              <w:top w:val="nil"/>
              <w:left w:val="nil"/>
              <w:bottom w:val="nil"/>
              <w:right w:val="nil"/>
            </w:tcBorders>
            <w:shd w:val="clear" w:color="auto" w:fill="auto"/>
            <w:vAlign w:val="center"/>
          </w:tcPr>
          <w:p w14:paraId="5E66996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OR19</w:t>
            </w:r>
          </w:p>
        </w:tc>
        <w:tc>
          <w:tcPr>
            <w:tcW w:w="1033" w:type="dxa"/>
            <w:tcBorders>
              <w:top w:val="nil"/>
              <w:left w:val="nil"/>
              <w:bottom w:val="nil"/>
              <w:right w:val="nil"/>
            </w:tcBorders>
            <w:shd w:val="clear" w:color="auto" w:fill="FFFFFF"/>
            <w:vAlign w:val="center"/>
          </w:tcPr>
          <w:p w14:paraId="2117A14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0.546</w:t>
            </w:r>
          </w:p>
        </w:tc>
        <w:tc>
          <w:tcPr>
            <w:tcW w:w="926" w:type="dxa"/>
            <w:tcBorders>
              <w:top w:val="nil"/>
              <w:left w:val="nil"/>
              <w:bottom w:val="nil"/>
              <w:right w:val="nil"/>
            </w:tcBorders>
            <w:shd w:val="clear" w:color="auto" w:fill="FFFFFF"/>
            <w:vAlign w:val="center"/>
          </w:tcPr>
          <w:p w14:paraId="229284EC"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6A0215B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6D071DD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4510823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25607257"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000F3ED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B904E5C" w14:textId="77777777" w:rsidTr="00013AF7">
        <w:trPr>
          <w:trHeight w:val="283"/>
        </w:trPr>
        <w:tc>
          <w:tcPr>
            <w:tcW w:w="942" w:type="dxa"/>
            <w:tcBorders>
              <w:top w:val="nil"/>
              <w:left w:val="nil"/>
              <w:bottom w:val="nil"/>
              <w:right w:val="nil"/>
            </w:tcBorders>
            <w:shd w:val="clear" w:color="auto" w:fill="auto"/>
            <w:vAlign w:val="center"/>
          </w:tcPr>
          <w:p w14:paraId="3070DCB4"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OR21</w:t>
            </w:r>
          </w:p>
        </w:tc>
        <w:tc>
          <w:tcPr>
            <w:tcW w:w="1033" w:type="dxa"/>
            <w:tcBorders>
              <w:top w:val="nil"/>
              <w:left w:val="nil"/>
              <w:bottom w:val="nil"/>
              <w:right w:val="nil"/>
            </w:tcBorders>
            <w:shd w:val="clear" w:color="auto" w:fill="FFFFFF"/>
            <w:vAlign w:val="center"/>
          </w:tcPr>
          <w:p w14:paraId="74CFC4EC"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0.536</w:t>
            </w:r>
          </w:p>
        </w:tc>
        <w:tc>
          <w:tcPr>
            <w:tcW w:w="926" w:type="dxa"/>
            <w:tcBorders>
              <w:top w:val="nil"/>
              <w:left w:val="nil"/>
              <w:bottom w:val="nil"/>
              <w:right w:val="nil"/>
            </w:tcBorders>
            <w:shd w:val="clear" w:color="auto" w:fill="FFFFFF"/>
            <w:vAlign w:val="center"/>
          </w:tcPr>
          <w:p w14:paraId="61C2824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7E0CB109"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right w:val="nil"/>
            </w:tcBorders>
            <w:shd w:val="clear" w:color="auto" w:fill="FFFFFF"/>
            <w:vAlign w:val="center"/>
          </w:tcPr>
          <w:p w14:paraId="47F09EE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right w:val="nil"/>
            </w:tcBorders>
            <w:shd w:val="clear" w:color="auto" w:fill="FFFFFF"/>
            <w:vAlign w:val="center"/>
          </w:tcPr>
          <w:p w14:paraId="750CEED6"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right w:val="nil"/>
            </w:tcBorders>
            <w:shd w:val="clear" w:color="auto" w:fill="FFFFFF"/>
            <w:vAlign w:val="center"/>
          </w:tcPr>
          <w:p w14:paraId="0C338FAA"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right w:val="nil"/>
            </w:tcBorders>
            <w:shd w:val="clear" w:color="auto" w:fill="FFFFFF"/>
            <w:vAlign w:val="center"/>
          </w:tcPr>
          <w:p w14:paraId="311B336B"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66525F1" w14:textId="77777777" w:rsidTr="00013AF7">
        <w:trPr>
          <w:trHeight w:val="283"/>
        </w:trPr>
        <w:tc>
          <w:tcPr>
            <w:tcW w:w="942" w:type="dxa"/>
            <w:tcBorders>
              <w:top w:val="nil"/>
              <w:left w:val="nil"/>
              <w:bottom w:val="nil"/>
              <w:right w:val="nil"/>
            </w:tcBorders>
            <w:shd w:val="clear" w:color="auto" w:fill="auto"/>
            <w:vAlign w:val="center"/>
          </w:tcPr>
          <w:p w14:paraId="6A1B0BF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OR11</w:t>
            </w:r>
          </w:p>
        </w:tc>
        <w:tc>
          <w:tcPr>
            <w:tcW w:w="1033" w:type="dxa"/>
            <w:tcBorders>
              <w:top w:val="nil"/>
              <w:left w:val="nil"/>
              <w:bottom w:val="nil"/>
              <w:right w:val="nil"/>
            </w:tcBorders>
            <w:shd w:val="clear" w:color="auto" w:fill="FFFFFF"/>
            <w:vAlign w:val="center"/>
          </w:tcPr>
          <w:p w14:paraId="2AA7F0C2"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0.521</w:t>
            </w:r>
          </w:p>
        </w:tc>
        <w:tc>
          <w:tcPr>
            <w:tcW w:w="926" w:type="dxa"/>
            <w:tcBorders>
              <w:top w:val="nil"/>
              <w:left w:val="nil"/>
              <w:bottom w:val="nil"/>
              <w:right w:val="nil"/>
            </w:tcBorders>
            <w:shd w:val="clear" w:color="auto" w:fill="FFFFFF"/>
            <w:vAlign w:val="center"/>
          </w:tcPr>
          <w:p w14:paraId="07CC020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vAlign w:val="center"/>
          </w:tcPr>
          <w:p w14:paraId="38762E7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left w:val="nil"/>
              <w:bottom w:val="nil"/>
              <w:right w:val="nil"/>
            </w:tcBorders>
            <w:shd w:val="clear" w:color="auto" w:fill="FFFFFF"/>
            <w:vAlign w:val="center"/>
          </w:tcPr>
          <w:p w14:paraId="28E265D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left w:val="nil"/>
              <w:bottom w:val="nil"/>
              <w:right w:val="nil"/>
            </w:tcBorders>
            <w:shd w:val="clear" w:color="auto" w:fill="FFFFFF"/>
            <w:vAlign w:val="center"/>
          </w:tcPr>
          <w:p w14:paraId="106A1A0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left w:val="nil"/>
              <w:bottom w:val="nil"/>
              <w:right w:val="nil"/>
            </w:tcBorders>
            <w:shd w:val="clear" w:color="auto" w:fill="FFFFFF"/>
            <w:vAlign w:val="center"/>
          </w:tcPr>
          <w:p w14:paraId="5174B94F"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left w:val="nil"/>
              <w:bottom w:val="nil"/>
              <w:right w:val="nil"/>
            </w:tcBorders>
            <w:shd w:val="clear" w:color="auto" w:fill="FFFFFF"/>
            <w:vAlign w:val="center"/>
          </w:tcPr>
          <w:p w14:paraId="05F5EBD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7CC591F9" w14:textId="77777777" w:rsidTr="00013AF7">
        <w:trPr>
          <w:trHeight w:val="283"/>
        </w:trPr>
        <w:tc>
          <w:tcPr>
            <w:tcW w:w="942" w:type="dxa"/>
            <w:tcBorders>
              <w:top w:val="nil"/>
              <w:left w:val="nil"/>
              <w:bottom w:val="nil"/>
              <w:right w:val="nil"/>
            </w:tcBorders>
            <w:shd w:val="clear" w:color="auto" w:fill="auto"/>
            <w:vAlign w:val="center"/>
          </w:tcPr>
          <w:p w14:paraId="316D670B"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OR17</w:t>
            </w:r>
          </w:p>
        </w:tc>
        <w:tc>
          <w:tcPr>
            <w:tcW w:w="1033" w:type="dxa"/>
            <w:tcBorders>
              <w:top w:val="nil"/>
              <w:left w:val="nil"/>
              <w:bottom w:val="nil"/>
              <w:right w:val="nil"/>
            </w:tcBorders>
            <w:shd w:val="clear" w:color="auto" w:fill="FFFFFF"/>
            <w:vAlign w:val="center"/>
          </w:tcPr>
          <w:p w14:paraId="4D16D85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0075E55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0.832</w:t>
            </w:r>
          </w:p>
        </w:tc>
        <w:tc>
          <w:tcPr>
            <w:tcW w:w="871" w:type="dxa"/>
            <w:tcBorders>
              <w:top w:val="nil"/>
              <w:left w:val="nil"/>
              <w:bottom w:val="nil"/>
              <w:right w:val="nil"/>
            </w:tcBorders>
            <w:shd w:val="clear" w:color="auto" w:fill="FFFFFF"/>
            <w:vAlign w:val="center"/>
          </w:tcPr>
          <w:p w14:paraId="45ECC1E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val="restart"/>
            <w:tcBorders>
              <w:top w:val="nil"/>
              <w:left w:val="nil"/>
              <w:bottom w:val="nil"/>
              <w:right w:val="nil"/>
            </w:tcBorders>
            <w:shd w:val="clear" w:color="auto" w:fill="FFFFFF"/>
            <w:vAlign w:val="center"/>
          </w:tcPr>
          <w:p w14:paraId="26D79FB3"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0.835</w:t>
            </w:r>
          </w:p>
        </w:tc>
        <w:tc>
          <w:tcPr>
            <w:tcW w:w="1291" w:type="dxa"/>
            <w:vMerge w:val="restart"/>
            <w:tcBorders>
              <w:top w:val="nil"/>
              <w:left w:val="nil"/>
              <w:bottom w:val="nil"/>
              <w:right w:val="nil"/>
            </w:tcBorders>
            <w:shd w:val="clear" w:color="auto" w:fill="FFFFFF"/>
            <w:vAlign w:val="center"/>
          </w:tcPr>
          <w:p w14:paraId="391660B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3</w:t>
            </w:r>
          </w:p>
        </w:tc>
        <w:tc>
          <w:tcPr>
            <w:tcW w:w="1063" w:type="dxa"/>
            <w:vMerge w:val="restart"/>
            <w:tcBorders>
              <w:top w:val="nil"/>
              <w:left w:val="nil"/>
              <w:bottom w:val="nil"/>
              <w:right w:val="nil"/>
            </w:tcBorders>
            <w:shd w:val="clear" w:color="auto" w:fill="FFFFFF"/>
            <w:vAlign w:val="center"/>
          </w:tcPr>
          <w:p w14:paraId="2A89C372"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ORN2</w:t>
            </w:r>
          </w:p>
        </w:tc>
        <w:tc>
          <w:tcPr>
            <w:tcW w:w="1474" w:type="dxa"/>
            <w:vMerge w:val="restart"/>
            <w:tcBorders>
              <w:top w:val="nil"/>
              <w:left w:val="nil"/>
              <w:bottom w:val="nil"/>
              <w:right w:val="nil"/>
            </w:tcBorders>
            <w:shd w:val="clear" w:color="auto" w:fill="FFFFFF"/>
            <w:vAlign w:val="center"/>
          </w:tcPr>
          <w:p w14:paraId="021BBA4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Control of problems</w:t>
            </w:r>
          </w:p>
        </w:tc>
      </w:tr>
      <w:tr w:rsidR="00A0618E" w:rsidRPr="00400193" w14:paraId="5FE93320" w14:textId="77777777" w:rsidTr="00013AF7">
        <w:trPr>
          <w:trHeight w:val="283"/>
        </w:trPr>
        <w:tc>
          <w:tcPr>
            <w:tcW w:w="942" w:type="dxa"/>
            <w:tcBorders>
              <w:top w:val="nil"/>
              <w:left w:val="nil"/>
              <w:bottom w:val="nil"/>
              <w:right w:val="nil"/>
            </w:tcBorders>
            <w:shd w:val="clear" w:color="auto" w:fill="auto"/>
            <w:vAlign w:val="center"/>
          </w:tcPr>
          <w:p w14:paraId="427E0468"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OR18</w:t>
            </w:r>
          </w:p>
        </w:tc>
        <w:tc>
          <w:tcPr>
            <w:tcW w:w="1033" w:type="dxa"/>
            <w:tcBorders>
              <w:top w:val="nil"/>
              <w:left w:val="nil"/>
              <w:bottom w:val="nil"/>
              <w:right w:val="nil"/>
            </w:tcBorders>
            <w:shd w:val="clear" w:color="auto" w:fill="FFFFFF"/>
            <w:vAlign w:val="center"/>
          </w:tcPr>
          <w:p w14:paraId="777BD96D"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65512E05"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0.773</w:t>
            </w:r>
          </w:p>
        </w:tc>
        <w:tc>
          <w:tcPr>
            <w:tcW w:w="871" w:type="dxa"/>
            <w:tcBorders>
              <w:top w:val="nil"/>
              <w:left w:val="nil"/>
              <w:bottom w:val="nil"/>
              <w:right w:val="nil"/>
            </w:tcBorders>
            <w:shd w:val="clear" w:color="auto" w:fill="FFFFFF"/>
            <w:vAlign w:val="center"/>
          </w:tcPr>
          <w:p w14:paraId="765F66B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top w:val="nil"/>
              <w:left w:val="nil"/>
              <w:bottom w:val="nil"/>
              <w:right w:val="nil"/>
            </w:tcBorders>
            <w:shd w:val="clear" w:color="auto" w:fill="FFFFFF"/>
            <w:vAlign w:val="center"/>
          </w:tcPr>
          <w:p w14:paraId="44F509D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nil"/>
              <w:left w:val="nil"/>
              <w:bottom w:val="nil"/>
              <w:right w:val="nil"/>
            </w:tcBorders>
            <w:shd w:val="clear" w:color="auto" w:fill="FFFFFF"/>
            <w:vAlign w:val="center"/>
          </w:tcPr>
          <w:p w14:paraId="0788864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nil"/>
              <w:left w:val="nil"/>
              <w:bottom w:val="nil"/>
              <w:right w:val="nil"/>
            </w:tcBorders>
            <w:shd w:val="clear" w:color="auto" w:fill="FFFFFF"/>
            <w:vAlign w:val="center"/>
          </w:tcPr>
          <w:p w14:paraId="1B93481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nil"/>
              <w:left w:val="nil"/>
              <w:bottom w:val="nil"/>
              <w:right w:val="nil"/>
            </w:tcBorders>
            <w:shd w:val="clear" w:color="auto" w:fill="FFFFFF"/>
            <w:vAlign w:val="center"/>
          </w:tcPr>
          <w:p w14:paraId="7C40E048"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6A871738" w14:textId="77777777" w:rsidTr="00013AF7">
        <w:trPr>
          <w:trHeight w:val="283"/>
        </w:trPr>
        <w:tc>
          <w:tcPr>
            <w:tcW w:w="942" w:type="dxa"/>
            <w:tcBorders>
              <w:top w:val="nil"/>
              <w:left w:val="nil"/>
              <w:bottom w:val="nil"/>
              <w:right w:val="nil"/>
            </w:tcBorders>
            <w:shd w:val="clear" w:color="auto" w:fill="auto"/>
            <w:vAlign w:val="center"/>
          </w:tcPr>
          <w:p w14:paraId="105B2DF7"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OR20</w:t>
            </w:r>
          </w:p>
        </w:tc>
        <w:tc>
          <w:tcPr>
            <w:tcW w:w="1033" w:type="dxa"/>
            <w:tcBorders>
              <w:top w:val="nil"/>
              <w:left w:val="nil"/>
              <w:bottom w:val="nil"/>
              <w:right w:val="nil"/>
            </w:tcBorders>
            <w:shd w:val="clear" w:color="auto" w:fill="FFFFFF"/>
            <w:vAlign w:val="center"/>
          </w:tcPr>
          <w:p w14:paraId="14FF205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1A879720"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0.698</w:t>
            </w:r>
          </w:p>
        </w:tc>
        <w:tc>
          <w:tcPr>
            <w:tcW w:w="871" w:type="dxa"/>
            <w:tcBorders>
              <w:top w:val="nil"/>
              <w:left w:val="nil"/>
              <w:bottom w:val="nil"/>
              <w:right w:val="nil"/>
            </w:tcBorders>
            <w:shd w:val="clear" w:color="auto" w:fill="FFFFFF"/>
            <w:vAlign w:val="center"/>
          </w:tcPr>
          <w:p w14:paraId="5EBD55FA"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426" w:type="dxa"/>
            <w:vMerge/>
            <w:tcBorders>
              <w:top w:val="nil"/>
              <w:left w:val="nil"/>
              <w:bottom w:val="nil"/>
              <w:right w:val="nil"/>
            </w:tcBorders>
            <w:shd w:val="clear" w:color="auto" w:fill="FFFFFF"/>
            <w:vAlign w:val="center"/>
          </w:tcPr>
          <w:p w14:paraId="2098503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nil"/>
              <w:left w:val="nil"/>
              <w:bottom w:val="nil"/>
              <w:right w:val="nil"/>
            </w:tcBorders>
            <w:shd w:val="clear" w:color="auto" w:fill="FFFFFF"/>
            <w:vAlign w:val="center"/>
          </w:tcPr>
          <w:p w14:paraId="0E4ABD4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nil"/>
              <w:left w:val="nil"/>
              <w:bottom w:val="nil"/>
              <w:right w:val="nil"/>
            </w:tcBorders>
            <w:shd w:val="clear" w:color="auto" w:fill="FFFFFF"/>
            <w:vAlign w:val="center"/>
          </w:tcPr>
          <w:p w14:paraId="644D12F4"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nil"/>
              <w:left w:val="nil"/>
              <w:bottom w:val="nil"/>
              <w:right w:val="nil"/>
            </w:tcBorders>
            <w:shd w:val="clear" w:color="auto" w:fill="FFFFFF"/>
            <w:vAlign w:val="center"/>
          </w:tcPr>
          <w:p w14:paraId="7BDD0EA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5B98F3B" w14:textId="77777777" w:rsidTr="00013AF7">
        <w:trPr>
          <w:trHeight w:val="283"/>
        </w:trPr>
        <w:tc>
          <w:tcPr>
            <w:tcW w:w="942" w:type="dxa"/>
            <w:tcBorders>
              <w:top w:val="nil"/>
              <w:left w:val="nil"/>
              <w:bottom w:val="nil"/>
              <w:right w:val="nil"/>
            </w:tcBorders>
            <w:shd w:val="clear" w:color="auto" w:fill="auto"/>
            <w:vAlign w:val="center"/>
          </w:tcPr>
          <w:p w14:paraId="5B92AC5D"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OR2</w:t>
            </w:r>
          </w:p>
        </w:tc>
        <w:tc>
          <w:tcPr>
            <w:tcW w:w="1033" w:type="dxa"/>
            <w:tcBorders>
              <w:top w:val="nil"/>
              <w:left w:val="nil"/>
              <w:bottom w:val="nil"/>
              <w:right w:val="nil"/>
            </w:tcBorders>
            <w:shd w:val="clear" w:color="auto" w:fill="FFFFFF"/>
            <w:vAlign w:val="center"/>
          </w:tcPr>
          <w:p w14:paraId="24EB50A4"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728169C8"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vAlign w:val="center"/>
          </w:tcPr>
          <w:p w14:paraId="69C4256D"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0.861</w:t>
            </w:r>
          </w:p>
        </w:tc>
        <w:tc>
          <w:tcPr>
            <w:tcW w:w="1426" w:type="dxa"/>
            <w:vMerge w:val="restart"/>
            <w:tcBorders>
              <w:top w:val="nil"/>
              <w:left w:val="nil"/>
              <w:right w:val="nil"/>
            </w:tcBorders>
            <w:shd w:val="clear" w:color="auto" w:fill="FFFFFF"/>
            <w:vAlign w:val="center"/>
          </w:tcPr>
          <w:p w14:paraId="24DCA589"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0.889</w:t>
            </w:r>
          </w:p>
        </w:tc>
        <w:tc>
          <w:tcPr>
            <w:tcW w:w="1291" w:type="dxa"/>
            <w:vMerge w:val="restart"/>
            <w:tcBorders>
              <w:top w:val="nil"/>
              <w:left w:val="nil"/>
              <w:right w:val="nil"/>
            </w:tcBorders>
            <w:shd w:val="clear" w:color="auto" w:fill="FFFFFF"/>
            <w:vAlign w:val="center"/>
          </w:tcPr>
          <w:p w14:paraId="3FC73191"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4</w:t>
            </w:r>
          </w:p>
        </w:tc>
        <w:tc>
          <w:tcPr>
            <w:tcW w:w="1063" w:type="dxa"/>
            <w:vMerge w:val="restart"/>
            <w:tcBorders>
              <w:top w:val="nil"/>
              <w:left w:val="nil"/>
              <w:right w:val="nil"/>
            </w:tcBorders>
            <w:shd w:val="clear" w:color="auto" w:fill="FFFFFF"/>
            <w:vAlign w:val="center"/>
          </w:tcPr>
          <w:p w14:paraId="57C55560"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ORN3</w:t>
            </w:r>
          </w:p>
        </w:tc>
        <w:tc>
          <w:tcPr>
            <w:tcW w:w="1474" w:type="dxa"/>
            <w:vMerge w:val="restart"/>
            <w:tcBorders>
              <w:top w:val="nil"/>
              <w:left w:val="nil"/>
              <w:right w:val="nil"/>
            </w:tcBorders>
            <w:shd w:val="clear" w:color="auto" w:fill="FFFFFF"/>
            <w:vAlign w:val="center"/>
          </w:tcPr>
          <w:p w14:paraId="48692B93"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Connection Measures</w:t>
            </w:r>
          </w:p>
        </w:tc>
      </w:tr>
      <w:tr w:rsidR="00A0618E" w:rsidRPr="00400193" w14:paraId="20B88209" w14:textId="77777777" w:rsidTr="00013AF7">
        <w:trPr>
          <w:trHeight w:val="283"/>
        </w:trPr>
        <w:tc>
          <w:tcPr>
            <w:tcW w:w="942" w:type="dxa"/>
            <w:tcBorders>
              <w:top w:val="nil"/>
              <w:left w:val="nil"/>
              <w:bottom w:val="nil"/>
              <w:right w:val="nil"/>
            </w:tcBorders>
            <w:shd w:val="clear" w:color="auto" w:fill="auto"/>
            <w:vAlign w:val="center"/>
          </w:tcPr>
          <w:p w14:paraId="3AB88255"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OR1</w:t>
            </w:r>
          </w:p>
        </w:tc>
        <w:tc>
          <w:tcPr>
            <w:tcW w:w="1033" w:type="dxa"/>
            <w:tcBorders>
              <w:top w:val="nil"/>
              <w:left w:val="nil"/>
              <w:bottom w:val="nil"/>
              <w:right w:val="nil"/>
            </w:tcBorders>
            <w:shd w:val="clear" w:color="auto" w:fill="FFFFFF"/>
            <w:vAlign w:val="center"/>
          </w:tcPr>
          <w:p w14:paraId="536CBDAF"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0DB5D55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vAlign w:val="center"/>
          </w:tcPr>
          <w:p w14:paraId="13C7351E"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0.827</w:t>
            </w:r>
          </w:p>
        </w:tc>
        <w:tc>
          <w:tcPr>
            <w:tcW w:w="1426" w:type="dxa"/>
            <w:vMerge/>
            <w:tcBorders>
              <w:top w:val="nil"/>
              <w:left w:val="nil"/>
              <w:right w:val="nil"/>
            </w:tcBorders>
            <w:shd w:val="clear" w:color="auto" w:fill="FFFFFF"/>
            <w:vAlign w:val="center"/>
          </w:tcPr>
          <w:p w14:paraId="5C4D7BB1"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nil"/>
              <w:left w:val="nil"/>
              <w:right w:val="nil"/>
            </w:tcBorders>
            <w:shd w:val="clear" w:color="auto" w:fill="FFFFFF"/>
            <w:vAlign w:val="center"/>
          </w:tcPr>
          <w:p w14:paraId="238F0D32"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nil"/>
              <w:left w:val="nil"/>
              <w:right w:val="nil"/>
            </w:tcBorders>
            <w:shd w:val="clear" w:color="auto" w:fill="FFFFFF"/>
            <w:vAlign w:val="center"/>
          </w:tcPr>
          <w:p w14:paraId="41F9ED1D"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nil"/>
              <w:left w:val="nil"/>
              <w:right w:val="nil"/>
            </w:tcBorders>
            <w:shd w:val="clear" w:color="auto" w:fill="FFFFFF"/>
            <w:vAlign w:val="center"/>
          </w:tcPr>
          <w:p w14:paraId="2C0A42FC"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3BF87ECD" w14:textId="77777777" w:rsidTr="00013AF7">
        <w:trPr>
          <w:trHeight w:val="283"/>
        </w:trPr>
        <w:tc>
          <w:tcPr>
            <w:tcW w:w="942" w:type="dxa"/>
            <w:tcBorders>
              <w:top w:val="nil"/>
              <w:left w:val="nil"/>
              <w:bottom w:val="nil"/>
              <w:right w:val="nil"/>
            </w:tcBorders>
            <w:shd w:val="clear" w:color="auto" w:fill="auto"/>
            <w:vAlign w:val="center"/>
          </w:tcPr>
          <w:p w14:paraId="6161477E"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OR3</w:t>
            </w:r>
          </w:p>
        </w:tc>
        <w:tc>
          <w:tcPr>
            <w:tcW w:w="1033" w:type="dxa"/>
            <w:tcBorders>
              <w:top w:val="nil"/>
              <w:left w:val="nil"/>
              <w:bottom w:val="nil"/>
              <w:right w:val="nil"/>
            </w:tcBorders>
            <w:shd w:val="clear" w:color="auto" w:fill="FFFFFF"/>
            <w:vAlign w:val="center"/>
          </w:tcPr>
          <w:p w14:paraId="6C009DC3"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bottom w:val="nil"/>
              <w:right w:val="nil"/>
            </w:tcBorders>
            <w:shd w:val="clear" w:color="auto" w:fill="FFFFFF"/>
            <w:vAlign w:val="center"/>
          </w:tcPr>
          <w:p w14:paraId="6EB13EB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bottom w:val="nil"/>
              <w:right w:val="nil"/>
            </w:tcBorders>
            <w:shd w:val="clear" w:color="auto" w:fill="FFFFFF"/>
            <w:vAlign w:val="center"/>
          </w:tcPr>
          <w:p w14:paraId="20C0F76F"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0.690</w:t>
            </w:r>
          </w:p>
        </w:tc>
        <w:tc>
          <w:tcPr>
            <w:tcW w:w="1426" w:type="dxa"/>
            <w:vMerge/>
            <w:tcBorders>
              <w:top w:val="nil"/>
              <w:left w:val="nil"/>
              <w:right w:val="nil"/>
            </w:tcBorders>
            <w:shd w:val="clear" w:color="auto" w:fill="FFFFFF"/>
            <w:vAlign w:val="center"/>
          </w:tcPr>
          <w:p w14:paraId="25E13345"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nil"/>
              <w:left w:val="nil"/>
              <w:right w:val="nil"/>
            </w:tcBorders>
            <w:shd w:val="clear" w:color="auto" w:fill="FFFFFF"/>
            <w:vAlign w:val="center"/>
          </w:tcPr>
          <w:p w14:paraId="4B789EA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nil"/>
              <w:left w:val="nil"/>
              <w:right w:val="nil"/>
            </w:tcBorders>
            <w:shd w:val="clear" w:color="auto" w:fill="FFFFFF"/>
            <w:vAlign w:val="center"/>
          </w:tcPr>
          <w:p w14:paraId="6D6B5C89"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nil"/>
              <w:left w:val="nil"/>
              <w:right w:val="nil"/>
            </w:tcBorders>
            <w:shd w:val="clear" w:color="auto" w:fill="FFFFFF"/>
            <w:vAlign w:val="center"/>
          </w:tcPr>
          <w:p w14:paraId="4AC9D4E0"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0AA86D6C" w14:textId="77777777" w:rsidTr="00013AF7">
        <w:trPr>
          <w:trHeight w:val="283"/>
        </w:trPr>
        <w:tc>
          <w:tcPr>
            <w:tcW w:w="942" w:type="dxa"/>
            <w:tcBorders>
              <w:top w:val="nil"/>
              <w:left w:val="nil"/>
              <w:right w:val="nil"/>
            </w:tcBorders>
            <w:shd w:val="clear" w:color="auto" w:fill="auto"/>
            <w:vAlign w:val="center"/>
          </w:tcPr>
          <w:p w14:paraId="472547C1" w14:textId="77777777" w:rsidR="006E3616" w:rsidRPr="00400193" w:rsidRDefault="006E3616" w:rsidP="003B5486">
            <w:pPr>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lang w:eastAsia="zh-CN" w:bidi="hi-IN"/>
              </w:rPr>
              <w:t>OR4</w:t>
            </w:r>
          </w:p>
        </w:tc>
        <w:tc>
          <w:tcPr>
            <w:tcW w:w="1033" w:type="dxa"/>
            <w:tcBorders>
              <w:top w:val="nil"/>
              <w:left w:val="nil"/>
              <w:right w:val="nil"/>
            </w:tcBorders>
            <w:shd w:val="clear" w:color="auto" w:fill="FFFFFF"/>
            <w:vAlign w:val="center"/>
          </w:tcPr>
          <w:p w14:paraId="7C3E8350"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926" w:type="dxa"/>
            <w:tcBorders>
              <w:top w:val="nil"/>
              <w:left w:val="nil"/>
              <w:right w:val="nil"/>
            </w:tcBorders>
            <w:shd w:val="clear" w:color="auto" w:fill="FFFFFF"/>
            <w:vAlign w:val="center"/>
          </w:tcPr>
          <w:p w14:paraId="054089DB"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871" w:type="dxa"/>
            <w:tcBorders>
              <w:top w:val="nil"/>
              <w:left w:val="nil"/>
              <w:right w:val="nil"/>
            </w:tcBorders>
            <w:shd w:val="clear" w:color="auto" w:fill="FFFFFF"/>
            <w:vAlign w:val="center"/>
          </w:tcPr>
          <w:p w14:paraId="17F5385B" w14:textId="77777777" w:rsidR="006E3616" w:rsidRPr="00400193" w:rsidRDefault="006E3616" w:rsidP="003B5486">
            <w:pPr>
              <w:spacing w:line="240" w:lineRule="auto"/>
              <w:jc w:val="center"/>
              <w:rPr>
                <w:rFonts w:asciiTheme="minorHAnsi" w:hAnsiTheme="minorHAnsi" w:cstheme="minorHAnsi"/>
                <w:sz w:val="20"/>
                <w:lang w:eastAsia="zh-CN" w:bidi="hi-IN"/>
              </w:rPr>
            </w:pPr>
            <w:r w:rsidRPr="00400193">
              <w:rPr>
                <w:rFonts w:asciiTheme="minorHAnsi" w:hAnsiTheme="minorHAnsi" w:cstheme="minorHAnsi"/>
                <w:sz w:val="20"/>
                <w:lang w:eastAsia="zh-CN" w:bidi="hi-IN"/>
              </w:rPr>
              <w:t>0.625</w:t>
            </w:r>
          </w:p>
        </w:tc>
        <w:tc>
          <w:tcPr>
            <w:tcW w:w="1426" w:type="dxa"/>
            <w:vMerge/>
            <w:tcBorders>
              <w:top w:val="nil"/>
              <w:left w:val="nil"/>
              <w:right w:val="nil"/>
            </w:tcBorders>
            <w:shd w:val="clear" w:color="auto" w:fill="FFFFFF"/>
            <w:vAlign w:val="center"/>
          </w:tcPr>
          <w:p w14:paraId="357FAB77"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291" w:type="dxa"/>
            <w:vMerge/>
            <w:tcBorders>
              <w:top w:val="nil"/>
              <w:left w:val="nil"/>
              <w:right w:val="nil"/>
            </w:tcBorders>
            <w:shd w:val="clear" w:color="auto" w:fill="FFFFFF"/>
            <w:vAlign w:val="center"/>
          </w:tcPr>
          <w:p w14:paraId="7DE1B4BE" w14:textId="77777777" w:rsidR="006E3616" w:rsidRPr="00400193" w:rsidRDefault="006E3616" w:rsidP="003B5486">
            <w:pPr>
              <w:spacing w:line="240" w:lineRule="auto"/>
              <w:jc w:val="center"/>
              <w:rPr>
                <w:rFonts w:asciiTheme="minorHAnsi" w:hAnsiTheme="minorHAnsi" w:cstheme="minorHAnsi"/>
                <w:sz w:val="20"/>
                <w:lang w:eastAsia="zh-CN" w:bidi="hi-IN"/>
              </w:rPr>
            </w:pPr>
          </w:p>
        </w:tc>
        <w:tc>
          <w:tcPr>
            <w:tcW w:w="1063" w:type="dxa"/>
            <w:vMerge/>
            <w:tcBorders>
              <w:top w:val="nil"/>
              <w:left w:val="nil"/>
              <w:right w:val="nil"/>
            </w:tcBorders>
            <w:shd w:val="clear" w:color="auto" w:fill="FFFFFF"/>
            <w:vAlign w:val="center"/>
          </w:tcPr>
          <w:p w14:paraId="56DFC5EC" w14:textId="77777777" w:rsidR="006E3616" w:rsidRPr="00400193" w:rsidRDefault="006E3616" w:rsidP="003B5486">
            <w:pPr>
              <w:spacing w:line="240" w:lineRule="auto"/>
              <w:jc w:val="left"/>
              <w:rPr>
                <w:rFonts w:asciiTheme="minorHAnsi" w:hAnsiTheme="minorHAnsi" w:cstheme="minorHAnsi"/>
                <w:sz w:val="20"/>
                <w:lang w:eastAsia="zh-CN" w:bidi="hi-IN"/>
              </w:rPr>
            </w:pPr>
          </w:p>
        </w:tc>
        <w:tc>
          <w:tcPr>
            <w:tcW w:w="1474" w:type="dxa"/>
            <w:vMerge/>
            <w:tcBorders>
              <w:top w:val="nil"/>
              <w:left w:val="nil"/>
              <w:right w:val="nil"/>
            </w:tcBorders>
            <w:shd w:val="clear" w:color="auto" w:fill="FFFFFF"/>
            <w:vAlign w:val="center"/>
          </w:tcPr>
          <w:p w14:paraId="61B8D3F6" w14:textId="77777777" w:rsidR="006E3616" w:rsidRPr="00400193" w:rsidRDefault="006E3616" w:rsidP="003B5486">
            <w:pPr>
              <w:spacing w:line="240" w:lineRule="auto"/>
              <w:jc w:val="left"/>
              <w:rPr>
                <w:rFonts w:asciiTheme="minorHAnsi" w:hAnsiTheme="minorHAnsi" w:cstheme="minorHAnsi"/>
                <w:sz w:val="20"/>
                <w:lang w:eastAsia="zh-CN" w:bidi="hi-IN"/>
              </w:rPr>
            </w:pPr>
          </w:p>
        </w:tc>
      </w:tr>
      <w:tr w:rsidR="00A0618E" w:rsidRPr="00400193" w14:paraId="45F49D4B" w14:textId="77777777" w:rsidTr="00013AF7">
        <w:trPr>
          <w:trHeight w:val="283"/>
        </w:trPr>
        <w:tc>
          <w:tcPr>
            <w:tcW w:w="9026" w:type="dxa"/>
            <w:gridSpan w:val="8"/>
            <w:tcBorders>
              <w:left w:val="nil"/>
              <w:right w:val="nil"/>
            </w:tcBorders>
            <w:vAlign w:val="center"/>
          </w:tcPr>
          <w:p w14:paraId="5CFA1A40" w14:textId="56DB2756" w:rsidR="006E3616" w:rsidRPr="00400193" w:rsidRDefault="006E3616"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a </w:t>
            </w:r>
            <w:r w:rsidRPr="00400193">
              <w:rPr>
                <w:rFonts w:asciiTheme="minorHAnsi" w:hAnsiTheme="minorHAnsi" w:cstheme="minorHAnsi"/>
                <w:sz w:val="20"/>
                <w:lang w:eastAsia="zh-CN" w:bidi="hi-IN"/>
              </w:rPr>
              <w:t>Rotation converged in 3 iterations</w:t>
            </w:r>
            <w:r w:rsidR="002B4B41" w:rsidRPr="00400193">
              <w:rPr>
                <w:rFonts w:asciiTheme="minorHAnsi" w:hAnsiTheme="minorHAnsi" w:cstheme="minorHAnsi"/>
                <w:sz w:val="20"/>
                <w:lang w:eastAsia="zh-CN" w:bidi="hi-IN"/>
              </w:rPr>
              <w:t>.</w:t>
            </w:r>
          </w:p>
          <w:p w14:paraId="7A7A6EAB" w14:textId="01CDEEA2" w:rsidR="002B4B41" w:rsidRPr="00400193" w:rsidRDefault="002B4B41" w:rsidP="003B5486">
            <w:pPr>
              <w:keepNext/>
              <w:spacing w:line="240" w:lineRule="auto"/>
              <w:jc w:val="left"/>
              <w:rPr>
                <w:rFonts w:asciiTheme="minorHAnsi" w:hAnsiTheme="minorHAnsi" w:cstheme="minorHAnsi"/>
                <w:sz w:val="20"/>
                <w:lang w:eastAsia="zh-CN" w:bidi="hi-IN"/>
              </w:rPr>
            </w:pPr>
            <w:r w:rsidRPr="00400193">
              <w:rPr>
                <w:rFonts w:asciiTheme="minorHAnsi" w:hAnsiTheme="minorHAnsi" w:cstheme="minorHAnsi"/>
                <w:sz w:val="20"/>
                <w:vertAlign w:val="superscript"/>
                <w:lang w:eastAsia="zh-CN" w:bidi="hi-IN"/>
              </w:rPr>
              <w:t xml:space="preserve">b </w:t>
            </w:r>
            <w:r w:rsidRPr="00400193">
              <w:rPr>
                <w:rFonts w:asciiTheme="minorHAnsi" w:hAnsiTheme="minorHAnsi" w:cstheme="minorHAnsi"/>
                <w:sz w:val="20"/>
                <w:lang w:eastAsia="zh-CN" w:bidi="hi-IN"/>
              </w:rPr>
              <w:t>Extraction Method: Principal Component Analysis. Rotation Method: Varimax with Kaiser Normalisation.</w:t>
            </w:r>
          </w:p>
        </w:tc>
      </w:tr>
    </w:tbl>
    <w:p w14:paraId="544313CC" w14:textId="53418BAE" w:rsidR="006E3616" w:rsidRPr="00400193" w:rsidRDefault="006E3616" w:rsidP="006E3616">
      <w:pPr>
        <w:pStyle w:val="Caption"/>
        <w:spacing w:after="240"/>
      </w:pPr>
      <w:bookmarkStart w:id="559" w:name="_Ref43255801"/>
      <w:bookmarkStart w:id="560" w:name="_Toc5290159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53</w:t>
      </w:r>
      <w:r w:rsidRPr="00400193">
        <w:fldChar w:fldCharType="end"/>
      </w:r>
      <w:bookmarkEnd w:id="559"/>
      <w:r w:rsidRPr="00400193">
        <w:t>: Mean, standard deviation, communalities and rotated component matrix for OR</w:t>
      </w:r>
      <w:bookmarkEnd w:id="560"/>
    </w:p>
    <w:p w14:paraId="46872614" w14:textId="3FED47E7" w:rsidR="006E3616" w:rsidRPr="00400193" w:rsidRDefault="006E3616" w:rsidP="006E3616">
      <w:pPr>
        <w:rPr>
          <w:lang w:eastAsia="zh-CN" w:bidi="hi-IN"/>
        </w:rPr>
      </w:pPr>
      <w:r w:rsidRPr="00400193">
        <w:rPr>
          <w:lang w:eastAsia="zh-CN" w:bidi="hi-IN"/>
        </w:rPr>
        <w:fldChar w:fldCharType="begin"/>
      </w:r>
      <w:r w:rsidRPr="00400193">
        <w:rPr>
          <w:lang w:eastAsia="zh-CN" w:bidi="hi-IN"/>
        </w:rPr>
        <w:instrText xml:space="preserve"> REF _Ref43256019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54</w:t>
      </w:r>
      <w:r w:rsidRPr="00400193">
        <w:rPr>
          <w:lang w:eastAsia="zh-CN" w:bidi="hi-IN"/>
        </w:rPr>
        <w:fldChar w:fldCharType="end"/>
      </w:r>
      <w:r w:rsidRPr="00400193">
        <w:rPr>
          <w:lang w:eastAsia="zh-CN" w:bidi="hi-IN"/>
        </w:rPr>
        <w:t xml:space="preserve"> shows CR and AVE for each factor and MSW and ASV values. CR varied from 0.813 to 0.924, all higher than 0.7, and AVE ranged from 0.469 to 0.752, with only Factor 1 lower than 0.5. MSV (0.728) &gt; AVE except for Factor 3 and ASV (0.579) &gt; AVE for Factor 1. There were therefore problems with convergent validity for Factor 1 but not Factors 2 and 3, and problems with discriminant validity for Factors 1 and 2.</w:t>
      </w:r>
    </w:p>
    <w:tbl>
      <w:tblPr>
        <w:tblStyle w:val="TableGrid"/>
        <w:tblW w:w="0" w:type="auto"/>
        <w:tblLook w:val="04A0" w:firstRow="1" w:lastRow="0" w:firstColumn="1" w:lastColumn="0" w:noHBand="0" w:noVBand="1"/>
      </w:tblPr>
      <w:tblGrid>
        <w:gridCol w:w="3380"/>
        <w:gridCol w:w="1857"/>
        <w:gridCol w:w="1857"/>
        <w:gridCol w:w="1857"/>
      </w:tblGrid>
      <w:tr w:rsidR="00A0618E" w:rsidRPr="00400193" w14:paraId="754DD1D2" w14:textId="77777777" w:rsidTr="00013AF7">
        <w:trPr>
          <w:trHeight w:val="283"/>
        </w:trPr>
        <w:tc>
          <w:tcPr>
            <w:tcW w:w="3380" w:type="dxa"/>
            <w:tcBorders>
              <w:top w:val="single" w:sz="4" w:space="0" w:color="auto"/>
              <w:left w:val="nil"/>
              <w:bottom w:val="single" w:sz="4" w:space="0" w:color="auto"/>
              <w:right w:val="nil"/>
            </w:tcBorders>
            <w:vAlign w:val="center"/>
          </w:tcPr>
          <w:p w14:paraId="49CCAAC7" w14:textId="77777777" w:rsidR="006E3616" w:rsidRPr="00400193" w:rsidRDefault="006E3616" w:rsidP="003B5486">
            <w:pPr>
              <w:spacing w:line="240" w:lineRule="auto"/>
              <w:jc w:val="left"/>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Parameters</w:t>
            </w:r>
          </w:p>
        </w:tc>
        <w:tc>
          <w:tcPr>
            <w:tcW w:w="1857" w:type="dxa"/>
            <w:tcBorders>
              <w:top w:val="single" w:sz="4" w:space="0" w:color="auto"/>
              <w:left w:val="nil"/>
              <w:bottom w:val="single" w:sz="4" w:space="0" w:color="auto"/>
              <w:right w:val="nil"/>
            </w:tcBorders>
            <w:vAlign w:val="center"/>
          </w:tcPr>
          <w:p w14:paraId="4BC06225"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1</w:t>
            </w:r>
          </w:p>
        </w:tc>
        <w:tc>
          <w:tcPr>
            <w:tcW w:w="1857" w:type="dxa"/>
            <w:tcBorders>
              <w:top w:val="single" w:sz="4" w:space="0" w:color="auto"/>
              <w:left w:val="nil"/>
              <w:bottom w:val="single" w:sz="4" w:space="0" w:color="auto"/>
              <w:right w:val="nil"/>
            </w:tcBorders>
            <w:vAlign w:val="center"/>
          </w:tcPr>
          <w:p w14:paraId="2E81F4B8"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2</w:t>
            </w:r>
          </w:p>
        </w:tc>
        <w:tc>
          <w:tcPr>
            <w:tcW w:w="1857" w:type="dxa"/>
            <w:tcBorders>
              <w:top w:val="single" w:sz="4" w:space="0" w:color="auto"/>
              <w:left w:val="nil"/>
              <w:bottom w:val="single" w:sz="4" w:space="0" w:color="auto"/>
              <w:right w:val="nil"/>
            </w:tcBorders>
            <w:vAlign w:val="center"/>
          </w:tcPr>
          <w:p w14:paraId="4A95F110" w14:textId="77777777" w:rsidR="006E3616" w:rsidRPr="00400193" w:rsidRDefault="006E3616" w:rsidP="003B5486">
            <w:pPr>
              <w:spacing w:line="240" w:lineRule="auto"/>
              <w:jc w:val="center"/>
              <w:rPr>
                <w:rFonts w:asciiTheme="minorHAnsi" w:hAnsiTheme="minorHAnsi" w:cstheme="minorHAnsi"/>
                <w:b/>
                <w:bCs/>
                <w:sz w:val="20"/>
                <w:szCs w:val="18"/>
                <w:lang w:eastAsia="zh-CN" w:bidi="hi-IN"/>
              </w:rPr>
            </w:pPr>
            <w:r w:rsidRPr="00400193">
              <w:rPr>
                <w:rFonts w:asciiTheme="minorHAnsi" w:hAnsiTheme="minorHAnsi" w:cstheme="minorHAnsi"/>
                <w:b/>
                <w:bCs/>
                <w:sz w:val="20"/>
                <w:szCs w:val="18"/>
                <w:lang w:eastAsia="zh-CN" w:bidi="hi-IN"/>
              </w:rPr>
              <w:t>Factor 3</w:t>
            </w:r>
          </w:p>
        </w:tc>
      </w:tr>
      <w:tr w:rsidR="00A0618E" w:rsidRPr="00400193" w14:paraId="200B685C" w14:textId="77777777" w:rsidTr="00013AF7">
        <w:trPr>
          <w:trHeight w:val="283"/>
        </w:trPr>
        <w:tc>
          <w:tcPr>
            <w:tcW w:w="3380" w:type="dxa"/>
            <w:tcBorders>
              <w:top w:val="single" w:sz="4" w:space="0" w:color="auto"/>
              <w:left w:val="nil"/>
              <w:bottom w:val="nil"/>
              <w:right w:val="nil"/>
            </w:tcBorders>
            <w:vAlign w:val="center"/>
          </w:tcPr>
          <w:p w14:paraId="45774B6B"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Composite reliability</w:t>
            </w:r>
          </w:p>
        </w:tc>
        <w:tc>
          <w:tcPr>
            <w:tcW w:w="1857" w:type="dxa"/>
            <w:tcBorders>
              <w:top w:val="single" w:sz="4" w:space="0" w:color="auto"/>
              <w:left w:val="nil"/>
              <w:bottom w:val="nil"/>
              <w:right w:val="nil"/>
            </w:tcBorders>
            <w:vAlign w:val="center"/>
          </w:tcPr>
          <w:p w14:paraId="0C951187"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0.924</w:t>
            </w:r>
          </w:p>
        </w:tc>
        <w:tc>
          <w:tcPr>
            <w:tcW w:w="1857" w:type="dxa"/>
            <w:tcBorders>
              <w:top w:val="single" w:sz="4" w:space="0" w:color="auto"/>
              <w:left w:val="nil"/>
              <w:bottom w:val="nil"/>
              <w:right w:val="nil"/>
            </w:tcBorders>
            <w:vAlign w:val="center"/>
          </w:tcPr>
          <w:p w14:paraId="4DCE30B9"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0.813</w:t>
            </w:r>
          </w:p>
        </w:tc>
        <w:tc>
          <w:tcPr>
            <w:tcW w:w="1857" w:type="dxa"/>
            <w:tcBorders>
              <w:top w:val="single" w:sz="4" w:space="0" w:color="auto"/>
              <w:left w:val="nil"/>
              <w:bottom w:val="nil"/>
              <w:right w:val="nil"/>
            </w:tcBorders>
            <w:vAlign w:val="center"/>
          </w:tcPr>
          <w:p w14:paraId="7A300A63"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0.924</w:t>
            </w:r>
          </w:p>
        </w:tc>
      </w:tr>
      <w:tr w:rsidR="00A0618E" w:rsidRPr="00400193" w14:paraId="3CB77756" w14:textId="77777777" w:rsidTr="00013AF7">
        <w:trPr>
          <w:trHeight w:val="283"/>
        </w:trPr>
        <w:tc>
          <w:tcPr>
            <w:tcW w:w="3380" w:type="dxa"/>
            <w:tcBorders>
              <w:top w:val="nil"/>
              <w:left w:val="nil"/>
              <w:bottom w:val="nil"/>
              <w:right w:val="nil"/>
            </w:tcBorders>
            <w:vAlign w:val="center"/>
          </w:tcPr>
          <w:p w14:paraId="70AF5694"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variance extracted</w:t>
            </w:r>
          </w:p>
        </w:tc>
        <w:tc>
          <w:tcPr>
            <w:tcW w:w="1857" w:type="dxa"/>
            <w:tcBorders>
              <w:top w:val="nil"/>
              <w:left w:val="nil"/>
              <w:bottom w:val="nil"/>
              <w:right w:val="nil"/>
            </w:tcBorders>
            <w:vAlign w:val="center"/>
          </w:tcPr>
          <w:p w14:paraId="11995EB5"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0.469</w:t>
            </w:r>
          </w:p>
        </w:tc>
        <w:tc>
          <w:tcPr>
            <w:tcW w:w="1857" w:type="dxa"/>
            <w:tcBorders>
              <w:top w:val="nil"/>
              <w:left w:val="nil"/>
              <w:bottom w:val="nil"/>
              <w:right w:val="nil"/>
            </w:tcBorders>
            <w:vAlign w:val="center"/>
          </w:tcPr>
          <w:p w14:paraId="43D311CE"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0.592</w:t>
            </w:r>
          </w:p>
        </w:tc>
        <w:tc>
          <w:tcPr>
            <w:tcW w:w="1857" w:type="dxa"/>
            <w:tcBorders>
              <w:top w:val="nil"/>
              <w:left w:val="nil"/>
              <w:bottom w:val="nil"/>
              <w:right w:val="nil"/>
            </w:tcBorders>
            <w:vAlign w:val="center"/>
          </w:tcPr>
          <w:p w14:paraId="135EF3B1"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0.752</w:t>
            </w:r>
          </w:p>
        </w:tc>
      </w:tr>
      <w:tr w:rsidR="00A0618E" w:rsidRPr="00400193" w14:paraId="41BD6306" w14:textId="77777777" w:rsidTr="00013AF7">
        <w:trPr>
          <w:trHeight w:val="283"/>
        </w:trPr>
        <w:tc>
          <w:tcPr>
            <w:tcW w:w="3380" w:type="dxa"/>
            <w:tcBorders>
              <w:top w:val="nil"/>
              <w:left w:val="nil"/>
              <w:bottom w:val="nil"/>
              <w:right w:val="nil"/>
            </w:tcBorders>
            <w:vAlign w:val="center"/>
          </w:tcPr>
          <w:p w14:paraId="6569F442"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 shared variance</w:t>
            </w:r>
          </w:p>
        </w:tc>
        <w:tc>
          <w:tcPr>
            <w:tcW w:w="1857" w:type="dxa"/>
            <w:tcBorders>
              <w:top w:val="nil"/>
              <w:left w:val="nil"/>
              <w:bottom w:val="nil"/>
              <w:right w:val="nil"/>
            </w:tcBorders>
            <w:vAlign w:val="center"/>
          </w:tcPr>
          <w:p w14:paraId="2CCC75E6"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0.728</w:t>
            </w:r>
          </w:p>
        </w:tc>
        <w:tc>
          <w:tcPr>
            <w:tcW w:w="1857" w:type="dxa"/>
            <w:tcBorders>
              <w:top w:val="nil"/>
              <w:left w:val="nil"/>
              <w:bottom w:val="nil"/>
              <w:right w:val="nil"/>
            </w:tcBorders>
            <w:vAlign w:val="center"/>
          </w:tcPr>
          <w:p w14:paraId="3AD3BDF0"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857" w:type="dxa"/>
            <w:tcBorders>
              <w:top w:val="nil"/>
              <w:left w:val="nil"/>
              <w:bottom w:val="nil"/>
              <w:right w:val="nil"/>
            </w:tcBorders>
            <w:vAlign w:val="center"/>
          </w:tcPr>
          <w:p w14:paraId="682A81A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r>
      <w:tr w:rsidR="00A0618E" w:rsidRPr="00400193" w14:paraId="5F0632AF" w14:textId="77777777" w:rsidTr="00013AF7">
        <w:trPr>
          <w:trHeight w:val="283"/>
        </w:trPr>
        <w:tc>
          <w:tcPr>
            <w:tcW w:w="3380" w:type="dxa"/>
            <w:tcBorders>
              <w:top w:val="nil"/>
              <w:left w:val="nil"/>
              <w:bottom w:val="single" w:sz="4" w:space="0" w:color="auto"/>
              <w:right w:val="nil"/>
            </w:tcBorders>
            <w:vAlign w:val="center"/>
          </w:tcPr>
          <w:p w14:paraId="198CB838" w14:textId="77777777" w:rsidR="006E3616" w:rsidRPr="00400193" w:rsidRDefault="006E3616" w:rsidP="003B5486">
            <w:pPr>
              <w:spacing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Average shared variance</w:t>
            </w:r>
          </w:p>
        </w:tc>
        <w:tc>
          <w:tcPr>
            <w:tcW w:w="1857" w:type="dxa"/>
            <w:tcBorders>
              <w:top w:val="nil"/>
              <w:left w:val="nil"/>
              <w:bottom w:val="single" w:sz="4" w:space="0" w:color="auto"/>
              <w:right w:val="nil"/>
            </w:tcBorders>
            <w:vAlign w:val="center"/>
          </w:tcPr>
          <w:p w14:paraId="46840A6B"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0.579</w:t>
            </w:r>
          </w:p>
        </w:tc>
        <w:tc>
          <w:tcPr>
            <w:tcW w:w="1857" w:type="dxa"/>
            <w:tcBorders>
              <w:top w:val="nil"/>
              <w:left w:val="nil"/>
              <w:right w:val="nil"/>
            </w:tcBorders>
            <w:vAlign w:val="center"/>
          </w:tcPr>
          <w:p w14:paraId="52908F0D" w14:textId="77777777" w:rsidR="006E3616" w:rsidRPr="00400193" w:rsidRDefault="006E3616" w:rsidP="003B5486">
            <w:pPr>
              <w:spacing w:line="240" w:lineRule="auto"/>
              <w:jc w:val="center"/>
              <w:rPr>
                <w:rFonts w:asciiTheme="minorHAnsi" w:hAnsiTheme="minorHAnsi" w:cstheme="minorHAnsi"/>
                <w:sz w:val="20"/>
                <w:szCs w:val="18"/>
                <w:lang w:eastAsia="zh-CN" w:bidi="hi-IN"/>
              </w:rPr>
            </w:pPr>
          </w:p>
        </w:tc>
        <w:tc>
          <w:tcPr>
            <w:tcW w:w="1857" w:type="dxa"/>
            <w:tcBorders>
              <w:top w:val="nil"/>
              <w:left w:val="nil"/>
              <w:right w:val="nil"/>
            </w:tcBorders>
            <w:vAlign w:val="center"/>
          </w:tcPr>
          <w:p w14:paraId="0ECCB9F2" w14:textId="77777777" w:rsidR="006E3616" w:rsidRPr="00400193" w:rsidRDefault="006E3616" w:rsidP="003B5486">
            <w:pPr>
              <w:keepNext/>
              <w:spacing w:line="240" w:lineRule="auto"/>
              <w:jc w:val="center"/>
              <w:rPr>
                <w:rFonts w:asciiTheme="minorHAnsi" w:hAnsiTheme="minorHAnsi" w:cstheme="minorHAnsi"/>
                <w:sz w:val="20"/>
                <w:szCs w:val="18"/>
                <w:lang w:eastAsia="zh-CN" w:bidi="hi-IN"/>
              </w:rPr>
            </w:pPr>
          </w:p>
        </w:tc>
      </w:tr>
    </w:tbl>
    <w:p w14:paraId="0BD33F24" w14:textId="4A745184" w:rsidR="006E3616" w:rsidRPr="00400193" w:rsidRDefault="006E3616" w:rsidP="006E3616">
      <w:pPr>
        <w:pStyle w:val="Caption"/>
        <w:spacing w:after="240"/>
      </w:pPr>
      <w:bookmarkStart w:id="561" w:name="_Ref43256019"/>
      <w:bookmarkStart w:id="562" w:name="_Toc5290159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54</w:t>
      </w:r>
      <w:r w:rsidRPr="00400193">
        <w:fldChar w:fldCharType="end"/>
      </w:r>
      <w:bookmarkEnd w:id="561"/>
      <w:r w:rsidRPr="00400193">
        <w:t>: Average variance extracted (AVE), composite reliability (CR), maximum shared variance (MSV) and average shared variance (ASV) for OR</w:t>
      </w:r>
      <w:bookmarkEnd w:id="562"/>
    </w:p>
    <w:p w14:paraId="5F708A96" w14:textId="77777777" w:rsidR="006E3616" w:rsidRPr="00400193" w:rsidRDefault="006E3616" w:rsidP="006E3616">
      <w:pPr>
        <w:pStyle w:val="Heading3"/>
        <w:rPr>
          <w:lang w:eastAsia="zh-CN" w:bidi="hi-IN"/>
        </w:rPr>
      </w:pPr>
      <w:bookmarkStart w:id="563" w:name="_Toc61894765"/>
      <w:r w:rsidRPr="00400193">
        <w:rPr>
          <w:lang w:eastAsia="zh-CN" w:bidi="hi-IN"/>
        </w:rPr>
        <w:lastRenderedPageBreak/>
        <w:t>Summary</w:t>
      </w:r>
      <w:bookmarkEnd w:id="563"/>
    </w:p>
    <w:p w14:paraId="7B817355" w14:textId="75E7A1C3" w:rsidR="006E3616" w:rsidRPr="00400193" w:rsidRDefault="006E3616" w:rsidP="006E3616">
      <w:pPr>
        <w:rPr>
          <w:lang w:eastAsia="zh-CN" w:bidi="hi-IN"/>
        </w:rPr>
      </w:pPr>
      <w:r w:rsidRPr="00400193">
        <w:rPr>
          <w:lang w:eastAsia="zh-CN" w:bidi="hi-IN"/>
        </w:rPr>
        <w:t xml:space="preserve">The Cronbach’s alpha coefficients indicated good reliability of all scales (ITCA = 0.894, VW = 0.795, and the remaining scales &gt;0.900). The number of individual factors for each scale was between one and four, and the explained percentage of variation was always greater than 60%. The KMO values were always &gt;0.785 and the probability of chi-square was always less than 0.001, indicating that the data were suitable for factor analysis. The communalities were mostly above 0.6 and of those that were below, very few were below 0.4. The composite reliability was generally greater than the cut-off limit of 0.7. Most of the scales also showed convergent validity, with few exceptions, as well as discriminant validity, especially when compared to the ASV. </w:t>
      </w:r>
    </w:p>
    <w:p w14:paraId="303271BA" w14:textId="29F66608" w:rsidR="006E3616" w:rsidRPr="00400193" w:rsidRDefault="006E3616" w:rsidP="006E3616">
      <w:pPr>
        <w:pStyle w:val="Heading2"/>
        <w:rPr>
          <w:lang w:eastAsia="zh-CN" w:bidi="hi-IN"/>
        </w:rPr>
      </w:pPr>
      <w:bookmarkStart w:id="564" w:name="_Ref51179036"/>
      <w:bookmarkStart w:id="565" w:name="_Toc61894766"/>
      <w:r w:rsidRPr="00400193">
        <w:rPr>
          <w:lang w:eastAsia="zh-CN" w:bidi="hi-IN"/>
        </w:rPr>
        <w:t>Simple and Multiple Regression Analysis</w:t>
      </w:r>
      <w:bookmarkEnd w:id="564"/>
      <w:bookmarkEnd w:id="565"/>
    </w:p>
    <w:p w14:paraId="1A41AB23" w14:textId="37A5F1AB" w:rsidR="006E3616" w:rsidRPr="00400193" w:rsidRDefault="006E3616" w:rsidP="006E3616">
      <w:pPr>
        <w:rPr>
          <w:lang w:eastAsia="zh-CN" w:bidi="hi-IN"/>
        </w:rPr>
      </w:pPr>
      <w:r w:rsidRPr="00400193">
        <w:rPr>
          <w:lang w:eastAsia="zh-CN" w:bidi="hi-IN"/>
        </w:rPr>
        <w:t>This section describes the multi-linear regression stepwise analysis used for the dependent variables as functions of the independent variables. It further examines the study hypotheses. A three-step analysis model was used (</w:t>
      </w:r>
      <w:r w:rsidRPr="00400193">
        <w:rPr>
          <w:lang w:eastAsia="zh-CN" w:bidi="hi-IN"/>
        </w:rPr>
        <w:fldChar w:fldCharType="begin"/>
      </w:r>
      <w:r w:rsidRPr="00400193">
        <w:rPr>
          <w:lang w:eastAsia="zh-CN" w:bidi="hi-IN"/>
        </w:rPr>
        <w:instrText xml:space="preserve"> REF _Ref43256925 \h </w:instrText>
      </w:r>
      <w:r w:rsidRPr="00400193">
        <w:rPr>
          <w:lang w:eastAsia="zh-CN" w:bidi="hi-IN"/>
        </w:rPr>
      </w:r>
      <w:r w:rsidRPr="00400193">
        <w:rPr>
          <w:lang w:eastAsia="zh-CN" w:bidi="hi-IN"/>
        </w:rPr>
        <w:fldChar w:fldCharType="separate"/>
      </w:r>
      <w:r w:rsidR="00BB7C18" w:rsidRPr="00400193">
        <w:rPr>
          <w:lang w:eastAsia="zh-CN" w:bidi="hi-IN"/>
        </w:rPr>
        <w:t xml:space="preserve">Figure </w:t>
      </w:r>
      <w:r w:rsidR="00BB7C18">
        <w:rPr>
          <w:noProof/>
          <w:cs/>
          <w:lang w:eastAsia="zh-CN" w:bidi="hi-IN"/>
        </w:rPr>
        <w:t>‎</w:t>
      </w:r>
      <w:r w:rsidR="00BB7C18">
        <w:rPr>
          <w:noProof/>
          <w:lang w:eastAsia="zh-CN" w:bidi="hi-IN"/>
        </w:rPr>
        <w:t>5</w:t>
      </w:r>
      <w:r w:rsidR="00BB7C18" w:rsidRPr="00400193">
        <w:rPr>
          <w:lang w:eastAsia="zh-CN" w:bidi="hi-IN"/>
        </w:rPr>
        <w:noBreakHyphen/>
      </w:r>
      <w:r w:rsidR="00BB7C18">
        <w:rPr>
          <w:noProof/>
          <w:lang w:eastAsia="zh-CN" w:bidi="hi-IN"/>
        </w:rPr>
        <w:t>14</w:t>
      </w:r>
      <w:r w:rsidRPr="00400193">
        <w:rPr>
          <w:lang w:eastAsia="zh-CN" w:bidi="hi-IN"/>
        </w:rPr>
        <w:fldChar w:fldCharType="end"/>
      </w:r>
      <w:r w:rsidRPr="00400193">
        <w:rPr>
          <w:lang w:eastAsia="zh-CN" w:bidi="hi-IN"/>
        </w:rPr>
        <w:t xml:space="preserve">), where the first step was to analyse the raw data to identify the principal components of the input data. </w:t>
      </w:r>
    </w:p>
    <w:p w14:paraId="644F2AE4" w14:textId="57B26DA8" w:rsidR="006E3616" w:rsidRPr="00400193" w:rsidRDefault="006E3616" w:rsidP="006E3616">
      <w:pPr>
        <w:rPr>
          <w:lang w:eastAsia="zh-CN" w:bidi="hi-IN"/>
        </w:rPr>
      </w:pPr>
      <w:r w:rsidRPr="00400193">
        <w:rPr>
          <w:lang w:eastAsia="zh-CN" w:bidi="hi-IN"/>
        </w:rPr>
        <w:t xml:space="preserve">Step two was to identify the new code clusters using both outlier and space division, to forecast the outliers and extract new latent variable clusters (factor extraction). The last step was applying the multi-linear regression stepwise analysis and model creation and verification, before variable prediction and interpretation. The purpose of the multi-linear models was to map variation in having responses in place and organisational resilience against vulnerabilities and weaknesses and key external and internal threats for UAE public sector organisations. The variation variables were entered or removed at different stages of the simulation (see </w:t>
      </w:r>
      <w:r w:rsidR="00DD0FD9" w:rsidRPr="00400193">
        <w:rPr>
          <w:lang w:eastAsia="zh-CN" w:bidi="hi-IN"/>
        </w:rPr>
        <w:fldChar w:fldCharType="begin"/>
      </w:r>
      <w:r w:rsidR="00DD0FD9" w:rsidRPr="00400193">
        <w:rPr>
          <w:lang w:eastAsia="zh-CN" w:bidi="hi-IN"/>
        </w:rPr>
        <w:instrText xml:space="preserve"> REF _Ref50570492 \h </w:instrText>
      </w:r>
      <w:r w:rsidR="00DD0FD9" w:rsidRPr="00400193">
        <w:rPr>
          <w:lang w:eastAsia="zh-CN" w:bidi="hi-IN"/>
        </w:rPr>
      </w:r>
      <w:r w:rsidR="00DD0FD9" w:rsidRPr="00400193">
        <w:rPr>
          <w:lang w:eastAsia="zh-CN" w:bidi="hi-IN"/>
        </w:rPr>
        <w:fldChar w:fldCharType="separate"/>
      </w:r>
      <w:r w:rsidR="00BB7C18" w:rsidRPr="00400193">
        <w:t xml:space="preserve">Appendix </w:t>
      </w:r>
      <w:r w:rsidR="00BB7C18">
        <w:rPr>
          <w:noProof/>
        </w:rPr>
        <w:t>4</w:t>
      </w:r>
      <w:r w:rsidR="00DD0FD9" w:rsidRPr="00400193">
        <w:rPr>
          <w:lang w:eastAsia="zh-CN" w:bidi="hi-IN"/>
        </w:rPr>
        <w:fldChar w:fldCharType="end"/>
      </w:r>
      <w:r w:rsidRPr="00400193">
        <w:rPr>
          <w:lang w:eastAsia="zh-CN" w:bidi="hi-IN"/>
        </w:rPr>
        <w:t xml:space="preserve">). All the key external threats were grouped as </w:t>
      </w:r>
      <w:r w:rsidR="00DD07A5" w:rsidRPr="00400193">
        <w:rPr>
          <w:lang w:eastAsia="zh-CN" w:bidi="hi-IN"/>
        </w:rPr>
        <w:t>ERF</w:t>
      </w:r>
      <w:r w:rsidRPr="00400193">
        <w:rPr>
          <w:lang w:eastAsia="zh-CN" w:bidi="hi-IN"/>
        </w:rPr>
        <w:t xml:space="preserve">, and the internal threats as </w:t>
      </w:r>
      <w:r w:rsidR="00DD07A5" w:rsidRPr="00400193">
        <w:rPr>
          <w:lang w:eastAsia="zh-CN" w:bidi="hi-IN"/>
        </w:rPr>
        <w:t>IRF</w:t>
      </w:r>
      <w:r w:rsidRPr="00400193">
        <w:rPr>
          <w:lang w:eastAsia="zh-CN" w:bidi="hi-IN"/>
        </w:rPr>
        <w:t xml:space="preserve">. The relationship between both </w:t>
      </w:r>
      <w:r w:rsidR="00DD07A5" w:rsidRPr="00400193">
        <w:rPr>
          <w:lang w:eastAsia="zh-CN" w:bidi="hi-IN"/>
        </w:rPr>
        <w:t>ERF</w:t>
      </w:r>
      <w:r w:rsidRPr="00400193">
        <w:rPr>
          <w:lang w:eastAsia="zh-CN" w:bidi="hi-IN"/>
        </w:rPr>
        <w:t xml:space="preserve"> and </w:t>
      </w:r>
      <w:r w:rsidR="00DD07A5" w:rsidRPr="00400193">
        <w:rPr>
          <w:lang w:eastAsia="zh-CN" w:bidi="hi-IN"/>
        </w:rPr>
        <w:t>IRF</w:t>
      </w:r>
      <w:r w:rsidRPr="00400193">
        <w:rPr>
          <w:lang w:eastAsia="zh-CN" w:bidi="hi-IN"/>
        </w:rPr>
        <w:t xml:space="preserve"> with having a response in place, and organisation resilience was then examined. Several methods were used to test the causes of variations among the variables, assuming a linear form of relations by applying the following model equations:</w:t>
      </w:r>
    </w:p>
    <w:p w14:paraId="4C2D4A1D" w14:textId="77777777" w:rsidR="006E3616" w:rsidRPr="00400193" w:rsidRDefault="006E3616" w:rsidP="006E3616">
      <w:pPr>
        <w:pStyle w:val="Caption"/>
        <w:keepNext/>
        <w:spacing w:line="360" w:lineRule="auto"/>
      </w:pPr>
      <w:bookmarkStart w:id="566" w:name="_Ref43826609"/>
      <w:bookmarkStart w:id="567" w:name="_Toc43897347"/>
      <w:r w:rsidRPr="00400193">
        <w:t>1 – (External)</w:t>
      </w:r>
      <w:bookmarkEnd w:id="566"/>
      <w:bookmarkEnd w:id="567"/>
    </w:p>
    <w:p w14:paraId="008119D9" w14:textId="7D8930C6" w:rsidR="006E3616" w:rsidRPr="00400193" w:rsidRDefault="006E3616" w:rsidP="006E3616">
      <w:pPr>
        <w:suppressAutoHyphens/>
      </w:pPr>
      <w:bookmarkStart w:id="568" w:name="_Hlk41153641"/>
      <m:oMathPara>
        <m:oMathParaPr>
          <m:jc m:val="left"/>
        </m:oMathParaPr>
        <m:oMath>
          <m:r>
            <w:rPr>
              <w:rFonts w:ascii="Cambria Math" w:hAnsi="Cambria Math" w:cs="Times New Roman"/>
            </w:rPr>
            <m:t>VW=</m:t>
          </m:r>
          <m:r>
            <m:rPr>
              <m:nor/>
            </m:rPr>
            <w:rPr>
              <w:rFonts w:ascii="Cambria Math" w:hAnsi="Cambria Math" w:cs="Times New Roman"/>
              <w:i/>
              <w:iCs/>
            </w:rPr>
            <m:t>ERF</m:t>
          </m:r>
        </m:oMath>
      </m:oMathPara>
      <w:bookmarkEnd w:id="568"/>
    </w:p>
    <w:p w14:paraId="73C94F1A" w14:textId="77777777" w:rsidR="006E3616" w:rsidRPr="00400193" w:rsidRDefault="006E3616" w:rsidP="006E3616">
      <w:pPr>
        <w:pStyle w:val="Caption"/>
        <w:keepNext/>
        <w:spacing w:line="360" w:lineRule="auto"/>
      </w:pPr>
      <w:bookmarkStart w:id="569" w:name="_1nia2ey"/>
      <w:bookmarkStart w:id="570" w:name="_47hxl2r"/>
      <w:bookmarkStart w:id="571" w:name="_Ref43826841"/>
      <w:bookmarkStart w:id="572" w:name="_Toc43897348"/>
      <w:bookmarkEnd w:id="569"/>
      <w:bookmarkEnd w:id="570"/>
      <w:r w:rsidRPr="00400193">
        <w:t>2 – (Internal)</w:t>
      </w:r>
      <w:bookmarkEnd w:id="571"/>
      <w:bookmarkEnd w:id="572"/>
    </w:p>
    <w:p w14:paraId="0CEC9E46" w14:textId="6303968A" w:rsidR="006E3616" w:rsidRPr="00400193" w:rsidRDefault="006E3616" w:rsidP="006E3616">
      <w:pPr>
        <w:suppressAutoHyphens/>
      </w:pPr>
      <w:bookmarkStart w:id="573" w:name="_Hlk42946879"/>
      <m:oMathPara>
        <m:oMathParaPr>
          <m:jc m:val="left"/>
        </m:oMathParaPr>
        <m:oMath>
          <m:r>
            <w:rPr>
              <w:rFonts w:ascii="Cambria Math" w:hAnsi="Cambria Math" w:cs="Times New Roman"/>
            </w:rPr>
            <m:t>VW=</m:t>
          </m:r>
          <m:r>
            <m:rPr>
              <m:nor/>
            </m:rPr>
            <w:rPr>
              <w:rFonts w:ascii="Cambria Math" w:hAnsi="Cambria Math" w:cs="Times New Roman"/>
              <w:i/>
              <w:iCs/>
            </w:rPr>
            <m:t>IRF</m:t>
          </m:r>
        </m:oMath>
      </m:oMathPara>
      <w:bookmarkStart w:id="574" w:name="_2mn7vak"/>
      <w:bookmarkEnd w:id="573"/>
      <w:bookmarkEnd w:id="574"/>
    </w:p>
    <w:p w14:paraId="6C808BD0" w14:textId="77777777" w:rsidR="006E3616" w:rsidRPr="00400193" w:rsidRDefault="006E3616" w:rsidP="006E3616">
      <w:pPr>
        <w:pStyle w:val="Caption"/>
        <w:keepNext/>
        <w:spacing w:line="360" w:lineRule="auto"/>
      </w:pPr>
      <w:bookmarkStart w:id="575" w:name="_Ref43827241"/>
      <w:bookmarkStart w:id="576" w:name="_Toc43897350"/>
      <w:r w:rsidRPr="00400193">
        <w:lastRenderedPageBreak/>
        <w:t>3 – (Response in Place)</w:t>
      </w:r>
      <w:bookmarkEnd w:id="575"/>
      <w:bookmarkEnd w:id="576"/>
    </w:p>
    <w:p w14:paraId="1A80A719" w14:textId="77777777" w:rsidR="006E3616" w:rsidRPr="00400193" w:rsidRDefault="006E3616" w:rsidP="006E3616">
      <w:pPr>
        <w:suppressAutoHyphens/>
      </w:pPr>
      <w:bookmarkStart w:id="577" w:name="_Hlk42948371"/>
      <m:oMathPara>
        <m:oMathParaPr>
          <m:jc m:val="left"/>
        </m:oMathParaPr>
        <m:oMath>
          <m:r>
            <w:rPr>
              <w:rFonts w:ascii="Cambria Math" w:hAnsi="Cambria Math" w:cs="Times New Roman"/>
            </w:rPr>
            <m:t>VW=</m:t>
          </m:r>
          <m:r>
            <m:rPr>
              <m:nor/>
            </m:rPr>
            <w:rPr>
              <w:rFonts w:ascii="Cambria Math" w:hAnsi="Cambria Math" w:cs="Times New Roman"/>
              <w:i/>
              <w:iCs/>
            </w:rPr>
            <m:t>RP</m:t>
          </m:r>
        </m:oMath>
      </m:oMathPara>
      <w:bookmarkEnd w:id="577"/>
    </w:p>
    <w:p w14:paraId="5497195C" w14:textId="77777777" w:rsidR="006E3616" w:rsidRPr="00400193" w:rsidRDefault="006E3616" w:rsidP="006E3616">
      <w:pPr>
        <w:pStyle w:val="Caption"/>
        <w:keepNext/>
        <w:spacing w:line="360" w:lineRule="auto"/>
      </w:pPr>
      <w:bookmarkStart w:id="578" w:name="_Ref43827332"/>
      <w:bookmarkStart w:id="579" w:name="_Toc43897351"/>
      <w:r w:rsidRPr="00400193">
        <w:t>4 – (Organisational Resilience)</w:t>
      </w:r>
      <w:bookmarkEnd w:id="578"/>
      <w:bookmarkEnd w:id="579"/>
    </w:p>
    <w:p w14:paraId="43B4CFDD" w14:textId="77777777" w:rsidR="006E3616" w:rsidRPr="00400193" w:rsidRDefault="006E3616" w:rsidP="006E3616">
      <w:pPr>
        <w:suppressAutoHyphens/>
      </w:pPr>
      <m:oMathPara>
        <m:oMathParaPr>
          <m:jc m:val="left"/>
        </m:oMathParaPr>
        <m:oMath>
          <m:r>
            <w:rPr>
              <w:rFonts w:ascii="Cambria Math" w:hAnsi="Cambria Math" w:cs="Times New Roman"/>
            </w:rPr>
            <m:t>VW=</m:t>
          </m:r>
          <m:r>
            <m:rPr>
              <m:nor/>
            </m:rPr>
            <w:rPr>
              <w:rFonts w:ascii="Cambria Math" w:hAnsi="Cambria Math" w:cs="Times New Roman"/>
              <w:i/>
              <w:iCs/>
            </w:rPr>
            <m:t xml:space="preserve">OR </m:t>
          </m:r>
        </m:oMath>
      </m:oMathPara>
    </w:p>
    <w:p w14:paraId="0A972B47" w14:textId="77777777" w:rsidR="006E3616" w:rsidRPr="00400193" w:rsidRDefault="006E3616" w:rsidP="006E3616">
      <w:pPr>
        <w:pStyle w:val="Caption"/>
        <w:keepNext/>
        <w:spacing w:line="360" w:lineRule="auto"/>
      </w:pPr>
      <w:bookmarkStart w:id="580" w:name="_Ref43827862"/>
      <w:bookmarkStart w:id="581" w:name="_Toc43897352"/>
      <w:r w:rsidRPr="00400193">
        <w:t>5 – (Internal + Organisational Resilience)</w:t>
      </w:r>
      <w:bookmarkEnd w:id="580"/>
      <w:bookmarkEnd w:id="581"/>
    </w:p>
    <w:p w14:paraId="6463FC09" w14:textId="2B7B09D2" w:rsidR="006E3616" w:rsidRPr="00400193" w:rsidRDefault="006E3616" w:rsidP="006E3616">
      <w:pPr>
        <w:suppressAutoHyphens/>
      </w:pPr>
      <m:oMathPara>
        <m:oMathParaPr>
          <m:jc m:val="left"/>
        </m:oMathParaPr>
        <m:oMath>
          <m:r>
            <w:rPr>
              <w:rFonts w:ascii="Cambria Math" w:hAnsi="Cambria Math" w:cs="Times New Roman"/>
            </w:rPr>
            <m:t>VW=</m:t>
          </m:r>
          <m:r>
            <m:rPr>
              <m:nor/>
            </m:rPr>
            <w:rPr>
              <w:rFonts w:ascii="Cambria Math" w:hAnsi="Cambria Math" w:cs="Times New Roman"/>
              <w:i/>
              <w:iCs/>
            </w:rPr>
            <m:t>IRF +OR</m:t>
          </m:r>
          <m:r>
            <w:rPr>
              <w:rFonts w:ascii="Cambria Math" w:hAnsi="Cambria Math" w:cs="Times New Roman"/>
            </w:rPr>
            <m:t xml:space="preserve"> </m:t>
          </m:r>
        </m:oMath>
      </m:oMathPara>
    </w:p>
    <w:p w14:paraId="6AC8DCC7" w14:textId="77777777" w:rsidR="006E3616" w:rsidRPr="00400193" w:rsidRDefault="006E3616" w:rsidP="006E3616">
      <w:pPr>
        <w:pStyle w:val="Caption"/>
        <w:keepNext/>
        <w:spacing w:line="360" w:lineRule="auto"/>
      </w:pPr>
      <w:bookmarkStart w:id="582" w:name="_Ref43827559"/>
      <w:bookmarkStart w:id="583" w:name="_Toc43897353"/>
      <w:r w:rsidRPr="00400193">
        <w:t>6 – (External + Organisational Resilience)</w:t>
      </w:r>
      <w:bookmarkEnd w:id="582"/>
      <w:bookmarkEnd w:id="583"/>
    </w:p>
    <w:p w14:paraId="36CAB3A2" w14:textId="5DCE614A" w:rsidR="006E3616" w:rsidRPr="00400193" w:rsidRDefault="006E3616" w:rsidP="006E3616">
      <w:pPr>
        <w:suppressAutoHyphens/>
      </w:pPr>
      <m:oMathPara>
        <m:oMathParaPr>
          <m:jc m:val="left"/>
        </m:oMathParaPr>
        <m:oMath>
          <m:r>
            <w:rPr>
              <w:rFonts w:ascii="Cambria Math" w:hAnsi="Cambria Math" w:cs="Times New Roman"/>
            </w:rPr>
            <m:t>VW=</m:t>
          </m:r>
          <m:r>
            <m:rPr>
              <m:nor/>
            </m:rPr>
            <w:rPr>
              <w:rFonts w:ascii="Cambria Math" w:hAnsi="Cambria Math" w:cs="Times New Roman"/>
              <w:i/>
              <w:iCs/>
            </w:rPr>
            <m:t>ERF +OR</m:t>
          </m:r>
        </m:oMath>
      </m:oMathPara>
    </w:p>
    <w:p w14:paraId="195A12B7" w14:textId="77777777" w:rsidR="006E3616" w:rsidRPr="00400193" w:rsidRDefault="006E3616" w:rsidP="006E3616">
      <w:pPr>
        <w:pStyle w:val="Caption"/>
        <w:keepNext/>
        <w:spacing w:line="360" w:lineRule="auto"/>
      </w:pPr>
      <w:bookmarkStart w:id="584" w:name="_Ref43827680"/>
      <w:bookmarkStart w:id="585" w:name="_Toc43897354"/>
      <w:r w:rsidRPr="00400193">
        <w:t>7 – (Internal + Response in Place)</w:t>
      </w:r>
      <w:bookmarkEnd w:id="584"/>
      <w:bookmarkEnd w:id="585"/>
    </w:p>
    <w:p w14:paraId="2F8CA72F" w14:textId="3D3DAE2E" w:rsidR="006E3616" w:rsidRPr="00400193" w:rsidRDefault="006E3616" w:rsidP="006E3616">
      <w:pPr>
        <w:suppressAutoHyphens/>
      </w:pPr>
      <m:oMathPara>
        <m:oMathParaPr>
          <m:jc m:val="left"/>
        </m:oMathParaPr>
        <m:oMath>
          <m:r>
            <w:rPr>
              <w:rFonts w:ascii="Cambria Math" w:hAnsi="Cambria Math" w:cs="Times New Roman"/>
            </w:rPr>
            <m:t>VW=</m:t>
          </m:r>
          <m:r>
            <m:rPr>
              <m:nor/>
            </m:rPr>
            <w:rPr>
              <w:rFonts w:ascii="Cambria Math" w:hAnsi="Cambria Math" w:cs="Times New Roman"/>
              <w:i/>
              <w:iCs/>
            </w:rPr>
            <m:t>IRF +RP</m:t>
          </m:r>
          <m:r>
            <w:rPr>
              <w:rFonts w:ascii="Cambria Math" w:hAnsi="Cambria Math" w:cs="Times New Roman"/>
            </w:rPr>
            <m:t xml:space="preserve"> </m:t>
          </m:r>
        </m:oMath>
      </m:oMathPara>
    </w:p>
    <w:p w14:paraId="41F69276" w14:textId="77777777" w:rsidR="006E3616" w:rsidRPr="00400193" w:rsidRDefault="006E3616" w:rsidP="006E3616">
      <w:pPr>
        <w:pStyle w:val="Caption"/>
        <w:keepNext/>
        <w:spacing w:line="360" w:lineRule="auto"/>
      </w:pPr>
      <w:bookmarkStart w:id="586" w:name="_Ref43827440"/>
      <w:bookmarkStart w:id="587" w:name="_Toc43897355"/>
      <w:r w:rsidRPr="00400193">
        <w:t>8 – (External + Response in Place)</w:t>
      </w:r>
      <w:bookmarkEnd w:id="586"/>
      <w:bookmarkEnd w:id="587"/>
    </w:p>
    <w:p w14:paraId="2B5D9149" w14:textId="63C8D35A" w:rsidR="006E3616" w:rsidRPr="00400193" w:rsidRDefault="006E3616" w:rsidP="006E3616">
      <w:pPr>
        <w:suppressAutoHyphens/>
      </w:pPr>
      <m:oMathPara>
        <m:oMathParaPr>
          <m:jc m:val="left"/>
        </m:oMathParaPr>
        <m:oMath>
          <m:r>
            <w:rPr>
              <w:rFonts w:ascii="Cambria Math" w:hAnsi="Cambria Math" w:cs="Times New Roman"/>
            </w:rPr>
            <m:t>VW=</m:t>
          </m:r>
          <m:r>
            <m:rPr>
              <m:nor/>
            </m:rPr>
            <w:rPr>
              <w:rFonts w:ascii="Cambria Math" w:hAnsi="Cambria Math" w:cs="Times New Roman"/>
              <w:i/>
              <w:iCs/>
            </w:rPr>
            <m:t>ERF +RP</m:t>
          </m:r>
          <m:r>
            <w:rPr>
              <w:rFonts w:ascii="Cambria Math" w:hAnsi="Cambria Math" w:cs="Times New Roman"/>
            </w:rPr>
            <m:t xml:space="preserve"> </m:t>
          </m:r>
        </m:oMath>
      </m:oMathPara>
    </w:p>
    <w:p w14:paraId="3F9B5DE2" w14:textId="77777777" w:rsidR="006E3616" w:rsidRPr="00400193" w:rsidRDefault="006E3616" w:rsidP="006E3616">
      <w:pPr>
        <w:pStyle w:val="Caption"/>
        <w:keepNext/>
        <w:spacing w:line="360" w:lineRule="auto"/>
      </w:pPr>
      <w:bookmarkStart w:id="588" w:name="_Ref43828014"/>
      <w:bookmarkStart w:id="589" w:name="_Toc43897356"/>
      <w:r w:rsidRPr="00400193">
        <w:t>9 – (External + Proportionate Response)</w:t>
      </w:r>
      <w:bookmarkEnd w:id="588"/>
      <w:bookmarkEnd w:id="589"/>
    </w:p>
    <w:p w14:paraId="466D8210" w14:textId="0CC1C2A2" w:rsidR="006E3616" w:rsidRPr="00400193" w:rsidRDefault="006E3616" w:rsidP="006E3616">
      <w:pPr>
        <w:suppressAutoHyphens/>
      </w:pPr>
      <m:oMathPara>
        <m:oMathParaPr>
          <m:jc m:val="left"/>
        </m:oMathParaPr>
        <m:oMath>
          <m:r>
            <w:rPr>
              <w:rFonts w:ascii="Cambria Math" w:hAnsi="Cambria Math" w:cs="Times New Roman"/>
            </w:rPr>
            <m:t>Regression VW=</m:t>
          </m:r>
          <m:r>
            <m:rPr>
              <m:nor/>
            </m:rPr>
            <w:rPr>
              <w:rFonts w:ascii="Cambria Math" w:hAnsi="Cambria Math" w:cs="Times New Roman"/>
              <w:i/>
              <w:iCs/>
            </w:rPr>
            <m:t>ERF +RP+(RP*ERF)</m:t>
          </m:r>
        </m:oMath>
      </m:oMathPara>
    </w:p>
    <w:p w14:paraId="72238D48" w14:textId="77777777" w:rsidR="006E3616" w:rsidRPr="00400193" w:rsidRDefault="006E3616" w:rsidP="006E3616">
      <w:pPr>
        <w:pStyle w:val="Caption"/>
        <w:keepNext/>
        <w:spacing w:line="360" w:lineRule="auto"/>
      </w:pPr>
      <w:bookmarkStart w:id="590" w:name="_Toc43897357"/>
      <w:r w:rsidRPr="00400193">
        <w:t>10 – (Internal + Proportionate Response)</w:t>
      </w:r>
      <w:bookmarkEnd w:id="590"/>
    </w:p>
    <w:p w14:paraId="58EFEB75" w14:textId="3886D4C9" w:rsidR="006E3616" w:rsidRPr="00400193" w:rsidRDefault="006E3616" w:rsidP="006E3616">
      <w:pPr>
        <w:suppressAutoHyphens/>
      </w:pPr>
      <m:oMathPara>
        <m:oMathParaPr>
          <m:jc m:val="left"/>
        </m:oMathParaPr>
        <m:oMath>
          <m:r>
            <w:rPr>
              <w:rFonts w:ascii="Cambria Math" w:hAnsi="Cambria Math" w:cs="Times New Roman"/>
            </w:rPr>
            <m:t>Regression VW=</m:t>
          </m:r>
          <m:r>
            <m:rPr>
              <m:nor/>
            </m:rPr>
            <w:rPr>
              <w:rFonts w:ascii="Cambria Math" w:hAnsi="Cambria Math" w:cs="Times New Roman"/>
              <w:i/>
              <w:iCs/>
            </w:rPr>
            <m:t>IRF +RP+(RP*IRF)</m:t>
          </m:r>
        </m:oMath>
      </m:oMathPara>
    </w:p>
    <w:p w14:paraId="0728BB5A" w14:textId="77777777" w:rsidR="006E3616" w:rsidRPr="00400193" w:rsidRDefault="006E3616" w:rsidP="006E3616">
      <w:pPr>
        <w:pStyle w:val="Caption"/>
        <w:keepNext/>
        <w:spacing w:line="360" w:lineRule="auto"/>
      </w:pPr>
      <w:bookmarkStart w:id="591" w:name="_Ref43828794"/>
      <w:bookmarkStart w:id="592" w:name="_Toc43897358"/>
      <w:r w:rsidRPr="00400193">
        <w:t>11– (External + Proportionate Organisational Resilience)</w:t>
      </w:r>
      <w:bookmarkEnd w:id="591"/>
      <w:bookmarkEnd w:id="592"/>
    </w:p>
    <w:p w14:paraId="40A828FD" w14:textId="631022B9" w:rsidR="006E3616" w:rsidRPr="00400193" w:rsidRDefault="006E3616" w:rsidP="006E3616">
      <w:pPr>
        <w:suppressAutoHyphens/>
      </w:pPr>
      <m:oMathPara>
        <m:oMathParaPr>
          <m:jc m:val="left"/>
        </m:oMathParaPr>
        <m:oMath>
          <m:r>
            <w:rPr>
              <w:rFonts w:ascii="Cambria Math" w:hAnsi="Cambria Math" w:cs="Times New Roman"/>
            </w:rPr>
            <m:t>Regression VW=</m:t>
          </m:r>
          <m:r>
            <m:rPr>
              <m:nor/>
            </m:rPr>
            <w:rPr>
              <w:rFonts w:ascii="Cambria Math" w:hAnsi="Cambria Math" w:cs="Times New Roman"/>
              <w:i/>
              <w:iCs/>
            </w:rPr>
            <m:t>ERF +OR+(ORe*ERF)</m:t>
          </m:r>
        </m:oMath>
      </m:oMathPara>
    </w:p>
    <w:p w14:paraId="0E393BB8" w14:textId="77777777" w:rsidR="006E3616" w:rsidRPr="00400193" w:rsidRDefault="006E3616" w:rsidP="006E3616">
      <w:pPr>
        <w:pStyle w:val="Caption"/>
        <w:keepNext/>
        <w:spacing w:line="360" w:lineRule="auto"/>
      </w:pPr>
      <w:bookmarkStart w:id="593" w:name="_Ref43828902"/>
      <w:bookmarkStart w:id="594" w:name="_Toc43897359"/>
      <w:r w:rsidRPr="00400193">
        <w:t>12 – (Internal + Proportionate Organisational Resilience)</w:t>
      </w:r>
      <w:bookmarkEnd w:id="593"/>
      <w:bookmarkEnd w:id="594"/>
    </w:p>
    <w:p w14:paraId="44B4B219" w14:textId="578D252C" w:rsidR="006E3616" w:rsidRPr="00400193" w:rsidRDefault="006E3616" w:rsidP="006E3616">
      <w:pPr>
        <w:suppressAutoHyphens/>
      </w:pPr>
      <m:oMathPara>
        <m:oMathParaPr>
          <m:jc m:val="left"/>
        </m:oMathParaPr>
        <m:oMath>
          <m:r>
            <w:rPr>
              <w:rFonts w:ascii="Cambria Math" w:hAnsi="Cambria Math" w:cs="Times New Roman"/>
            </w:rPr>
            <m:t>Regression VW=</m:t>
          </m:r>
          <m:r>
            <m:rPr>
              <m:nor/>
            </m:rPr>
            <w:rPr>
              <w:rFonts w:ascii="Cambria Math" w:hAnsi="Cambria Math" w:cs="Times New Roman"/>
              <w:i/>
              <w:iCs/>
            </w:rPr>
            <m:t>IRF +OR+(OR*IRF)</m:t>
          </m:r>
          <m:r>
            <w:rPr>
              <w:rFonts w:ascii="Cambria Math" w:hAnsi="Cambria Math" w:cs="Times New Roman"/>
            </w:rPr>
            <m:t xml:space="preserve"> </m:t>
          </m:r>
        </m:oMath>
      </m:oMathPara>
    </w:p>
    <w:p w14:paraId="0DEEAAF6" w14:textId="77777777" w:rsidR="006E3616" w:rsidRPr="00400193" w:rsidRDefault="006E3616" w:rsidP="006E3616">
      <w:pPr>
        <w:spacing w:after="0" w:line="240" w:lineRule="auto"/>
        <w:jc w:val="center"/>
        <w:rPr>
          <w:lang w:eastAsia="zh-CN" w:bidi="hi-IN"/>
        </w:rPr>
      </w:pPr>
      <w:r w:rsidRPr="00400193">
        <w:rPr>
          <w:noProof/>
          <w:lang w:val="en-US"/>
        </w:rPr>
        <w:lastRenderedPageBreak/>
        <w:drawing>
          <wp:inline distT="0" distB="0" distL="0" distR="0" wp14:anchorId="2628BEF0" wp14:editId="78643E8B">
            <wp:extent cx="5760000" cy="5400000"/>
            <wp:effectExtent l="19050" t="19050" r="12700" b="10795"/>
            <wp:docPr id="399"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60000" cy="5400000"/>
                    </a:xfrm>
                    <a:prstGeom prst="rect">
                      <a:avLst/>
                    </a:prstGeom>
                    <a:noFill/>
                    <a:ln w="19050">
                      <a:solidFill>
                        <a:schemeClr val="tx1"/>
                      </a:solidFill>
                    </a:ln>
                  </pic:spPr>
                </pic:pic>
              </a:graphicData>
            </a:graphic>
          </wp:inline>
        </w:drawing>
      </w:r>
    </w:p>
    <w:p w14:paraId="18215D7C" w14:textId="00308F12" w:rsidR="006E3616" w:rsidRPr="00400193" w:rsidRDefault="006E3616" w:rsidP="006E3616">
      <w:pPr>
        <w:pStyle w:val="Caption"/>
        <w:rPr>
          <w:lang w:eastAsia="zh-CN" w:bidi="hi-IN"/>
        </w:rPr>
      </w:pPr>
      <w:bookmarkStart w:id="595" w:name="_Ref43256925"/>
      <w:bookmarkStart w:id="596" w:name="_Toc55387592"/>
      <w:r w:rsidRPr="00400193">
        <w:rPr>
          <w:lang w:eastAsia="zh-CN" w:bidi="hi-IN"/>
        </w:rPr>
        <w:t xml:space="preserve">Figure </w:t>
      </w:r>
      <w:r w:rsidR="00E35E8C" w:rsidRPr="00400193">
        <w:rPr>
          <w:lang w:eastAsia="zh-CN" w:bidi="hi-IN"/>
        </w:rPr>
        <w:fldChar w:fldCharType="begin"/>
      </w:r>
      <w:r w:rsidR="00E35E8C" w:rsidRPr="00400193">
        <w:rPr>
          <w:lang w:eastAsia="zh-CN" w:bidi="hi-IN"/>
        </w:rPr>
        <w:instrText xml:space="preserve"> STYLEREF 1 \s </w:instrText>
      </w:r>
      <w:r w:rsidR="00E35E8C" w:rsidRPr="00400193">
        <w:rPr>
          <w:lang w:eastAsia="zh-CN" w:bidi="hi-IN"/>
        </w:rPr>
        <w:fldChar w:fldCharType="separate"/>
      </w:r>
      <w:r w:rsidR="00BB7C18">
        <w:rPr>
          <w:noProof/>
          <w:cs/>
          <w:lang w:eastAsia="zh-CN" w:bidi="hi-IN"/>
        </w:rPr>
        <w:t>‎</w:t>
      </w:r>
      <w:r w:rsidR="00BB7C18">
        <w:rPr>
          <w:noProof/>
          <w:lang w:eastAsia="zh-CN" w:bidi="hi-IN"/>
        </w:rPr>
        <w:t>5</w:t>
      </w:r>
      <w:r w:rsidR="00E35E8C" w:rsidRPr="00400193">
        <w:rPr>
          <w:lang w:eastAsia="zh-CN" w:bidi="hi-IN"/>
        </w:rPr>
        <w:fldChar w:fldCharType="end"/>
      </w:r>
      <w:r w:rsidR="00E35E8C" w:rsidRPr="00400193">
        <w:rPr>
          <w:lang w:eastAsia="zh-CN" w:bidi="hi-IN"/>
        </w:rPr>
        <w:noBreakHyphen/>
      </w:r>
      <w:r w:rsidR="00E35E8C" w:rsidRPr="00400193">
        <w:rPr>
          <w:lang w:eastAsia="zh-CN" w:bidi="hi-IN"/>
        </w:rPr>
        <w:fldChar w:fldCharType="begin"/>
      </w:r>
      <w:r w:rsidR="00E35E8C" w:rsidRPr="00400193">
        <w:rPr>
          <w:lang w:eastAsia="zh-CN" w:bidi="hi-IN"/>
        </w:rPr>
        <w:instrText xml:space="preserve"> SEQ Figure \* ARABIC \s 1 </w:instrText>
      </w:r>
      <w:r w:rsidR="00E35E8C" w:rsidRPr="00400193">
        <w:rPr>
          <w:lang w:eastAsia="zh-CN" w:bidi="hi-IN"/>
        </w:rPr>
        <w:fldChar w:fldCharType="separate"/>
      </w:r>
      <w:r w:rsidR="00BB7C18">
        <w:rPr>
          <w:noProof/>
          <w:lang w:eastAsia="zh-CN" w:bidi="hi-IN"/>
        </w:rPr>
        <w:t>14</w:t>
      </w:r>
      <w:r w:rsidR="00E35E8C" w:rsidRPr="00400193">
        <w:rPr>
          <w:lang w:eastAsia="zh-CN" w:bidi="hi-IN"/>
        </w:rPr>
        <w:fldChar w:fldCharType="end"/>
      </w:r>
      <w:bookmarkEnd w:id="595"/>
      <w:r w:rsidRPr="00400193">
        <w:rPr>
          <w:lang w:eastAsia="zh-CN" w:bidi="hi-IN"/>
        </w:rPr>
        <w:t>: Overall structure of the analysis model</w:t>
      </w:r>
      <w:bookmarkEnd w:id="596"/>
    </w:p>
    <w:p w14:paraId="530C27C7" w14:textId="77777777" w:rsidR="006E3616" w:rsidRPr="00400193" w:rsidRDefault="006E3616" w:rsidP="006E3616">
      <w:pPr>
        <w:rPr>
          <w:lang w:eastAsia="zh-CN" w:bidi="hi-IN"/>
        </w:rPr>
      </w:pPr>
    </w:p>
    <w:p w14:paraId="145ECCF2" w14:textId="77777777" w:rsidR="006E3616" w:rsidRPr="00400193" w:rsidRDefault="006E3616" w:rsidP="006E3616">
      <w:pPr>
        <w:pStyle w:val="Heading3"/>
        <w:rPr>
          <w:lang w:eastAsia="zh-CN" w:bidi="hi-IN"/>
        </w:rPr>
      </w:pPr>
      <w:bookmarkStart w:id="597" w:name="_Toc61894767"/>
      <w:r w:rsidRPr="00400193">
        <w:rPr>
          <w:lang w:eastAsia="zh-CN" w:bidi="hi-IN"/>
        </w:rPr>
        <w:t>The Relationship Between Vulnerabilities and Weaknesses and External Threats</w:t>
      </w:r>
      <w:bookmarkEnd w:id="597"/>
      <w:r w:rsidRPr="00400193">
        <w:rPr>
          <w:lang w:eastAsia="zh-CN" w:bidi="hi-IN"/>
        </w:rPr>
        <w:t xml:space="preserve"> </w:t>
      </w:r>
    </w:p>
    <w:p w14:paraId="13E9169D" w14:textId="72E6BEB7" w:rsidR="006E3616" w:rsidRPr="00400193" w:rsidRDefault="006E3616" w:rsidP="006E3616">
      <w:pPr>
        <w:spacing w:line="240" w:lineRule="auto"/>
        <w:rPr>
          <w:lang w:eastAsia="zh-CN" w:bidi="hi-IN"/>
        </w:rPr>
      </w:pPr>
      <w:r w:rsidRPr="00400193">
        <w:rPr>
          <w:i/>
          <w:iCs/>
          <w:lang w:eastAsia="zh-CN" w:bidi="hi-IN"/>
        </w:rPr>
        <w:fldChar w:fldCharType="begin"/>
      </w:r>
      <w:r w:rsidRPr="00400193">
        <w:rPr>
          <w:i/>
          <w:iCs/>
          <w:lang w:eastAsia="zh-CN" w:bidi="hi-IN"/>
        </w:rPr>
        <w:instrText xml:space="preserve"> REF _Ref43826609 \h </w:instrText>
      </w:r>
      <w:r w:rsidRPr="00400193">
        <w:rPr>
          <w:i/>
          <w:iCs/>
          <w:lang w:eastAsia="zh-CN" w:bidi="hi-IN"/>
        </w:rPr>
      </w:r>
      <w:r w:rsidRPr="00400193">
        <w:rPr>
          <w:i/>
          <w:iCs/>
          <w:lang w:eastAsia="zh-CN" w:bidi="hi-IN"/>
        </w:rPr>
        <w:fldChar w:fldCharType="separate"/>
      </w:r>
      <w:r w:rsidR="00BB7C18" w:rsidRPr="00400193">
        <w:t>1 – (External)</w:t>
      </w:r>
      <w:r w:rsidRPr="00400193">
        <w:rPr>
          <w:i/>
          <w:iCs/>
          <w:lang w:eastAsia="zh-CN" w:bidi="hi-IN"/>
        </w:rPr>
        <w:fldChar w:fldCharType="end"/>
      </w:r>
      <w:r w:rsidRPr="00400193">
        <w:rPr>
          <w:i/>
          <w:iCs/>
          <w:lang w:eastAsia="zh-CN" w:bidi="hi-IN"/>
        </w:rPr>
        <w:t xml:space="preserve"> VW = </w:t>
      </w:r>
      <w:r w:rsidR="00DD07A5" w:rsidRPr="00400193">
        <w:rPr>
          <w:i/>
          <w:iCs/>
          <w:lang w:eastAsia="zh-CN" w:bidi="hi-IN"/>
        </w:rPr>
        <w:t>ERF</w:t>
      </w:r>
    </w:p>
    <w:p w14:paraId="70154F70" w14:textId="76EBB77B" w:rsidR="006E3616" w:rsidRPr="00400193" w:rsidRDefault="006E3616" w:rsidP="006E3616">
      <w:pPr>
        <w:rPr>
          <w:lang w:eastAsia="zh-CN" w:bidi="hi-IN"/>
        </w:rPr>
      </w:pPr>
      <w:r w:rsidRPr="00400193">
        <w:rPr>
          <w:lang w:eastAsia="zh-CN" w:bidi="hi-IN"/>
        </w:rPr>
        <w:t xml:space="preserve">In </w:t>
      </w:r>
      <w:r w:rsidRPr="00400193">
        <w:rPr>
          <w:lang w:eastAsia="zh-CN" w:bidi="hi-IN"/>
        </w:rPr>
        <w:fldChar w:fldCharType="begin"/>
      </w:r>
      <w:r w:rsidRPr="00400193">
        <w:rPr>
          <w:lang w:eastAsia="zh-CN" w:bidi="hi-IN"/>
        </w:rPr>
        <w:instrText xml:space="preserve"> REF _Ref43257609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55</w:t>
      </w:r>
      <w:r w:rsidRPr="00400193">
        <w:rPr>
          <w:lang w:eastAsia="zh-CN" w:bidi="hi-IN"/>
        </w:rPr>
        <w:fldChar w:fldCharType="end"/>
      </w:r>
      <w:r w:rsidRPr="00400193">
        <w:rPr>
          <w:lang w:eastAsia="zh-CN" w:bidi="hi-IN"/>
        </w:rPr>
        <w:t>, the R (multiple correlation coefficients) value of 0.659 shows a good level of prediction. The R-square (coefficient of determination) value of 0.434 suggests that 43.4% of the variance in vulnerabilities and weaknesses in the UAE public sector organisations can be predicted by external threats such as cyber-attack, hacktivism, phishing, financial fraud, and criminal acts. It shows that there is a strong relationship between vulnerabilities and weaknesses in the UAE public sector organisations and the predictor variables (</w:t>
      </w:r>
      <w:r w:rsidR="00DD07A5" w:rsidRPr="00400193">
        <w:rPr>
          <w:lang w:eastAsia="zh-CN" w:bidi="hi-IN"/>
        </w:rPr>
        <w:t>ERF</w:t>
      </w:r>
      <w:r w:rsidRPr="00400193">
        <w:rPr>
          <w:lang w:eastAsia="zh-CN" w:bidi="hi-IN"/>
        </w:rPr>
        <w:t xml:space="preserve">). </w:t>
      </w:r>
    </w:p>
    <w:tbl>
      <w:tblPr>
        <w:tblW w:w="87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628"/>
        <w:gridCol w:w="798"/>
        <w:gridCol w:w="1409"/>
        <w:gridCol w:w="1418"/>
        <w:gridCol w:w="1417"/>
        <w:gridCol w:w="1134"/>
        <w:gridCol w:w="1262"/>
      </w:tblGrid>
      <w:tr w:rsidR="006E3616" w:rsidRPr="00400193" w14:paraId="13FBC6FE" w14:textId="77777777" w:rsidTr="00013AF7">
        <w:trPr>
          <w:cantSplit/>
          <w:trHeight w:val="283"/>
        </w:trPr>
        <w:tc>
          <w:tcPr>
            <w:tcW w:w="709" w:type="dxa"/>
            <w:vMerge w:val="restart"/>
            <w:tcBorders>
              <w:top w:val="nil"/>
              <w:left w:val="nil"/>
              <w:bottom w:val="nil"/>
              <w:right w:val="nil"/>
            </w:tcBorders>
            <w:shd w:val="clear" w:color="auto" w:fill="FFFFFF"/>
            <w:vAlign w:val="center"/>
          </w:tcPr>
          <w:p w14:paraId="7C9563A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lastRenderedPageBreak/>
              <w:t>Model</w:t>
            </w:r>
          </w:p>
        </w:tc>
        <w:tc>
          <w:tcPr>
            <w:tcW w:w="628" w:type="dxa"/>
            <w:vMerge w:val="restart"/>
            <w:tcBorders>
              <w:top w:val="nil"/>
              <w:left w:val="nil"/>
              <w:bottom w:val="nil"/>
              <w:right w:val="single" w:sz="8" w:space="0" w:color="E0E0E0"/>
            </w:tcBorders>
            <w:shd w:val="clear" w:color="auto" w:fill="FFFFFF"/>
            <w:vAlign w:val="center"/>
          </w:tcPr>
          <w:p w14:paraId="0A1E354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798" w:type="dxa"/>
            <w:vMerge w:val="restart"/>
            <w:tcBorders>
              <w:top w:val="nil"/>
              <w:left w:val="single" w:sz="8" w:space="0" w:color="E0E0E0"/>
              <w:bottom w:val="nil"/>
              <w:right w:val="single" w:sz="8" w:space="0" w:color="E0E0E0"/>
            </w:tcBorders>
            <w:shd w:val="clear" w:color="auto" w:fill="FFFFFF"/>
            <w:vAlign w:val="center"/>
          </w:tcPr>
          <w:p w14:paraId="43EE8C48"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409" w:type="dxa"/>
            <w:vMerge w:val="restart"/>
            <w:tcBorders>
              <w:top w:val="nil"/>
              <w:left w:val="single" w:sz="8" w:space="0" w:color="E0E0E0"/>
              <w:bottom w:val="nil"/>
              <w:right w:val="single" w:sz="8" w:space="0" w:color="E0E0E0"/>
            </w:tcBorders>
            <w:shd w:val="clear" w:color="auto" w:fill="FFFFFF"/>
            <w:vAlign w:val="center"/>
          </w:tcPr>
          <w:p w14:paraId="3188756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418" w:type="dxa"/>
            <w:vMerge w:val="restart"/>
            <w:tcBorders>
              <w:top w:val="nil"/>
              <w:left w:val="single" w:sz="8" w:space="0" w:color="E0E0E0"/>
              <w:bottom w:val="nil"/>
              <w:right w:val="single" w:sz="8" w:space="0" w:color="E0E0E0"/>
            </w:tcBorders>
            <w:shd w:val="clear" w:color="auto" w:fill="FFFFFF"/>
            <w:vAlign w:val="center"/>
          </w:tcPr>
          <w:p w14:paraId="5B0DDD8B"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3813" w:type="dxa"/>
            <w:gridSpan w:val="3"/>
            <w:tcBorders>
              <w:top w:val="nil"/>
              <w:left w:val="single" w:sz="8" w:space="0" w:color="E0E0E0"/>
              <w:bottom w:val="nil"/>
              <w:right w:val="nil"/>
            </w:tcBorders>
            <w:shd w:val="clear" w:color="auto" w:fill="FFFFFF"/>
            <w:vAlign w:val="center"/>
          </w:tcPr>
          <w:p w14:paraId="3DF8FC81"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006E5C9D" w14:textId="77777777" w:rsidTr="00013AF7">
        <w:trPr>
          <w:cantSplit/>
          <w:trHeight w:val="283"/>
        </w:trPr>
        <w:tc>
          <w:tcPr>
            <w:tcW w:w="709" w:type="dxa"/>
            <w:vMerge/>
            <w:tcBorders>
              <w:top w:val="nil"/>
              <w:left w:val="nil"/>
              <w:bottom w:val="nil"/>
              <w:right w:val="nil"/>
            </w:tcBorders>
            <w:shd w:val="clear" w:color="auto" w:fill="FFFFFF"/>
            <w:vAlign w:val="center"/>
          </w:tcPr>
          <w:p w14:paraId="3D0DC7DB"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628" w:type="dxa"/>
            <w:vMerge/>
            <w:tcBorders>
              <w:top w:val="nil"/>
              <w:left w:val="nil"/>
              <w:bottom w:val="nil"/>
              <w:right w:val="single" w:sz="8" w:space="0" w:color="E0E0E0"/>
            </w:tcBorders>
            <w:shd w:val="clear" w:color="auto" w:fill="FFFFFF"/>
            <w:vAlign w:val="center"/>
          </w:tcPr>
          <w:p w14:paraId="54B8DE4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798" w:type="dxa"/>
            <w:vMerge/>
            <w:tcBorders>
              <w:top w:val="nil"/>
              <w:left w:val="single" w:sz="8" w:space="0" w:color="E0E0E0"/>
              <w:bottom w:val="nil"/>
              <w:right w:val="single" w:sz="8" w:space="0" w:color="E0E0E0"/>
            </w:tcBorders>
            <w:shd w:val="clear" w:color="auto" w:fill="FFFFFF"/>
            <w:vAlign w:val="center"/>
          </w:tcPr>
          <w:p w14:paraId="5333E25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409" w:type="dxa"/>
            <w:vMerge/>
            <w:tcBorders>
              <w:top w:val="nil"/>
              <w:left w:val="single" w:sz="8" w:space="0" w:color="E0E0E0"/>
              <w:bottom w:val="nil"/>
              <w:right w:val="single" w:sz="8" w:space="0" w:color="E0E0E0"/>
            </w:tcBorders>
            <w:shd w:val="clear" w:color="auto" w:fill="FFFFFF"/>
            <w:vAlign w:val="center"/>
          </w:tcPr>
          <w:p w14:paraId="0880202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418" w:type="dxa"/>
            <w:vMerge/>
            <w:tcBorders>
              <w:top w:val="nil"/>
              <w:left w:val="single" w:sz="8" w:space="0" w:color="E0E0E0"/>
              <w:bottom w:val="nil"/>
              <w:right w:val="single" w:sz="8" w:space="0" w:color="E0E0E0"/>
            </w:tcBorders>
            <w:shd w:val="clear" w:color="auto" w:fill="FFFFFF"/>
            <w:vAlign w:val="center"/>
          </w:tcPr>
          <w:p w14:paraId="365EDA4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417" w:type="dxa"/>
            <w:tcBorders>
              <w:top w:val="nil"/>
              <w:left w:val="single" w:sz="8" w:space="0" w:color="E0E0E0"/>
              <w:bottom w:val="single" w:sz="8" w:space="0" w:color="152935"/>
              <w:right w:val="single" w:sz="8" w:space="0" w:color="E0E0E0"/>
            </w:tcBorders>
            <w:shd w:val="clear" w:color="auto" w:fill="FFFFFF"/>
            <w:vAlign w:val="center"/>
          </w:tcPr>
          <w:p w14:paraId="6FE99D2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1134" w:type="dxa"/>
            <w:tcBorders>
              <w:top w:val="nil"/>
              <w:left w:val="single" w:sz="8" w:space="0" w:color="E0E0E0"/>
              <w:bottom w:val="single" w:sz="8" w:space="0" w:color="152935"/>
              <w:right w:val="single" w:sz="8" w:space="0" w:color="E0E0E0"/>
            </w:tcBorders>
            <w:shd w:val="clear" w:color="auto" w:fill="FFFFFF"/>
            <w:vAlign w:val="center"/>
          </w:tcPr>
          <w:p w14:paraId="703ED18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1262" w:type="dxa"/>
            <w:tcBorders>
              <w:top w:val="nil"/>
              <w:left w:val="single" w:sz="8" w:space="0" w:color="E0E0E0"/>
              <w:bottom w:val="single" w:sz="8" w:space="0" w:color="152935"/>
              <w:right w:val="nil"/>
            </w:tcBorders>
            <w:shd w:val="clear" w:color="auto" w:fill="FFFFFF"/>
            <w:vAlign w:val="center"/>
          </w:tcPr>
          <w:p w14:paraId="34FA467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453E9FDE" w14:textId="77777777" w:rsidTr="00013AF7">
        <w:trPr>
          <w:cantSplit/>
          <w:trHeight w:val="283"/>
        </w:trPr>
        <w:tc>
          <w:tcPr>
            <w:tcW w:w="709" w:type="dxa"/>
            <w:tcBorders>
              <w:top w:val="single" w:sz="8" w:space="0" w:color="152935"/>
              <w:left w:val="nil"/>
              <w:bottom w:val="single" w:sz="8" w:space="0" w:color="152935"/>
              <w:right w:val="nil"/>
            </w:tcBorders>
            <w:shd w:val="clear" w:color="auto" w:fill="auto"/>
            <w:vAlign w:val="center"/>
          </w:tcPr>
          <w:p w14:paraId="24E39F8B"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628" w:type="dxa"/>
            <w:tcBorders>
              <w:top w:val="single" w:sz="8" w:space="0" w:color="152935"/>
              <w:left w:val="nil"/>
              <w:bottom w:val="single" w:sz="8" w:space="0" w:color="152935"/>
              <w:right w:val="single" w:sz="8" w:space="0" w:color="E0E0E0"/>
            </w:tcBorders>
            <w:shd w:val="clear" w:color="auto" w:fill="FFFFFF"/>
            <w:vAlign w:val="center"/>
          </w:tcPr>
          <w:p w14:paraId="4B6C6D4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.659</w:t>
            </w:r>
            <w:r w:rsidRPr="00400193">
              <w:rPr>
                <w:rFonts w:asciiTheme="minorHAnsi" w:hAnsiTheme="minorHAnsi" w:cstheme="minorHAnsi"/>
                <w:sz w:val="20"/>
                <w:szCs w:val="18"/>
                <w:vertAlign w:val="superscript"/>
                <w:lang w:eastAsia="zh-CN" w:bidi="hi-IN"/>
              </w:rPr>
              <w:t>a</w:t>
            </w:r>
          </w:p>
        </w:tc>
        <w:tc>
          <w:tcPr>
            <w:tcW w:w="798" w:type="dxa"/>
            <w:tcBorders>
              <w:top w:val="single" w:sz="8" w:space="0" w:color="152935"/>
              <w:left w:val="single" w:sz="8" w:space="0" w:color="E0E0E0"/>
              <w:bottom w:val="single" w:sz="8" w:space="0" w:color="152935"/>
              <w:right w:val="single" w:sz="8" w:space="0" w:color="E0E0E0"/>
            </w:tcBorders>
            <w:shd w:val="clear" w:color="auto" w:fill="FFFFFF"/>
            <w:vAlign w:val="center"/>
          </w:tcPr>
          <w:p w14:paraId="19A9946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.434</w:t>
            </w:r>
          </w:p>
        </w:tc>
        <w:tc>
          <w:tcPr>
            <w:tcW w:w="1409" w:type="dxa"/>
            <w:tcBorders>
              <w:top w:val="single" w:sz="8" w:space="0" w:color="152935"/>
              <w:left w:val="single" w:sz="8" w:space="0" w:color="E0E0E0"/>
              <w:bottom w:val="single" w:sz="8" w:space="0" w:color="152935"/>
              <w:right w:val="single" w:sz="8" w:space="0" w:color="E0E0E0"/>
            </w:tcBorders>
            <w:shd w:val="clear" w:color="auto" w:fill="FFFFFF"/>
            <w:vAlign w:val="center"/>
          </w:tcPr>
          <w:p w14:paraId="19AEED6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.428</w:t>
            </w:r>
          </w:p>
        </w:tc>
        <w:tc>
          <w:tcPr>
            <w:tcW w:w="1418" w:type="dxa"/>
            <w:tcBorders>
              <w:top w:val="single" w:sz="8" w:space="0" w:color="152935"/>
              <w:left w:val="single" w:sz="8" w:space="0" w:color="E0E0E0"/>
              <w:bottom w:val="single" w:sz="8" w:space="0" w:color="152935"/>
              <w:right w:val="single" w:sz="8" w:space="0" w:color="E0E0E0"/>
            </w:tcBorders>
            <w:shd w:val="clear" w:color="auto" w:fill="FFFFFF"/>
            <w:vAlign w:val="center"/>
          </w:tcPr>
          <w:p w14:paraId="66D6C59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.44894</w:t>
            </w:r>
          </w:p>
        </w:tc>
        <w:tc>
          <w:tcPr>
            <w:tcW w:w="1417" w:type="dxa"/>
            <w:tcBorders>
              <w:top w:val="single" w:sz="8" w:space="0" w:color="152935"/>
              <w:left w:val="single" w:sz="8" w:space="0" w:color="E0E0E0"/>
              <w:bottom w:val="single" w:sz="8" w:space="0" w:color="152935"/>
              <w:right w:val="single" w:sz="8" w:space="0" w:color="E0E0E0"/>
            </w:tcBorders>
            <w:shd w:val="clear" w:color="auto" w:fill="FFFFFF"/>
            <w:vAlign w:val="center"/>
          </w:tcPr>
          <w:p w14:paraId="5867E42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.434</w:t>
            </w:r>
          </w:p>
        </w:tc>
        <w:tc>
          <w:tcPr>
            <w:tcW w:w="1134" w:type="dxa"/>
            <w:tcBorders>
              <w:top w:val="single" w:sz="8" w:space="0" w:color="152935"/>
              <w:left w:val="single" w:sz="8" w:space="0" w:color="E0E0E0"/>
              <w:bottom w:val="single" w:sz="8" w:space="0" w:color="152935"/>
              <w:right w:val="single" w:sz="8" w:space="0" w:color="E0E0E0"/>
            </w:tcBorders>
            <w:shd w:val="clear" w:color="auto" w:fill="FFFFFF"/>
            <w:vAlign w:val="center"/>
          </w:tcPr>
          <w:p w14:paraId="24A8E7B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78.191</w:t>
            </w:r>
          </w:p>
        </w:tc>
        <w:tc>
          <w:tcPr>
            <w:tcW w:w="1262" w:type="dxa"/>
            <w:tcBorders>
              <w:top w:val="single" w:sz="8" w:space="0" w:color="152935"/>
              <w:left w:val="single" w:sz="8" w:space="0" w:color="E0E0E0"/>
              <w:bottom w:val="single" w:sz="8" w:space="0" w:color="152935"/>
              <w:right w:val="nil"/>
            </w:tcBorders>
            <w:shd w:val="clear" w:color="auto" w:fill="FFFFFF"/>
            <w:vAlign w:val="center"/>
          </w:tcPr>
          <w:p w14:paraId="7ECE23C1" w14:textId="77777777" w:rsidR="006E3616" w:rsidRPr="00400193" w:rsidRDefault="006E3616"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r>
      <w:tr w:rsidR="00013AF7" w:rsidRPr="00400193" w14:paraId="681F2F3B" w14:textId="77777777" w:rsidTr="000F3E4F">
        <w:trPr>
          <w:cantSplit/>
          <w:trHeight w:val="283"/>
        </w:trPr>
        <w:tc>
          <w:tcPr>
            <w:tcW w:w="8775" w:type="dxa"/>
            <w:gridSpan w:val="8"/>
            <w:tcBorders>
              <w:top w:val="single" w:sz="8" w:space="0" w:color="152935"/>
              <w:left w:val="nil"/>
              <w:bottom w:val="single" w:sz="8" w:space="0" w:color="152935"/>
              <w:right w:val="single" w:sz="8" w:space="0" w:color="E0E0E0"/>
            </w:tcBorders>
            <w:shd w:val="clear" w:color="auto" w:fill="auto"/>
            <w:vAlign w:val="center"/>
          </w:tcPr>
          <w:p w14:paraId="22671862" w14:textId="3046CEBF" w:rsidR="00013AF7" w:rsidRPr="00400193" w:rsidRDefault="00013AF7"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 .</w:t>
            </w:r>
            <w:r w:rsidRPr="00400193">
              <w:rPr>
                <w:rFonts w:asciiTheme="minorHAnsi" w:hAnsiTheme="minorHAnsi" w:cstheme="minorHAnsi"/>
                <w:sz w:val="20"/>
                <w:szCs w:val="18"/>
                <w:lang w:eastAsia="zh-CN" w:bidi="hi-IN"/>
              </w:rPr>
              <w:t xml:space="preserve">Dependent Variable: VW </w:t>
            </w:r>
          </w:p>
        </w:tc>
      </w:tr>
    </w:tbl>
    <w:p w14:paraId="0E87F220" w14:textId="51ABF7A8" w:rsidR="006E3616" w:rsidRPr="00400193" w:rsidRDefault="006E3616" w:rsidP="006E3616">
      <w:pPr>
        <w:pStyle w:val="Caption"/>
        <w:spacing w:after="240"/>
        <w:rPr>
          <w:lang w:eastAsia="zh-CN" w:bidi="hi-IN"/>
        </w:rPr>
      </w:pPr>
      <w:bookmarkStart w:id="598" w:name="_Ref43257609"/>
      <w:bookmarkStart w:id="599" w:name="_Toc5290160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55</w:t>
      </w:r>
      <w:r w:rsidRPr="00400193">
        <w:fldChar w:fldCharType="end"/>
      </w:r>
      <w:bookmarkEnd w:id="598"/>
      <w:r w:rsidRPr="00400193">
        <w:t xml:space="preserve">: </w:t>
      </w:r>
      <w:r w:rsidRPr="00400193">
        <w:rPr>
          <w:lang w:eastAsia="zh-CN" w:bidi="hi-IN"/>
        </w:rPr>
        <w:t>Regression model summary for VW</w:t>
      </w:r>
      <w:bookmarkEnd w:id="599"/>
    </w:p>
    <w:p w14:paraId="10606D60" w14:textId="187A8FEC" w:rsidR="006E3616" w:rsidRPr="00400193" w:rsidRDefault="006E3616" w:rsidP="006E3616">
      <w:pPr>
        <w:rPr>
          <w:lang w:eastAsia="zh-CN" w:bidi="hi-IN"/>
        </w:rPr>
      </w:pPr>
      <w:r w:rsidRPr="00400193">
        <w:rPr>
          <w:lang w:eastAsia="zh-CN" w:bidi="hi-IN"/>
        </w:rPr>
        <w:t>The analysis of variance (ANOVA) (</w:t>
      </w:r>
      <w:r w:rsidRPr="00400193">
        <w:rPr>
          <w:lang w:eastAsia="zh-CN" w:bidi="hi-IN"/>
        </w:rPr>
        <w:fldChar w:fldCharType="begin"/>
      </w:r>
      <w:r w:rsidRPr="00400193">
        <w:rPr>
          <w:lang w:eastAsia="zh-CN" w:bidi="hi-IN"/>
        </w:rPr>
        <w:instrText xml:space="preserve"> REF _Ref43498210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56</w:t>
      </w:r>
      <w:r w:rsidRPr="00400193">
        <w:rPr>
          <w:lang w:eastAsia="zh-CN" w:bidi="hi-IN"/>
        </w:rPr>
        <w:fldChar w:fldCharType="end"/>
      </w:r>
      <w:r w:rsidRPr="00400193">
        <w:rPr>
          <w:lang w:eastAsia="zh-CN" w:bidi="hi-IN"/>
        </w:rPr>
        <w:t>) gave an F-statistic for the model of 78.191. This suggests that there is a significant linear regression association between the vulnerabilities and weaknesses in the organisations and the predictor variables (</w:t>
      </w:r>
      <w:r w:rsidR="00DD07A5" w:rsidRPr="00400193">
        <w:rPr>
          <w:lang w:eastAsia="zh-CN" w:bidi="hi-IN"/>
        </w:rPr>
        <w:t>ERF</w:t>
      </w:r>
      <w:r w:rsidRPr="00400193">
        <w:rPr>
          <w:lang w:eastAsia="zh-CN" w:bidi="hi-IN"/>
        </w:rPr>
        <w:t xml:space="preserve">). The F statistic indicates that the R-square was statistically significant at p &lt;0.05. </w:t>
      </w: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5"/>
        <w:gridCol w:w="1236"/>
        <w:gridCol w:w="1414"/>
        <w:gridCol w:w="987"/>
        <w:gridCol w:w="1355"/>
        <w:gridCol w:w="987"/>
        <w:gridCol w:w="2225"/>
      </w:tblGrid>
      <w:tr w:rsidR="006E3616" w:rsidRPr="00400193" w14:paraId="5FC5534E" w14:textId="77777777" w:rsidTr="00013AF7">
        <w:trPr>
          <w:cantSplit/>
          <w:trHeight w:val="283"/>
        </w:trPr>
        <w:tc>
          <w:tcPr>
            <w:tcW w:w="1941" w:type="dxa"/>
            <w:gridSpan w:val="2"/>
            <w:tcBorders>
              <w:top w:val="nil"/>
              <w:left w:val="nil"/>
              <w:bottom w:val="single" w:sz="8" w:space="0" w:color="152935"/>
              <w:right w:val="nil"/>
            </w:tcBorders>
            <w:shd w:val="clear" w:color="auto" w:fill="auto"/>
            <w:vAlign w:val="center"/>
          </w:tcPr>
          <w:p w14:paraId="5E50B4B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14" w:type="dxa"/>
            <w:tcBorders>
              <w:top w:val="nil"/>
              <w:left w:val="nil"/>
              <w:bottom w:val="single" w:sz="8" w:space="0" w:color="152935"/>
              <w:right w:val="single" w:sz="8" w:space="0" w:color="E0E0E0"/>
            </w:tcBorders>
            <w:shd w:val="clear" w:color="auto" w:fill="auto"/>
            <w:vAlign w:val="center"/>
          </w:tcPr>
          <w:p w14:paraId="5932D80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87" w:type="dxa"/>
            <w:tcBorders>
              <w:top w:val="nil"/>
              <w:left w:val="single" w:sz="8" w:space="0" w:color="E0E0E0"/>
              <w:bottom w:val="single" w:sz="8" w:space="0" w:color="152935"/>
              <w:right w:val="single" w:sz="8" w:space="0" w:color="E0E0E0"/>
            </w:tcBorders>
            <w:shd w:val="clear" w:color="auto" w:fill="auto"/>
            <w:vAlign w:val="center"/>
          </w:tcPr>
          <w:p w14:paraId="0E9774AB"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55" w:type="dxa"/>
            <w:tcBorders>
              <w:top w:val="nil"/>
              <w:left w:val="single" w:sz="8" w:space="0" w:color="E0E0E0"/>
              <w:bottom w:val="single" w:sz="8" w:space="0" w:color="152935"/>
              <w:right w:val="single" w:sz="8" w:space="0" w:color="E0E0E0"/>
            </w:tcBorders>
            <w:shd w:val="clear" w:color="auto" w:fill="auto"/>
            <w:vAlign w:val="center"/>
          </w:tcPr>
          <w:p w14:paraId="636386F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87" w:type="dxa"/>
            <w:tcBorders>
              <w:top w:val="nil"/>
              <w:left w:val="single" w:sz="8" w:space="0" w:color="E0E0E0"/>
              <w:bottom w:val="single" w:sz="8" w:space="0" w:color="152935"/>
              <w:right w:val="single" w:sz="8" w:space="0" w:color="E0E0E0"/>
            </w:tcBorders>
            <w:shd w:val="clear" w:color="auto" w:fill="auto"/>
            <w:vAlign w:val="center"/>
          </w:tcPr>
          <w:p w14:paraId="7C3D3FB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23" w:type="dxa"/>
            <w:tcBorders>
              <w:top w:val="nil"/>
              <w:left w:val="single" w:sz="8" w:space="0" w:color="E0E0E0"/>
              <w:bottom w:val="single" w:sz="8" w:space="0" w:color="152935"/>
              <w:right w:val="nil"/>
            </w:tcBorders>
            <w:shd w:val="clear" w:color="auto" w:fill="auto"/>
            <w:vAlign w:val="center"/>
          </w:tcPr>
          <w:p w14:paraId="54C33496"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33CB111A" w14:textId="77777777" w:rsidTr="00013AF7">
        <w:trPr>
          <w:cantSplit/>
          <w:trHeight w:val="283"/>
        </w:trPr>
        <w:tc>
          <w:tcPr>
            <w:tcW w:w="705" w:type="dxa"/>
            <w:vMerge w:val="restart"/>
            <w:tcBorders>
              <w:top w:val="single" w:sz="8" w:space="0" w:color="152935"/>
              <w:left w:val="nil"/>
              <w:bottom w:val="single" w:sz="8" w:space="0" w:color="152935"/>
              <w:right w:val="nil"/>
            </w:tcBorders>
            <w:shd w:val="clear" w:color="auto" w:fill="auto"/>
            <w:vAlign w:val="center"/>
          </w:tcPr>
          <w:p w14:paraId="3019B7FF" w14:textId="27764B2E" w:rsidR="006E3616" w:rsidRPr="00400193" w:rsidRDefault="006E3616" w:rsidP="003B5486">
            <w:pPr>
              <w:spacing w:after="0" w:line="240" w:lineRule="auto"/>
              <w:jc w:val="left"/>
              <w:rPr>
                <w:rFonts w:asciiTheme="minorHAnsi" w:hAnsiTheme="minorHAnsi" w:cstheme="minorHAnsi"/>
                <w:sz w:val="20"/>
                <w:szCs w:val="18"/>
                <w:vertAlign w:val="superscript"/>
                <w:lang w:eastAsia="zh-CN" w:bidi="hi-IN"/>
              </w:rPr>
            </w:pPr>
            <w:r w:rsidRPr="00400193">
              <w:rPr>
                <w:rFonts w:asciiTheme="minorHAnsi" w:hAnsiTheme="minorHAnsi" w:cstheme="minorHAnsi"/>
                <w:sz w:val="20"/>
                <w:szCs w:val="18"/>
                <w:lang w:eastAsia="zh-CN" w:bidi="hi-IN"/>
              </w:rPr>
              <w:t>1</w:t>
            </w:r>
            <w:r w:rsidR="00013AF7" w:rsidRPr="00400193">
              <w:rPr>
                <w:rFonts w:asciiTheme="minorHAnsi" w:hAnsiTheme="minorHAnsi" w:cstheme="minorHAnsi"/>
                <w:sz w:val="20"/>
                <w:szCs w:val="18"/>
                <w:vertAlign w:val="superscript"/>
                <w:lang w:eastAsia="zh-CN" w:bidi="hi-IN"/>
              </w:rPr>
              <w:t>a</w:t>
            </w:r>
          </w:p>
        </w:tc>
        <w:tc>
          <w:tcPr>
            <w:tcW w:w="1236" w:type="dxa"/>
            <w:tcBorders>
              <w:top w:val="single" w:sz="8" w:space="0" w:color="152935"/>
              <w:left w:val="nil"/>
              <w:bottom w:val="single" w:sz="8" w:space="0" w:color="AEAEAE"/>
              <w:right w:val="nil"/>
            </w:tcBorders>
            <w:shd w:val="clear" w:color="auto" w:fill="auto"/>
            <w:vAlign w:val="center"/>
          </w:tcPr>
          <w:p w14:paraId="65B4714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14" w:type="dxa"/>
            <w:tcBorders>
              <w:top w:val="single" w:sz="8" w:space="0" w:color="152935"/>
              <w:left w:val="nil"/>
              <w:bottom w:val="single" w:sz="8" w:space="0" w:color="AEAEAE"/>
              <w:right w:val="single" w:sz="8" w:space="0" w:color="E0E0E0"/>
            </w:tcBorders>
            <w:shd w:val="clear" w:color="auto" w:fill="auto"/>
            <w:vAlign w:val="center"/>
          </w:tcPr>
          <w:p w14:paraId="56698641"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15.759</w:t>
            </w:r>
          </w:p>
        </w:tc>
        <w:tc>
          <w:tcPr>
            <w:tcW w:w="987" w:type="dxa"/>
            <w:tcBorders>
              <w:top w:val="single" w:sz="8" w:space="0" w:color="152935"/>
              <w:left w:val="single" w:sz="8" w:space="0" w:color="E0E0E0"/>
              <w:bottom w:val="single" w:sz="8" w:space="0" w:color="AEAEAE"/>
              <w:right w:val="single" w:sz="8" w:space="0" w:color="E0E0E0"/>
            </w:tcBorders>
            <w:shd w:val="clear" w:color="auto" w:fill="auto"/>
            <w:vAlign w:val="center"/>
          </w:tcPr>
          <w:p w14:paraId="29505BE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355" w:type="dxa"/>
            <w:tcBorders>
              <w:top w:val="single" w:sz="8" w:space="0" w:color="152935"/>
              <w:left w:val="single" w:sz="8" w:space="0" w:color="E0E0E0"/>
              <w:bottom w:val="single" w:sz="8" w:space="0" w:color="AEAEAE"/>
              <w:right w:val="single" w:sz="8" w:space="0" w:color="E0E0E0"/>
            </w:tcBorders>
            <w:shd w:val="clear" w:color="auto" w:fill="auto"/>
            <w:vAlign w:val="center"/>
          </w:tcPr>
          <w:p w14:paraId="0AE39E0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15.759</w:t>
            </w:r>
          </w:p>
        </w:tc>
        <w:tc>
          <w:tcPr>
            <w:tcW w:w="987" w:type="dxa"/>
            <w:tcBorders>
              <w:top w:val="single" w:sz="8" w:space="0" w:color="152935"/>
              <w:left w:val="single" w:sz="8" w:space="0" w:color="E0E0E0"/>
              <w:bottom w:val="single" w:sz="8" w:space="0" w:color="AEAEAE"/>
              <w:right w:val="single" w:sz="8" w:space="0" w:color="E0E0E0"/>
            </w:tcBorders>
            <w:shd w:val="clear" w:color="auto" w:fill="auto"/>
            <w:vAlign w:val="center"/>
          </w:tcPr>
          <w:p w14:paraId="5931D026"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78.191</w:t>
            </w:r>
          </w:p>
        </w:tc>
        <w:tc>
          <w:tcPr>
            <w:tcW w:w="2223" w:type="dxa"/>
            <w:tcBorders>
              <w:top w:val="single" w:sz="8" w:space="0" w:color="152935"/>
              <w:left w:val="single" w:sz="8" w:space="0" w:color="E0E0E0"/>
              <w:bottom w:val="single" w:sz="8" w:space="0" w:color="AEAEAE"/>
              <w:right w:val="nil"/>
            </w:tcBorders>
            <w:shd w:val="clear" w:color="auto" w:fill="auto"/>
            <w:vAlign w:val="center"/>
          </w:tcPr>
          <w:p w14:paraId="670B33B2"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366A10B8" w14:textId="77777777" w:rsidTr="00013AF7">
        <w:trPr>
          <w:cantSplit/>
          <w:trHeight w:val="283"/>
        </w:trPr>
        <w:tc>
          <w:tcPr>
            <w:tcW w:w="705" w:type="dxa"/>
            <w:vMerge/>
            <w:tcBorders>
              <w:top w:val="single" w:sz="8" w:space="0" w:color="152935"/>
              <w:left w:val="nil"/>
              <w:bottom w:val="single" w:sz="8" w:space="0" w:color="152935"/>
              <w:right w:val="nil"/>
            </w:tcBorders>
            <w:shd w:val="clear" w:color="auto" w:fill="auto"/>
            <w:vAlign w:val="center"/>
          </w:tcPr>
          <w:p w14:paraId="105BD95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236" w:type="dxa"/>
            <w:tcBorders>
              <w:top w:val="single" w:sz="8" w:space="0" w:color="AEAEAE"/>
              <w:left w:val="nil"/>
              <w:bottom w:val="single" w:sz="8" w:space="0" w:color="AEAEAE"/>
              <w:right w:val="nil"/>
            </w:tcBorders>
            <w:shd w:val="clear" w:color="auto" w:fill="auto"/>
            <w:vAlign w:val="center"/>
          </w:tcPr>
          <w:p w14:paraId="2EAD3EE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14" w:type="dxa"/>
            <w:tcBorders>
              <w:top w:val="single" w:sz="8" w:space="0" w:color="AEAEAE"/>
              <w:left w:val="nil"/>
              <w:bottom w:val="single" w:sz="8" w:space="0" w:color="AEAEAE"/>
              <w:right w:val="single" w:sz="8" w:space="0" w:color="E0E0E0"/>
            </w:tcBorders>
            <w:shd w:val="clear" w:color="auto" w:fill="auto"/>
            <w:vAlign w:val="center"/>
          </w:tcPr>
          <w:p w14:paraId="475350D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20.558</w:t>
            </w:r>
          </w:p>
        </w:tc>
        <w:tc>
          <w:tcPr>
            <w:tcW w:w="987"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2519DB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102</w:t>
            </w:r>
          </w:p>
        </w:tc>
        <w:tc>
          <w:tcPr>
            <w:tcW w:w="1355" w:type="dxa"/>
            <w:tcBorders>
              <w:top w:val="single" w:sz="8" w:space="0" w:color="AEAEAE"/>
              <w:left w:val="single" w:sz="8" w:space="0" w:color="E0E0E0"/>
              <w:bottom w:val="single" w:sz="8" w:space="0" w:color="AEAEAE"/>
              <w:right w:val="single" w:sz="8" w:space="0" w:color="E0E0E0"/>
            </w:tcBorders>
            <w:shd w:val="clear" w:color="auto" w:fill="auto"/>
            <w:vAlign w:val="center"/>
          </w:tcPr>
          <w:p w14:paraId="701CBCF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.202</w:t>
            </w:r>
          </w:p>
        </w:tc>
        <w:tc>
          <w:tcPr>
            <w:tcW w:w="987"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989314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223" w:type="dxa"/>
            <w:tcBorders>
              <w:top w:val="single" w:sz="8" w:space="0" w:color="AEAEAE"/>
              <w:left w:val="single" w:sz="8" w:space="0" w:color="E0E0E0"/>
              <w:bottom w:val="single" w:sz="8" w:space="0" w:color="AEAEAE"/>
              <w:right w:val="nil"/>
            </w:tcBorders>
            <w:shd w:val="clear" w:color="auto" w:fill="auto"/>
            <w:vAlign w:val="center"/>
          </w:tcPr>
          <w:p w14:paraId="3F33845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r>
      <w:tr w:rsidR="006E3616" w:rsidRPr="00400193" w14:paraId="3C3A5B36" w14:textId="77777777" w:rsidTr="00013AF7">
        <w:trPr>
          <w:cantSplit/>
          <w:trHeight w:val="283"/>
        </w:trPr>
        <w:tc>
          <w:tcPr>
            <w:tcW w:w="705" w:type="dxa"/>
            <w:vMerge/>
            <w:tcBorders>
              <w:top w:val="single" w:sz="8" w:space="0" w:color="152935"/>
              <w:left w:val="nil"/>
              <w:bottom w:val="single" w:sz="8" w:space="0" w:color="152935"/>
              <w:right w:val="nil"/>
            </w:tcBorders>
            <w:shd w:val="clear" w:color="auto" w:fill="auto"/>
            <w:vAlign w:val="center"/>
          </w:tcPr>
          <w:p w14:paraId="1E10456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236" w:type="dxa"/>
            <w:tcBorders>
              <w:top w:val="single" w:sz="8" w:space="0" w:color="AEAEAE"/>
              <w:left w:val="nil"/>
              <w:bottom w:val="single" w:sz="8" w:space="0" w:color="152935"/>
              <w:right w:val="nil"/>
            </w:tcBorders>
            <w:shd w:val="clear" w:color="auto" w:fill="auto"/>
            <w:vAlign w:val="center"/>
          </w:tcPr>
          <w:p w14:paraId="7142483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14" w:type="dxa"/>
            <w:tcBorders>
              <w:top w:val="single" w:sz="8" w:space="0" w:color="AEAEAE"/>
              <w:left w:val="nil"/>
              <w:bottom w:val="single" w:sz="8" w:space="0" w:color="152935"/>
              <w:right w:val="single" w:sz="8" w:space="0" w:color="E0E0E0"/>
            </w:tcBorders>
            <w:shd w:val="clear" w:color="auto" w:fill="auto"/>
            <w:vAlign w:val="center"/>
          </w:tcPr>
          <w:p w14:paraId="16DA609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87" w:type="dxa"/>
            <w:tcBorders>
              <w:top w:val="single" w:sz="8" w:space="0" w:color="AEAEAE"/>
              <w:left w:val="single" w:sz="8" w:space="0" w:color="E0E0E0"/>
              <w:bottom w:val="single" w:sz="8" w:space="0" w:color="152935"/>
              <w:right w:val="single" w:sz="8" w:space="0" w:color="E0E0E0"/>
            </w:tcBorders>
            <w:shd w:val="clear" w:color="auto" w:fill="auto"/>
            <w:vAlign w:val="center"/>
          </w:tcPr>
          <w:p w14:paraId="52B87A9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55"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A44B93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987"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983620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2223" w:type="dxa"/>
            <w:tcBorders>
              <w:top w:val="single" w:sz="8" w:space="0" w:color="AEAEAE"/>
              <w:left w:val="single" w:sz="8" w:space="0" w:color="E0E0E0"/>
              <w:bottom w:val="single" w:sz="8" w:space="0" w:color="152935"/>
              <w:right w:val="nil"/>
            </w:tcBorders>
            <w:shd w:val="clear" w:color="auto" w:fill="auto"/>
            <w:vAlign w:val="center"/>
          </w:tcPr>
          <w:p w14:paraId="1055877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r>
      <w:tr w:rsidR="006E3616" w:rsidRPr="00400193" w14:paraId="5086456D" w14:textId="77777777" w:rsidTr="00013AF7">
        <w:trPr>
          <w:cantSplit/>
          <w:trHeight w:val="283"/>
        </w:trPr>
        <w:tc>
          <w:tcPr>
            <w:tcW w:w="8909" w:type="dxa"/>
            <w:gridSpan w:val="7"/>
            <w:tcBorders>
              <w:top w:val="nil"/>
              <w:left w:val="nil"/>
              <w:bottom w:val="nil"/>
              <w:right w:val="nil"/>
            </w:tcBorders>
            <w:shd w:val="clear" w:color="auto" w:fill="auto"/>
            <w:vAlign w:val="center"/>
          </w:tcPr>
          <w:p w14:paraId="25C9F9F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20FA643F" w14:textId="77777777" w:rsidTr="00013AF7">
        <w:trPr>
          <w:cantSplit/>
          <w:trHeight w:val="283"/>
        </w:trPr>
        <w:tc>
          <w:tcPr>
            <w:tcW w:w="8909" w:type="dxa"/>
            <w:gridSpan w:val="7"/>
            <w:tcBorders>
              <w:top w:val="nil"/>
              <w:left w:val="nil"/>
              <w:bottom w:val="nil"/>
              <w:right w:val="nil"/>
            </w:tcBorders>
            <w:shd w:val="clear" w:color="auto" w:fill="auto"/>
            <w:vAlign w:val="center"/>
          </w:tcPr>
          <w:p w14:paraId="4A224D40" w14:textId="124EF455" w:rsidR="006E3616" w:rsidRPr="00400193" w:rsidRDefault="006E3616"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w:t>
            </w:r>
            <w:r w:rsidR="00DD07A5" w:rsidRPr="00400193">
              <w:rPr>
                <w:rFonts w:asciiTheme="minorHAnsi" w:hAnsiTheme="minorHAnsi" w:cstheme="minorHAnsi"/>
                <w:sz w:val="20"/>
                <w:szCs w:val="18"/>
                <w:lang w:eastAsia="zh-CN" w:bidi="hi-IN"/>
              </w:rPr>
              <w:t>ERF</w:t>
            </w:r>
          </w:p>
        </w:tc>
      </w:tr>
    </w:tbl>
    <w:p w14:paraId="40E4901D" w14:textId="6DD8F5BC" w:rsidR="006E3616" w:rsidRPr="00400193" w:rsidRDefault="006E3616" w:rsidP="006E3616">
      <w:pPr>
        <w:pStyle w:val="Caption"/>
        <w:spacing w:after="240"/>
        <w:rPr>
          <w:lang w:eastAsia="zh-CN" w:bidi="hi-IN"/>
        </w:rPr>
      </w:pPr>
      <w:bookmarkStart w:id="600" w:name="_Ref43498210"/>
      <w:bookmarkStart w:id="601" w:name="_Toc5290160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56</w:t>
      </w:r>
      <w:r w:rsidRPr="00400193">
        <w:fldChar w:fldCharType="end"/>
      </w:r>
      <w:bookmarkEnd w:id="600"/>
      <w:r w:rsidRPr="00400193">
        <w:t xml:space="preserve">: </w:t>
      </w:r>
      <w:r w:rsidRPr="00400193">
        <w:rPr>
          <w:lang w:eastAsia="zh-CN" w:bidi="hi-IN"/>
        </w:rPr>
        <w:t xml:space="preserve">Analysis of Variance </w:t>
      </w:r>
      <w:r w:rsidRPr="00400193">
        <w:rPr>
          <w:vertAlign w:val="superscript"/>
          <w:lang w:eastAsia="zh-CN" w:bidi="hi-IN"/>
        </w:rPr>
        <w:t xml:space="preserve">a </w:t>
      </w:r>
      <w:r w:rsidRPr="00400193">
        <w:rPr>
          <w:lang w:eastAsia="zh-CN" w:bidi="hi-IN"/>
        </w:rPr>
        <w:t>of the model for VW</w:t>
      </w:r>
      <w:bookmarkEnd w:id="601"/>
    </w:p>
    <w:p w14:paraId="1B799077" w14:textId="65E31BB5" w:rsidR="006E3616" w:rsidRPr="00400193" w:rsidRDefault="006E3616" w:rsidP="006E3616">
      <w:pPr>
        <w:rPr>
          <w:lang w:eastAsia="zh-CN" w:bidi="hi-IN"/>
        </w:rPr>
      </w:pPr>
      <w:r w:rsidRPr="00400193">
        <w:rPr>
          <w:lang w:eastAsia="zh-CN" w:bidi="hi-IN"/>
        </w:rPr>
        <w:t>The F-ratio also shows that the overall regression model is a good fit for the data because the predictor variables predict the response variable, F = 78.191, p &lt;0.005</w:t>
      </w:r>
      <w:r w:rsidR="00A95F46" w:rsidRPr="00400193">
        <w:rPr>
          <w:lang w:eastAsia="zh-CN" w:bidi="hi-IN"/>
        </w:rPr>
        <w:t xml:space="preserve"> (see </w:t>
      </w:r>
      <w:r w:rsidR="00A95F46" w:rsidRPr="00400193">
        <w:rPr>
          <w:lang w:eastAsia="zh-CN" w:bidi="hi-IN"/>
        </w:rPr>
        <w:fldChar w:fldCharType="begin"/>
      </w:r>
      <w:r w:rsidR="00A95F46" w:rsidRPr="00400193">
        <w:rPr>
          <w:lang w:eastAsia="zh-CN" w:bidi="hi-IN"/>
        </w:rPr>
        <w:instrText xml:space="preserve"> REF _Ref51425447 \h </w:instrText>
      </w:r>
      <w:r w:rsidR="00A95F46" w:rsidRPr="00400193">
        <w:rPr>
          <w:lang w:eastAsia="zh-CN" w:bidi="hi-IN"/>
        </w:rPr>
      </w:r>
      <w:r w:rsidR="00A95F4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57</w:t>
      </w:r>
      <w:r w:rsidR="00A95F46" w:rsidRPr="00400193">
        <w:rPr>
          <w:lang w:eastAsia="zh-CN" w:bidi="hi-IN"/>
        </w:rPr>
        <w:fldChar w:fldCharType="end"/>
      </w:r>
      <w:r w:rsidR="00A95F46" w:rsidRPr="00400193">
        <w:rPr>
          <w:lang w:eastAsia="zh-CN" w:bidi="hi-IN"/>
        </w:rPr>
        <w:t>)</w:t>
      </w:r>
      <w:r w:rsidRPr="00400193">
        <w:rPr>
          <w:lang w:eastAsia="zh-CN" w:bidi="hi-IN"/>
        </w:rPr>
        <w:t xml:space="preserve">. The regression model explains all the response data variability around its mean. The F-value is significant at 95%, even though the R-square value of 0.434 suggests that only 43.4% of the variation in standard deviation is explained by the explanatory variables. The p-value associated with the F value is 0.000, less than the alpha level of 0.05, indicating that the predictor </w:t>
      </w:r>
      <w:r w:rsidR="00DD07A5" w:rsidRPr="00400193">
        <w:rPr>
          <w:lang w:eastAsia="zh-CN" w:bidi="hi-IN"/>
        </w:rPr>
        <w:t>ERF</w:t>
      </w:r>
      <w:r w:rsidRPr="00400193">
        <w:rPr>
          <w:lang w:eastAsia="zh-CN" w:bidi="hi-IN"/>
        </w:rPr>
        <w:t xml:space="preserve"> variables dependably predict the response variable. </w:t>
      </w:r>
    </w:p>
    <w:tbl>
      <w:tblPr>
        <w:tblW w:w="89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50"/>
        <w:gridCol w:w="1204"/>
        <w:gridCol w:w="1123"/>
        <w:gridCol w:w="1814"/>
        <w:gridCol w:w="2850"/>
        <w:gridCol w:w="691"/>
        <w:gridCol w:w="950"/>
      </w:tblGrid>
      <w:tr w:rsidR="006E3616" w:rsidRPr="00400193" w14:paraId="33BBE0A9" w14:textId="77777777" w:rsidTr="00A95F46">
        <w:trPr>
          <w:cantSplit/>
          <w:trHeight w:val="283"/>
        </w:trPr>
        <w:tc>
          <w:tcPr>
            <w:tcW w:w="1554" w:type="dxa"/>
            <w:gridSpan w:val="2"/>
            <w:vMerge w:val="restart"/>
            <w:tcBorders>
              <w:top w:val="nil"/>
              <w:left w:val="nil"/>
              <w:bottom w:val="nil"/>
              <w:right w:val="nil"/>
            </w:tcBorders>
            <w:shd w:val="clear" w:color="auto" w:fill="auto"/>
            <w:vAlign w:val="bottom"/>
          </w:tcPr>
          <w:p w14:paraId="21A7D63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937" w:type="dxa"/>
            <w:gridSpan w:val="2"/>
            <w:tcBorders>
              <w:top w:val="nil"/>
              <w:left w:val="nil"/>
              <w:bottom w:val="nil"/>
              <w:right w:val="single" w:sz="8" w:space="0" w:color="E0E0E0"/>
            </w:tcBorders>
            <w:shd w:val="clear" w:color="auto" w:fill="auto"/>
            <w:vAlign w:val="bottom"/>
          </w:tcPr>
          <w:p w14:paraId="3ED28DB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850" w:type="dxa"/>
            <w:tcBorders>
              <w:top w:val="nil"/>
              <w:left w:val="single" w:sz="8" w:space="0" w:color="E0E0E0"/>
              <w:bottom w:val="nil"/>
              <w:right w:val="single" w:sz="8" w:space="0" w:color="E0E0E0"/>
            </w:tcBorders>
            <w:shd w:val="clear" w:color="auto" w:fill="auto"/>
            <w:vAlign w:val="bottom"/>
          </w:tcPr>
          <w:p w14:paraId="2E92AD9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691" w:type="dxa"/>
            <w:vMerge w:val="restart"/>
            <w:tcBorders>
              <w:top w:val="nil"/>
              <w:left w:val="single" w:sz="8" w:space="0" w:color="E0E0E0"/>
              <w:bottom w:val="nil"/>
              <w:right w:val="single" w:sz="8" w:space="0" w:color="E0E0E0"/>
            </w:tcBorders>
            <w:shd w:val="clear" w:color="auto" w:fill="auto"/>
            <w:vAlign w:val="bottom"/>
          </w:tcPr>
          <w:p w14:paraId="4C1A887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950" w:type="dxa"/>
            <w:vMerge w:val="restart"/>
            <w:tcBorders>
              <w:top w:val="nil"/>
              <w:left w:val="single" w:sz="8" w:space="0" w:color="E0E0E0"/>
              <w:bottom w:val="nil"/>
              <w:right w:val="nil"/>
            </w:tcBorders>
            <w:shd w:val="clear" w:color="auto" w:fill="auto"/>
            <w:vAlign w:val="bottom"/>
          </w:tcPr>
          <w:p w14:paraId="30F14A4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1543315B" w14:textId="77777777" w:rsidTr="00A95F46">
        <w:trPr>
          <w:cantSplit/>
          <w:trHeight w:val="283"/>
        </w:trPr>
        <w:tc>
          <w:tcPr>
            <w:tcW w:w="1554" w:type="dxa"/>
            <w:gridSpan w:val="2"/>
            <w:vMerge/>
            <w:tcBorders>
              <w:top w:val="nil"/>
              <w:left w:val="nil"/>
              <w:bottom w:val="nil"/>
              <w:right w:val="nil"/>
            </w:tcBorders>
            <w:shd w:val="clear" w:color="auto" w:fill="auto"/>
            <w:vAlign w:val="bottom"/>
          </w:tcPr>
          <w:p w14:paraId="49A67CD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23" w:type="dxa"/>
            <w:tcBorders>
              <w:top w:val="nil"/>
              <w:left w:val="nil"/>
              <w:bottom w:val="single" w:sz="8" w:space="0" w:color="152935"/>
              <w:right w:val="single" w:sz="8" w:space="0" w:color="E0E0E0"/>
            </w:tcBorders>
            <w:shd w:val="clear" w:color="auto" w:fill="auto"/>
            <w:vAlign w:val="bottom"/>
          </w:tcPr>
          <w:p w14:paraId="130F84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814" w:type="dxa"/>
            <w:tcBorders>
              <w:top w:val="nil"/>
              <w:left w:val="single" w:sz="8" w:space="0" w:color="E0E0E0"/>
              <w:bottom w:val="single" w:sz="8" w:space="0" w:color="152935"/>
              <w:right w:val="single" w:sz="8" w:space="0" w:color="E0E0E0"/>
            </w:tcBorders>
            <w:shd w:val="clear" w:color="auto" w:fill="auto"/>
            <w:vAlign w:val="bottom"/>
          </w:tcPr>
          <w:p w14:paraId="556626E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850" w:type="dxa"/>
            <w:tcBorders>
              <w:top w:val="nil"/>
              <w:left w:val="single" w:sz="8" w:space="0" w:color="E0E0E0"/>
              <w:bottom w:val="single" w:sz="8" w:space="0" w:color="152935"/>
              <w:right w:val="single" w:sz="8" w:space="0" w:color="E0E0E0"/>
            </w:tcBorders>
            <w:shd w:val="clear" w:color="auto" w:fill="auto"/>
            <w:vAlign w:val="bottom"/>
          </w:tcPr>
          <w:p w14:paraId="4AF0415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691" w:type="dxa"/>
            <w:vMerge/>
            <w:tcBorders>
              <w:top w:val="nil"/>
              <w:left w:val="single" w:sz="8" w:space="0" w:color="E0E0E0"/>
              <w:bottom w:val="nil"/>
              <w:right w:val="single" w:sz="8" w:space="0" w:color="E0E0E0"/>
            </w:tcBorders>
            <w:shd w:val="clear" w:color="auto" w:fill="auto"/>
            <w:vAlign w:val="bottom"/>
          </w:tcPr>
          <w:p w14:paraId="7E0882D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50" w:type="dxa"/>
            <w:vMerge/>
            <w:tcBorders>
              <w:top w:val="nil"/>
              <w:left w:val="single" w:sz="8" w:space="0" w:color="E0E0E0"/>
              <w:bottom w:val="nil"/>
              <w:right w:val="nil"/>
            </w:tcBorders>
            <w:shd w:val="clear" w:color="auto" w:fill="auto"/>
            <w:vAlign w:val="bottom"/>
          </w:tcPr>
          <w:p w14:paraId="2791890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297A3B94" w14:textId="77777777" w:rsidTr="00A95F46">
        <w:trPr>
          <w:cantSplit/>
          <w:trHeight w:val="283"/>
        </w:trPr>
        <w:tc>
          <w:tcPr>
            <w:tcW w:w="350" w:type="dxa"/>
            <w:vMerge w:val="restart"/>
            <w:tcBorders>
              <w:top w:val="single" w:sz="8" w:space="0" w:color="152935"/>
              <w:left w:val="nil"/>
              <w:bottom w:val="single" w:sz="8" w:space="0" w:color="152935"/>
              <w:right w:val="nil"/>
            </w:tcBorders>
            <w:shd w:val="clear" w:color="auto" w:fill="auto"/>
          </w:tcPr>
          <w:p w14:paraId="4DC9390A" w14:textId="7BB4FC7D" w:rsidR="006E3616" w:rsidRPr="00400193" w:rsidRDefault="006E3616" w:rsidP="003B5486">
            <w:pPr>
              <w:spacing w:after="0" w:line="240" w:lineRule="auto"/>
              <w:rPr>
                <w:rFonts w:asciiTheme="minorHAnsi" w:hAnsiTheme="minorHAnsi" w:cstheme="minorHAnsi"/>
                <w:sz w:val="20"/>
                <w:szCs w:val="18"/>
                <w:vertAlign w:val="superscript"/>
                <w:lang w:eastAsia="zh-CN" w:bidi="hi-IN"/>
              </w:rPr>
            </w:pPr>
            <w:r w:rsidRPr="00400193">
              <w:rPr>
                <w:rFonts w:asciiTheme="minorHAnsi" w:hAnsiTheme="minorHAnsi" w:cstheme="minorHAnsi"/>
                <w:sz w:val="20"/>
                <w:szCs w:val="18"/>
                <w:lang w:eastAsia="zh-CN" w:bidi="hi-IN"/>
              </w:rPr>
              <w:t>1</w:t>
            </w:r>
            <w:r w:rsidR="00A95F46" w:rsidRPr="00400193">
              <w:rPr>
                <w:rFonts w:asciiTheme="minorHAnsi" w:hAnsiTheme="minorHAnsi" w:cstheme="minorHAnsi"/>
                <w:sz w:val="20"/>
                <w:szCs w:val="18"/>
                <w:vertAlign w:val="superscript"/>
                <w:lang w:eastAsia="zh-CN" w:bidi="hi-IN"/>
              </w:rPr>
              <w:t>a</w:t>
            </w:r>
          </w:p>
        </w:tc>
        <w:tc>
          <w:tcPr>
            <w:tcW w:w="1204" w:type="dxa"/>
            <w:tcBorders>
              <w:top w:val="single" w:sz="8" w:space="0" w:color="152935"/>
              <w:left w:val="nil"/>
              <w:bottom w:val="single" w:sz="8" w:space="0" w:color="AEAEAE"/>
              <w:right w:val="nil"/>
            </w:tcBorders>
            <w:shd w:val="clear" w:color="auto" w:fill="auto"/>
          </w:tcPr>
          <w:p w14:paraId="3B9E0B5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1123" w:type="dxa"/>
            <w:tcBorders>
              <w:top w:val="single" w:sz="8" w:space="0" w:color="152935"/>
              <w:left w:val="nil"/>
              <w:bottom w:val="single" w:sz="8" w:space="0" w:color="AEAEAE"/>
              <w:right w:val="single" w:sz="8" w:space="0" w:color="E0E0E0"/>
            </w:tcBorders>
            <w:shd w:val="clear" w:color="auto" w:fill="auto"/>
          </w:tcPr>
          <w:p w14:paraId="39254F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1.607</w:t>
            </w:r>
          </w:p>
        </w:tc>
        <w:tc>
          <w:tcPr>
            <w:tcW w:w="1814" w:type="dxa"/>
            <w:tcBorders>
              <w:top w:val="single" w:sz="8" w:space="0" w:color="152935"/>
              <w:left w:val="single" w:sz="8" w:space="0" w:color="E0E0E0"/>
              <w:bottom w:val="single" w:sz="8" w:space="0" w:color="AEAEAE"/>
              <w:right w:val="single" w:sz="8" w:space="0" w:color="E0E0E0"/>
            </w:tcBorders>
            <w:shd w:val="clear" w:color="auto" w:fill="auto"/>
          </w:tcPr>
          <w:p w14:paraId="6756DF7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.186</w:t>
            </w:r>
          </w:p>
        </w:tc>
        <w:tc>
          <w:tcPr>
            <w:tcW w:w="2850" w:type="dxa"/>
            <w:tcBorders>
              <w:top w:val="single" w:sz="8" w:space="0" w:color="152935"/>
              <w:left w:val="single" w:sz="8" w:space="0" w:color="E0E0E0"/>
              <w:bottom w:val="single" w:sz="8" w:space="0" w:color="AEAEAE"/>
              <w:right w:val="single" w:sz="8" w:space="0" w:color="E0E0E0"/>
            </w:tcBorders>
            <w:shd w:val="clear" w:color="auto" w:fill="auto"/>
            <w:vAlign w:val="center"/>
          </w:tcPr>
          <w:p w14:paraId="0AC7E37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91" w:type="dxa"/>
            <w:tcBorders>
              <w:top w:val="single" w:sz="8" w:space="0" w:color="152935"/>
              <w:left w:val="single" w:sz="8" w:space="0" w:color="E0E0E0"/>
              <w:bottom w:val="single" w:sz="8" w:space="0" w:color="AEAEAE"/>
              <w:right w:val="single" w:sz="8" w:space="0" w:color="E0E0E0"/>
            </w:tcBorders>
            <w:shd w:val="clear" w:color="auto" w:fill="auto"/>
          </w:tcPr>
          <w:p w14:paraId="316D78F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8.651</w:t>
            </w:r>
          </w:p>
        </w:tc>
        <w:tc>
          <w:tcPr>
            <w:tcW w:w="950" w:type="dxa"/>
            <w:tcBorders>
              <w:top w:val="single" w:sz="8" w:space="0" w:color="152935"/>
              <w:left w:val="single" w:sz="8" w:space="0" w:color="E0E0E0"/>
              <w:bottom w:val="single" w:sz="8" w:space="0" w:color="AEAEAE"/>
              <w:right w:val="nil"/>
            </w:tcBorders>
            <w:shd w:val="clear" w:color="auto" w:fill="auto"/>
          </w:tcPr>
          <w:p w14:paraId="4FC73C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r>
      <w:tr w:rsidR="006E3616" w:rsidRPr="00400193" w14:paraId="7207FF2F" w14:textId="77777777" w:rsidTr="00A95F46">
        <w:trPr>
          <w:cantSplit/>
          <w:trHeight w:val="283"/>
        </w:trPr>
        <w:tc>
          <w:tcPr>
            <w:tcW w:w="350" w:type="dxa"/>
            <w:vMerge/>
            <w:tcBorders>
              <w:top w:val="single" w:sz="8" w:space="0" w:color="152935"/>
              <w:left w:val="nil"/>
              <w:bottom w:val="single" w:sz="8" w:space="0" w:color="152935"/>
              <w:right w:val="nil"/>
            </w:tcBorders>
            <w:shd w:val="clear" w:color="auto" w:fill="auto"/>
          </w:tcPr>
          <w:p w14:paraId="514C558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04" w:type="dxa"/>
            <w:tcBorders>
              <w:top w:val="single" w:sz="8" w:space="0" w:color="AEAEAE"/>
              <w:left w:val="nil"/>
              <w:bottom w:val="single" w:sz="8" w:space="0" w:color="AEAEAE"/>
              <w:right w:val="nil"/>
            </w:tcBorders>
            <w:shd w:val="clear" w:color="auto" w:fill="auto"/>
          </w:tcPr>
          <w:p w14:paraId="787B4303" w14:textId="4908700D"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1123" w:type="dxa"/>
            <w:tcBorders>
              <w:top w:val="single" w:sz="8" w:space="0" w:color="AEAEAE"/>
              <w:left w:val="nil"/>
              <w:bottom w:val="single" w:sz="8" w:space="0" w:color="AEAEAE"/>
              <w:right w:val="single" w:sz="8" w:space="0" w:color="E0E0E0"/>
            </w:tcBorders>
            <w:shd w:val="clear" w:color="auto" w:fill="auto"/>
          </w:tcPr>
          <w:p w14:paraId="2BC6B1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.502</w:t>
            </w:r>
          </w:p>
        </w:tc>
        <w:tc>
          <w:tcPr>
            <w:tcW w:w="1814" w:type="dxa"/>
            <w:tcBorders>
              <w:top w:val="single" w:sz="8" w:space="0" w:color="AEAEAE"/>
              <w:left w:val="single" w:sz="8" w:space="0" w:color="E0E0E0"/>
              <w:bottom w:val="single" w:sz="8" w:space="0" w:color="AEAEAE"/>
              <w:right w:val="single" w:sz="8" w:space="0" w:color="E0E0E0"/>
            </w:tcBorders>
            <w:shd w:val="clear" w:color="auto" w:fill="auto"/>
          </w:tcPr>
          <w:p w14:paraId="009F7B3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.057</w:t>
            </w:r>
          </w:p>
        </w:tc>
        <w:tc>
          <w:tcPr>
            <w:tcW w:w="2850" w:type="dxa"/>
            <w:tcBorders>
              <w:top w:val="single" w:sz="8" w:space="0" w:color="AEAEAE"/>
              <w:left w:val="single" w:sz="8" w:space="0" w:color="E0E0E0"/>
              <w:bottom w:val="single" w:sz="8" w:space="0" w:color="AEAEAE"/>
              <w:right w:val="single" w:sz="8" w:space="0" w:color="E0E0E0"/>
            </w:tcBorders>
            <w:shd w:val="clear" w:color="auto" w:fill="auto"/>
          </w:tcPr>
          <w:p w14:paraId="01467E8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.659</w:t>
            </w:r>
          </w:p>
        </w:tc>
        <w:tc>
          <w:tcPr>
            <w:tcW w:w="691" w:type="dxa"/>
            <w:tcBorders>
              <w:top w:val="single" w:sz="8" w:space="0" w:color="AEAEAE"/>
              <w:left w:val="single" w:sz="8" w:space="0" w:color="E0E0E0"/>
              <w:bottom w:val="single" w:sz="8" w:space="0" w:color="AEAEAE"/>
              <w:right w:val="single" w:sz="8" w:space="0" w:color="E0E0E0"/>
            </w:tcBorders>
            <w:shd w:val="clear" w:color="auto" w:fill="auto"/>
          </w:tcPr>
          <w:p w14:paraId="087054C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8.843</w:t>
            </w:r>
          </w:p>
        </w:tc>
        <w:tc>
          <w:tcPr>
            <w:tcW w:w="950" w:type="dxa"/>
            <w:tcBorders>
              <w:top w:val="single" w:sz="8" w:space="0" w:color="AEAEAE"/>
              <w:left w:val="single" w:sz="8" w:space="0" w:color="E0E0E0"/>
              <w:bottom w:val="single" w:sz="8" w:space="0" w:color="AEAEAE"/>
              <w:right w:val="nil"/>
            </w:tcBorders>
            <w:shd w:val="clear" w:color="auto" w:fill="auto"/>
          </w:tcPr>
          <w:p w14:paraId="587094C4"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r>
      <w:tr w:rsidR="00A95F46" w:rsidRPr="00400193" w14:paraId="79A92802" w14:textId="77777777" w:rsidTr="00A95F46">
        <w:trPr>
          <w:cantSplit/>
          <w:trHeight w:val="283"/>
        </w:trPr>
        <w:tc>
          <w:tcPr>
            <w:tcW w:w="8982" w:type="dxa"/>
            <w:gridSpan w:val="7"/>
            <w:tcBorders>
              <w:top w:val="single" w:sz="8" w:space="0" w:color="152935"/>
              <w:left w:val="nil"/>
              <w:bottom w:val="single" w:sz="4" w:space="0" w:color="FFFFFF" w:themeColor="background1"/>
              <w:right w:val="nil"/>
            </w:tcBorders>
            <w:shd w:val="clear" w:color="auto" w:fill="auto"/>
          </w:tcPr>
          <w:p w14:paraId="46A316A9" w14:textId="68D29B54" w:rsidR="00A95F46" w:rsidRPr="00400193" w:rsidRDefault="00A95F46" w:rsidP="00A95F4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As above, Dependent Variable: VW</w:t>
            </w:r>
          </w:p>
        </w:tc>
      </w:tr>
    </w:tbl>
    <w:p w14:paraId="37D5A8F5" w14:textId="4F3DB3E2" w:rsidR="006E3616" w:rsidRPr="00400193" w:rsidRDefault="006E3616" w:rsidP="006E3616">
      <w:pPr>
        <w:pStyle w:val="Caption"/>
      </w:pPr>
      <w:bookmarkStart w:id="602" w:name="_Ref51425447"/>
      <w:bookmarkStart w:id="603" w:name="_Toc5290160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57</w:t>
      </w:r>
      <w:r w:rsidRPr="00400193">
        <w:fldChar w:fldCharType="end"/>
      </w:r>
      <w:bookmarkEnd w:id="602"/>
      <w:r w:rsidRPr="00400193">
        <w:t>:</w:t>
      </w:r>
      <w:r w:rsidRPr="00400193">
        <w:rPr>
          <w:b w:val="0"/>
          <w:i w:val="0"/>
          <w:iCs w:val="0"/>
          <w:szCs w:val="22"/>
          <w:lang w:eastAsia="zh-CN" w:bidi="hi-IN"/>
        </w:rPr>
        <w:t xml:space="preserve"> </w:t>
      </w:r>
      <w:r w:rsidRPr="00400193">
        <w:rPr>
          <w:lang w:bidi="hi-IN"/>
        </w:rPr>
        <w:t>Coefficients</w:t>
      </w:r>
      <w:r w:rsidR="00A95F46" w:rsidRPr="00400193">
        <w:rPr>
          <w:lang w:bidi="hi-IN"/>
        </w:rPr>
        <w:t xml:space="preserve"> </w:t>
      </w:r>
      <w:r w:rsidR="00A95F46" w:rsidRPr="00400193">
        <w:rPr>
          <w:vertAlign w:val="superscript"/>
          <w:lang w:bidi="hi-IN"/>
        </w:rPr>
        <w:t xml:space="preserve">a </w:t>
      </w:r>
      <w:r w:rsidRPr="00400193">
        <w:rPr>
          <w:vertAlign w:val="superscript"/>
        </w:rPr>
        <w:t xml:space="preserve"> </w:t>
      </w:r>
      <w:r w:rsidRPr="00400193">
        <w:t>of the regression model VW</w:t>
      </w:r>
      <w:bookmarkEnd w:id="603"/>
    </w:p>
    <w:p w14:paraId="1ABF94A6" w14:textId="77777777" w:rsidR="006E3616" w:rsidRPr="00400193" w:rsidRDefault="006E3616" w:rsidP="006E3616">
      <w:pPr>
        <w:spacing w:line="240" w:lineRule="auto"/>
        <w:rPr>
          <w:b/>
          <w:bCs/>
          <w:lang w:eastAsia="zh-CN" w:bidi="hi-IN"/>
        </w:rPr>
      </w:pPr>
    </w:p>
    <w:p w14:paraId="42B66F62" w14:textId="77777777" w:rsidR="006E3616" w:rsidRPr="00400193" w:rsidRDefault="006E3616" w:rsidP="008F2086">
      <w:pPr>
        <w:pStyle w:val="Heading4"/>
        <w:rPr>
          <w:lang w:eastAsia="zh-CN" w:bidi="hi-IN"/>
        </w:rPr>
      </w:pPr>
      <w:bookmarkStart w:id="604" w:name="_Toc61894768"/>
      <w:r w:rsidRPr="00400193">
        <w:rPr>
          <w:lang w:eastAsia="zh-CN" w:bidi="hi-IN"/>
        </w:rPr>
        <w:t>Testing for Collinearity of the Independent Variables</w:t>
      </w:r>
      <w:bookmarkEnd w:id="604"/>
    </w:p>
    <w:p w14:paraId="6BDBDC97" w14:textId="4CBB2B33" w:rsidR="006E3616" w:rsidRPr="00400193" w:rsidRDefault="006E3616" w:rsidP="006E3616">
      <w:pPr>
        <w:rPr>
          <w:lang w:eastAsia="zh-CN" w:bidi="hi-IN"/>
        </w:rPr>
      </w:pPr>
      <w:r w:rsidRPr="00400193">
        <w:rPr>
          <w:lang w:eastAsia="zh-CN" w:bidi="hi-IN"/>
        </w:rPr>
        <w:t xml:space="preserve">Collinearity (or multicollinearity) is where one of the independent variables is a linear function of other independent variables. It is shown by the eigenvalues of the non-centred and scaled vector product matrix, the condition indices, and the proportions of the variance decomposition together with the variance inflation factors (IVF) and the </w:t>
      </w:r>
      <w:r w:rsidRPr="00400193">
        <w:rPr>
          <w:lang w:eastAsia="zh-CN" w:bidi="hi-IN"/>
        </w:rPr>
        <w:lastRenderedPageBreak/>
        <w:t>tolerances for the individual variables (Aiken et al.,</w:t>
      </w:r>
      <w:r w:rsidR="0019578D" w:rsidRPr="00400193">
        <w:rPr>
          <w:lang w:eastAsia="zh-CN" w:bidi="hi-IN"/>
        </w:rPr>
        <w:t xml:space="preserve"> </w:t>
      </w:r>
      <w:r w:rsidRPr="00400193">
        <w:rPr>
          <w:lang w:eastAsia="zh-CN" w:bidi="hi-IN"/>
        </w:rPr>
        <w:t>2012). The collinearity results for</w:t>
      </w:r>
      <w:r w:rsidR="006E7BA9" w:rsidRPr="00400193">
        <w:rPr>
          <w:lang w:eastAsia="zh-CN" w:bidi="hi-IN"/>
        </w:rPr>
        <w:t xml:space="preserve"> </w:t>
      </w:r>
      <w:r w:rsidRPr="00400193">
        <w:rPr>
          <w:lang w:eastAsia="zh-CN" w:bidi="hi-IN"/>
        </w:rPr>
        <w:t xml:space="preserve">the independent variables in this study are shown in </w:t>
      </w:r>
      <w:r w:rsidRPr="00400193">
        <w:rPr>
          <w:lang w:eastAsia="zh-CN" w:bidi="hi-IN"/>
        </w:rPr>
        <w:fldChar w:fldCharType="begin"/>
      </w:r>
      <w:r w:rsidRPr="00400193">
        <w:rPr>
          <w:lang w:eastAsia="zh-CN" w:bidi="hi-IN"/>
        </w:rPr>
        <w:instrText xml:space="preserve"> REF _Ref43498240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58</w:t>
      </w:r>
      <w:r w:rsidRPr="00400193">
        <w:rPr>
          <w:lang w:eastAsia="zh-CN" w:bidi="hi-IN"/>
        </w:rPr>
        <w:fldChar w:fldCharType="end"/>
      </w:r>
      <w:r w:rsidRPr="00400193">
        <w:rPr>
          <w:lang w:eastAsia="zh-CN" w:bidi="hi-IN"/>
        </w:rPr>
        <w:t>.</w:t>
      </w:r>
    </w:p>
    <w:tbl>
      <w:tblPr>
        <w:tblW w:w="88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4"/>
        <w:gridCol w:w="1174"/>
        <w:gridCol w:w="1174"/>
        <w:gridCol w:w="1409"/>
        <w:gridCol w:w="1870"/>
        <w:gridCol w:w="2473"/>
      </w:tblGrid>
      <w:tr w:rsidR="006E3616" w:rsidRPr="00400193" w14:paraId="610FE260" w14:textId="77777777" w:rsidTr="00A95F46">
        <w:trPr>
          <w:cantSplit/>
          <w:trHeight w:val="283"/>
        </w:trPr>
        <w:tc>
          <w:tcPr>
            <w:tcW w:w="8864" w:type="dxa"/>
            <w:gridSpan w:val="6"/>
            <w:tcBorders>
              <w:top w:val="nil"/>
              <w:left w:val="nil"/>
              <w:bottom w:val="nil"/>
              <w:right w:val="nil"/>
            </w:tcBorders>
            <w:shd w:val="clear" w:color="auto" w:fill="auto"/>
            <w:vAlign w:val="center"/>
          </w:tcPr>
          <w:p w14:paraId="6CAA6C7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10B8CDFF" w14:textId="77777777" w:rsidTr="00A95F46">
        <w:trPr>
          <w:cantSplit/>
          <w:trHeight w:val="283"/>
        </w:trPr>
        <w:tc>
          <w:tcPr>
            <w:tcW w:w="764" w:type="dxa"/>
            <w:vMerge w:val="restart"/>
            <w:tcBorders>
              <w:top w:val="nil"/>
              <w:left w:val="nil"/>
              <w:bottom w:val="nil"/>
              <w:right w:val="nil"/>
            </w:tcBorders>
            <w:shd w:val="clear" w:color="auto" w:fill="auto"/>
            <w:vAlign w:val="bottom"/>
          </w:tcPr>
          <w:p w14:paraId="396C72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74" w:type="dxa"/>
            <w:vMerge w:val="restart"/>
            <w:tcBorders>
              <w:top w:val="nil"/>
              <w:left w:val="nil"/>
              <w:bottom w:val="nil"/>
              <w:right w:val="nil"/>
            </w:tcBorders>
            <w:shd w:val="clear" w:color="auto" w:fill="auto"/>
            <w:vAlign w:val="bottom"/>
          </w:tcPr>
          <w:p w14:paraId="10694C9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74" w:type="dxa"/>
            <w:vMerge w:val="restart"/>
            <w:tcBorders>
              <w:top w:val="nil"/>
              <w:left w:val="nil"/>
              <w:bottom w:val="nil"/>
              <w:right w:val="single" w:sz="8" w:space="0" w:color="E0E0E0"/>
            </w:tcBorders>
            <w:shd w:val="clear" w:color="auto" w:fill="auto"/>
            <w:vAlign w:val="bottom"/>
          </w:tcPr>
          <w:p w14:paraId="32AAF55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09" w:type="dxa"/>
            <w:vMerge w:val="restart"/>
            <w:tcBorders>
              <w:top w:val="nil"/>
              <w:left w:val="single" w:sz="8" w:space="0" w:color="E0E0E0"/>
              <w:bottom w:val="nil"/>
              <w:right w:val="single" w:sz="8" w:space="0" w:color="E0E0E0"/>
            </w:tcBorders>
            <w:shd w:val="clear" w:color="auto" w:fill="auto"/>
            <w:vAlign w:val="bottom"/>
          </w:tcPr>
          <w:p w14:paraId="63922FC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342" w:type="dxa"/>
            <w:gridSpan w:val="2"/>
            <w:tcBorders>
              <w:top w:val="nil"/>
              <w:left w:val="single" w:sz="8" w:space="0" w:color="E0E0E0"/>
              <w:bottom w:val="nil"/>
              <w:right w:val="nil"/>
            </w:tcBorders>
            <w:shd w:val="clear" w:color="auto" w:fill="auto"/>
            <w:vAlign w:val="bottom"/>
          </w:tcPr>
          <w:p w14:paraId="7A4052E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4BFC5295" w14:textId="77777777" w:rsidTr="00A95F46">
        <w:trPr>
          <w:cantSplit/>
          <w:trHeight w:val="283"/>
        </w:trPr>
        <w:tc>
          <w:tcPr>
            <w:tcW w:w="764" w:type="dxa"/>
            <w:vMerge/>
            <w:tcBorders>
              <w:top w:val="nil"/>
              <w:left w:val="nil"/>
              <w:bottom w:val="nil"/>
              <w:right w:val="nil"/>
            </w:tcBorders>
            <w:shd w:val="clear" w:color="auto" w:fill="auto"/>
            <w:vAlign w:val="bottom"/>
          </w:tcPr>
          <w:p w14:paraId="1CC3691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4" w:type="dxa"/>
            <w:vMerge/>
            <w:tcBorders>
              <w:top w:val="nil"/>
              <w:left w:val="nil"/>
              <w:bottom w:val="nil"/>
              <w:right w:val="nil"/>
            </w:tcBorders>
            <w:shd w:val="clear" w:color="auto" w:fill="auto"/>
            <w:vAlign w:val="bottom"/>
          </w:tcPr>
          <w:p w14:paraId="0FA416D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4" w:type="dxa"/>
            <w:vMerge/>
            <w:tcBorders>
              <w:top w:val="nil"/>
              <w:left w:val="nil"/>
              <w:bottom w:val="nil"/>
              <w:right w:val="single" w:sz="8" w:space="0" w:color="E0E0E0"/>
            </w:tcBorders>
            <w:shd w:val="clear" w:color="auto" w:fill="auto"/>
            <w:vAlign w:val="bottom"/>
          </w:tcPr>
          <w:p w14:paraId="250DDEE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09" w:type="dxa"/>
            <w:vMerge/>
            <w:tcBorders>
              <w:top w:val="nil"/>
              <w:left w:val="single" w:sz="8" w:space="0" w:color="E0E0E0"/>
              <w:bottom w:val="nil"/>
              <w:right w:val="single" w:sz="8" w:space="0" w:color="E0E0E0"/>
            </w:tcBorders>
            <w:shd w:val="clear" w:color="auto" w:fill="auto"/>
            <w:vAlign w:val="bottom"/>
          </w:tcPr>
          <w:p w14:paraId="202CE36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870" w:type="dxa"/>
            <w:tcBorders>
              <w:top w:val="nil"/>
              <w:left w:val="single" w:sz="8" w:space="0" w:color="E0E0E0"/>
              <w:bottom w:val="single" w:sz="8" w:space="0" w:color="152935"/>
              <w:right w:val="single" w:sz="8" w:space="0" w:color="E0E0E0"/>
            </w:tcBorders>
            <w:shd w:val="clear" w:color="auto" w:fill="auto"/>
            <w:vAlign w:val="bottom"/>
          </w:tcPr>
          <w:p w14:paraId="751C31E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2471" w:type="dxa"/>
            <w:tcBorders>
              <w:top w:val="nil"/>
              <w:left w:val="single" w:sz="8" w:space="0" w:color="E0E0E0"/>
              <w:bottom w:val="single" w:sz="8" w:space="0" w:color="152935"/>
              <w:right w:val="nil"/>
            </w:tcBorders>
            <w:shd w:val="clear" w:color="auto" w:fill="auto"/>
            <w:vAlign w:val="bottom"/>
          </w:tcPr>
          <w:p w14:paraId="55B2EB5E" w14:textId="451D2658"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r>
      <w:tr w:rsidR="006E3616" w:rsidRPr="00400193" w14:paraId="087332F9" w14:textId="77777777" w:rsidTr="00A95F46">
        <w:trPr>
          <w:cantSplit/>
          <w:trHeight w:val="283"/>
        </w:trPr>
        <w:tc>
          <w:tcPr>
            <w:tcW w:w="764" w:type="dxa"/>
            <w:vMerge w:val="restart"/>
            <w:tcBorders>
              <w:top w:val="single" w:sz="8" w:space="0" w:color="152935"/>
              <w:left w:val="nil"/>
              <w:bottom w:val="single" w:sz="8" w:space="0" w:color="152935"/>
              <w:right w:val="nil"/>
            </w:tcBorders>
            <w:shd w:val="clear" w:color="auto" w:fill="auto"/>
          </w:tcPr>
          <w:p w14:paraId="29F90B6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74" w:type="dxa"/>
            <w:tcBorders>
              <w:top w:val="single" w:sz="8" w:space="0" w:color="152935"/>
              <w:left w:val="nil"/>
              <w:bottom w:val="single" w:sz="8" w:space="0" w:color="AEAEAE"/>
              <w:right w:val="nil"/>
            </w:tcBorders>
            <w:shd w:val="clear" w:color="auto" w:fill="auto"/>
          </w:tcPr>
          <w:p w14:paraId="5236354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74" w:type="dxa"/>
            <w:tcBorders>
              <w:top w:val="single" w:sz="8" w:space="0" w:color="152935"/>
              <w:left w:val="nil"/>
              <w:bottom w:val="single" w:sz="8" w:space="0" w:color="AEAEAE"/>
              <w:right w:val="single" w:sz="8" w:space="0" w:color="E0E0E0"/>
            </w:tcBorders>
            <w:shd w:val="clear" w:color="auto" w:fill="auto"/>
          </w:tcPr>
          <w:p w14:paraId="04A678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1.972</w:t>
            </w:r>
          </w:p>
        </w:tc>
        <w:tc>
          <w:tcPr>
            <w:tcW w:w="1409" w:type="dxa"/>
            <w:tcBorders>
              <w:top w:val="single" w:sz="8" w:space="0" w:color="152935"/>
              <w:left w:val="single" w:sz="8" w:space="0" w:color="E0E0E0"/>
              <w:bottom w:val="single" w:sz="8" w:space="0" w:color="AEAEAE"/>
              <w:right w:val="single" w:sz="8" w:space="0" w:color="E0E0E0"/>
            </w:tcBorders>
            <w:shd w:val="clear" w:color="auto" w:fill="auto"/>
          </w:tcPr>
          <w:p w14:paraId="0160F7F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870" w:type="dxa"/>
            <w:tcBorders>
              <w:top w:val="single" w:sz="8" w:space="0" w:color="152935"/>
              <w:left w:val="single" w:sz="8" w:space="0" w:color="E0E0E0"/>
              <w:bottom w:val="single" w:sz="8" w:space="0" w:color="AEAEAE"/>
              <w:right w:val="single" w:sz="8" w:space="0" w:color="E0E0E0"/>
            </w:tcBorders>
            <w:shd w:val="clear" w:color="auto" w:fill="auto"/>
          </w:tcPr>
          <w:p w14:paraId="00156C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471" w:type="dxa"/>
            <w:tcBorders>
              <w:top w:val="single" w:sz="8" w:space="0" w:color="152935"/>
              <w:left w:val="single" w:sz="8" w:space="0" w:color="E0E0E0"/>
              <w:bottom w:val="single" w:sz="8" w:space="0" w:color="AEAEAE"/>
              <w:right w:val="nil"/>
            </w:tcBorders>
            <w:shd w:val="clear" w:color="auto" w:fill="auto"/>
          </w:tcPr>
          <w:p w14:paraId="50F9565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r>
      <w:tr w:rsidR="006E3616" w:rsidRPr="00400193" w14:paraId="73936687" w14:textId="77777777" w:rsidTr="00A95F46">
        <w:trPr>
          <w:cantSplit/>
          <w:trHeight w:val="283"/>
        </w:trPr>
        <w:tc>
          <w:tcPr>
            <w:tcW w:w="764" w:type="dxa"/>
            <w:vMerge/>
            <w:tcBorders>
              <w:top w:val="single" w:sz="8" w:space="0" w:color="152935"/>
              <w:left w:val="nil"/>
              <w:bottom w:val="single" w:sz="8" w:space="0" w:color="152935"/>
              <w:right w:val="nil"/>
            </w:tcBorders>
            <w:shd w:val="clear" w:color="auto" w:fill="auto"/>
          </w:tcPr>
          <w:p w14:paraId="4677271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4" w:type="dxa"/>
            <w:tcBorders>
              <w:top w:val="single" w:sz="8" w:space="0" w:color="AEAEAE"/>
              <w:left w:val="nil"/>
              <w:bottom w:val="single" w:sz="8" w:space="0" w:color="152935"/>
              <w:right w:val="nil"/>
            </w:tcBorders>
            <w:shd w:val="clear" w:color="auto" w:fill="auto"/>
          </w:tcPr>
          <w:p w14:paraId="6424674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74" w:type="dxa"/>
            <w:tcBorders>
              <w:top w:val="single" w:sz="8" w:space="0" w:color="AEAEAE"/>
              <w:left w:val="nil"/>
              <w:bottom w:val="single" w:sz="8" w:space="0" w:color="152935"/>
              <w:right w:val="single" w:sz="8" w:space="0" w:color="E0E0E0"/>
            </w:tcBorders>
            <w:shd w:val="clear" w:color="auto" w:fill="auto"/>
          </w:tcPr>
          <w:p w14:paraId="639A6C7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.028</w:t>
            </w:r>
          </w:p>
        </w:tc>
        <w:tc>
          <w:tcPr>
            <w:tcW w:w="1409" w:type="dxa"/>
            <w:tcBorders>
              <w:top w:val="single" w:sz="8" w:space="0" w:color="AEAEAE"/>
              <w:left w:val="single" w:sz="8" w:space="0" w:color="E0E0E0"/>
              <w:bottom w:val="single" w:sz="8" w:space="0" w:color="152935"/>
              <w:right w:val="single" w:sz="8" w:space="0" w:color="E0E0E0"/>
            </w:tcBorders>
            <w:shd w:val="clear" w:color="auto" w:fill="auto"/>
          </w:tcPr>
          <w:p w14:paraId="364056D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8.318</w:t>
            </w:r>
          </w:p>
        </w:tc>
        <w:tc>
          <w:tcPr>
            <w:tcW w:w="1870" w:type="dxa"/>
            <w:tcBorders>
              <w:top w:val="single" w:sz="8" w:space="0" w:color="AEAEAE"/>
              <w:left w:val="single" w:sz="8" w:space="0" w:color="E0E0E0"/>
              <w:bottom w:val="single" w:sz="8" w:space="0" w:color="152935"/>
              <w:right w:val="single" w:sz="8" w:space="0" w:color="E0E0E0"/>
            </w:tcBorders>
            <w:shd w:val="clear" w:color="auto" w:fill="auto"/>
          </w:tcPr>
          <w:p w14:paraId="5D4F69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c>
          <w:tcPr>
            <w:tcW w:w="2471" w:type="dxa"/>
            <w:tcBorders>
              <w:top w:val="single" w:sz="8" w:space="0" w:color="AEAEAE"/>
              <w:left w:val="single" w:sz="8" w:space="0" w:color="E0E0E0"/>
              <w:bottom w:val="single" w:sz="8" w:space="0" w:color="152935"/>
              <w:right w:val="nil"/>
            </w:tcBorders>
            <w:shd w:val="clear" w:color="auto" w:fill="auto"/>
          </w:tcPr>
          <w:p w14:paraId="4A8536C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r>
      <w:tr w:rsidR="006E3616" w:rsidRPr="00400193" w14:paraId="0DD1A035" w14:textId="77777777" w:rsidTr="00A95F46">
        <w:trPr>
          <w:cantSplit/>
          <w:trHeight w:val="283"/>
        </w:trPr>
        <w:tc>
          <w:tcPr>
            <w:tcW w:w="8864" w:type="dxa"/>
            <w:gridSpan w:val="6"/>
            <w:tcBorders>
              <w:top w:val="nil"/>
              <w:left w:val="nil"/>
              <w:bottom w:val="nil"/>
              <w:right w:val="nil"/>
            </w:tcBorders>
            <w:shd w:val="clear" w:color="auto" w:fill="auto"/>
          </w:tcPr>
          <w:p w14:paraId="78D13B0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3DFBDB0F" w14:textId="03EA3A52" w:rsidR="006E3616" w:rsidRPr="00400193" w:rsidRDefault="006E3616" w:rsidP="006E3616">
      <w:pPr>
        <w:pStyle w:val="Caption"/>
        <w:spacing w:after="240"/>
        <w:rPr>
          <w:lang w:eastAsia="zh-CN" w:bidi="hi-IN"/>
        </w:rPr>
      </w:pPr>
      <w:bookmarkStart w:id="605" w:name="_Ref43498240"/>
      <w:bookmarkStart w:id="606" w:name="_Toc5290160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58</w:t>
      </w:r>
      <w:r w:rsidRPr="00400193">
        <w:fldChar w:fldCharType="end"/>
      </w:r>
      <w:bookmarkEnd w:id="605"/>
      <w:r w:rsidRPr="00400193">
        <w:t>: Testing the collinearity between variables for VW</w:t>
      </w:r>
      <w:bookmarkEnd w:id="606"/>
    </w:p>
    <w:p w14:paraId="020FA512" w14:textId="5541D32E" w:rsidR="006E3616" w:rsidRPr="00400193" w:rsidRDefault="006E3616" w:rsidP="006E3616">
      <w:pPr>
        <w:rPr>
          <w:lang w:eastAsia="zh-CN" w:bidi="hi-IN"/>
        </w:rPr>
      </w:pPr>
      <w:r w:rsidRPr="00400193">
        <w:rPr>
          <w:lang w:eastAsia="zh-CN" w:bidi="hi-IN"/>
        </w:rPr>
        <w:t xml:space="preserve">Condition index is used to interpret the results (West et al., 2012), which is the square root of the quotient between the maximum and the minimum eigenvalues. This assesses whether there is collinearity among the independent variables or not. If the condition index is greater than 30, there is a high collinearity. If it is greater than 10 and less than 30, the collinearity is moderate, and if it is less than 10, there is no collinearity. Weiner et al. (2013, p134) noted that a </w:t>
      </w:r>
      <w:r w:rsidRPr="00400193">
        <w:rPr>
          <w:i/>
          <w:iCs/>
          <w:lang w:eastAsia="zh-CN" w:bidi="hi-IN"/>
        </w:rPr>
        <w:t>“condition index greater than 30 for a given root (dimension) coupled with at least two variance proportions for individual variables greater than 0.5”</w:t>
      </w:r>
      <w:r w:rsidRPr="00400193">
        <w:rPr>
          <w:lang w:eastAsia="zh-CN" w:bidi="hi-IN"/>
        </w:rPr>
        <w:t xml:space="preserve"> indicate the existence of collinearity. </w:t>
      </w:r>
      <w:r w:rsidRPr="00400193">
        <w:rPr>
          <w:lang w:eastAsia="zh-CN" w:bidi="hi-IN"/>
        </w:rPr>
        <w:fldChar w:fldCharType="begin"/>
      </w:r>
      <w:r w:rsidRPr="00400193">
        <w:rPr>
          <w:lang w:eastAsia="zh-CN" w:bidi="hi-IN"/>
        </w:rPr>
        <w:instrText xml:space="preserve"> REF _Ref43498240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58</w:t>
      </w:r>
      <w:r w:rsidRPr="00400193">
        <w:rPr>
          <w:lang w:eastAsia="zh-CN" w:bidi="hi-IN"/>
        </w:rPr>
        <w:fldChar w:fldCharType="end"/>
      </w:r>
      <w:r w:rsidRPr="00400193">
        <w:rPr>
          <w:lang w:eastAsia="zh-CN" w:bidi="hi-IN"/>
        </w:rPr>
        <w:t xml:space="preserve"> shows that the condition index for all variables was less than 10, so there was no evidence of any collinearity in the selected regression model. </w:t>
      </w:r>
    </w:p>
    <w:p w14:paraId="2D3C561E" w14:textId="77777777" w:rsidR="006E3616" w:rsidRPr="00400193" w:rsidRDefault="006E3616" w:rsidP="008F2086">
      <w:pPr>
        <w:pStyle w:val="Heading4"/>
        <w:rPr>
          <w:lang w:eastAsia="zh-CN" w:bidi="hi-IN"/>
        </w:rPr>
      </w:pPr>
      <w:bookmarkStart w:id="607" w:name="_Toc28025978"/>
      <w:bookmarkStart w:id="608" w:name="_Toc61894769"/>
      <w:r w:rsidRPr="00400193">
        <w:rPr>
          <w:lang w:eastAsia="zh-CN" w:bidi="hi-IN"/>
        </w:rPr>
        <w:t>Examining Residuals using Scatter Plots</w:t>
      </w:r>
      <w:bookmarkEnd w:id="607"/>
      <w:bookmarkEnd w:id="608"/>
      <w:r w:rsidRPr="00400193">
        <w:rPr>
          <w:lang w:eastAsia="zh-CN" w:bidi="hi-IN"/>
        </w:rPr>
        <w:t xml:space="preserve"> </w:t>
      </w:r>
    </w:p>
    <w:p w14:paraId="7EC087AD" w14:textId="61A8C593" w:rsidR="006E3616" w:rsidRPr="00400193" w:rsidRDefault="006E3616" w:rsidP="006E3616">
      <w:pPr>
        <w:rPr>
          <w:lang w:eastAsia="zh-CN" w:bidi="hi-IN"/>
        </w:rPr>
      </w:pPr>
      <w:r w:rsidRPr="00400193">
        <w:rPr>
          <w:lang w:eastAsia="zh-CN" w:bidi="hi-IN"/>
        </w:rPr>
        <w:t>Most of the assumptions of multiple regression cannot be confirmed, but it is possible to perceive deviations from these assumptions (Smith,</w:t>
      </w:r>
      <w:r w:rsidR="0019578D" w:rsidRPr="00400193">
        <w:rPr>
          <w:lang w:eastAsia="zh-CN" w:bidi="hi-IN"/>
        </w:rPr>
        <w:t xml:space="preserve"> </w:t>
      </w:r>
      <w:r w:rsidRPr="00400193">
        <w:rPr>
          <w:lang w:eastAsia="zh-CN" w:bidi="hi-IN"/>
        </w:rPr>
        <w:t>2014). Outliers (that is, extreme observations) can produce a shift in the estimates, "shifting" the regression line and producing a change in the regression coefficients. The elimination of just one extreme observation can often lead to a totally different result (West et al., 2012).</w:t>
      </w:r>
    </w:p>
    <w:p w14:paraId="3B21F355" w14:textId="4D1ADDE0" w:rsidR="006E3616" w:rsidRPr="00400193" w:rsidRDefault="006E3616" w:rsidP="006E3616">
      <w:pPr>
        <w:rPr>
          <w:lang w:eastAsia="zh-CN" w:bidi="hi-IN"/>
        </w:rPr>
      </w:pPr>
      <w:r w:rsidRPr="00400193">
        <w:rPr>
          <w:lang w:eastAsia="zh-CN" w:bidi="hi-IN"/>
        </w:rPr>
        <w:t xml:space="preserve">The residual statistics obtained from the regression analysis are shown in </w:t>
      </w:r>
      <w:r w:rsidR="00A95F46" w:rsidRPr="00400193">
        <w:rPr>
          <w:lang w:eastAsia="zh-CN" w:bidi="hi-IN"/>
        </w:rPr>
        <w:fldChar w:fldCharType="begin"/>
      </w:r>
      <w:r w:rsidR="00A95F46" w:rsidRPr="00400193">
        <w:rPr>
          <w:lang w:eastAsia="zh-CN" w:bidi="hi-IN"/>
        </w:rPr>
        <w:instrText xml:space="preserve"> REF _Ref51425640 \h </w:instrText>
      </w:r>
      <w:r w:rsidR="00A95F46" w:rsidRPr="00400193">
        <w:rPr>
          <w:lang w:eastAsia="zh-CN" w:bidi="hi-IN"/>
        </w:rPr>
      </w:r>
      <w:r w:rsidR="00A95F4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59</w:t>
      </w:r>
      <w:r w:rsidR="00A95F46" w:rsidRPr="00400193">
        <w:rPr>
          <w:lang w:eastAsia="zh-CN" w:bidi="hi-IN"/>
        </w:rPr>
        <w:fldChar w:fldCharType="end"/>
      </w:r>
      <w:r w:rsidRPr="00400193">
        <w:rPr>
          <w:lang w:eastAsia="zh-CN" w:bidi="hi-IN"/>
        </w:rPr>
        <w:t xml:space="preserve"> The residual mean is zero.</w:t>
      </w: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02"/>
        <w:gridCol w:w="1030"/>
        <w:gridCol w:w="1060"/>
        <w:gridCol w:w="987"/>
        <w:gridCol w:w="1957"/>
        <w:gridCol w:w="1973"/>
      </w:tblGrid>
      <w:tr w:rsidR="006E3616" w:rsidRPr="00400193" w14:paraId="0700D8F9" w14:textId="77777777" w:rsidTr="00A95F46">
        <w:trPr>
          <w:cantSplit/>
          <w:trHeight w:val="283"/>
        </w:trPr>
        <w:tc>
          <w:tcPr>
            <w:tcW w:w="8909" w:type="dxa"/>
            <w:gridSpan w:val="6"/>
            <w:tcBorders>
              <w:top w:val="nil"/>
              <w:left w:val="nil"/>
              <w:bottom w:val="nil"/>
              <w:right w:val="nil"/>
            </w:tcBorders>
            <w:shd w:val="clear" w:color="auto" w:fill="FFFFFF"/>
            <w:vAlign w:val="center"/>
          </w:tcPr>
          <w:p w14:paraId="2080C48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7D36B8F1" w14:textId="77777777" w:rsidTr="00A95F46">
        <w:trPr>
          <w:cantSplit/>
          <w:trHeight w:val="283"/>
        </w:trPr>
        <w:tc>
          <w:tcPr>
            <w:tcW w:w="1902" w:type="dxa"/>
            <w:tcBorders>
              <w:top w:val="nil"/>
              <w:left w:val="nil"/>
              <w:bottom w:val="single" w:sz="8" w:space="0" w:color="152935"/>
              <w:right w:val="nil"/>
            </w:tcBorders>
            <w:shd w:val="clear" w:color="auto" w:fill="FFFFFF"/>
            <w:vAlign w:val="bottom"/>
          </w:tcPr>
          <w:p w14:paraId="46907F1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0" w:type="dxa"/>
            <w:tcBorders>
              <w:top w:val="nil"/>
              <w:left w:val="nil"/>
              <w:bottom w:val="single" w:sz="8" w:space="0" w:color="152935"/>
              <w:right w:val="single" w:sz="8" w:space="0" w:color="E0E0E0"/>
            </w:tcBorders>
            <w:shd w:val="clear" w:color="auto" w:fill="FFFFFF"/>
            <w:vAlign w:val="bottom"/>
          </w:tcPr>
          <w:p w14:paraId="30680C1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0" w:type="dxa"/>
            <w:tcBorders>
              <w:top w:val="nil"/>
              <w:left w:val="single" w:sz="8" w:space="0" w:color="E0E0E0"/>
              <w:bottom w:val="single" w:sz="8" w:space="0" w:color="152935"/>
              <w:right w:val="single" w:sz="8" w:space="0" w:color="E0E0E0"/>
            </w:tcBorders>
            <w:shd w:val="clear" w:color="auto" w:fill="FFFFFF"/>
            <w:vAlign w:val="bottom"/>
          </w:tcPr>
          <w:p w14:paraId="22A3ADF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7" w:type="dxa"/>
            <w:tcBorders>
              <w:top w:val="nil"/>
              <w:left w:val="single" w:sz="8" w:space="0" w:color="E0E0E0"/>
              <w:bottom w:val="single" w:sz="8" w:space="0" w:color="152935"/>
              <w:right w:val="single" w:sz="8" w:space="0" w:color="E0E0E0"/>
            </w:tcBorders>
            <w:shd w:val="clear" w:color="auto" w:fill="FFFFFF"/>
            <w:vAlign w:val="bottom"/>
          </w:tcPr>
          <w:p w14:paraId="7C5487C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957" w:type="dxa"/>
            <w:tcBorders>
              <w:top w:val="nil"/>
              <w:left w:val="single" w:sz="8" w:space="0" w:color="E0E0E0"/>
              <w:bottom w:val="single" w:sz="8" w:space="0" w:color="152935"/>
              <w:right w:val="single" w:sz="8" w:space="0" w:color="E0E0E0"/>
            </w:tcBorders>
            <w:shd w:val="clear" w:color="auto" w:fill="FFFFFF"/>
            <w:vAlign w:val="bottom"/>
          </w:tcPr>
          <w:p w14:paraId="51E9FB5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1973" w:type="dxa"/>
            <w:tcBorders>
              <w:top w:val="nil"/>
              <w:left w:val="single" w:sz="8" w:space="0" w:color="E0E0E0"/>
              <w:bottom w:val="single" w:sz="8" w:space="0" w:color="152935"/>
              <w:right w:val="nil"/>
            </w:tcBorders>
            <w:shd w:val="clear" w:color="auto" w:fill="FFFFFF"/>
            <w:vAlign w:val="bottom"/>
          </w:tcPr>
          <w:p w14:paraId="185B2F6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1402F19C" w14:textId="77777777" w:rsidTr="00A95F46">
        <w:trPr>
          <w:cantSplit/>
          <w:trHeight w:val="283"/>
        </w:trPr>
        <w:tc>
          <w:tcPr>
            <w:tcW w:w="1902" w:type="dxa"/>
            <w:tcBorders>
              <w:top w:val="single" w:sz="8" w:space="0" w:color="152935"/>
              <w:left w:val="nil"/>
              <w:bottom w:val="single" w:sz="8" w:space="0" w:color="AEAEAE"/>
              <w:right w:val="nil"/>
            </w:tcBorders>
            <w:shd w:val="clear" w:color="auto" w:fill="auto"/>
          </w:tcPr>
          <w:p w14:paraId="3761E1A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0" w:type="dxa"/>
            <w:tcBorders>
              <w:top w:val="single" w:sz="8" w:space="0" w:color="152935"/>
              <w:left w:val="nil"/>
              <w:bottom w:val="single" w:sz="8" w:space="0" w:color="AEAEAE"/>
              <w:right w:val="single" w:sz="8" w:space="0" w:color="E0E0E0"/>
            </w:tcBorders>
            <w:shd w:val="clear" w:color="auto" w:fill="auto"/>
          </w:tcPr>
          <w:p w14:paraId="411B618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2.1090</w:t>
            </w:r>
          </w:p>
        </w:tc>
        <w:tc>
          <w:tcPr>
            <w:tcW w:w="1060" w:type="dxa"/>
            <w:tcBorders>
              <w:top w:val="single" w:sz="8" w:space="0" w:color="152935"/>
              <w:left w:val="single" w:sz="8" w:space="0" w:color="E0E0E0"/>
              <w:bottom w:val="single" w:sz="8" w:space="0" w:color="AEAEAE"/>
              <w:right w:val="single" w:sz="8" w:space="0" w:color="E0E0E0"/>
            </w:tcBorders>
            <w:shd w:val="clear" w:color="auto" w:fill="auto"/>
          </w:tcPr>
          <w:p w14:paraId="5279039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4.0253</w:t>
            </w:r>
          </w:p>
        </w:tc>
        <w:tc>
          <w:tcPr>
            <w:tcW w:w="987" w:type="dxa"/>
            <w:tcBorders>
              <w:top w:val="single" w:sz="8" w:space="0" w:color="152935"/>
              <w:left w:val="single" w:sz="8" w:space="0" w:color="E0E0E0"/>
              <w:bottom w:val="single" w:sz="8" w:space="0" w:color="AEAEAE"/>
              <w:right w:val="single" w:sz="8" w:space="0" w:color="E0E0E0"/>
            </w:tcBorders>
            <w:shd w:val="clear" w:color="auto" w:fill="auto"/>
          </w:tcPr>
          <w:p w14:paraId="078B43E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957" w:type="dxa"/>
            <w:tcBorders>
              <w:top w:val="single" w:sz="8" w:space="0" w:color="152935"/>
              <w:left w:val="single" w:sz="8" w:space="0" w:color="E0E0E0"/>
              <w:bottom w:val="single" w:sz="8" w:space="0" w:color="AEAEAE"/>
              <w:right w:val="single" w:sz="8" w:space="0" w:color="E0E0E0"/>
            </w:tcBorders>
            <w:shd w:val="clear" w:color="auto" w:fill="auto"/>
          </w:tcPr>
          <w:p w14:paraId="04B9719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.39115</w:t>
            </w:r>
          </w:p>
        </w:tc>
        <w:tc>
          <w:tcPr>
            <w:tcW w:w="1973" w:type="dxa"/>
            <w:tcBorders>
              <w:top w:val="single" w:sz="8" w:space="0" w:color="152935"/>
              <w:left w:val="single" w:sz="8" w:space="0" w:color="E0E0E0"/>
              <w:bottom w:val="single" w:sz="8" w:space="0" w:color="AEAEAE"/>
              <w:right w:val="nil"/>
            </w:tcBorders>
            <w:shd w:val="clear" w:color="auto" w:fill="auto"/>
          </w:tcPr>
          <w:p w14:paraId="594701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C1C1AE6" w14:textId="77777777" w:rsidTr="00A95F46">
        <w:trPr>
          <w:cantSplit/>
          <w:trHeight w:val="283"/>
        </w:trPr>
        <w:tc>
          <w:tcPr>
            <w:tcW w:w="1902" w:type="dxa"/>
            <w:tcBorders>
              <w:top w:val="single" w:sz="8" w:space="0" w:color="AEAEAE"/>
              <w:left w:val="nil"/>
              <w:bottom w:val="single" w:sz="8" w:space="0" w:color="AEAEAE"/>
              <w:right w:val="nil"/>
            </w:tcBorders>
            <w:shd w:val="clear" w:color="auto" w:fill="auto"/>
          </w:tcPr>
          <w:p w14:paraId="4FFB9E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0" w:type="dxa"/>
            <w:tcBorders>
              <w:top w:val="single" w:sz="8" w:space="0" w:color="AEAEAE"/>
              <w:left w:val="nil"/>
              <w:bottom w:val="single" w:sz="8" w:space="0" w:color="AEAEAE"/>
              <w:right w:val="single" w:sz="8" w:space="0" w:color="E0E0E0"/>
            </w:tcBorders>
            <w:shd w:val="clear" w:color="auto" w:fill="auto"/>
          </w:tcPr>
          <w:p w14:paraId="02E945E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−1.89893</w:t>
            </w:r>
          </w:p>
        </w:tc>
        <w:tc>
          <w:tcPr>
            <w:tcW w:w="1060" w:type="dxa"/>
            <w:tcBorders>
              <w:top w:val="single" w:sz="8" w:space="0" w:color="AEAEAE"/>
              <w:left w:val="single" w:sz="8" w:space="0" w:color="E0E0E0"/>
              <w:bottom w:val="single" w:sz="8" w:space="0" w:color="AEAEAE"/>
              <w:right w:val="single" w:sz="8" w:space="0" w:color="E0E0E0"/>
            </w:tcBorders>
            <w:shd w:val="clear" w:color="auto" w:fill="auto"/>
          </w:tcPr>
          <w:p w14:paraId="4A2BC24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1.02106</w:t>
            </w:r>
          </w:p>
        </w:tc>
        <w:tc>
          <w:tcPr>
            <w:tcW w:w="987" w:type="dxa"/>
            <w:tcBorders>
              <w:top w:val="single" w:sz="8" w:space="0" w:color="AEAEAE"/>
              <w:left w:val="single" w:sz="8" w:space="0" w:color="E0E0E0"/>
              <w:bottom w:val="single" w:sz="8" w:space="0" w:color="AEAEAE"/>
              <w:right w:val="single" w:sz="8" w:space="0" w:color="E0E0E0"/>
            </w:tcBorders>
            <w:shd w:val="clear" w:color="auto" w:fill="auto"/>
          </w:tcPr>
          <w:p w14:paraId="0BC9E8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957" w:type="dxa"/>
            <w:tcBorders>
              <w:top w:val="single" w:sz="8" w:space="0" w:color="AEAEAE"/>
              <w:left w:val="single" w:sz="8" w:space="0" w:color="E0E0E0"/>
              <w:bottom w:val="single" w:sz="8" w:space="0" w:color="AEAEAE"/>
              <w:right w:val="single" w:sz="8" w:space="0" w:color="E0E0E0"/>
            </w:tcBorders>
            <w:shd w:val="clear" w:color="auto" w:fill="auto"/>
          </w:tcPr>
          <w:p w14:paraId="5BF5EA3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.44675</w:t>
            </w:r>
          </w:p>
        </w:tc>
        <w:tc>
          <w:tcPr>
            <w:tcW w:w="1973" w:type="dxa"/>
            <w:tcBorders>
              <w:top w:val="single" w:sz="8" w:space="0" w:color="AEAEAE"/>
              <w:left w:val="single" w:sz="8" w:space="0" w:color="E0E0E0"/>
              <w:bottom w:val="single" w:sz="8" w:space="0" w:color="AEAEAE"/>
              <w:right w:val="nil"/>
            </w:tcBorders>
            <w:shd w:val="clear" w:color="auto" w:fill="auto"/>
          </w:tcPr>
          <w:p w14:paraId="04278B6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EFA09B9" w14:textId="77777777" w:rsidTr="00A95F46">
        <w:trPr>
          <w:cantSplit/>
          <w:trHeight w:val="283"/>
        </w:trPr>
        <w:tc>
          <w:tcPr>
            <w:tcW w:w="1902" w:type="dxa"/>
            <w:tcBorders>
              <w:top w:val="single" w:sz="8" w:space="0" w:color="AEAEAE"/>
              <w:left w:val="nil"/>
              <w:bottom w:val="single" w:sz="8" w:space="0" w:color="AEAEAE"/>
              <w:right w:val="nil"/>
            </w:tcBorders>
            <w:shd w:val="clear" w:color="auto" w:fill="auto"/>
          </w:tcPr>
          <w:p w14:paraId="5D40EF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0" w:type="dxa"/>
            <w:tcBorders>
              <w:top w:val="single" w:sz="8" w:space="0" w:color="AEAEAE"/>
              <w:left w:val="nil"/>
              <w:bottom w:val="single" w:sz="8" w:space="0" w:color="AEAEAE"/>
              <w:right w:val="single" w:sz="8" w:space="0" w:color="E0E0E0"/>
            </w:tcBorders>
            <w:shd w:val="clear" w:color="auto" w:fill="auto"/>
          </w:tcPr>
          <w:p w14:paraId="1F1DC02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−2.795</w:t>
            </w:r>
          </w:p>
        </w:tc>
        <w:tc>
          <w:tcPr>
            <w:tcW w:w="1060" w:type="dxa"/>
            <w:tcBorders>
              <w:top w:val="single" w:sz="8" w:space="0" w:color="AEAEAE"/>
              <w:left w:val="single" w:sz="8" w:space="0" w:color="E0E0E0"/>
              <w:bottom w:val="single" w:sz="8" w:space="0" w:color="AEAEAE"/>
              <w:right w:val="single" w:sz="8" w:space="0" w:color="E0E0E0"/>
            </w:tcBorders>
            <w:shd w:val="clear" w:color="auto" w:fill="auto"/>
          </w:tcPr>
          <w:p w14:paraId="5362246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2.104</w:t>
            </w:r>
          </w:p>
        </w:tc>
        <w:tc>
          <w:tcPr>
            <w:tcW w:w="987" w:type="dxa"/>
            <w:tcBorders>
              <w:top w:val="single" w:sz="8" w:space="0" w:color="AEAEAE"/>
              <w:left w:val="single" w:sz="8" w:space="0" w:color="E0E0E0"/>
              <w:bottom w:val="single" w:sz="8" w:space="0" w:color="AEAEAE"/>
              <w:right w:val="single" w:sz="8" w:space="0" w:color="E0E0E0"/>
            </w:tcBorders>
            <w:shd w:val="clear" w:color="auto" w:fill="auto"/>
          </w:tcPr>
          <w:p w14:paraId="771BB47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57" w:type="dxa"/>
            <w:tcBorders>
              <w:top w:val="single" w:sz="8" w:space="0" w:color="AEAEAE"/>
              <w:left w:val="single" w:sz="8" w:space="0" w:color="E0E0E0"/>
              <w:bottom w:val="single" w:sz="8" w:space="0" w:color="AEAEAE"/>
              <w:right w:val="single" w:sz="8" w:space="0" w:color="E0E0E0"/>
            </w:tcBorders>
            <w:shd w:val="clear" w:color="auto" w:fill="auto"/>
          </w:tcPr>
          <w:p w14:paraId="7CE7681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973" w:type="dxa"/>
            <w:tcBorders>
              <w:top w:val="single" w:sz="8" w:space="0" w:color="AEAEAE"/>
              <w:left w:val="single" w:sz="8" w:space="0" w:color="E0E0E0"/>
              <w:bottom w:val="single" w:sz="8" w:space="0" w:color="AEAEAE"/>
              <w:right w:val="nil"/>
            </w:tcBorders>
            <w:shd w:val="clear" w:color="auto" w:fill="auto"/>
          </w:tcPr>
          <w:p w14:paraId="5491F89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7A0F965" w14:textId="77777777" w:rsidTr="00A95F46">
        <w:trPr>
          <w:cantSplit/>
          <w:trHeight w:val="283"/>
        </w:trPr>
        <w:tc>
          <w:tcPr>
            <w:tcW w:w="1902" w:type="dxa"/>
            <w:tcBorders>
              <w:top w:val="single" w:sz="8" w:space="0" w:color="AEAEAE"/>
              <w:left w:val="nil"/>
              <w:bottom w:val="single" w:sz="8" w:space="0" w:color="152935"/>
              <w:right w:val="nil"/>
            </w:tcBorders>
            <w:shd w:val="clear" w:color="auto" w:fill="auto"/>
          </w:tcPr>
          <w:p w14:paraId="5953F4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0" w:type="dxa"/>
            <w:tcBorders>
              <w:top w:val="single" w:sz="8" w:space="0" w:color="AEAEAE"/>
              <w:left w:val="nil"/>
              <w:bottom w:val="single" w:sz="8" w:space="0" w:color="152935"/>
              <w:right w:val="single" w:sz="8" w:space="0" w:color="E0E0E0"/>
            </w:tcBorders>
            <w:shd w:val="clear" w:color="auto" w:fill="auto"/>
          </w:tcPr>
          <w:p w14:paraId="04E104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−4.230</w:t>
            </w:r>
          </w:p>
        </w:tc>
        <w:tc>
          <w:tcPr>
            <w:tcW w:w="1060" w:type="dxa"/>
            <w:tcBorders>
              <w:top w:val="single" w:sz="8" w:space="0" w:color="AEAEAE"/>
              <w:left w:val="single" w:sz="8" w:space="0" w:color="E0E0E0"/>
              <w:bottom w:val="single" w:sz="8" w:space="0" w:color="152935"/>
              <w:right w:val="single" w:sz="8" w:space="0" w:color="E0E0E0"/>
            </w:tcBorders>
            <w:shd w:val="clear" w:color="auto" w:fill="auto"/>
          </w:tcPr>
          <w:p w14:paraId="477C36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2.274</w:t>
            </w:r>
          </w:p>
        </w:tc>
        <w:tc>
          <w:tcPr>
            <w:tcW w:w="987" w:type="dxa"/>
            <w:tcBorders>
              <w:top w:val="single" w:sz="8" w:space="0" w:color="AEAEAE"/>
              <w:left w:val="single" w:sz="8" w:space="0" w:color="E0E0E0"/>
              <w:bottom w:val="single" w:sz="8" w:space="0" w:color="152935"/>
              <w:right w:val="single" w:sz="8" w:space="0" w:color="E0E0E0"/>
            </w:tcBorders>
            <w:shd w:val="clear" w:color="auto" w:fill="auto"/>
          </w:tcPr>
          <w:p w14:paraId="0336A5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57" w:type="dxa"/>
            <w:tcBorders>
              <w:top w:val="single" w:sz="8" w:space="0" w:color="AEAEAE"/>
              <w:left w:val="single" w:sz="8" w:space="0" w:color="E0E0E0"/>
              <w:bottom w:val="single" w:sz="8" w:space="0" w:color="152935"/>
              <w:right w:val="single" w:sz="8" w:space="0" w:color="E0E0E0"/>
            </w:tcBorders>
            <w:shd w:val="clear" w:color="auto" w:fill="auto"/>
          </w:tcPr>
          <w:p w14:paraId="626F5B3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.995</w:t>
            </w:r>
          </w:p>
        </w:tc>
        <w:tc>
          <w:tcPr>
            <w:tcW w:w="1973" w:type="dxa"/>
            <w:tcBorders>
              <w:top w:val="single" w:sz="8" w:space="0" w:color="AEAEAE"/>
              <w:left w:val="single" w:sz="8" w:space="0" w:color="E0E0E0"/>
              <w:bottom w:val="single" w:sz="8" w:space="0" w:color="152935"/>
              <w:right w:val="nil"/>
            </w:tcBorders>
            <w:shd w:val="clear" w:color="auto" w:fill="auto"/>
          </w:tcPr>
          <w:p w14:paraId="650B90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1C7E6D2" w14:textId="77777777" w:rsidTr="00A95F46">
        <w:trPr>
          <w:cantSplit/>
          <w:trHeight w:val="283"/>
        </w:trPr>
        <w:tc>
          <w:tcPr>
            <w:tcW w:w="8909" w:type="dxa"/>
            <w:gridSpan w:val="6"/>
            <w:tcBorders>
              <w:top w:val="nil"/>
              <w:left w:val="nil"/>
              <w:bottom w:val="nil"/>
              <w:right w:val="nil"/>
            </w:tcBorders>
            <w:shd w:val="clear" w:color="auto" w:fill="auto"/>
          </w:tcPr>
          <w:p w14:paraId="458C488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5CEED676" w14:textId="41A312E6" w:rsidR="006E3616" w:rsidRPr="00400193" w:rsidRDefault="006E3616" w:rsidP="006E3616">
      <w:pPr>
        <w:pStyle w:val="Caption"/>
        <w:spacing w:after="240"/>
        <w:rPr>
          <w:lang w:eastAsia="zh-CN" w:bidi="hi-IN"/>
        </w:rPr>
      </w:pPr>
      <w:bookmarkStart w:id="609" w:name="_Ref51425640"/>
      <w:bookmarkStart w:id="610" w:name="_Toc5290160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59</w:t>
      </w:r>
      <w:r w:rsidRPr="00400193">
        <w:fldChar w:fldCharType="end"/>
      </w:r>
      <w:bookmarkEnd w:id="609"/>
      <w:r w:rsidRPr="00400193">
        <w:t xml:space="preserve">: </w:t>
      </w:r>
      <w:r w:rsidRPr="00400193">
        <w:rPr>
          <w:lang w:eastAsia="zh-CN" w:bidi="hi-IN"/>
        </w:rPr>
        <w:t xml:space="preserve">Residual statistics </w:t>
      </w:r>
      <w:r w:rsidRPr="00400193">
        <w:rPr>
          <w:vertAlign w:val="superscript"/>
          <w:lang w:eastAsia="zh-CN" w:bidi="hi-IN"/>
        </w:rPr>
        <w:t>a</w:t>
      </w:r>
      <w:r w:rsidRPr="00400193">
        <w:rPr>
          <w:lang w:eastAsia="zh-CN" w:bidi="hi-IN"/>
        </w:rPr>
        <w:t xml:space="preserve"> of the model regression for VW</w:t>
      </w:r>
      <w:bookmarkEnd w:id="610"/>
    </w:p>
    <w:p w14:paraId="51A65458" w14:textId="49698F59" w:rsidR="006E3616" w:rsidRPr="00400193" w:rsidRDefault="006E3616" w:rsidP="006E3616">
      <w:pPr>
        <w:rPr>
          <w:lang w:eastAsia="zh-CN" w:bidi="hi-IN"/>
        </w:rPr>
      </w:pPr>
      <w:r w:rsidRPr="00400193">
        <w:rPr>
          <w:lang w:eastAsia="zh-CN" w:bidi="hi-IN"/>
        </w:rPr>
        <w:lastRenderedPageBreak/>
        <w:t xml:space="preserve">The assumption of error term independence was also not violated. The histogram of the residuals enables a visual check of normality, which should be considered when interpreting statistical results. </w:t>
      </w:r>
      <w:r w:rsidR="00BA4982" w:rsidRPr="00400193">
        <w:rPr>
          <w:lang w:eastAsia="zh-CN" w:bidi="hi-IN"/>
        </w:rPr>
        <w:fldChar w:fldCharType="begin"/>
      </w:r>
      <w:r w:rsidR="00BA4982" w:rsidRPr="00400193">
        <w:rPr>
          <w:lang w:eastAsia="zh-CN" w:bidi="hi-IN"/>
        </w:rPr>
        <w:instrText xml:space="preserve"> REF _Ref52796735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15</w:t>
      </w:r>
      <w:r w:rsidR="00BA4982" w:rsidRPr="00400193">
        <w:rPr>
          <w:lang w:eastAsia="zh-CN" w:bidi="hi-IN"/>
        </w:rPr>
        <w:fldChar w:fldCharType="end"/>
      </w:r>
      <w:r w:rsidRPr="00400193">
        <w:rPr>
          <w:lang w:eastAsia="zh-CN" w:bidi="hi-IN"/>
        </w:rPr>
        <w:t xml:space="preserve"> shows that the distribution is bell-shaped and has less gap in the centre, which may, in part, be a consequence of the defined intervals.</w:t>
      </w:r>
    </w:p>
    <w:p w14:paraId="2CEF1416" w14:textId="77777777" w:rsidR="00DD695E" w:rsidRPr="00400193" w:rsidRDefault="00DD695E" w:rsidP="006E3616">
      <w:pPr>
        <w:rPr>
          <w:lang w:eastAsia="zh-CN" w:bidi="hi-IN"/>
        </w:rPr>
      </w:pPr>
    </w:p>
    <w:p w14:paraId="74FE87E3"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018CB8D9" wp14:editId="5ECB4B3F">
            <wp:extent cx="5760000" cy="3240000"/>
            <wp:effectExtent l="19050" t="19050" r="12700" b="17780"/>
            <wp:docPr id="400"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0" cstate="print">
                      <a:extLst>
                        <a:ext uri="{28A0092B-C50C-407E-A947-70E740481C1C}">
                          <a14:useLocalDpi xmlns:a14="http://schemas.microsoft.com/office/drawing/2010/main" val="0"/>
                        </a:ext>
                      </a:extLst>
                    </a:blip>
                    <a:srcRect r="13306"/>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3AFFA16" w14:textId="753790AB" w:rsidR="006E3616" w:rsidRPr="00400193" w:rsidRDefault="006E3616" w:rsidP="006E3616">
      <w:pPr>
        <w:pStyle w:val="Caption"/>
        <w:rPr>
          <w:lang w:eastAsia="zh-CN" w:bidi="hi-IN"/>
        </w:rPr>
      </w:pPr>
      <w:bookmarkStart w:id="611" w:name="_Ref52796735"/>
      <w:bookmarkStart w:id="612" w:name="_Toc5538759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15</w:t>
      </w:r>
      <w:r w:rsidR="00E35E8C" w:rsidRPr="00400193">
        <w:fldChar w:fldCharType="end"/>
      </w:r>
      <w:bookmarkEnd w:id="611"/>
      <w:r w:rsidRPr="00400193">
        <w:t>: Histogram of the frequency of the standardised residuals for VW</w:t>
      </w:r>
      <w:bookmarkEnd w:id="612"/>
    </w:p>
    <w:p w14:paraId="711A0A1C" w14:textId="6AE24DE1" w:rsidR="006E3616" w:rsidRPr="00400193" w:rsidRDefault="006E3616" w:rsidP="006E3616">
      <w:pPr>
        <w:spacing w:line="240" w:lineRule="auto"/>
        <w:rPr>
          <w:lang w:eastAsia="zh-CN" w:bidi="hi-IN"/>
        </w:rPr>
      </w:pPr>
    </w:p>
    <w:p w14:paraId="06D2B24B" w14:textId="77777777" w:rsidR="00DD695E" w:rsidRPr="00400193" w:rsidRDefault="00DD695E" w:rsidP="006E3616">
      <w:pPr>
        <w:spacing w:line="240" w:lineRule="auto"/>
        <w:rPr>
          <w:lang w:eastAsia="zh-CN" w:bidi="hi-IN"/>
        </w:rPr>
      </w:pPr>
    </w:p>
    <w:p w14:paraId="0F02D880" w14:textId="5E0DB56E" w:rsidR="006E3616" w:rsidRPr="00400193" w:rsidRDefault="006E3616" w:rsidP="006E3616">
      <w:pPr>
        <w:rPr>
          <w:lang w:eastAsia="zh-CN" w:bidi="hi-IN"/>
        </w:rPr>
      </w:pPr>
      <w:r w:rsidRPr="00400193">
        <w:rPr>
          <w:lang w:eastAsia="zh-CN" w:bidi="hi-IN"/>
        </w:rPr>
        <w:t>Finally, the probability–probability (P–P) diagram (</w:t>
      </w:r>
      <w:r w:rsidRPr="00400193">
        <w:rPr>
          <w:lang w:eastAsia="zh-CN" w:bidi="hi-IN"/>
        </w:rPr>
        <w:fldChar w:fldCharType="begin"/>
      </w:r>
      <w:r w:rsidRPr="00400193">
        <w:rPr>
          <w:lang w:eastAsia="zh-CN" w:bidi="hi-IN"/>
        </w:rPr>
        <w:instrText xml:space="preserve"> REF _Ref43258284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16</w:t>
      </w:r>
      <w:r w:rsidRPr="00400193">
        <w:rPr>
          <w:lang w:eastAsia="zh-CN" w:bidi="hi-IN"/>
        </w:rPr>
        <w:fldChar w:fldCharType="end"/>
      </w:r>
      <w:r w:rsidRPr="00400193">
        <w:rPr>
          <w:lang w:eastAsia="zh-CN" w:bidi="hi-IN"/>
        </w:rPr>
        <w:t xml:space="preserve">) compares the accumulated frequency for the typified residuals with the expected probability for a normal distribution. The differences were not significant in this graph, so </w:t>
      </w:r>
      <w:r w:rsidR="00BA4982" w:rsidRPr="00400193">
        <w:rPr>
          <w:lang w:eastAsia="zh-CN" w:bidi="hi-IN"/>
        </w:rPr>
        <w:fldChar w:fldCharType="begin"/>
      </w:r>
      <w:r w:rsidR="00BA4982" w:rsidRPr="00400193">
        <w:rPr>
          <w:lang w:eastAsia="zh-CN" w:bidi="hi-IN"/>
        </w:rPr>
        <w:instrText xml:space="preserve"> REF _Ref43258284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16</w:t>
      </w:r>
      <w:r w:rsidR="00BA4982" w:rsidRPr="00400193">
        <w:rPr>
          <w:lang w:eastAsia="zh-CN" w:bidi="hi-IN"/>
        </w:rPr>
        <w:fldChar w:fldCharType="end"/>
      </w:r>
      <w:r w:rsidRPr="00400193">
        <w:rPr>
          <w:lang w:eastAsia="zh-CN" w:bidi="hi-IN"/>
        </w:rPr>
        <w:t xml:space="preserve"> shows that there is a normal distribution.</w:t>
      </w:r>
    </w:p>
    <w:p w14:paraId="7B385195"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133EC2FB" wp14:editId="180E522F">
            <wp:extent cx="5760000" cy="3600000"/>
            <wp:effectExtent l="19050" t="19050" r="12700" b="19685"/>
            <wp:docPr id="139"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1" cstate="print">
                      <a:extLst>
                        <a:ext uri="{28A0092B-C50C-407E-A947-70E740481C1C}">
                          <a14:useLocalDpi xmlns:a14="http://schemas.microsoft.com/office/drawing/2010/main" val="0"/>
                        </a:ext>
                      </a:extLst>
                    </a:blip>
                    <a:srcRect l="22841" r="20892"/>
                    <a:stretch>
                      <a:fillRect/>
                    </a:stretch>
                  </pic:blipFill>
                  <pic:spPr bwMode="auto">
                    <a:xfrm>
                      <a:off x="0" y="0"/>
                      <a:ext cx="5760000" cy="3600000"/>
                    </a:xfrm>
                    <a:prstGeom prst="rect">
                      <a:avLst/>
                    </a:prstGeom>
                    <a:noFill/>
                    <a:ln w="19050">
                      <a:solidFill>
                        <a:schemeClr val="tx1"/>
                      </a:solidFill>
                    </a:ln>
                  </pic:spPr>
                </pic:pic>
              </a:graphicData>
            </a:graphic>
          </wp:inline>
        </w:drawing>
      </w:r>
    </w:p>
    <w:p w14:paraId="3A9EABFA" w14:textId="57DE8CDD" w:rsidR="006E3616" w:rsidRPr="00400193" w:rsidRDefault="006E3616" w:rsidP="006E3616">
      <w:pPr>
        <w:pStyle w:val="Caption"/>
        <w:spacing w:after="240"/>
        <w:rPr>
          <w:lang w:eastAsia="zh-CN" w:bidi="hi-IN"/>
        </w:rPr>
      </w:pPr>
      <w:bookmarkStart w:id="613" w:name="_Ref43258284"/>
      <w:bookmarkStart w:id="614" w:name="_Toc5538759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16</w:t>
      </w:r>
      <w:r w:rsidR="00E35E8C" w:rsidRPr="00400193">
        <w:fldChar w:fldCharType="end"/>
      </w:r>
      <w:bookmarkEnd w:id="613"/>
      <w:r w:rsidRPr="00400193">
        <w:t xml:space="preserve">: </w:t>
      </w:r>
      <w:r w:rsidRPr="00400193">
        <w:rPr>
          <w:bCs/>
          <w:szCs w:val="24"/>
          <w:cs/>
        </w:rPr>
        <w:t>‎</w:t>
      </w:r>
      <w:r w:rsidRPr="00400193">
        <w:rPr>
          <w:bCs/>
          <w:szCs w:val="24"/>
          <w:rtl/>
          <w:cs/>
        </w:rPr>
        <w:t>Normal P-P plot of regression standardised residual for the dependent variable for VW</w:t>
      </w:r>
      <w:bookmarkEnd w:id="614"/>
    </w:p>
    <w:p w14:paraId="7438708E" w14:textId="77777777" w:rsidR="006E3616" w:rsidRPr="00400193" w:rsidRDefault="006E3616" w:rsidP="006E3616">
      <w:pPr>
        <w:pStyle w:val="Heading3"/>
        <w:rPr>
          <w:lang w:eastAsia="zh-CN" w:bidi="hi-IN"/>
        </w:rPr>
      </w:pPr>
      <w:bookmarkStart w:id="615" w:name="_Toc61894770"/>
      <w:r w:rsidRPr="00400193">
        <w:rPr>
          <w:lang w:eastAsia="zh-CN" w:bidi="hi-IN"/>
        </w:rPr>
        <w:t>The Relationship Between Vulnerabilities and Weaknesses and Internal Threats</w:t>
      </w:r>
      <w:bookmarkEnd w:id="615"/>
      <w:r w:rsidRPr="00400193">
        <w:rPr>
          <w:lang w:eastAsia="zh-CN" w:bidi="hi-IN"/>
        </w:rPr>
        <w:t xml:space="preserve"> </w:t>
      </w:r>
    </w:p>
    <w:p w14:paraId="3442F684" w14:textId="1B559DC6" w:rsidR="006E3616" w:rsidRPr="00400193" w:rsidRDefault="006E3616" w:rsidP="006E3616">
      <w:pPr>
        <w:spacing w:line="240" w:lineRule="auto"/>
        <w:rPr>
          <w:lang w:eastAsia="zh-CN" w:bidi="hi-IN"/>
        </w:rPr>
      </w:pPr>
      <w:r w:rsidRPr="00400193">
        <w:rPr>
          <w:i/>
          <w:iCs/>
          <w:lang w:eastAsia="zh-CN" w:bidi="hi-IN"/>
        </w:rPr>
        <w:fldChar w:fldCharType="begin"/>
      </w:r>
      <w:r w:rsidRPr="00400193">
        <w:rPr>
          <w:i/>
          <w:iCs/>
          <w:lang w:eastAsia="zh-CN" w:bidi="hi-IN"/>
        </w:rPr>
        <w:instrText xml:space="preserve"> REF _Ref43826841 \h </w:instrText>
      </w:r>
      <w:r w:rsidRPr="00400193">
        <w:rPr>
          <w:i/>
          <w:iCs/>
          <w:lang w:eastAsia="zh-CN" w:bidi="hi-IN"/>
        </w:rPr>
      </w:r>
      <w:r w:rsidRPr="00400193">
        <w:rPr>
          <w:i/>
          <w:iCs/>
          <w:lang w:eastAsia="zh-CN" w:bidi="hi-IN"/>
        </w:rPr>
        <w:fldChar w:fldCharType="separate"/>
      </w:r>
      <w:r w:rsidR="00BB7C18" w:rsidRPr="00400193">
        <w:t>2 – (Internal)</w:t>
      </w:r>
      <w:r w:rsidRPr="00400193">
        <w:rPr>
          <w:i/>
          <w:iCs/>
          <w:lang w:eastAsia="zh-CN" w:bidi="hi-IN"/>
        </w:rPr>
        <w:fldChar w:fldCharType="end"/>
      </w:r>
      <w:r w:rsidRPr="00400193">
        <w:rPr>
          <w:i/>
          <w:iCs/>
          <w:lang w:eastAsia="zh-CN" w:bidi="hi-IN"/>
        </w:rPr>
        <w:t xml:space="preserve"> VW = </w:t>
      </w:r>
      <w:r w:rsidR="00DD07A5" w:rsidRPr="00400193">
        <w:rPr>
          <w:i/>
          <w:iCs/>
          <w:lang w:eastAsia="zh-CN" w:bidi="hi-IN"/>
        </w:rPr>
        <w:t>IRF</w:t>
      </w:r>
    </w:p>
    <w:p w14:paraId="07F7F468" w14:textId="71A6D406" w:rsidR="006E3616" w:rsidRPr="00400193" w:rsidRDefault="006E3616" w:rsidP="006E3616">
      <w:pPr>
        <w:rPr>
          <w:lang w:eastAsia="zh-CN" w:bidi="hi-IN"/>
        </w:rPr>
      </w:pPr>
      <w:r w:rsidRPr="00400193">
        <w:rPr>
          <w:lang w:eastAsia="zh-CN" w:bidi="hi-IN"/>
        </w:rPr>
        <w:t xml:space="preserve">In </w:t>
      </w:r>
      <w:r w:rsidRPr="00400193">
        <w:rPr>
          <w:lang w:eastAsia="zh-CN" w:bidi="hi-IN"/>
        </w:rPr>
        <w:fldChar w:fldCharType="begin"/>
      </w:r>
      <w:r w:rsidRPr="00400193">
        <w:rPr>
          <w:lang w:eastAsia="zh-CN" w:bidi="hi-IN"/>
        </w:rPr>
        <w:instrText xml:space="preserve"> REF _Ref43498280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60</w:t>
      </w:r>
      <w:r w:rsidRPr="00400193">
        <w:rPr>
          <w:lang w:eastAsia="zh-CN" w:bidi="hi-IN"/>
        </w:rPr>
        <w:fldChar w:fldCharType="end"/>
      </w:r>
      <w:r w:rsidRPr="00400193">
        <w:rPr>
          <w:lang w:eastAsia="zh-CN" w:bidi="hi-IN"/>
        </w:rPr>
        <w:t xml:space="preserve">, the R (multiple correlation coefficients) value of 0.792 shows a good level of prediction. The R-square (coefficient of determination) value of 0.627 shows that 62.7% of the variance in vulnerabilities and weaknesses in the UAE public sector organisations can be predicted from internal threats such as lack of awareness, risk culture and laziness, financial fraud, and criminal acts. It shows that there is a strong relationship between vulnerabilities and weaknesses in the UAE public sector organisation and the predictor variable </w:t>
      </w:r>
      <w:r w:rsidR="00DD07A5" w:rsidRPr="00400193">
        <w:rPr>
          <w:lang w:eastAsia="zh-CN" w:bidi="hi-IN"/>
        </w:rPr>
        <w:t>IRF</w:t>
      </w:r>
      <w:r w:rsidRPr="00400193">
        <w:rPr>
          <w:lang w:eastAsia="zh-CN" w:bidi="hi-IN"/>
        </w:rPr>
        <w:t xml:space="preserve">. The R-square value of 62.7% also shows that the data are fitted to the regression line. </w:t>
      </w:r>
    </w:p>
    <w:tbl>
      <w:tblPr>
        <w:tblW w:w="89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7"/>
        <w:gridCol w:w="771"/>
        <w:gridCol w:w="817"/>
        <w:gridCol w:w="1104"/>
        <w:gridCol w:w="1103"/>
        <w:gridCol w:w="1103"/>
        <w:gridCol w:w="839"/>
        <w:gridCol w:w="2646"/>
        <w:gridCol w:w="6"/>
      </w:tblGrid>
      <w:tr w:rsidR="006E3616" w:rsidRPr="00400193" w14:paraId="050B62E2" w14:textId="77777777" w:rsidTr="00DD695E">
        <w:trPr>
          <w:cantSplit/>
          <w:trHeight w:val="283"/>
        </w:trPr>
        <w:tc>
          <w:tcPr>
            <w:tcW w:w="8986" w:type="dxa"/>
            <w:gridSpan w:val="9"/>
            <w:tcBorders>
              <w:top w:val="nil"/>
              <w:left w:val="nil"/>
              <w:bottom w:val="nil"/>
              <w:right w:val="nil"/>
            </w:tcBorders>
            <w:shd w:val="clear" w:color="auto" w:fill="auto"/>
            <w:vAlign w:val="center"/>
          </w:tcPr>
          <w:p w14:paraId="4E67F41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108E5A8A" w14:textId="77777777" w:rsidTr="00DD695E">
        <w:trPr>
          <w:gridAfter w:val="1"/>
          <w:wAfter w:w="6" w:type="dxa"/>
          <w:cantSplit/>
          <w:trHeight w:val="283"/>
        </w:trPr>
        <w:tc>
          <w:tcPr>
            <w:tcW w:w="597" w:type="dxa"/>
            <w:vMerge w:val="restart"/>
            <w:tcBorders>
              <w:top w:val="nil"/>
              <w:left w:val="nil"/>
              <w:bottom w:val="nil"/>
              <w:right w:val="nil"/>
            </w:tcBorders>
            <w:shd w:val="clear" w:color="auto" w:fill="auto"/>
            <w:vAlign w:val="bottom"/>
          </w:tcPr>
          <w:p w14:paraId="20DD33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71" w:type="dxa"/>
            <w:vMerge w:val="restart"/>
            <w:tcBorders>
              <w:top w:val="nil"/>
              <w:left w:val="nil"/>
              <w:bottom w:val="nil"/>
              <w:right w:val="single" w:sz="8" w:space="0" w:color="E0E0E0"/>
            </w:tcBorders>
            <w:shd w:val="clear" w:color="auto" w:fill="auto"/>
            <w:vAlign w:val="bottom"/>
          </w:tcPr>
          <w:p w14:paraId="6116F05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17" w:type="dxa"/>
            <w:vMerge w:val="restart"/>
            <w:tcBorders>
              <w:top w:val="nil"/>
              <w:left w:val="single" w:sz="8" w:space="0" w:color="E0E0E0"/>
              <w:bottom w:val="nil"/>
              <w:right w:val="single" w:sz="8" w:space="0" w:color="E0E0E0"/>
            </w:tcBorders>
            <w:shd w:val="clear" w:color="auto" w:fill="auto"/>
            <w:vAlign w:val="bottom"/>
          </w:tcPr>
          <w:p w14:paraId="480F1E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104" w:type="dxa"/>
            <w:vMerge w:val="restart"/>
            <w:tcBorders>
              <w:top w:val="nil"/>
              <w:left w:val="single" w:sz="8" w:space="0" w:color="E0E0E0"/>
              <w:bottom w:val="nil"/>
              <w:right w:val="single" w:sz="8" w:space="0" w:color="E0E0E0"/>
            </w:tcBorders>
            <w:shd w:val="clear" w:color="auto" w:fill="auto"/>
            <w:vAlign w:val="bottom"/>
          </w:tcPr>
          <w:p w14:paraId="0704DB9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103" w:type="dxa"/>
            <w:vMerge w:val="restart"/>
            <w:tcBorders>
              <w:top w:val="nil"/>
              <w:left w:val="single" w:sz="8" w:space="0" w:color="E0E0E0"/>
              <w:bottom w:val="nil"/>
              <w:right w:val="single" w:sz="8" w:space="0" w:color="E0E0E0"/>
            </w:tcBorders>
            <w:shd w:val="clear" w:color="auto" w:fill="auto"/>
            <w:vAlign w:val="bottom"/>
          </w:tcPr>
          <w:p w14:paraId="606921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88" w:type="dxa"/>
            <w:gridSpan w:val="3"/>
            <w:tcBorders>
              <w:top w:val="nil"/>
              <w:left w:val="single" w:sz="8" w:space="0" w:color="E0E0E0"/>
              <w:bottom w:val="nil"/>
              <w:right w:val="nil"/>
            </w:tcBorders>
            <w:shd w:val="clear" w:color="auto" w:fill="auto"/>
            <w:vAlign w:val="bottom"/>
          </w:tcPr>
          <w:p w14:paraId="3C4079D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455D86EC" w14:textId="77777777" w:rsidTr="00DD695E">
        <w:trPr>
          <w:gridAfter w:val="1"/>
          <w:wAfter w:w="6" w:type="dxa"/>
          <w:cantSplit/>
          <w:trHeight w:val="283"/>
        </w:trPr>
        <w:tc>
          <w:tcPr>
            <w:tcW w:w="597" w:type="dxa"/>
            <w:vMerge/>
            <w:tcBorders>
              <w:top w:val="nil"/>
              <w:left w:val="nil"/>
              <w:bottom w:val="nil"/>
              <w:right w:val="nil"/>
            </w:tcBorders>
            <w:shd w:val="clear" w:color="auto" w:fill="auto"/>
            <w:vAlign w:val="bottom"/>
          </w:tcPr>
          <w:p w14:paraId="40340D2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71" w:type="dxa"/>
            <w:vMerge/>
            <w:tcBorders>
              <w:top w:val="nil"/>
              <w:left w:val="nil"/>
              <w:bottom w:val="nil"/>
              <w:right w:val="single" w:sz="8" w:space="0" w:color="E0E0E0"/>
            </w:tcBorders>
            <w:shd w:val="clear" w:color="auto" w:fill="auto"/>
            <w:vAlign w:val="bottom"/>
          </w:tcPr>
          <w:p w14:paraId="27E9E47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17" w:type="dxa"/>
            <w:vMerge/>
            <w:tcBorders>
              <w:top w:val="nil"/>
              <w:left w:val="single" w:sz="8" w:space="0" w:color="E0E0E0"/>
              <w:bottom w:val="nil"/>
              <w:right w:val="single" w:sz="8" w:space="0" w:color="E0E0E0"/>
            </w:tcBorders>
            <w:shd w:val="clear" w:color="auto" w:fill="auto"/>
            <w:vAlign w:val="bottom"/>
          </w:tcPr>
          <w:p w14:paraId="52EE8BC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4" w:type="dxa"/>
            <w:vMerge/>
            <w:tcBorders>
              <w:top w:val="nil"/>
              <w:left w:val="single" w:sz="8" w:space="0" w:color="E0E0E0"/>
              <w:bottom w:val="nil"/>
              <w:right w:val="single" w:sz="8" w:space="0" w:color="E0E0E0"/>
            </w:tcBorders>
            <w:shd w:val="clear" w:color="auto" w:fill="auto"/>
            <w:vAlign w:val="bottom"/>
          </w:tcPr>
          <w:p w14:paraId="24748C3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3" w:type="dxa"/>
            <w:vMerge/>
            <w:tcBorders>
              <w:top w:val="nil"/>
              <w:left w:val="single" w:sz="8" w:space="0" w:color="E0E0E0"/>
              <w:bottom w:val="nil"/>
              <w:right w:val="single" w:sz="8" w:space="0" w:color="E0E0E0"/>
            </w:tcBorders>
            <w:shd w:val="clear" w:color="auto" w:fill="auto"/>
            <w:vAlign w:val="bottom"/>
          </w:tcPr>
          <w:p w14:paraId="2633BB5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3" w:type="dxa"/>
            <w:tcBorders>
              <w:top w:val="nil"/>
              <w:left w:val="single" w:sz="8" w:space="0" w:color="E0E0E0"/>
              <w:bottom w:val="single" w:sz="8" w:space="0" w:color="152935"/>
              <w:right w:val="single" w:sz="8" w:space="0" w:color="E0E0E0"/>
            </w:tcBorders>
            <w:shd w:val="clear" w:color="auto" w:fill="auto"/>
            <w:vAlign w:val="bottom"/>
          </w:tcPr>
          <w:p w14:paraId="29A6327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39" w:type="dxa"/>
            <w:tcBorders>
              <w:top w:val="nil"/>
              <w:left w:val="single" w:sz="8" w:space="0" w:color="E0E0E0"/>
              <w:bottom w:val="single" w:sz="8" w:space="0" w:color="152935"/>
              <w:right w:val="single" w:sz="8" w:space="0" w:color="E0E0E0"/>
            </w:tcBorders>
            <w:shd w:val="clear" w:color="auto" w:fill="auto"/>
            <w:vAlign w:val="bottom"/>
          </w:tcPr>
          <w:p w14:paraId="67EB253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46" w:type="dxa"/>
            <w:tcBorders>
              <w:top w:val="nil"/>
              <w:left w:val="single" w:sz="8" w:space="0" w:color="E0E0E0"/>
              <w:bottom w:val="single" w:sz="8" w:space="0" w:color="152935"/>
              <w:right w:val="nil"/>
            </w:tcBorders>
            <w:shd w:val="clear" w:color="auto" w:fill="auto"/>
            <w:vAlign w:val="bottom"/>
          </w:tcPr>
          <w:p w14:paraId="42FED5D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7574FAAA" w14:textId="77777777" w:rsidTr="00DD695E">
        <w:trPr>
          <w:gridAfter w:val="1"/>
          <w:wAfter w:w="6" w:type="dxa"/>
          <w:cantSplit/>
          <w:trHeight w:val="283"/>
        </w:trPr>
        <w:tc>
          <w:tcPr>
            <w:tcW w:w="597" w:type="dxa"/>
            <w:tcBorders>
              <w:top w:val="single" w:sz="8" w:space="0" w:color="152935"/>
              <w:left w:val="nil"/>
              <w:bottom w:val="single" w:sz="8" w:space="0" w:color="152935"/>
              <w:right w:val="nil"/>
            </w:tcBorders>
            <w:shd w:val="clear" w:color="auto" w:fill="auto"/>
          </w:tcPr>
          <w:p w14:paraId="300DD6F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71" w:type="dxa"/>
            <w:tcBorders>
              <w:top w:val="single" w:sz="8" w:space="0" w:color="152935"/>
              <w:left w:val="nil"/>
              <w:bottom w:val="single" w:sz="8" w:space="0" w:color="152935"/>
              <w:right w:val="single" w:sz="8" w:space="0" w:color="E0E0E0"/>
            </w:tcBorders>
            <w:shd w:val="clear" w:color="auto" w:fill="auto"/>
          </w:tcPr>
          <w:p w14:paraId="1DFC834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.792</w:t>
            </w:r>
            <w:r w:rsidRPr="00400193">
              <w:rPr>
                <w:rFonts w:asciiTheme="minorHAnsi" w:hAnsiTheme="minorHAnsi" w:cstheme="minorHAnsi"/>
                <w:sz w:val="20"/>
                <w:szCs w:val="18"/>
                <w:vertAlign w:val="superscript"/>
                <w:lang w:eastAsia="zh-CN" w:bidi="hi-IN"/>
              </w:rPr>
              <w:t>a</w:t>
            </w:r>
          </w:p>
        </w:tc>
        <w:tc>
          <w:tcPr>
            <w:tcW w:w="817" w:type="dxa"/>
            <w:tcBorders>
              <w:top w:val="single" w:sz="8" w:space="0" w:color="152935"/>
              <w:left w:val="single" w:sz="8" w:space="0" w:color="E0E0E0"/>
              <w:bottom w:val="single" w:sz="8" w:space="0" w:color="152935"/>
              <w:right w:val="single" w:sz="8" w:space="0" w:color="E0E0E0"/>
            </w:tcBorders>
            <w:shd w:val="clear" w:color="auto" w:fill="auto"/>
          </w:tcPr>
          <w:p w14:paraId="7B45AB9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.627</w:t>
            </w:r>
          </w:p>
        </w:tc>
        <w:tc>
          <w:tcPr>
            <w:tcW w:w="1104" w:type="dxa"/>
            <w:tcBorders>
              <w:top w:val="single" w:sz="8" w:space="0" w:color="152935"/>
              <w:left w:val="single" w:sz="8" w:space="0" w:color="E0E0E0"/>
              <w:bottom w:val="single" w:sz="8" w:space="0" w:color="152935"/>
              <w:right w:val="single" w:sz="8" w:space="0" w:color="E0E0E0"/>
            </w:tcBorders>
            <w:shd w:val="clear" w:color="auto" w:fill="auto"/>
          </w:tcPr>
          <w:p w14:paraId="3AD577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.624</w:t>
            </w:r>
          </w:p>
        </w:tc>
        <w:tc>
          <w:tcPr>
            <w:tcW w:w="1103" w:type="dxa"/>
            <w:tcBorders>
              <w:top w:val="single" w:sz="8" w:space="0" w:color="152935"/>
              <w:left w:val="single" w:sz="8" w:space="0" w:color="E0E0E0"/>
              <w:bottom w:val="single" w:sz="8" w:space="0" w:color="152935"/>
              <w:right w:val="single" w:sz="8" w:space="0" w:color="E0E0E0"/>
            </w:tcBorders>
            <w:shd w:val="clear" w:color="auto" w:fill="auto"/>
          </w:tcPr>
          <w:p w14:paraId="2A66D3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.36420</w:t>
            </w:r>
          </w:p>
        </w:tc>
        <w:tc>
          <w:tcPr>
            <w:tcW w:w="1103" w:type="dxa"/>
            <w:tcBorders>
              <w:top w:val="single" w:sz="8" w:space="0" w:color="152935"/>
              <w:left w:val="single" w:sz="8" w:space="0" w:color="E0E0E0"/>
              <w:bottom w:val="single" w:sz="8" w:space="0" w:color="152935"/>
              <w:right w:val="single" w:sz="8" w:space="0" w:color="E0E0E0"/>
            </w:tcBorders>
            <w:shd w:val="clear" w:color="auto" w:fill="auto"/>
          </w:tcPr>
          <w:p w14:paraId="45D95B3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.627</w:t>
            </w:r>
          </w:p>
        </w:tc>
        <w:tc>
          <w:tcPr>
            <w:tcW w:w="839" w:type="dxa"/>
            <w:tcBorders>
              <w:top w:val="single" w:sz="8" w:space="0" w:color="152935"/>
              <w:left w:val="single" w:sz="8" w:space="0" w:color="E0E0E0"/>
              <w:bottom w:val="single" w:sz="8" w:space="0" w:color="152935"/>
              <w:right w:val="single" w:sz="8" w:space="0" w:color="E0E0E0"/>
            </w:tcBorders>
            <w:shd w:val="clear" w:color="auto" w:fill="auto"/>
          </w:tcPr>
          <w:p w14:paraId="3E8CEF5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171.797</w:t>
            </w:r>
          </w:p>
        </w:tc>
        <w:tc>
          <w:tcPr>
            <w:tcW w:w="2646" w:type="dxa"/>
            <w:tcBorders>
              <w:top w:val="single" w:sz="8" w:space="0" w:color="152935"/>
              <w:left w:val="single" w:sz="8" w:space="0" w:color="E0E0E0"/>
              <w:bottom w:val="single" w:sz="8" w:space="0" w:color="152935"/>
              <w:right w:val="nil"/>
            </w:tcBorders>
            <w:shd w:val="clear" w:color="auto" w:fill="auto"/>
          </w:tcPr>
          <w:p w14:paraId="3FC7F7AA"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r>
      <w:tr w:rsidR="00DD695E" w:rsidRPr="00400193" w14:paraId="4582A6B4" w14:textId="77777777" w:rsidTr="00DD695E">
        <w:trPr>
          <w:gridAfter w:val="1"/>
          <w:wAfter w:w="6" w:type="dxa"/>
          <w:cantSplit/>
          <w:trHeight w:val="283"/>
        </w:trPr>
        <w:tc>
          <w:tcPr>
            <w:tcW w:w="8980" w:type="dxa"/>
            <w:gridSpan w:val="8"/>
            <w:tcBorders>
              <w:top w:val="single" w:sz="8" w:space="0" w:color="152935"/>
              <w:left w:val="nil"/>
              <w:bottom w:val="single" w:sz="4" w:space="0" w:color="FFFFFF" w:themeColor="background1"/>
              <w:right w:val="nil"/>
            </w:tcBorders>
            <w:shd w:val="clear" w:color="auto" w:fill="auto"/>
          </w:tcPr>
          <w:p w14:paraId="63E58D39" w14:textId="1A272B96" w:rsidR="00DD695E" w:rsidRPr="00400193" w:rsidRDefault="00DD695E"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6225217D" w14:textId="10C2B0F3" w:rsidR="00DD695E" w:rsidRPr="00400193" w:rsidRDefault="00DD695E"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 xml:space="preserve">Predictors: </w:t>
            </w:r>
            <w:r w:rsidR="004F67F9" w:rsidRPr="00400193">
              <w:rPr>
                <w:rFonts w:asciiTheme="minorHAnsi" w:hAnsiTheme="minorHAnsi" w:cstheme="minorHAnsi"/>
                <w:sz w:val="20"/>
                <w:szCs w:val="18"/>
                <w:lang w:eastAsia="zh-CN" w:bidi="hi-IN"/>
              </w:rPr>
              <w:t>(Constant)</w:t>
            </w:r>
            <w:r w:rsidRPr="00400193">
              <w:rPr>
                <w:rFonts w:asciiTheme="minorHAnsi" w:hAnsiTheme="minorHAnsi" w:cstheme="minorHAnsi"/>
                <w:sz w:val="20"/>
                <w:szCs w:val="18"/>
                <w:lang w:eastAsia="zh-CN" w:bidi="hi-IN"/>
              </w:rPr>
              <w:t>, IRF</w:t>
            </w:r>
          </w:p>
        </w:tc>
      </w:tr>
    </w:tbl>
    <w:p w14:paraId="23C137A8" w14:textId="60346E76" w:rsidR="006E3616" w:rsidRPr="00400193" w:rsidRDefault="006E3616" w:rsidP="006E3616">
      <w:pPr>
        <w:pStyle w:val="Caption"/>
        <w:rPr>
          <w:lang w:eastAsia="zh-CN" w:bidi="hi-IN"/>
        </w:rPr>
      </w:pPr>
      <w:bookmarkStart w:id="616" w:name="_Ref43498280"/>
      <w:bookmarkStart w:id="617" w:name="_Toc5290160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60</w:t>
      </w:r>
      <w:r w:rsidRPr="00400193">
        <w:fldChar w:fldCharType="end"/>
      </w:r>
      <w:bookmarkEnd w:id="616"/>
      <w:r w:rsidRPr="00400193">
        <w:t xml:space="preserve">: </w:t>
      </w:r>
      <w:r w:rsidRPr="00400193">
        <w:rPr>
          <w:lang w:eastAsia="zh-CN" w:bidi="hi-IN"/>
        </w:rPr>
        <w:t>Regression model summary for VW</w:t>
      </w:r>
      <w:bookmarkEnd w:id="617"/>
    </w:p>
    <w:p w14:paraId="4680F116" w14:textId="77777777" w:rsidR="006E3616" w:rsidRPr="00400193" w:rsidRDefault="006E3616" w:rsidP="006E3616">
      <w:pPr>
        <w:spacing w:line="240" w:lineRule="auto"/>
        <w:rPr>
          <w:lang w:eastAsia="zh-CN" w:bidi="hi-IN"/>
        </w:rPr>
      </w:pPr>
    </w:p>
    <w:p w14:paraId="5BADB6A7" w14:textId="20FCEE55" w:rsidR="006E3616" w:rsidRPr="00400193" w:rsidRDefault="006E3616" w:rsidP="006E3616">
      <w:pPr>
        <w:rPr>
          <w:lang w:eastAsia="zh-CN" w:bidi="hi-IN"/>
        </w:rPr>
      </w:pPr>
      <w:r w:rsidRPr="00400193">
        <w:rPr>
          <w:lang w:eastAsia="zh-CN" w:bidi="hi-IN"/>
        </w:rPr>
        <w:lastRenderedPageBreak/>
        <w:t xml:space="preserve">The results of the ANOVA are shown in in </w:t>
      </w:r>
      <w:r w:rsidRPr="00400193">
        <w:rPr>
          <w:lang w:eastAsia="zh-CN" w:bidi="hi-IN"/>
        </w:rPr>
        <w:fldChar w:fldCharType="begin"/>
      </w:r>
      <w:r w:rsidRPr="00400193">
        <w:rPr>
          <w:lang w:eastAsia="zh-CN" w:bidi="hi-IN"/>
        </w:rPr>
        <w:instrText xml:space="preserve"> REF _Ref43498299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61</w:t>
      </w:r>
      <w:r w:rsidRPr="00400193">
        <w:rPr>
          <w:lang w:eastAsia="zh-CN" w:bidi="hi-IN"/>
        </w:rPr>
        <w:fldChar w:fldCharType="end"/>
      </w:r>
      <w:r w:rsidRPr="00400193">
        <w:rPr>
          <w:lang w:eastAsia="zh-CN" w:bidi="hi-IN"/>
        </w:rPr>
        <w:t>. The F-statistic of the model was 171.797, which indicates a significant linear regression association between vulnerabilities and weaknesses in the UAE organisations and the predictor variables (</w:t>
      </w:r>
      <w:r w:rsidR="00DD07A5" w:rsidRPr="00400193">
        <w:rPr>
          <w:lang w:eastAsia="zh-CN" w:bidi="hi-IN"/>
        </w:rPr>
        <w:t>IRF</w:t>
      </w:r>
      <w:r w:rsidRPr="00400193">
        <w:rPr>
          <w:lang w:eastAsia="zh-CN" w:bidi="hi-IN"/>
        </w:rPr>
        <w:t xml:space="preserve">). The F-statistic of 171.797 indicates the R-square was statistically significant at p &lt;0.05. </w:t>
      </w:r>
    </w:p>
    <w:tbl>
      <w:tblPr>
        <w:tblW w:w="88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2"/>
        <w:gridCol w:w="1233"/>
        <w:gridCol w:w="1409"/>
        <w:gridCol w:w="983"/>
        <w:gridCol w:w="1350"/>
        <w:gridCol w:w="983"/>
        <w:gridCol w:w="2219"/>
      </w:tblGrid>
      <w:tr w:rsidR="006E3616" w:rsidRPr="00400193" w14:paraId="1C2F4F8A" w14:textId="77777777" w:rsidTr="00DD695E">
        <w:trPr>
          <w:cantSplit/>
          <w:trHeight w:val="283"/>
        </w:trPr>
        <w:tc>
          <w:tcPr>
            <w:tcW w:w="8879" w:type="dxa"/>
            <w:gridSpan w:val="7"/>
            <w:tcBorders>
              <w:top w:val="nil"/>
              <w:left w:val="nil"/>
              <w:bottom w:val="nil"/>
              <w:right w:val="nil"/>
            </w:tcBorders>
            <w:shd w:val="clear" w:color="auto" w:fill="auto"/>
            <w:vAlign w:val="center"/>
          </w:tcPr>
          <w:p w14:paraId="324500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781A2B33" w14:textId="77777777" w:rsidTr="00DD695E">
        <w:trPr>
          <w:cantSplit/>
          <w:trHeight w:val="283"/>
        </w:trPr>
        <w:tc>
          <w:tcPr>
            <w:tcW w:w="1935" w:type="dxa"/>
            <w:gridSpan w:val="2"/>
            <w:tcBorders>
              <w:top w:val="nil"/>
              <w:left w:val="nil"/>
              <w:bottom w:val="single" w:sz="8" w:space="0" w:color="152935"/>
              <w:right w:val="nil"/>
            </w:tcBorders>
            <w:shd w:val="clear" w:color="auto" w:fill="auto"/>
            <w:vAlign w:val="bottom"/>
          </w:tcPr>
          <w:p w14:paraId="5E0B1C1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09" w:type="dxa"/>
            <w:tcBorders>
              <w:top w:val="nil"/>
              <w:left w:val="nil"/>
              <w:bottom w:val="single" w:sz="8" w:space="0" w:color="152935"/>
              <w:right w:val="single" w:sz="8" w:space="0" w:color="E0E0E0"/>
            </w:tcBorders>
            <w:shd w:val="clear" w:color="auto" w:fill="auto"/>
            <w:vAlign w:val="bottom"/>
          </w:tcPr>
          <w:p w14:paraId="6B41E96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83" w:type="dxa"/>
            <w:tcBorders>
              <w:top w:val="nil"/>
              <w:left w:val="single" w:sz="8" w:space="0" w:color="E0E0E0"/>
              <w:bottom w:val="single" w:sz="8" w:space="0" w:color="152935"/>
              <w:right w:val="single" w:sz="8" w:space="0" w:color="E0E0E0"/>
            </w:tcBorders>
            <w:shd w:val="clear" w:color="auto" w:fill="auto"/>
            <w:vAlign w:val="bottom"/>
          </w:tcPr>
          <w:p w14:paraId="5AA4446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50" w:type="dxa"/>
            <w:tcBorders>
              <w:top w:val="nil"/>
              <w:left w:val="single" w:sz="8" w:space="0" w:color="E0E0E0"/>
              <w:bottom w:val="single" w:sz="8" w:space="0" w:color="152935"/>
              <w:right w:val="single" w:sz="8" w:space="0" w:color="E0E0E0"/>
            </w:tcBorders>
            <w:shd w:val="clear" w:color="auto" w:fill="auto"/>
            <w:vAlign w:val="bottom"/>
          </w:tcPr>
          <w:p w14:paraId="6AE1D6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83" w:type="dxa"/>
            <w:tcBorders>
              <w:top w:val="nil"/>
              <w:left w:val="single" w:sz="8" w:space="0" w:color="E0E0E0"/>
              <w:bottom w:val="single" w:sz="8" w:space="0" w:color="152935"/>
              <w:right w:val="single" w:sz="8" w:space="0" w:color="E0E0E0"/>
            </w:tcBorders>
            <w:shd w:val="clear" w:color="auto" w:fill="auto"/>
            <w:vAlign w:val="bottom"/>
          </w:tcPr>
          <w:p w14:paraId="7501E6D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19" w:type="dxa"/>
            <w:tcBorders>
              <w:top w:val="nil"/>
              <w:left w:val="single" w:sz="8" w:space="0" w:color="E0E0E0"/>
              <w:bottom w:val="single" w:sz="8" w:space="0" w:color="152935"/>
              <w:right w:val="nil"/>
            </w:tcBorders>
            <w:shd w:val="clear" w:color="auto" w:fill="auto"/>
            <w:vAlign w:val="bottom"/>
          </w:tcPr>
          <w:p w14:paraId="650125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32852DFB" w14:textId="77777777" w:rsidTr="00DD695E">
        <w:trPr>
          <w:cantSplit/>
          <w:trHeight w:val="283"/>
        </w:trPr>
        <w:tc>
          <w:tcPr>
            <w:tcW w:w="702" w:type="dxa"/>
            <w:vMerge w:val="restart"/>
            <w:tcBorders>
              <w:top w:val="single" w:sz="8" w:space="0" w:color="152935"/>
              <w:left w:val="nil"/>
              <w:bottom w:val="single" w:sz="8" w:space="0" w:color="152935"/>
              <w:right w:val="nil"/>
            </w:tcBorders>
            <w:shd w:val="clear" w:color="auto" w:fill="auto"/>
          </w:tcPr>
          <w:p w14:paraId="1EF845C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33" w:type="dxa"/>
            <w:tcBorders>
              <w:top w:val="single" w:sz="8" w:space="0" w:color="152935"/>
              <w:left w:val="nil"/>
              <w:bottom w:val="single" w:sz="8" w:space="0" w:color="AEAEAE"/>
              <w:right w:val="nil"/>
            </w:tcBorders>
            <w:shd w:val="clear" w:color="auto" w:fill="auto"/>
          </w:tcPr>
          <w:p w14:paraId="3598CB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09" w:type="dxa"/>
            <w:tcBorders>
              <w:top w:val="single" w:sz="8" w:space="0" w:color="152935"/>
              <w:left w:val="nil"/>
              <w:bottom w:val="single" w:sz="8" w:space="0" w:color="AEAEAE"/>
              <w:right w:val="single" w:sz="8" w:space="0" w:color="E0E0E0"/>
            </w:tcBorders>
            <w:shd w:val="clear" w:color="auto" w:fill="auto"/>
          </w:tcPr>
          <w:p w14:paraId="41BAB47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22.787</w:t>
            </w:r>
          </w:p>
        </w:tc>
        <w:tc>
          <w:tcPr>
            <w:tcW w:w="983" w:type="dxa"/>
            <w:tcBorders>
              <w:top w:val="single" w:sz="8" w:space="0" w:color="152935"/>
              <w:left w:val="single" w:sz="8" w:space="0" w:color="E0E0E0"/>
              <w:bottom w:val="single" w:sz="8" w:space="0" w:color="AEAEAE"/>
              <w:right w:val="single" w:sz="8" w:space="0" w:color="E0E0E0"/>
            </w:tcBorders>
            <w:shd w:val="clear" w:color="auto" w:fill="auto"/>
          </w:tcPr>
          <w:p w14:paraId="32AAEF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350" w:type="dxa"/>
            <w:tcBorders>
              <w:top w:val="single" w:sz="8" w:space="0" w:color="152935"/>
              <w:left w:val="single" w:sz="8" w:space="0" w:color="E0E0E0"/>
              <w:bottom w:val="single" w:sz="8" w:space="0" w:color="AEAEAE"/>
              <w:right w:val="single" w:sz="8" w:space="0" w:color="E0E0E0"/>
            </w:tcBorders>
            <w:shd w:val="clear" w:color="auto" w:fill="auto"/>
          </w:tcPr>
          <w:p w14:paraId="62B32E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22.787</w:t>
            </w:r>
          </w:p>
        </w:tc>
        <w:tc>
          <w:tcPr>
            <w:tcW w:w="983" w:type="dxa"/>
            <w:tcBorders>
              <w:top w:val="single" w:sz="8" w:space="0" w:color="152935"/>
              <w:left w:val="single" w:sz="8" w:space="0" w:color="E0E0E0"/>
              <w:bottom w:val="single" w:sz="8" w:space="0" w:color="AEAEAE"/>
              <w:right w:val="single" w:sz="8" w:space="0" w:color="E0E0E0"/>
            </w:tcBorders>
            <w:shd w:val="clear" w:color="auto" w:fill="auto"/>
          </w:tcPr>
          <w:p w14:paraId="0F14BA5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171.797</w:t>
            </w:r>
          </w:p>
        </w:tc>
        <w:tc>
          <w:tcPr>
            <w:tcW w:w="2219" w:type="dxa"/>
            <w:tcBorders>
              <w:top w:val="single" w:sz="8" w:space="0" w:color="152935"/>
              <w:left w:val="single" w:sz="8" w:space="0" w:color="E0E0E0"/>
              <w:bottom w:val="single" w:sz="8" w:space="0" w:color="AEAEAE"/>
              <w:right w:val="nil"/>
            </w:tcBorders>
            <w:shd w:val="clear" w:color="auto" w:fill="auto"/>
          </w:tcPr>
          <w:p w14:paraId="293D5F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47B1560B" w14:textId="77777777" w:rsidTr="00DD695E">
        <w:trPr>
          <w:cantSplit/>
          <w:trHeight w:val="283"/>
        </w:trPr>
        <w:tc>
          <w:tcPr>
            <w:tcW w:w="702" w:type="dxa"/>
            <w:vMerge/>
            <w:tcBorders>
              <w:top w:val="single" w:sz="8" w:space="0" w:color="152935"/>
              <w:left w:val="nil"/>
              <w:bottom w:val="single" w:sz="8" w:space="0" w:color="152935"/>
              <w:right w:val="nil"/>
            </w:tcBorders>
            <w:shd w:val="clear" w:color="auto" w:fill="auto"/>
          </w:tcPr>
          <w:p w14:paraId="3A41BB6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33" w:type="dxa"/>
            <w:tcBorders>
              <w:top w:val="single" w:sz="8" w:space="0" w:color="AEAEAE"/>
              <w:left w:val="nil"/>
              <w:bottom w:val="single" w:sz="8" w:space="0" w:color="AEAEAE"/>
              <w:right w:val="nil"/>
            </w:tcBorders>
            <w:shd w:val="clear" w:color="auto" w:fill="auto"/>
          </w:tcPr>
          <w:p w14:paraId="06BFCB6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09" w:type="dxa"/>
            <w:tcBorders>
              <w:top w:val="single" w:sz="8" w:space="0" w:color="AEAEAE"/>
              <w:left w:val="nil"/>
              <w:bottom w:val="single" w:sz="8" w:space="0" w:color="AEAEAE"/>
              <w:right w:val="single" w:sz="8" w:space="0" w:color="E0E0E0"/>
            </w:tcBorders>
            <w:shd w:val="clear" w:color="auto" w:fill="auto"/>
          </w:tcPr>
          <w:p w14:paraId="06EB8FA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13.529</w:t>
            </w:r>
          </w:p>
        </w:tc>
        <w:tc>
          <w:tcPr>
            <w:tcW w:w="983" w:type="dxa"/>
            <w:tcBorders>
              <w:top w:val="single" w:sz="8" w:space="0" w:color="AEAEAE"/>
              <w:left w:val="single" w:sz="8" w:space="0" w:color="E0E0E0"/>
              <w:bottom w:val="single" w:sz="8" w:space="0" w:color="AEAEAE"/>
              <w:right w:val="single" w:sz="8" w:space="0" w:color="E0E0E0"/>
            </w:tcBorders>
            <w:shd w:val="clear" w:color="auto" w:fill="auto"/>
          </w:tcPr>
          <w:p w14:paraId="15F2D3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102</w:t>
            </w:r>
          </w:p>
        </w:tc>
        <w:tc>
          <w:tcPr>
            <w:tcW w:w="1350" w:type="dxa"/>
            <w:tcBorders>
              <w:top w:val="single" w:sz="8" w:space="0" w:color="AEAEAE"/>
              <w:left w:val="single" w:sz="8" w:space="0" w:color="E0E0E0"/>
              <w:bottom w:val="single" w:sz="8" w:space="0" w:color="AEAEAE"/>
              <w:right w:val="single" w:sz="8" w:space="0" w:color="E0E0E0"/>
            </w:tcBorders>
            <w:shd w:val="clear" w:color="auto" w:fill="auto"/>
          </w:tcPr>
          <w:p w14:paraId="1FBA33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.133</w:t>
            </w:r>
          </w:p>
        </w:tc>
        <w:tc>
          <w:tcPr>
            <w:tcW w:w="983"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548134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19" w:type="dxa"/>
            <w:tcBorders>
              <w:top w:val="single" w:sz="8" w:space="0" w:color="AEAEAE"/>
              <w:left w:val="single" w:sz="8" w:space="0" w:color="E0E0E0"/>
              <w:bottom w:val="single" w:sz="8" w:space="0" w:color="AEAEAE"/>
              <w:right w:val="nil"/>
            </w:tcBorders>
            <w:shd w:val="clear" w:color="auto" w:fill="auto"/>
            <w:vAlign w:val="center"/>
          </w:tcPr>
          <w:p w14:paraId="7918CE5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7BF302A7" w14:textId="77777777" w:rsidTr="00DD695E">
        <w:trPr>
          <w:cantSplit/>
          <w:trHeight w:val="283"/>
        </w:trPr>
        <w:tc>
          <w:tcPr>
            <w:tcW w:w="702" w:type="dxa"/>
            <w:vMerge/>
            <w:tcBorders>
              <w:top w:val="single" w:sz="8" w:space="0" w:color="152935"/>
              <w:left w:val="nil"/>
              <w:bottom w:val="single" w:sz="8" w:space="0" w:color="152935"/>
              <w:right w:val="nil"/>
            </w:tcBorders>
            <w:shd w:val="clear" w:color="auto" w:fill="auto"/>
          </w:tcPr>
          <w:p w14:paraId="793ECDD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33" w:type="dxa"/>
            <w:tcBorders>
              <w:top w:val="single" w:sz="8" w:space="0" w:color="AEAEAE"/>
              <w:left w:val="nil"/>
              <w:bottom w:val="single" w:sz="8" w:space="0" w:color="152935"/>
              <w:right w:val="nil"/>
            </w:tcBorders>
            <w:shd w:val="clear" w:color="auto" w:fill="auto"/>
          </w:tcPr>
          <w:p w14:paraId="796CB0B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09" w:type="dxa"/>
            <w:tcBorders>
              <w:top w:val="single" w:sz="8" w:space="0" w:color="AEAEAE"/>
              <w:left w:val="nil"/>
              <w:bottom w:val="single" w:sz="8" w:space="0" w:color="152935"/>
              <w:right w:val="single" w:sz="8" w:space="0" w:color="E0E0E0"/>
            </w:tcBorders>
            <w:shd w:val="clear" w:color="auto" w:fill="auto"/>
          </w:tcPr>
          <w:p w14:paraId="59C51C7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83" w:type="dxa"/>
            <w:tcBorders>
              <w:top w:val="single" w:sz="8" w:space="0" w:color="AEAEAE"/>
              <w:left w:val="single" w:sz="8" w:space="0" w:color="E0E0E0"/>
              <w:bottom w:val="single" w:sz="8" w:space="0" w:color="152935"/>
              <w:right w:val="single" w:sz="8" w:space="0" w:color="E0E0E0"/>
            </w:tcBorders>
            <w:shd w:val="clear" w:color="auto" w:fill="auto"/>
          </w:tcPr>
          <w:p w14:paraId="79E32C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50" w:type="dxa"/>
            <w:tcBorders>
              <w:top w:val="single" w:sz="8" w:space="0" w:color="AEAEAE"/>
              <w:left w:val="single" w:sz="8" w:space="0" w:color="E0E0E0"/>
              <w:bottom w:val="single" w:sz="8" w:space="0" w:color="152935"/>
              <w:right w:val="single" w:sz="8" w:space="0" w:color="E0E0E0"/>
            </w:tcBorders>
            <w:shd w:val="clear" w:color="auto" w:fill="auto"/>
            <w:vAlign w:val="center"/>
          </w:tcPr>
          <w:p w14:paraId="1B254D3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83"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111342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19" w:type="dxa"/>
            <w:tcBorders>
              <w:top w:val="single" w:sz="8" w:space="0" w:color="AEAEAE"/>
              <w:left w:val="single" w:sz="8" w:space="0" w:color="E0E0E0"/>
              <w:bottom w:val="single" w:sz="8" w:space="0" w:color="152935"/>
              <w:right w:val="nil"/>
            </w:tcBorders>
            <w:shd w:val="clear" w:color="auto" w:fill="auto"/>
            <w:vAlign w:val="center"/>
          </w:tcPr>
          <w:p w14:paraId="0C0A232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54F6AEFC" w14:textId="77777777" w:rsidTr="00DD695E">
        <w:trPr>
          <w:cantSplit/>
          <w:trHeight w:val="283"/>
        </w:trPr>
        <w:tc>
          <w:tcPr>
            <w:tcW w:w="8879" w:type="dxa"/>
            <w:gridSpan w:val="7"/>
            <w:tcBorders>
              <w:top w:val="nil"/>
              <w:left w:val="nil"/>
              <w:bottom w:val="nil"/>
              <w:right w:val="nil"/>
            </w:tcBorders>
            <w:shd w:val="clear" w:color="auto" w:fill="auto"/>
          </w:tcPr>
          <w:p w14:paraId="34B9BF8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25B4F15B" w14:textId="77777777" w:rsidTr="00DD695E">
        <w:trPr>
          <w:cantSplit/>
          <w:trHeight w:val="283"/>
        </w:trPr>
        <w:tc>
          <w:tcPr>
            <w:tcW w:w="8879" w:type="dxa"/>
            <w:gridSpan w:val="7"/>
            <w:tcBorders>
              <w:top w:val="nil"/>
              <w:left w:val="nil"/>
              <w:bottom w:val="nil"/>
              <w:right w:val="nil"/>
            </w:tcBorders>
            <w:shd w:val="clear" w:color="auto" w:fill="auto"/>
          </w:tcPr>
          <w:p w14:paraId="16A3D1D1" w14:textId="5AFAF6F1"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w:t>
            </w:r>
            <w:r w:rsidR="00DD07A5" w:rsidRPr="00400193">
              <w:rPr>
                <w:rFonts w:asciiTheme="minorHAnsi" w:hAnsiTheme="minorHAnsi" w:cstheme="minorHAnsi"/>
                <w:sz w:val="20"/>
                <w:szCs w:val="18"/>
                <w:lang w:eastAsia="zh-CN" w:bidi="hi-IN"/>
              </w:rPr>
              <w:t>IRF</w:t>
            </w:r>
          </w:p>
        </w:tc>
      </w:tr>
    </w:tbl>
    <w:p w14:paraId="299BECE7" w14:textId="4F0DB2CD" w:rsidR="006E3616" w:rsidRPr="00400193" w:rsidRDefault="006E3616" w:rsidP="006E3616">
      <w:pPr>
        <w:pStyle w:val="Caption"/>
        <w:spacing w:after="240"/>
        <w:rPr>
          <w:lang w:eastAsia="zh-CN" w:bidi="hi-IN"/>
        </w:rPr>
      </w:pPr>
      <w:bookmarkStart w:id="618" w:name="_Ref43498299"/>
      <w:bookmarkStart w:id="619" w:name="_Toc5290160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61</w:t>
      </w:r>
      <w:r w:rsidRPr="00400193">
        <w:fldChar w:fldCharType="end"/>
      </w:r>
      <w:bookmarkEnd w:id="618"/>
      <w:r w:rsidRPr="00400193">
        <w:t xml:space="preserve">: </w:t>
      </w:r>
      <w:r w:rsidRPr="00400193">
        <w:rPr>
          <w:lang w:eastAsia="zh-CN" w:bidi="hi-IN"/>
        </w:rPr>
        <w:t xml:space="preserve">Analysis of variance </w:t>
      </w:r>
      <w:r w:rsidRPr="00400193">
        <w:rPr>
          <w:vertAlign w:val="superscript"/>
          <w:lang w:eastAsia="zh-CN" w:bidi="hi-IN"/>
        </w:rPr>
        <w:t xml:space="preserve">a </w:t>
      </w:r>
      <w:r w:rsidRPr="00400193">
        <w:rPr>
          <w:lang w:eastAsia="zh-CN" w:bidi="hi-IN"/>
        </w:rPr>
        <w:t>of the model for VW</w:t>
      </w:r>
      <w:bookmarkEnd w:id="619"/>
    </w:p>
    <w:p w14:paraId="5DDC2046" w14:textId="3BD21A26" w:rsidR="006E3616" w:rsidRPr="00400193" w:rsidRDefault="006E3616" w:rsidP="006E3616">
      <w:pPr>
        <w:rPr>
          <w:lang w:eastAsia="zh-CN" w:bidi="hi-IN"/>
        </w:rPr>
      </w:pPr>
      <w:r w:rsidRPr="00400193">
        <w:rPr>
          <w:lang w:eastAsia="zh-CN" w:bidi="hi-IN"/>
        </w:rPr>
        <w:t xml:space="preserve">The F-ratio also shows that the overall regression model is a good fit for the data because the predictor variables statistically predict the response variable, F =171.797, p &lt;0.005. The regression model explains all the response data variability around its mean. The F-value is significant at 95%, even though the R-square value of 0.627 indicates that only 62.7% of the variation in standard deviation is explained by the explanatory variables. The p-value associated with the F value is 0.000 indicating that the predictor </w:t>
      </w:r>
      <w:r w:rsidR="00DD07A5" w:rsidRPr="00400193">
        <w:rPr>
          <w:lang w:eastAsia="zh-CN" w:bidi="hi-IN"/>
        </w:rPr>
        <w:t>IRF</w:t>
      </w:r>
      <w:r w:rsidRPr="00400193">
        <w:rPr>
          <w:lang w:eastAsia="zh-CN" w:bidi="hi-IN"/>
        </w:rPr>
        <w:t xml:space="preserve"> variables dependably predict the response variable</w:t>
      </w:r>
      <w:r w:rsidR="00DD695E" w:rsidRPr="00400193">
        <w:rPr>
          <w:lang w:eastAsia="zh-CN" w:bidi="hi-IN"/>
        </w:rPr>
        <w:t xml:space="preserve"> (see </w:t>
      </w:r>
      <w:r w:rsidR="00DD695E" w:rsidRPr="00400193">
        <w:rPr>
          <w:lang w:eastAsia="zh-CN" w:bidi="hi-IN"/>
        </w:rPr>
        <w:fldChar w:fldCharType="begin"/>
      </w:r>
      <w:r w:rsidR="00DD695E" w:rsidRPr="00400193">
        <w:rPr>
          <w:lang w:eastAsia="zh-CN" w:bidi="hi-IN"/>
        </w:rPr>
        <w:instrText xml:space="preserve"> REF _Ref51426242 \h </w:instrText>
      </w:r>
      <w:r w:rsidR="00DD695E" w:rsidRPr="00400193">
        <w:rPr>
          <w:lang w:eastAsia="zh-CN" w:bidi="hi-IN"/>
        </w:rPr>
      </w:r>
      <w:r w:rsidR="00DD695E"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62</w:t>
      </w:r>
      <w:r w:rsidR="00DD695E" w:rsidRPr="00400193">
        <w:rPr>
          <w:lang w:eastAsia="zh-CN" w:bidi="hi-IN"/>
        </w:rPr>
        <w:fldChar w:fldCharType="end"/>
      </w:r>
      <w:r w:rsidR="00DD695E" w:rsidRPr="00400193">
        <w:rPr>
          <w:lang w:eastAsia="zh-CN" w:bidi="hi-IN"/>
        </w:rPr>
        <w:t>)</w:t>
      </w:r>
      <w:r w:rsidRPr="00400193">
        <w:rPr>
          <w:lang w:eastAsia="zh-CN" w:bidi="hi-IN"/>
        </w:rPr>
        <w:t xml:space="preserve">. </w:t>
      </w: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7"/>
        <w:gridCol w:w="1451"/>
        <w:gridCol w:w="1113"/>
        <w:gridCol w:w="1542"/>
        <w:gridCol w:w="2826"/>
        <w:gridCol w:w="856"/>
        <w:gridCol w:w="774"/>
      </w:tblGrid>
      <w:tr w:rsidR="006E3616" w:rsidRPr="00400193" w14:paraId="0229DEA0" w14:textId="77777777" w:rsidTr="001B1ED1">
        <w:trPr>
          <w:cantSplit/>
          <w:trHeight w:val="283"/>
        </w:trPr>
        <w:tc>
          <w:tcPr>
            <w:tcW w:w="8909" w:type="dxa"/>
            <w:gridSpan w:val="7"/>
            <w:tcBorders>
              <w:top w:val="nil"/>
              <w:left w:val="nil"/>
              <w:bottom w:val="nil"/>
              <w:right w:val="nil"/>
            </w:tcBorders>
            <w:shd w:val="clear" w:color="auto" w:fill="auto"/>
            <w:vAlign w:val="center"/>
          </w:tcPr>
          <w:p w14:paraId="60CF0CC5"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Coefficients </w:t>
            </w:r>
            <w:r w:rsidRPr="00400193">
              <w:rPr>
                <w:rFonts w:asciiTheme="minorHAnsi" w:hAnsiTheme="minorHAnsi" w:cstheme="minorHAnsi"/>
                <w:b/>
                <w:bCs/>
                <w:sz w:val="20"/>
                <w:szCs w:val="20"/>
                <w:vertAlign w:val="superscript"/>
                <w:lang w:eastAsia="zh-CN" w:bidi="hi-IN"/>
              </w:rPr>
              <w:t>a</w:t>
            </w:r>
          </w:p>
        </w:tc>
      </w:tr>
      <w:tr w:rsidR="006E3616" w:rsidRPr="00400193" w14:paraId="73CFCC3E" w14:textId="77777777" w:rsidTr="001B1ED1">
        <w:trPr>
          <w:cantSplit/>
          <w:trHeight w:val="283"/>
        </w:trPr>
        <w:tc>
          <w:tcPr>
            <w:tcW w:w="1798" w:type="dxa"/>
            <w:gridSpan w:val="2"/>
            <w:vMerge w:val="restart"/>
            <w:tcBorders>
              <w:top w:val="nil"/>
              <w:left w:val="nil"/>
              <w:bottom w:val="nil"/>
              <w:right w:val="nil"/>
            </w:tcBorders>
            <w:shd w:val="clear" w:color="auto" w:fill="auto"/>
            <w:vAlign w:val="bottom"/>
          </w:tcPr>
          <w:p w14:paraId="1B4E59AC"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2655" w:type="dxa"/>
            <w:gridSpan w:val="2"/>
            <w:tcBorders>
              <w:top w:val="nil"/>
              <w:left w:val="nil"/>
              <w:bottom w:val="nil"/>
              <w:right w:val="single" w:sz="8" w:space="0" w:color="E0E0E0"/>
            </w:tcBorders>
            <w:shd w:val="clear" w:color="auto" w:fill="auto"/>
            <w:vAlign w:val="bottom"/>
          </w:tcPr>
          <w:p w14:paraId="27D2E225"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Unstandardised Coefficients</w:t>
            </w:r>
          </w:p>
        </w:tc>
        <w:tc>
          <w:tcPr>
            <w:tcW w:w="2826" w:type="dxa"/>
            <w:tcBorders>
              <w:top w:val="nil"/>
              <w:left w:val="single" w:sz="8" w:space="0" w:color="E0E0E0"/>
              <w:bottom w:val="nil"/>
              <w:right w:val="single" w:sz="8" w:space="0" w:color="E0E0E0"/>
            </w:tcBorders>
            <w:shd w:val="clear" w:color="auto" w:fill="auto"/>
            <w:vAlign w:val="bottom"/>
          </w:tcPr>
          <w:p w14:paraId="603A7AEF"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Standardised Coefficients</w:t>
            </w:r>
          </w:p>
        </w:tc>
        <w:tc>
          <w:tcPr>
            <w:tcW w:w="856" w:type="dxa"/>
            <w:vMerge w:val="restart"/>
            <w:tcBorders>
              <w:top w:val="nil"/>
              <w:left w:val="single" w:sz="8" w:space="0" w:color="E0E0E0"/>
              <w:bottom w:val="nil"/>
              <w:right w:val="single" w:sz="8" w:space="0" w:color="E0E0E0"/>
            </w:tcBorders>
            <w:shd w:val="clear" w:color="auto" w:fill="auto"/>
            <w:vAlign w:val="bottom"/>
          </w:tcPr>
          <w:p w14:paraId="3E8B0654"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w:t>
            </w:r>
          </w:p>
        </w:tc>
        <w:tc>
          <w:tcPr>
            <w:tcW w:w="774" w:type="dxa"/>
            <w:vMerge w:val="restart"/>
            <w:tcBorders>
              <w:top w:val="nil"/>
              <w:left w:val="single" w:sz="8" w:space="0" w:color="E0E0E0"/>
              <w:bottom w:val="nil"/>
              <w:right w:val="nil"/>
            </w:tcBorders>
            <w:shd w:val="clear" w:color="auto" w:fill="auto"/>
            <w:vAlign w:val="bottom"/>
          </w:tcPr>
          <w:p w14:paraId="767EA6BE"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Sig.</w:t>
            </w:r>
          </w:p>
        </w:tc>
      </w:tr>
      <w:tr w:rsidR="006E3616" w:rsidRPr="00400193" w14:paraId="4320703A" w14:textId="77777777" w:rsidTr="001B1ED1">
        <w:trPr>
          <w:cantSplit/>
          <w:trHeight w:val="283"/>
        </w:trPr>
        <w:tc>
          <w:tcPr>
            <w:tcW w:w="1798" w:type="dxa"/>
            <w:gridSpan w:val="2"/>
            <w:vMerge/>
            <w:tcBorders>
              <w:top w:val="nil"/>
              <w:left w:val="nil"/>
              <w:bottom w:val="nil"/>
              <w:right w:val="nil"/>
            </w:tcBorders>
            <w:shd w:val="clear" w:color="auto" w:fill="auto"/>
            <w:vAlign w:val="bottom"/>
          </w:tcPr>
          <w:p w14:paraId="05DB653B" w14:textId="77777777" w:rsidR="006E3616" w:rsidRPr="00400193" w:rsidRDefault="006E3616" w:rsidP="00DD695E">
            <w:pPr>
              <w:spacing w:after="0" w:line="240" w:lineRule="auto"/>
              <w:rPr>
                <w:rFonts w:asciiTheme="minorHAnsi" w:hAnsiTheme="minorHAnsi" w:cstheme="minorHAnsi"/>
                <w:sz w:val="20"/>
                <w:szCs w:val="20"/>
                <w:lang w:eastAsia="zh-CN" w:bidi="hi-IN"/>
              </w:rPr>
            </w:pPr>
          </w:p>
        </w:tc>
        <w:tc>
          <w:tcPr>
            <w:tcW w:w="1113" w:type="dxa"/>
            <w:tcBorders>
              <w:top w:val="nil"/>
              <w:left w:val="nil"/>
              <w:bottom w:val="single" w:sz="8" w:space="0" w:color="152935"/>
              <w:right w:val="single" w:sz="8" w:space="0" w:color="E0E0E0"/>
            </w:tcBorders>
            <w:shd w:val="clear" w:color="auto" w:fill="auto"/>
            <w:vAlign w:val="bottom"/>
          </w:tcPr>
          <w:p w14:paraId="4CC741E7"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w:t>
            </w:r>
          </w:p>
        </w:tc>
        <w:tc>
          <w:tcPr>
            <w:tcW w:w="1542" w:type="dxa"/>
            <w:tcBorders>
              <w:top w:val="nil"/>
              <w:left w:val="single" w:sz="8" w:space="0" w:color="E0E0E0"/>
              <w:bottom w:val="single" w:sz="8" w:space="0" w:color="152935"/>
              <w:right w:val="single" w:sz="8" w:space="0" w:color="E0E0E0"/>
            </w:tcBorders>
            <w:shd w:val="clear" w:color="auto" w:fill="auto"/>
            <w:vAlign w:val="bottom"/>
          </w:tcPr>
          <w:p w14:paraId="133820F9"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Std. Error</w:t>
            </w:r>
          </w:p>
        </w:tc>
        <w:tc>
          <w:tcPr>
            <w:tcW w:w="2826" w:type="dxa"/>
            <w:tcBorders>
              <w:top w:val="nil"/>
              <w:left w:val="single" w:sz="8" w:space="0" w:color="E0E0E0"/>
              <w:bottom w:val="single" w:sz="8" w:space="0" w:color="152935"/>
              <w:right w:val="single" w:sz="8" w:space="0" w:color="E0E0E0"/>
            </w:tcBorders>
            <w:shd w:val="clear" w:color="auto" w:fill="auto"/>
            <w:vAlign w:val="bottom"/>
          </w:tcPr>
          <w:p w14:paraId="6B55B311"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Beta</w:t>
            </w:r>
          </w:p>
        </w:tc>
        <w:tc>
          <w:tcPr>
            <w:tcW w:w="856" w:type="dxa"/>
            <w:vMerge/>
            <w:tcBorders>
              <w:top w:val="nil"/>
              <w:left w:val="single" w:sz="8" w:space="0" w:color="E0E0E0"/>
              <w:bottom w:val="nil"/>
              <w:right w:val="single" w:sz="8" w:space="0" w:color="E0E0E0"/>
            </w:tcBorders>
            <w:shd w:val="clear" w:color="auto" w:fill="auto"/>
            <w:vAlign w:val="bottom"/>
          </w:tcPr>
          <w:p w14:paraId="51C37F5F" w14:textId="77777777" w:rsidR="006E3616" w:rsidRPr="00400193" w:rsidRDefault="006E3616" w:rsidP="00DD695E">
            <w:pPr>
              <w:spacing w:after="0" w:line="240" w:lineRule="auto"/>
              <w:rPr>
                <w:rFonts w:asciiTheme="minorHAnsi" w:hAnsiTheme="minorHAnsi" w:cstheme="minorHAnsi"/>
                <w:sz w:val="20"/>
                <w:szCs w:val="20"/>
                <w:lang w:eastAsia="zh-CN" w:bidi="hi-IN"/>
              </w:rPr>
            </w:pPr>
          </w:p>
        </w:tc>
        <w:tc>
          <w:tcPr>
            <w:tcW w:w="774" w:type="dxa"/>
            <w:vMerge/>
            <w:tcBorders>
              <w:top w:val="nil"/>
              <w:left w:val="single" w:sz="8" w:space="0" w:color="E0E0E0"/>
              <w:bottom w:val="nil"/>
              <w:right w:val="nil"/>
            </w:tcBorders>
            <w:shd w:val="clear" w:color="auto" w:fill="auto"/>
            <w:vAlign w:val="bottom"/>
          </w:tcPr>
          <w:p w14:paraId="53FA4470" w14:textId="77777777" w:rsidR="006E3616" w:rsidRPr="00400193" w:rsidRDefault="006E3616" w:rsidP="00DD695E">
            <w:pPr>
              <w:spacing w:after="0" w:line="240" w:lineRule="auto"/>
              <w:rPr>
                <w:rFonts w:asciiTheme="minorHAnsi" w:hAnsiTheme="minorHAnsi" w:cstheme="minorHAnsi"/>
                <w:sz w:val="20"/>
                <w:szCs w:val="20"/>
                <w:lang w:eastAsia="zh-CN" w:bidi="hi-IN"/>
              </w:rPr>
            </w:pPr>
          </w:p>
        </w:tc>
      </w:tr>
      <w:tr w:rsidR="006E3616" w:rsidRPr="00400193" w14:paraId="07629C77" w14:textId="77777777" w:rsidTr="001B1ED1">
        <w:trPr>
          <w:cantSplit/>
          <w:trHeight w:val="283"/>
        </w:trPr>
        <w:tc>
          <w:tcPr>
            <w:tcW w:w="347" w:type="dxa"/>
            <w:vMerge w:val="restart"/>
            <w:tcBorders>
              <w:top w:val="single" w:sz="8" w:space="0" w:color="152935"/>
              <w:left w:val="nil"/>
              <w:bottom w:val="single" w:sz="8" w:space="0" w:color="152935"/>
              <w:right w:val="nil"/>
            </w:tcBorders>
            <w:shd w:val="clear" w:color="auto" w:fill="auto"/>
          </w:tcPr>
          <w:p w14:paraId="4E7E3E5B"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451" w:type="dxa"/>
            <w:tcBorders>
              <w:top w:val="single" w:sz="8" w:space="0" w:color="152935"/>
              <w:left w:val="nil"/>
              <w:bottom w:val="single" w:sz="8" w:space="0" w:color="AEAEAE"/>
              <w:right w:val="nil"/>
            </w:tcBorders>
            <w:shd w:val="clear" w:color="auto" w:fill="auto"/>
          </w:tcPr>
          <w:p w14:paraId="5C2B085E"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1113" w:type="dxa"/>
            <w:tcBorders>
              <w:top w:val="single" w:sz="8" w:space="0" w:color="152935"/>
              <w:left w:val="nil"/>
              <w:bottom w:val="single" w:sz="8" w:space="0" w:color="AEAEAE"/>
              <w:right w:val="single" w:sz="8" w:space="0" w:color="E0E0E0"/>
            </w:tcBorders>
            <w:shd w:val="clear" w:color="auto" w:fill="auto"/>
          </w:tcPr>
          <w:p w14:paraId="79ECD9C8"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1.511</w:t>
            </w:r>
          </w:p>
        </w:tc>
        <w:tc>
          <w:tcPr>
            <w:tcW w:w="1542" w:type="dxa"/>
            <w:tcBorders>
              <w:top w:val="single" w:sz="8" w:space="0" w:color="152935"/>
              <w:left w:val="single" w:sz="8" w:space="0" w:color="E0E0E0"/>
              <w:bottom w:val="single" w:sz="8" w:space="0" w:color="AEAEAE"/>
              <w:right w:val="single" w:sz="8" w:space="0" w:color="E0E0E0"/>
            </w:tcBorders>
            <w:shd w:val="clear" w:color="auto" w:fill="auto"/>
          </w:tcPr>
          <w:p w14:paraId="0E6BD37B"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.134</w:t>
            </w:r>
          </w:p>
        </w:tc>
        <w:tc>
          <w:tcPr>
            <w:tcW w:w="2826" w:type="dxa"/>
            <w:tcBorders>
              <w:top w:val="single" w:sz="8" w:space="0" w:color="152935"/>
              <w:left w:val="single" w:sz="8" w:space="0" w:color="E0E0E0"/>
              <w:bottom w:val="single" w:sz="8" w:space="0" w:color="AEAEAE"/>
              <w:right w:val="single" w:sz="8" w:space="0" w:color="E0E0E0"/>
            </w:tcBorders>
            <w:shd w:val="clear" w:color="auto" w:fill="auto"/>
            <w:vAlign w:val="center"/>
          </w:tcPr>
          <w:p w14:paraId="599CD90B" w14:textId="77777777" w:rsidR="006E3616" w:rsidRPr="00400193" w:rsidRDefault="006E3616" w:rsidP="00DD695E">
            <w:pPr>
              <w:spacing w:after="0" w:line="240" w:lineRule="auto"/>
              <w:rPr>
                <w:rFonts w:asciiTheme="minorHAnsi" w:hAnsiTheme="minorHAnsi" w:cstheme="minorHAnsi"/>
                <w:sz w:val="20"/>
                <w:szCs w:val="20"/>
                <w:lang w:eastAsia="zh-CN" w:bidi="hi-IN"/>
              </w:rPr>
            </w:pPr>
          </w:p>
        </w:tc>
        <w:tc>
          <w:tcPr>
            <w:tcW w:w="856" w:type="dxa"/>
            <w:tcBorders>
              <w:top w:val="single" w:sz="8" w:space="0" w:color="152935"/>
              <w:left w:val="single" w:sz="8" w:space="0" w:color="E0E0E0"/>
              <w:bottom w:val="single" w:sz="8" w:space="0" w:color="AEAEAE"/>
              <w:right w:val="single" w:sz="8" w:space="0" w:color="E0E0E0"/>
            </w:tcBorders>
            <w:shd w:val="clear" w:color="auto" w:fill="auto"/>
          </w:tcPr>
          <w:p w14:paraId="713F6026"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11.284</w:t>
            </w:r>
          </w:p>
        </w:tc>
        <w:tc>
          <w:tcPr>
            <w:tcW w:w="774" w:type="dxa"/>
            <w:tcBorders>
              <w:top w:val="single" w:sz="8" w:space="0" w:color="152935"/>
              <w:left w:val="single" w:sz="8" w:space="0" w:color="E0E0E0"/>
              <w:bottom w:val="single" w:sz="8" w:space="0" w:color="AEAEAE"/>
              <w:right w:val="nil"/>
            </w:tcBorders>
            <w:shd w:val="clear" w:color="auto" w:fill="auto"/>
          </w:tcPr>
          <w:p w14:paraId="275873E3"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.000</w:t>
            </w:r>
          </w:p>
        </w:tc>
      </w:tr>
      <w:tr w:rsidR="006E3616" w:rsidRPr="00400193" w14:paraId="3E7472B4" w14:textId="77777777" w:rsidTr="001B1ED1">
        <w:trPr>
          <w:cantSplit/>
          <w:trHeight w:val="283"/>
        </w:trPr>
        <w:tc>
          <w:tcPr>
            <w:tcW w:w="347" w:type="dxa"/>
            <w:vMerge/>
            <w:tcBorders>
              <w:top w:val="single" w:sz="8" w:space="0" w:color="152935"/>
              <w:left w:val="nil"/>
              <w:bottom w:val="single" w:sz="8" w:space="0" w:color="152935"/>
              <w:right w:val="nil"/>
            </w:tcBorders>
            <w:shd w:val="clear" w:color="auto" w:fill="auto"/>
          </w:tcPr>
          <w:p w14:paraId="6D194244" w14:textId="77777777" w:rsidR="006E3616" w:rsidRPr="00400193" w:rsidRDefault="006E3616" w:rsidP="00DD695E">
            <w:pPr>
              <w:spacing w:after="0" w:line="240" w:lineRule="auto"/>
              <w:rPr>
                <w:rFonts w:asciiTheme="minorHAnsi" w:hAnsiTheme="minorHAnsi" w:cstheme="minorHAnsi"/>
                <w:sz w:val="20"/>
                <w:szCs w:val="20"/>
                <w:lang w:eastAsia="zh-CN" w:bidi="hi-IN"/>
              </w:rPr>
            </w:pPr>
          </w:p>
        </w:tc>
        <w:tc>
          <w:tcPr>
            <w:tcW w:w="1451" w:type="dxa"/>
            <w:tcBorders>
              <w:top w:val="single" w:sz="8" w:space="0" w:color="AEAEAE"/>
              <w:left w:val="nil"/>
              <w:bottom w:val="single" w:sz="8" w:space="0" w:color="AEAEAE"/>
              <w:right w:val="nil"/>
            </w:tcBorders>
            <w:shd w:val="clear" w:color="auto" w:fill="auto"/>
          </w:tcPr>
          <w:p w14:paraId="7D101E04" w14:textId="10327B47" w:rsidR="006E3616" w:rsidRPr="00400193" w:rsidRDefault="00DD07A5"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p>
        </w:tc>
        <w:tc>
          <w:tcPr>
            <w:tcW w:w="1113" w:type="dxa"/>
            <w:tcBorders>
              <w:top w:val="single" w:sz="8" w:space="0" w:color="AEAEAE"/>
              <w:left w:val="nil"/>
              <w:bottom w:val="single" w:sz="8" w:space="0" w:color="AEAEAE"/>
              <w:right w:val="single" w:sz="8" w:space="0" w:color="E0E0E0"/>
            </w:tcBorders>
            <w:shd w:val="clear" w:color="auto" w:fill="auto"/>
          </w:tcPr>
          <w:p w14:paraId="6E5C6E45"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.542</w:t>
            </w:r>
          </w:p>
        </w:tc>
        <w:tc>
          <w:tcPr>
            <w:tcW w:w="1542" w:type="dxa"/>
            <w:tcBorders>
              <w:top w:val="single" w:sz="8" w:space="0" w:color="AEAEAE"/>
              <w:left w:val="single" w:sz="8" w:space="0" w:color="E0E0E0"/>
              <w:bottom w:val="single" w:sz="8" w:space="0" w:color="AEAEAE"/>
              <w:right w:val="single" w:sz="8" w:space="0" w:color="E0E0E0"/>
            </w:tcBorders>
            <w:shd w:val="clear" w:color="auto" w:fill="auto"/>
          </w:tcPr>
          <w:p w14:paraId="6AFF3FC8"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.041</w:t>
            </w:r>
          </w:p>
        </w:tc>
        <w:tc>
          <w:tcPr>
            <w:tcW w:w="2826" w:type="dxa"/>
            <w:tcBorders>
              <w:top w:val="single" w:sz="8" w:space="0" w:color="AEAEAE"/>
              <w:left w:val="single" w:sz="8" w:space="0" w:color="E0E0E0"/>
              <w:bottom w:val="single" w:sz="8" w:space="0" w:color="AEAEAE"/>
              <w:right w:val="single" w:sz="8" w:space="0" w:color="E0E0E0"/>
            </w:tcBorders>
            <w:shd w:val="clear" w:color="auto" w:fill="auto"/>
          </w:tcPr>
          <w:p w14:paraId="5D3EB917"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.792</w:t>
            </w:r>
          </w:p>
        </w:tc>
        <w:tc>
          <w:tcPr>
            <w:tcW w:w="856" w:type="dxa"/>
            <w:tcBorders>
              <w:top w:val="single" w:sz="8" w:space="0" w:color="AEAEAE"/>
              <w:left w:val="single" w:sz="8" w:space="0" w:color="E0E0E0"/>
              <w:bottom w:val="single" w:sz="8" w:space="0" w:color="AEAEAE"/>
              <w:right w:val="single" w:sz="8" w:space="0" w:color="E0E0E0"/>
            </w:tcBorders>
            <w:shd w:val="clear" w:color="auto" w:fill="auto"/>
          </w:tcPr>
          <w:p w14:paraId="4A4F94AD" w14:textId="77777777" w:rsidR="006E3616" w:rsidRPr="00400193" w:rsidRDefault="006E3616" w:rsidP="00DD695E">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13.107</w:t>
            </w:r>
          </w:p>
        </w:tc>
        <w:tc>
          <w:tcPr>
            <w:tcW w:w="774" w:type="dxa"/>
            <w:tcBorders>
              <w:top w:val="single" w:sz="8" w:space="0" w:color="AEAEAE"/>
              <w:left w:val="single" w:sz="8" w:space="0" w:color="E0E0E0"/>
              <w:bottom w:val="single" w:sz="8" w:space="0" w:color="AEAEAE"/>
              <w:right w:val="nil"/>
            </w:tcBorders>
            <w:shd w:val="clear" w:color="auto" w:fill="auto"/>
          </w:tcPr>
          <w:p w14:paraId="6A078B35" w14:textId="77777777" w:rsidR="006E3616" w:rsidRPr="00400193" w:rsidRDefault="006E3616" w:rsidP="00DD695E">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.000</w:t>
            </w:r>
          </w:p>
        </w:tc>
      </w:tr>
      <w:tr w:rsidR="001B1ED1" w:rsidRPr="00400193" w14:paraId="0F53587B" w14:textId="77777777" w:rsidTr="001B1ED1">
        <w:trPr>
          <w:cantSplit/>
          <w:trHeight w:val="283"/>
        </w:trPr>
        <w:tc>
          <w:tcPr>
            <w:tcW w:w="8909" w:type="dxa"/>
            <w:gridSpan w:val="7"/>
            <w:tcBorders>
              <w:top w:val="single" w:sz="8" w:space="0" w:color="152935"/>
              <w:left w:val="nil"/>
              <w:bottom w:val="single" w:sz="4" w:space="0" w:color="FFFFFF" w:themeColor="background1"/>
              <w:right w:val="nil"/>
            </w:tcBorders>
            <w:shd w:val="clear" w:color="auto" w:fill="auto"/>
          </w:tcPr>
          <w:p w14:paraId="4BAB8D2A" w14:textId="013E31D7" w:rsidR="001B1ED1" w:rsidRPr="00400193" w:rsidRDefault="001B1ED1" w:rsidP="001B1ED1">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 xml:space="preserve">a. </w:t>
            </w:r>
            <w:r w:rsidRPr="00400193">
              <w:rPr>
                <w:rFonts w:asciiTheme="minorHAnsi" w:hAnsiTheme="minorHAnsi" w:cstheme="minorHAnsi"/>
                <w:sz w:val="20"/>
                <w:szCs w:val="20"/>
                <w:lang w:eastAsia="zh-CN" w:bidi="hi-IN"/>
              </w:rPr>
              <w:t>Dependent Variable: VW</w:t>
            </w:r>
          </w:p>
        </w:tc>
      </w:tr>
    </w:tbl>
    <w:p w14:paraId="1461464D" w14:textId="2989462C" w:rsidR="006E3616" w:rsidRPr="00400193" w:rsidRDefault="006E3616" w:rsidP="006E3616">
      <w:pPr>
        <w:pStyle w:val="Caption"/>
        <w:rPr>
          <w:lang w:eastAsia="zh-CN" w:bidi="hi-IN"/>
        </w:rPr>
      </w:pPr>
      <w:bookmarkStart w:id="620" w:name="_Ref51426242"/>
      <w:bookmarkStart w:id="621" w:name="_Toc5290160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62</w:t>
      </w:r>
      <w:r w:rsidRPr="00400193">
        <w:fldChar w:fldCharType="end"/>
      </w:r>
      <w:bookmarkEnd w:id="620"/>
      <w:r w:rsidRPr="00400193">
        <w:t>:</w:t>
      </w:r>
      <w:r w:rsidRPr="00400193">
        <w:rPr>
          <w:lang w:eastAsia="zh-CN" w:bidi="hi-IN"/>
        </w:rPr>
        <w:t xml:space="preserve"> Coefficients </w:t>
      </w:r>
      <w:r w:rsidRPr="00400193">
        <w:rPr>
          <w:vertAlign w:val="superscript"/>
          <w:lang w:eastAsia="zh-CN" w:bidi="hi-IN"/>
        </w:rPr>
        <w:t xml:space="preserve">a </w:t>
      </w:r>
      <w:r w:rsidRPr="00400193">
        <w:rPr>
          <w:lang w:eastAsia="zh-CN" w:bidi="hi-IN"/>
        </w:rPr>
        <w:t>of the regression model VW</w:t>
      </w:r>
      <w:bookmarkEnd w:id="621"/>
    </w:p>
    <w:p w14:paraId="72D2A274" w14:textId="77777777" w:rsidR="006E3616" w:rsidRPr="00400193" w:rsidRDefault="006E3616" w:rsidP="006E3616">
      <w:pPr>
        <w:spacing w:line="240" w:lineRule="auto"/>
        <w:rPr>
          <w:lang w:eastAsia="zh-CN" w:bidi="hi-IN"/>
        </w:rPr>
      </w:pPr>
    </w:p>
    <w:p w14:paraId="15AF3BF9" w14:textId="77777777" w:rsidR="006E3616" w:rsidRPr="00400193" w:rsidRDefault="006E3616" w:rsidP="008F2086">
      <w:pPr>
        <w:pStyle w:val="Heading4"/>
        <w:rPr>
          <w:lang w:eastAsia="zh-CN" w:bidi="hi-IN"/>
        </w:rPr>
      </w:pPr>
      <w:bookmarkStart w:id="622" w:name="_Toc61894771"/>
      <w:r w:rsidRPr="00400193">
        <w:rPr>
          <w:lang w:eastAsia="zh-CN" w:bidi="hi-IN"/>
        </w:rPr>
        <w:t>Testing for Collinearity of the Independent Variables</w:t>
      </w:r>
      <w:bookmarkEnd w:id="622"/>
    </w:p>
    <w:p w14:paraId="7E9C6E6F" w14:textId="026770E7" w:rsidR="006E3616" w:rsidRPr="00400193" w:rsidRDefault="006E3616" w:rsidP="006E3616">
      <w:pPr>
        <w:rPr>
          <w:lang w:eastAsia="zh-CN" w:bidi="hi-IN"/>
        </w:rPr>
      </w:pPr>
      <w:r w:rsidRPr="00400193">
        <w:rPr>
          <w:lang w:eastAsia="zh-CN" w:bidi="hi-IN"/>
        </w:rPr>
        <w:t xml:space="preserve">The collinearity results for the independent variables are given in </w:t>
      </w:r>
      <w:r w:rsidRPr="00400193">
        <w:rPr>
          <w:lang w:eastAsia="zh-CN" w:bidi="hi-IN"/>
        </w:rPr>
        <w:fldChar w:fldCharType="begin"/>
      </w:r>
      <w:r w:rsidRPr="00400193">
        <w:rPr>
          <w:lang w:eastAsia="zh-CN" w:bidi="hi-IN"/>
        </w:rPr>
        <w:instrText xml:space="preserve"> REF _Ref43498325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63</w:t>
      </w:r>
      <w:r w:rsidRPr="00400193">
        <w:rPr>
          <w:lang w:eastAsia="zh-CN" w:bidi="hi-IN"/>
        </w:rPr>
        <w:fldChar w:fldCharType="end"/>
      </w:r>
      <w:r w:rsidRPr="00400193">
        <w:rPr>
          <w:lang w:eastAsia="zh-CN" w:bidi="hi-IN"/>
        </w:rPr>
        <w:t>.</w:t>
      </w: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8"/>
        <w:gridCol w:w="1180"/>
        <w:gridCol w:w="1180"/>
        <w:gridCol w:w="1416"/>
        <w:gridCol w:w="1879"/>
        <w:gridCol w:w="2486"/>
      </w:tblGrid>
      <w:tr w:rsidR="006E3616" w:rsidRPr="00400193" w14:paraId="52556C3C" w14:textId="77777777" w:rsidTr="001B1ED1">
        <w:trPr>
          <w:cantSplit/>
          <w:trHeight w:val="283"/>
        </w:trPr>
        <w:tc>
          <w:tcPr>
            <w:tcW w:w="8909" w:type="dxa"/>
            <w:gridSpan w:val="6"/>
            <w:tcBorders>
              <w:top w:val="nil"/>
              <w:left w:val="nil"/>
              <w:bottom w:val="nil"/>
              <w:right w:val="nil"/>
            </w:tcBorders>
            <w:shd w:val="clear" w:color="auto" w:fill="auto"/>
            <w:vAlign w:val="center"/>
          </w:tcPr>
          <w:p w14:paraId="5245944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35E3592C" w14:textId="77777777" w:rsidTr="001B1ED1">
        <w:trPr>
          <w:cantSplit/>
          <w:trHeight w:val="283"/>
        </w:trPr>
        <w:tc>
          <w:tcPr>
            <w:tcW w:w="768" w:type="dxa"/>
            <w:vMerge w:val="restart"/>
            <w:tcBorders>
              <w:top w:val="nil"/>
              <w:left w:val="nil"/>
              <w:bottom w:val="nil"/>
              <w:right w:val="nil"/>
            </w:tcBorders>
            <w:shd w:val="clear" w:color="auto" w:fill="auto"/>
            <w:vAlign w:val="bottom"/>
          </w:tcPr>
          <w:p w14:paraId="322625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80" w:type="dxa"/>
            <w:vMerge w:val="restart"/>
            <w:tcBorders>
              <w:top w:val="nil"/>
              <w:left w:val="nil"/>
              <w:bottom w:val="nil"/>
              <w:right w:val="nil"/>
            </w:tcBorders>
            <w:shd w:val="clear" w:color="auto" w:fill="auto"/>
            <w:vAlign w:val="bottom"/>
          </w:tcPr>
          <w:p w14:paraId="7C86A6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80" w:type="dxa"/>
            <w:vMerge w:val="restart"/>
            <w:tcBorders>
              <w:top w:val="nil"/>
              <w:left w:val="nil"/>
              <w:bottom w:val="nil"/>
              <w:right w:val="single" w:sz="8" w:space="0" w:color="E0E0E0"/>
            </w:tcBorders>
            <w:shd w:val="clear" w:color="auto" w:fill="auto"/>
            <w:vAlign w:val="bottom"/>
          </w:tcPr>
          <w:p w14:paraId="54ACD24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16" w:type="dxa"/>
            <w:vMerge w:val="restart"/>
            <w:tcBorders>
              <w:top w:val="nil"/>
              <w:left w:val="single" w:sz="8" w:space="0" w:color="E0E0E0"/>
              <w:bottom w:val="nil"/>
              <w:right w:val="single" w:sz="8" w:space="0" w:color="E0E0E0"/>
            </w:tcBorders>
            <w:shd w:val="clear" w:color="auto" w:fill="auto"/>
            <w:vAlign w:val="bottom"/>
          </w:tcPr>
          <w:p w14:paraId="050C17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364" w:type="dxa"/>
            <w:gridSpan w:val="2"/>
            <w:tcBorders>
              <w:top w:val="nil"/>
              <w:left w:val="single" w:sz="8" w:space="0" w:color="E0E0E0"/>
              <w:bottom w:val="nil"/>
              <w:right w:val="nil"/>
            </w:tcBorders>
            <w:shd w:val="clear" w:color="auto" w:fill="auto"/>
            <w:vAlign w:val="bottom"/>
          </w:tcPr>
          <w:p w14:paraId="3BDD5A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03987E16" w14:textId="77777777" w:rsidTr="001B1ED1">
        <w:trPr>
          <w:cantSplit/>
          <w:trHeight w:val="283"/>
        </w:trPr>
        <w:tc>
          <w:tcPr>
            <w:tcW w:w="768" w:type="dxa"/>
            <w:vMerge/>
            <w:tcBorders>
              <w:top w:val="nil"/>
              <w:left w:val="nil"/>
              <w:bottom w:val="nil"/>
              <w:right w:val="nil"/>
            </w:tcBorders>
            <w:shd w:val="clear" w:color="auto" w:fill="auto"/>
            <w:vAlign w:val="bottom"/>
          </w:tcPr>
          <w:p w14:paraId="6DE0C8B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0" w:type="dxa"/>
            <w:vMerge/>
            <w:tcBorders>
              <w:top w:val="nil"/>
              <w:left w:val="nil"/>
              <w:bottom w:val="nil"/>
              <w:right w:val="nil"/>
            </w:tcBorders>
            <w:shd w:val="clear" w:color="auto" w:fill="auto"/>
            <w:vAlign w:val="bottom"/>
          </w:tcPr>
          <w:p w14:paraId="63803B1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0" w:type="dxa"/>
            <w:vMerge/>
            <w:tcBorders>
              <w:top w:val="nil"/>
              <w:left w:val="nil"/>
              <w:bottom w:val="nil"/>
              <w:right w:val="single" w:sz="8" w:space="0" w:color="E0E0E0"/>
            </w:tcBorders>
            <w:shd w:val="clear" w:color="auto" w:fill="auto"/>
            <w:vAlign w:val="bottom"/>
          </w:tcPr>
          <w:p w14:paraId="4967C6E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16" w:type="dxa"/>
            <w:vMerge/>
            <w:tcBorders>
              <w:top w:val="nil"/>
              <w:left w:val="single" w:sz="8" w:space="0" w:color="E0E0E0"/>
              <w:bottom w:val="nil"/>
              <w:right w:val="single" w:sz="8" w:space="0" w:color="E0E0E0"/>
            </w:tcBorders>
            <w:shd w:val="clear" w:color="auto" w:fill="auto"/>
            <w:vAlign w:val="bottom"/>
          </w:tcPr>
          <w:p w14:paraId="2D45AAA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879" w:type="dxa"/>
            <w:tcBorders>
              <w:top w:val="nil"/>
              <w:left w:val="single" w:sz="8" w:space="0" w:color="E0E0E0"/>
              <w:bottom w:val="single" w:sz="8" w:space="0" w:color="152935"/>
              <w:right w:val="single" w:sz="8" w:space="0" w:color="E0E0E0"/>
            </w:tcBorders>
            <w:shd w:val="clear" w:color="auto" w:fill="auto"/>
            <w:vAlign w:val="bottom"/>
          </w:tcPr>
          <w:p w14:paraId="64B0F81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2484" w:type="dxa"/>
            <w:tcBorders>
              <w:top w:val="nil"/>
              <w:left w:val="single" w:sz="8" w:space="0" w:color="E0E0E0"/>
              <w:bottom w:val="single" w:sz="8" w:space="0" w:color="152935"/>
              <w:right w:val="nil"/>
            </w:tcBorders>
            <w:shd w:val="clear" w:color="auto" w:fill="auto"/>
            <w:vAlign w:val="bottom"/>
          </w:tcPr>
          <w:p w14:paraId="7429D335" w14:textId="29946642"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IRF</w:t>
            </w:r>
          </w:p>
        </w:tc>
      </w:tr>
      <w:tr w:rsidR="006E3616" w:rsidRPr="00400193" w14:paraId="7987C539" w14:textId="77777777" w:rsidTr="001B1ED1">
        <w:trPr>
          <w:cantSplit/>
          <w:trHeight w:val="283"/>
        </w:trPr>
        <w:tc>
          <w:tcPr>
            <w:tcW w:w="768" w:type="dxa"/>
            <w:vMerge w:val="restart"/>
            <w:tcBorders>
              <w:top w:val="single" w:sz="8" w:space="0" w:color="152935"/>
              <w:left w:val="nil"/>
              <w:bottom w:val="single" w:sz="8" w:space="0" w:color="152935"/>
              <w:right w:val="nil"/>
            </w:tcBorders>
            <w:shd w:val="clear" w:color="auto" w:fill="auto"/>
          </w:tcPr>
          <w:p w14:paraId="0C29BFC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80" w:type="dxa"/>
            <w:tcBorders>
              <w:top w:val="single" w:sz="8" w:space="0" w:color="152935"/>
              <w:left w:val="nil"/>
              <w:bottom w:val="single" w:sz="8" w:space="0" w:color="AEAEAE"/>
              <w:right w:val="nil"/>
            </w:tcBorders>
            <w:shd w:val="clear" w:color="auto" w:fill="auto"/>
          </w:tcPr>
          <w:p w14:paraId="38AEE81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80" w:type="dxa"/>
            <w:tcBorders>
              <w:top w:val="single" w:sz="8" w:space="0" w:color="152935"/>
              <w:left w:val="nil"/>
              <w:bottom w:val="single" w:sz="8" w:space="0" w:color="AEAEAE"/>
              <w:right w:val="single" w:sz="8" w:space="0" w:color="E0E0E0"/>
            </w:tcBorders>
            <w:shd w:val="clear" w:color="auto" w:fill="auto"/>
          </w:tcPr>
          <w:p w14:paraId="290AC06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1.964</w:t>
            </w:r>
          </w:p>
        </w:tc>
        <w:tc>
          <w:tcPr>
            <w:tcW w:w="1416" w:type="dxa"/>
            <w:tcBorders>
              <w:top w:val="single" w:sz="8" w:space="0" w:color="152935"/>
              <w:left w:val="single" w:sz="8" w:space="0" w:color="E0E0E0"/>
              <w:bottom w:val="single" w:sz="8" w:space="0" w:color="AEAEAE"/>
              <w:right w:val="single" w:sz="8" w:space="0" w:color="E0E0E0"/>
            </w:tcBorders>
            <w:shd w:val="clear" w:color="auto" w:fill="auto"/>
          </w:tcPr>
          <w:p w14:paraId="1C84078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879" w:type="dxa"/>
            <w:tcBorders>
              <w:top w:val="single" w:sz="8" w:space="0" w:color="152935"/>
              <w:left w:val="single" w:sz="8" w:space="0" w:color="E0E0E0"/>
              <w:bottom w:val="single" w:sz="8" w:space="0" w:color="AEAEAE"/>
              <w:right w:val="single" w:sz="8" w:space="0" w:color="E0E0E0"/>
            </w:tcBorders>
            <w:shd w:val="clear" w:color="auto" w:fill="auto"/>
          </w:tcPr>
          <w:p w14:paraId="1021DDA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w:t>
            </w:r>
          </w:p>
        </w:tc>
        <w:tc>
          <w:tcPr>
            <w:tcW w:w="2484" w:type="dxa"/>
            <w:tcBorders>
              <w:top w:val="single" w:sz="8" w:space="0" w:color="152935"/>
              <w:left w:val="single" w:sz="8" w:space="0" w:color="E0E0E0"/>
              <w:bottom w:val="single" w:sz="8" w:space="0" w:color="AEAEAE"/>
              <w:right w:val="nil"/>
            </w:tcBorders>
            <w:shd w:val="clear" w:color="auto" w:fill="auto"/>
          </w:tcPr>
          <w:p w14:paraId="7E40083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w:t>
            </w:r>
          </w:p>
        </w:tc>
      </w:tr>
      <w:tr w:rsidR="006E3616" w:rsidRPr="00400193" w14:paraId="5215391F" w14:textId="77777777" w:rsidTr="001B1ED1">
        <w:trPr>
          <w:cantSplit/>
          <w:trHeight w:val="283"/>
        </w:trPr>
        <w:tc>
          <w:tcPr>
            <w:tcW w:w="768" w:type="dxa"/>
            <w:vMerge/>
            <w:tcBorders>
              <w:top w:val="single" w:sz="8" w:space="0" w:color="152935"/>
              <w:left w:val="nil"/>
              <w:bottom w:val="single" w:sz="8" w:space="0" w:color="152935"/>
              <w:right w:val="nil"/>
            </w:tcBorders>
            <w:shd w:val="clear" w:color="auto" w:fill="auto"/>
          </w:tcPr>
          <w:p w14:paraId="68A6122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0" w:type="dxa"/>
            <w:tcBorders>
              <w:top w:val="single" w:sz="8" w:space="0" w:color="AEAEAE"/>
              <w:left w:val="nil"/>
              <w:bottom w:val="single" w:sz="8" w:space="0" w:color="152935"/>
              <w:right w:val="nil"/>
            </w:tcBorders>
            <w:shd w:val="clear" w:color="auto" w:fill="auto"/>
          </w:tcPr>
          <w:p w14:paraId="4613DC3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80" w:type="dxa"/>
            <w:tcBorders>
              <w:top w:val="single" w:sz="8" w:space="0" w:color="AEAEAE"/>
              <w:left w:val="nil"/>
              <w:bottom w:val="single" w:sz="8" w:space="0" w:color="152935"/>
              <w:right w:val="single" w:sz="8" w:space="0" w:color="E0E0E0"/>
            </w:tcBorders>
            <w:shd w:val="clear" w:color="auto" w:fill="auto"/>
          </w:tcPr>
          <w:p w14:paraId="02F395E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.036</w:t>
            </w:r>
          </w:p>
        </w:tc>
        <w:tc>
          <w:tcPr>
            <w:tcW w:w="1416" w:type="dxa"/>
            <w:tcBorders>
              <w:top w:val="single" w:sz="8" w:space="0" w:color="AEAEAE"/>
              <w:left w:val="single" w:sz="8" w:space="0" w:color="E0E0E0"/>
              <w:bottom w:val="single" w:sz="8" w:space="0" w:color="152935"/>
              <w:right w:val="single" w:sz="8" w:space="0" w:color="E0E0E0"/>
            </w:tcBorders>
            <w:shd w:val="clear" w:color="auto" w:fill="auto"/>
          </w:tcPr>
          <w:p w14:paraId="55CA7EA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7.363</w:t>
            </w:r>
          </w:p>
        </w:tc>
        <w:tc>
          <w:tcPr>
            <w:tcW w:w="1879" w:type="dxa"/>
            <w:tcBorders>
              <w:top w:val="single" w:sz="8" w:space="0" w:color="AEAEAE"/>
              <w:left w:val="single" w:sz="8" w:space="0" w:color="E0E0E0"/>
              <w:bottom w:val="single" w:sz="8" w:space="0" w:color="152935"/>
              <w:right w:val="single" w:sz="8" w:space="0" w:color="E0E0E0"/>
            </w:tcBorders>
            <w:shd w:val="clear" w:color="auto" w:fill="auto"/>
          </w:tcPr>
          <w:p w14:paraId="546AC92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.98</w:t>
            </w:r>
          </w:p>
        </w:tc>
        <w:tc>
          <w:tcPr>
            <w:tcW w:w="2484" w:type="dxa"/>
            <w:tcBorders>
              <w:top w:val="single" w:sz="8" w:space="0" w:color="AEAEAE"/>
              <w:left w:val="single" w:sz="8" w:space="0" w:color="E0E0E0"/>
              <w:bottom w:val="single" w:sz="8" w:space="0" w:color="152935"/>
              <w:right w:val="nil"/>
            </w:tcBorders>
            <w:shd w:val="clear" w:color="auto" w:fill="auto"/>
          </w:tcPr>
          <w:p w14:paraId="1FB3DC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.98</w:t>
            </w:r>
          </w:p>
        </w:tc>
      </w:tr>
      <w:tr w:rsidR="006E3616" w:rsidRPr="00400193" w14:paraId="3177136A" w14:textId="77777777" w:rsidTr="001B1ED1">
        <w:trPr>
          <w:cantSplit/>
          <w:trHeight w:val="283"/>
        </w:trPr>
        <w:tc>
          <w:tcPr>
            <w:tcW w:w="8909" w:type="dxa"/>
            <w:gridSpan w:val="6"/>
            <w:tcBorders>
              <w:top w:val="nil"/>
              <w:left w:val="nil"/>
              <w:bottom w:val="nil"/>
              <w:right w:val="nil"/>
            </w:tcBorders>
            <w:shd w:val="clear" w:color="auto" w:fill="auto"/>
          </w:tcPr>
          <w:p w14:paraId="133D4B1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4030A3B9" w14:textId="4C4A0FF0" w:rsidR="006E3616" w:rsidRPr="00400193" w:rsidRDefault="006E3616" w:rsidP="006E3616">
      <w:pPr>
        <w:pStyle w:val="Caption"/>
        <w:spacing w:after="240"/>
        <w:rPr>
          <w:lang w:eastAsia="zh-CN" w:bidi="hi-IN"/>
        </w:rPr>
      </w:pPr>
      <w:bookmarkStart w:id="623" w:name="_Ref43498325"/>
      <w:bookmarkStart w:id="624" w:name="_Toc5290160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63</w:t>
      </w:r>
      <w:r w:rsidRPr="00400193">
        <w:fldChar w:fldCharType="end"/>
      </w:r>
      <w:bookmarkEnd w:id="623"/>
      <w:r w:rsidRPr="00400193">
        <w:t>: Testing</w:t>
      </w:r>
      <w:r w:rsidRPr="00400193">
        <w:rPr>
          <w:sz w:val="20"/>
          <w:lang w:eastAsia="zh-CN" w:bidi="hi-IN"/>
        </w:rPr>
        <w:t xml:space="preserve"> </w:t>
      </w:r>
      <w:r w:rsidRPr="00400193">
        <w:t>the Collinearity between variables for VW</w:t>
      </w:r>
      <w:bookmarkEnd w:id="624"/>
    </w:p>
    <w:p w14:paraId="2505BE5C" w14:textId="77777777" w:rsidR="006E3616" w:rsidRPr="00400193" w:rsidRDefault="006E3616" w:rsidP="006E3616">
      <w:pPr>
        <w:rPr>
          <w:lang w:eastAsia="zh-CN" w:bidi="hi-IN"/>
        </w:rPr>
      </w:pPr>
      <w:r w:rsidRPr="00400193">
        <w:rPr>
          <w:lang w:eastAsia="zh-CN" w:bidi="hi-IN"/>
        </w:rPr>
        <w:lastRenderedPageBreak/>
        <w:t xml:space="preserve">The condition index was less than 10, so there is no evidence of any collinearity in the selected regression model. </w:t>
      </w:r>
    </w:p>
    <w:p w14:paraId="68649434" w14:textId="77777777" w:rsidR="006E3616" w:rsidRPr="00400193" w:rsidRDefault="006E3616" w:rsidP="008F2086">
      <w:pPr>
        <w:pStyle w:val="Heading4"/>
        <w:rPr>
          <w:lang w:eastAsia="zh-CN" w:bidi="hi-IN"/>
        </w:rPr>
      </w:pPr>
      <w:bookmarkStart w:id="625" w:name="_Toc61894772"/>
      <w:r w:rsidRPr="00400193">
        <w:rPr>
          <w:lang w:eastAsia="zh-CN" w:bidi="hi-IN"/>
        </w:rPr>
        <w:t>Examining Residuals using Scatter Plots</w:t>
      </w:r>
      <w:bookmarkEnd w:id="625"/>
      <w:r w:rsidRPr="00400193">
        <w:rPr>
          <w:lang w:eastAsia="zh-CN" w:bidi="hi-IN"/>
        </w:rPr>
        <w:t xml:space="preserve"> </w:t>
      </w:r>
    </w:p>
    <w:p w14:paraId="75968559" w14:textId="0A3F71E9" w:rsidR="006E3616" w:rsidRPr="00400193" w:rsidRDefault="006E3616" w:rsidP="006E3616">
      <w:pPr>
        <w:rPr>
          <w:lang w:eastAsia="zh-CN" w:bidi="hi-IN"/>
        </w:rPr>
      </w:pPr>
      <w:r w:rsidRPr="00400193">
        <w:rPr>
          <w:lang w:eastAsia="zh-CN" w:bidi="hi-IN"/>
        </w:rPr>
        <w:t xml:space="preserve">The residual statistics obtained from the regression analysis are shown in </w:t>
      </w:r>
      <w:r w:rsidRPr="00400193">
        <w:rPr>
          <w:lang w:eastAsia="zh-CN" w:bidi="hi-IN"/>
        </w:rPr>
        <w:fldChar w:fldCharType="begin"/>
      </w:r>
      <w:r w:rsidRPr="00400193">
        <w:rPr>
          <w:lang w:eastAsia="zh-CN" w:bidi="hi-IN"/>
        </w:rPr>
        <w:instrText xml:space="preserve"> REF _Ref43498373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64</w:t>
      </w:r>
      <w:r w:rsidRPr="00400193">
        <w:rPr>
          <w:lang w:eastAsia="zh-CN" w:bidi="hi-IN"/>
        </w:rPr>
        <w:fldChar w:fldCharType="end"/>
      </w:r>
      <w:r w:rsidRPr="00400193">
        <w:rPr>
          <w:lang w:eastAsia="zh-CN" w:bidi="hi-IN"/>
        </w:rPr>
        <w:t xml:space="preserve">. </w:t>
      </w: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02"/>
        <w:gridCol w:w="1030"/>
        <w:gridCol w:w="1060"/>
        <w:gridCol w:w="987"/>
        <w:gridCol w:w="1957"/>
        <w:gridCol w:w="1973"/>
      </w:tblGrid>
      <w:tr w:rsidR="006E3616" w:rsidRPr="00400193" w14:paraId="0BD5D8EF" w14:textId="77777777" w:rsidTr="001B1ED1">
        <w:trPr>
          <w:cantSplit/>
          <w:trHeight w:val="283"/>
        </w:trPr>
        <w:tc>
          <w:tcPr>
            <w:tcW w:w="8909" w:type="dxa"/>
            <w:gridSpan w:val="6"/>
            <w:tcBorders>
              <w:top w:val="nil"/>
              <w:left w:val="nil"/>
              <w:bottom w:val="nil"/>
              <w:right w:val="nil"/>
            </w:tcBorders>
            <w:shd w:val="clear" w:color="auto" w:fill="auto"/>
            <w:vAlign w:val="center"/>
          </w:tcPr>
          <w:p w14:paraId="2A86AE3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18085D56" w14:textId="77777777" w:rsidTr="001B1ED1">
        <w:trPr>
          <w:cantSplit/>
          <w:trHeight w:val="283"/>
        </w:trPr>
        <w:tc>
          <w:tcPr>
            <w:tcW w:w="1902" w:type="dxa"/>
            <w:tcBorders>
              <w:top w:val="nil"/>
              <w:left w:val="nil"/>
              <w:bottom w:val="single" w:sz="8" w:space="0" w:color="152935"/>
              <w:right w:val="nil"/>
            </w:tcBorders>
            <w:shd w:val="clear" w:color="auto" w:fill="auto"/>
            <w:vAlign w:val="bottom"/>
          </w:tcPr>
          <w:p w14:paraId="25F00CB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0" w:type="dxa"/>
            <w:tcBorders>
              <w:top w:val="nil"/>
              <w:left w:val="nil"/>
              <w:bottom w:val="single" w:sz="8" w:space="0" w:color="152935"/>
              <w:right w:val="single" w:sz="8" w:space="0" w:color="E0E0E0"/>
            </w:tcBorders>
            <w:shd w:val="clear" w:color="auto" w:fill="auto"/>
            <w:vAlign w:val="bottom"/>
          </w:tcPr>
          <w:p w14:paraId="05246B5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0" w:type="dxa"/>
            <w:tcBorders>
              <w:top w:val="nil"/>
              <w:left w:val="single" w:sz="8" w:space="0" w:color="E0E0E0"/>
              <w:bottom w:val="single" w:sz="8" w:space="0" w:color="152935"/>
              <w:right w:val="single" w:sz="8" w:space="0" w:color="E0E0E0"/>
            </w:tcBorders>
            <w:shd w:val="clear" w:color="auto" w:fill="auto"/>
            <w:vAlign w:val="bottom"/>
          </w:tcPr>
          <w:p w14:paraId="6136146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7" w:type="dxa"/>
            <w:tcBorders>
              <w:top w:val="nil"/>
              <w:left w:val="single" w:sz="8" w:space="0" w:color="E0E0E0"/>
              <w:bottom w:val="single" w:sz="8" w:space="0" w:color="152935"/>
              <w:right w:val="single" w:sz="8" w:space="0" w:color="E0E0E0"/>
            </w:tcBorders>
            <w:shd w:val="clear" w:color="auto" w:fill="auto"/>
            <w:vAlign w:val="bottom"/>
          </w:tcPr>
          <w:p w14:paraId="72B8ED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957" w:type="dxa"/>
            <w:tcBorders>
              <w:top w:val="nil"/>
              <w:left w:val="single" w:sz="8" w:space="0" w:color="E0E0E0"/>
              <w:bottom w:val="single" w:sz="8" w:space="0" w:color="152935"/>
              <w:right w:val="single" w:sz="8" w:space="0" w:color="E0E0E0"/>
            </w:tcBorders>
            <w:shd w:val="clear" w:color="auto" w:fill="auto"/>
            <w:vAlign w:val="bottom"/>
          </w:tcPr>
          <w:p w14:paraId="3B7C825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1970" w:type="dxa"/>
            <w:tcBorders>
              <w:top w:val="nil"/>
              <w:left w:val="single" w:sz="8" w:space="0" w:color="E0E0E0"/>
              <w:bottom w:val="single" w:sz="8" w:space="0" w:color="152935"/>
              <w:right w:val="nil"/>
            </w:tcBorders>
            <w:shd w:val="clear" w:color="auto" w:fill="auto"/>
            <w:vAlign w:val="bottom"/>
          </w:tcPr>
          <w:p w14:paraId="32A250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521C6B68" w14:textId="77777777" w:rsidTr="001B1ED1">
        <w:trPr>
          <w:cantSplit/>
          <w:trHeight w:val="283"/>
        </w:trPr>
        <w:tc>
          <w:tcPr>
            <w:tcW w:w="1902" w:type="dxa"/>
            <w:tcBorders>
              <w:top w:val="single" w:sz="8" w:space="0" w:color="152935"/>
              <w:left w:val="nil"/>
              <w:bottom w:val="single" w:sz="8" w:space="0" w:color="AEAEAE"/>
              <w:right w:val="nil"/>
            </w:tcBorders>
            <w:shd w:val="clear" w:color="auto" w:fill="auto"/>
          </w:tcPr>
          <w:p w14:paraId="13F164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0" w:type="dxa"/>
            <w:tcBorders>
              <w:top w:val="single" w:sz="8" w:space="0" w:color="152935"/>
              <w:left w:val="nil"/>
              <w:bottom w:val="single" w:sz="8" w:space="0" w:color="AEAEAE"/>
              <w:right w:val="single" w:sz="8" w:space="0" w:color="E0E0E0"/>
            </w:tcBorders>
            <w:shd w:val="clear" w:color="auto" w:fill="auto"/>
          </w:tcPr>
          <w:p w14:paraId="2EAF9E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2.0684</w:t>
            </w:r>
          </w:p>
        </w:tc>
        <w:tc>
          <w:tcPr>
            <w:tcW w:w="1060" w:type="dxa"/>
            <w:tcBorders>
              <w:top w:val="single" w:sz="8" w:space="0" w:color="152935"/>
              <w:left w:val="single" w:sz="8" w:space="0" w:color="E0E0E0"/>
              <w:bottom w:val="single" w:sz="8" w:space="0" w:color="AEAEAE"/>
              <w:right w:val="single" w:sz="8" w:space="0" w:color="E0E0E0"/>
            </w:tcBorders>
            <w:shd w:val="clear" w:color="auto" w:fill="auto"/>
          </w:tcPr>
          <w:p w14:paraId="2272D92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4.2192</w:t>
            </w:r>
          </w:p>
        </w:tc>
        <w:tc>
          <w:tcPr>
            <w:tcW w:w="987" w:type="dxa"/>
            <w:tcBorders>
              <w:top w:val="single" w:sz="8" w:space="0" w:color="152935"/>
              <w:left w:val="single" w:sz="8" w:space="0" w:color="E0E0E0"/>
              <w:bottom w:val="single" w:sz="8" w:space="0" w:color="AEAEAE"/>
              <w:right w:val="single" w:sz="8" w:space="0" w:color="E0E0E0"/>
            </w:tcBorders>
            <w:shd w:val="clear" w:color="auto" w:fill="auto"/>
          </w:tcPr>
          <w:p w14:paraId="2B00879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957" w:type="dxa"/>
            <w:tcBorders>
              <w:top w:val="single" w:sz="8" w:space="0" w:color="152935"/>
              <w:left w:val="single" w:sz="8" w:space="0" w:color="E0E0E0"/>
              <w:bottom w:val="single" w:sz="8" w:space="0" w:color="AEAEAE"/>
              <w:right w:val="single" w:sz="8" w:space="0" w:color="E0E0E0"/>
            </w:tcBorders>
            <w:shd w:val="clear" w:color="auto" w:fill="auto"/>
          </w:tcPr>
          <w:p w14:paraId="4E5E024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.47036</w:t>
            </w:r>
          </w:p>
        </w:tc>
        <w:tc>
          <w:tcPr>
            <w:tcW w:w="1970" w:type="dxa"/>
            <w:tcBorders>
              <w:top w:val="single" w:sz="8" w:space="0" w:color="152935"/>
              <w:left w:val="single" w:sz="8" w:space="0" w:color="E0E0E0"/>
              <w:bottom w:val="single" w:sz="8" w:space="0" w:color="AEAEAE"/>
              <w:right w:val="nil"/>
            </w:tcBorders>
            <w:shd w:val="clear" w:color="auto" w:fill="auto"/>
          </w:tcPr>
          <w:p w14:paraId="0789F22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7D652B9" w14:textId="77777777" w:rsidTr="001B1ED1">
        <w:trPr>
          <w:cantSplit/>
          <w:trHeight w:val="283"/>
        </w:trPr>
        <w:tc>
          <w:tcPr>
            <w:tcW w:w="1902" w:type="dxa"/>
            <w:tcBorders>
              <w:top w:val="single" w:sz="8" w:space="0" w:color="AEAEAE"/>
              <w:left w:val="nil"/>
              <w:bottom w:val="single" w:sz="8" w:space="0" w:color="AEAEAE"/>
              <w:right w:val="nil"/>
            </w:tcBorders>
            <w:shd w:val="clear" w:color="auto" w:fill="auto"/>
          </w:tcPr>
          <w:p w14:paraId="275164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0" w:type="dxa"/>
            <w:tcBorders>
              <w:top w:val="single" w:sz="8" w:space="0" w:color="AEAEAE"/>
              <w:left w:val="nil"/>
              <w:bottom w:val="single" w:sz="8" w:space="0" w:color="AEAEAE"/>
              <w:right w:val="single" w:sz="8" w:space="0" w:color="E0E0E0"/>
            </w:tcBorders>
            <w:shd w:val="clear" w:color="auto" w:fill="auto"/>
          </w:tcPr>
          <w:p w14:paraId="788675C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−.99645</w:t>
            </w:r>
          </w:p>
        </w:tc>
        <w:tc>
          <w:tcPr>
            <w:tcW w:w="1060" w:type="dxa"/>
            <w:tcBorders>
              <w:top w:val="single" w:sz="8" w:space="0" w:color="AEAEAE"/>
              <w:left w:val="single" w:sz="8" w:space="0" w:color="E0E0E0"/>
              <w:bottom w:val="single" w:sz="8" w:space="0" w:color="AEAEAE"/>
              <w:right w:val="single" w:sz="8" w:space="0" w:color="E0E0E0"/>
            </w:tcBorders>
            <w:shd w:val="clear" w:color="auto" w:fill="auto"/>
          </w:tcPr>
          <w:p w14:paraId="596208E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.78080</w:t>
            </w:r>
          </w:p>
        </w:tc>
        <w:tc>
          <w:tcPr>
            <w:tcW w:w="987" w:type="dxa"/>
            <w:tcBorders>
              <w:top w:val="single" w:sz="8" w:space="0" w:color="AEAEAE"/>
              <w:left w:val="single" w:sz="8" w:space="0" w:color="E0E0E0"/>
              <w:bottom w:val="single" w:sz="8" w:space="0" w:color="AEAEAE"/>
              <w:right w:val="single" w:sz="8" w:space="0" w:color="E0E0E0"/>
            </w:tcBorders>
            <w:shd w:val="clear" w:color="auto" w:fill="auto"/>
          </w:tcPr>
          <w:p w14:paraId="20FC27B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957" w:type="dxa"/>
            <w:tcBorders>
              <w:top w:val="single" w:sz="8" w:space="0" w:color="AEAEAE"/>
              <w:left w:val="single" w:sz="8" w:space="0" w:color="E0E0E0"/>
              <w:bottom w:val="single" w:sz="8" w:space="0" w:color="AEAEAE"/>
              <w:right w:val="single" w:sz="8" w:space="0" w:color="E0E0E0"/>
            </w:tcBorders>
            <w:shd w:val="clear" w:color="auto" w:fill="auto"/>
          </w:tcPr>
          <w:p w14:paraId="048C47E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.36243</w:t>
            </w:r>
          </w:p>
        </w:tc>
        <w:tc>
          <w:tcPr>
            <w:tcW w:w="1970" w:type="dxa"/>
            <w:tcBorders>
              <w:top w:val="single" w:sz="8" w:space="0" w:color="AEAEAE"/>
              <w:left w:val="single" w:sz="8" w:space="0" w:color="E0E0E0"/>
              <w:bottom w:val="single" w:sz="8" w:space="0" w:color="AEAEAE"/>
              <w:right w:val="nil"/>
            </w:tcBorders>
            <w:shd w:val="clear" w:color="auto" w:fill="auto"/>
          </w:tcPr>
          <w:p w14:paraId="14AE8F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233A6CF" w14:textId="77777777" w:rsidTr="001B1ED1">
        <w:trPr>
          <w:cantSplit/>
          <w:trHeight w:val="283"/>
        </w:trPr>
        <w:tc>
          <w:tcPr>
            <w:tcW w:w="1902" w:type="dxa"/>
            <w:tcBorders>
              <w:top w:val="single" w:sz="8" w:space="0" w:color="AEAEAE"/>
              <w:left w:val="nil"/>
              <w:bottom w:val="single" w:sz="8" w:space="0" w:color="AEAEAE"/>
              <w:right w:val="nil"/>
            </w:tcBorders>
            <w:shd w:val="clear" w:color="auto" w:fill="auto"/>
          </w:tcPr>
          <w:p w14:paraId="4430421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0" w:type="dxa"/>
            <w:tcBorders>
              <w:top w:val="single" w:sz="8" w:space="0" w:color="AEAEAE"/>
              <w:left w:val="nil"/>
              <w:bottom w:val="single" w:sz="8" w:space="0" w:color="AEAEAE"/>
              <w:right w:val="single" w:sz="8" w:space="0" w:color="E0E0E0"/>
            </w:tcBorders>
            <w:shd w:val="clear" w:color="auto" w:fill="auto"/>
          </w:tcPr>
          <w:p w14:paraId="0A63959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−2.411</w:t>
            </w:r>
          </w:p>
        </w:tc>
        <w:tc>
          <w:tcPr>
            <w:tcW w:w="1060" w:type="dxa"/>
            <w:tcBorders>
              <w:top w:val="single" w:sz="8" w:space="0" w:color="AEAEAE"/>
              <w:left w:val="single" w:sz="8" w:space="0" w:color="E0E0E0"/>
              <w:bottom w:val="single" w:sz="8" w:space="0" w:color="AEAEAE"/>
              <w:right w:val="single" w:sz="8" w:space="0" w:color="E0E0E0"/>
            </w:tcBorders>
            <w:shd w:val="clear" w:color="auto" w:fill="auto"/>
          </w:tcPr>
          <w:p w14:paraId="296E8EA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2.162</w:t>
            </w:r>
          </w:p>
        </w:tc>
        <w:tc>
          <w:tcPr>
            <w:tcW w:w="987" w:type="dxa"/>
            <w:tcBorders>
              <w:top w:val="single" w:sz="8" w:space="0" w:color="AEAEAE"/>
              <w:left w:val="single" w:sz="8" w:space="0" w:color="E0E0E0"/>
              <w:bottom w:val="single" w:sz="8" w:space="0" w:color="AEAEAE"/>
              <w:right w:val="single" w:sz="8" w:space="0" w:color="E0E0E0"/>
            </w:tcBorders>
            <w:shd w:val="clear" w:color="auto" w:fill="auto"/>
          </w:tcPr>
          <w:p w14:paraId="1163A3D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57" w:type="dxa"/>
            <w:tcBorders>
              <w:top w:val="single" w:sz="8" w:space="0" w:color="AEAEAE"/>
              <w:left w:val="single" w:sz="8" w:space="0" w:color="E0E0E0"/>
              <w:bottom w:val="single" w:sz="8" w:space="0" w:color="AEAEAE"/>
              <w:right w:val="single" w:sz="8" w:space="0" w:color="E0E0E0"/>
            </w:tcBorders>
            <w:shd w:val="clear" w:color="auto" w:fill="auto"/>
          </w:tcPr>
          <w:p w14:paraId="36913CA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970" w:type="dxa"/>
            <w:tcBorders>
              <w:top w:val="single" w:sz="8" w:space="0" w:color="AEAEAE"/>
              <w:left w:val="single" w:sz="8" w:space="0" w:color="E0E0E0"/>
              <w:bottom w:val="single" w:sz="8" w:space="0" w:color="AEAEAE"/>
              <w:right w:val="nil"/>
            </w:tcBorders>
            <w:shd w:val="clear" w:color="auto" w:fill="auto"/>
          </w:tcPr>
          <w:p w14:paraId="7CD0D2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AF0A7F0" w14:textId="77777777" w:rsidTr="001B1ED1">
        <w:trPr>
          <w:cantSplit/>
          <w:trHeight w:val="283"/>
        </w:trPr>
        <w:tc>
          <w:tcPr>
            <w:tcW w:w="1902" w:type="dxa"/>
            <w:tcBorders>
              <w:top w:val="single" w:sz="8" w:space="0" w:color="AEAEAE"/>
              <w:left w:val="nil"/>
              <w:bottom w:val="single" w:sz="8" w:space="0" w:color="152935"/>
              <w:right w:val="nil"/>
            </w:tcBorders>
            <w:shd w:val="clear" w:color="auto" w:fill="auto"/>
          </w:tcPr>
          <w:p w14:paraId="429357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0" w:type="dxa"/>
            <w:tcBorders>
              <w:top w:val="single" w:sz="8" w:space="0" w:color="AEAEAE"/>
              <w:left w:val="nil"/>
              <w:bottom w:val="single" w:sz="8" w:space="0" w:color="152935"/>
              <w:right w:val="single" w:sz="8" w:space="0" w:color="E0E0E0"/>
            </w:tcBorders>
            <w:shd w:val="clear" w:color="auto" w:fill="auto"/>
          </w:tcPr>
          <w:p w14:paraId="298321B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−2.736</w:t>
            </w:r>
          </w:p>
        </w:tc>
        <w:tc>
          <w:tcPr>
            <w:tcW w:w="1060" w:type="dxa"/>
            <w:tcBorders>
              <w:top w:val="single" w:sz="8" w:space="0" w:color="AEAEAE"/>
              <w:left w:val="single" w:sz="8" w:space="0" w:color="E0E0E0"/>
              <w:bottom w:val="single" w:sz="8" w:space="0" w:color="152935"/>
              <w:right w:val="single" w:sz="8" w:space="0" w:color="E0E0E0"/>
            </w:tcBorders>
            <w:shd w:val="clear" w:color="auto" w:fill="auto"/>
          </w:tcPr>
          <w:p w14:paraId="26B0A2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2.144</w:t>
            </w:r>
          </w:p>
        </w:tc>
        <w:tc>
          <w:tcPr>
            <w:tcW w:w="987" w:type="dxa"/>
            <w:tcBorders>
              <w:top w:val="single" w:sz="8" w:space="0" w:color="AEAEAE"/>
              <w:left w:val="single" w:sz="8" w:space="0" w:color="E0E0E0"/>
              <w:bottom w:val="single" w:sz="8" w:space="0" w:color="152935"/>
              <w:right w:val="single" w:sz="8" w:space="0" w:color="E0E0E0"/>
            </w:tcBorders>
            <w:shd w:val="clear" w:color="auto" w:fill="auto"/>
          </w:tcPr>
          <w:p w14:paraId="614968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57" w:type="dxa"/>
            <w:tcBorders>
              <w:top w:val="single" w:sz="8" w:space="0" w:color="AEAEAE"/>
              <w:left w:val="single" w:sz="8" w:space="0" w:color="E0E0E0"/>
              <w:bottom w:val="single" w:sz="8" w:space="0" w:color="152935"/>
              <w:right w:val="single" w:sz="8" w:space="0" w:color="E0E0E0"/>
            </w:tcBorders>
            <w:shd w:val="clear" w:color="auto" w:fill="auto"/>
          </w:tcPr>
          <w:p w14:paraId="584037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.995</w:t>
            </w:r>
          </w:p>
        </w:tc>
        <w:tc>
          <w:tcPr>
            <w:tcW w:w="1970" w:type="dxa"/>
            <w:tcBorders>
              <w:top w:val="single" w:sz="8" w:space="0" w:color="AEAEAE"/>
              <w:left w:val="single" w:sz="8" w:space="0" w:color="E0E0E0"/>
              <w:bottom w:val="single" w:sz="8" w:space="0" w:color="152935"/>
              <w:right w:val="nil"/>
            </w:tcBorders>
            <w:shd w:val="clear" w:color="auto" w:fill="auto"/>
          </w:tcPr>
          <w:p w14:paraId="329BB80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014AF05" w14:textId="77777777" w:rsidTr="001B1ED1">
        <w:trPr>
          <w:cantSplit/>
          <w:trHeight w:val="283"/>
        </w:trPr>
        <w:tc>
          <w:tcPr>
            <w:tcW w:w="8909" w:type="dxa"/>
            <w:gridSpan w:val="6"/>
            <w:tcBorders>
              <w:top w:val="nil"/>
              <w:left w:val="nil"/>
              <w:bottom w:val="nil"/>
              <w:right w:val="nil"/>
            </w:tcBorders>
            <w:shd w:val="clear" w:color="auto" w:fill="auto"/>
          </w:tcPr>
          <w:p w14:paraId="1D67542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548B0B89" w14:textId="21FC454C" w:rsidR="006E3616" w:rsidRPr="00400193" w:rsidRDefault="006E3616" w:rsidP="006E3616">
      <w:pPr>
        <w:pStyle w:val="Caption"/>
      </w:pPr>
      <w:bookmarkStart w:id="626" w:name="_Ref43498373"/>
      <w:bookmarkStart w:id="627" w:name="_Toc5290160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64</w:t>
      </w:r>
      <w:r w:rsidRPr="00400193">
        <w:fldChar w:fldCharType="end"/>
      </w:r>
      <w:bookmarkEnd w:id="626"/>
      <w:r w:rsidRPr="00400193">
        <w:t xml:space="preserve">: Residual statistics </w:t>
      </w:r>
      <w:r w:rsidRPr="00400193">
        <w:rPr>
          <w:vertAlign w:val="superscript"/>
        </w:rPr>
        <w:t>a</w:t>
      </w:r>
      <w:r w:rsidRPr="00400193">
        <w:t xml:space="preserve"> of the model regression for VW</w:t>
      </w:r>
      <w:bookmarkEnd w:id="627"/>
    </w:p>
    <w:p w14:paraId="754673DD" w14:textId="77777777" w:rsidR="006E3616" w:rsidRPr="00400193" w:rsidRDefault="006E3616" w:rsidP="006E3616">
      <w:pPr>
        <w:pStyle w:val="Caption"/>
        <w:rPr>
          <w:lang w:eastAsia="zh-CN" w:bidi="hi-IN"/>
        </w:rPr>
      </w:pPr>
    </w:p>
    <w:p w14:paraId="2AD7D11C" w14:textId="7CCAAF75" w:rsidR="006E3616" w:rsidRPr="00400193" w:rsidRDefault="006E3616" w:rsidP="006E3616">
      <w:pPr>
        <w:rPr>
          <w:lang w:eastAsia="zh-CN" w:bidi="hi-IN"/>
        </w:rPr>
      </w:pPr>
      <w:r w:rsidRPr="00400193">
        <w:rPr>
          <w:lang w:eastAsia="zh-CN" w:bidi="hi-IN"/>
        </w:rPr>
        <w:t xml:space="preserve">The assumption of error term independence is not violated. </w:t>
      </w:r>
      <w:r w:rsidR="00BA4982" w:rsidRPr="00400193">
        <w:rPr>
          <w:lang w:eastAsia="zh-CN" w:bidi="hi-IN"/>
        </w:rPr>
        <w:fldChar w:fldCharType="begin"/>
      </w:r>
      <w:r w:rsidR="00BA4982" w:rsidRPr="00400193">
        <w:rPr>
          <w:lang w:eastAsia="zh-CN" w:bidi="hi-IN"/>
        </w:rPr>
        <w:instrText xml:space="preserve"> REF _Ref43850997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17</w:t>
      </w:r>
      <w:r w:rsidR="00BA4982" w:rsidRPr="00400193">
        <w:rPr>
          <w:lang w:eastAsia="zh-CN" w:bidi="hi-IN"/>
        </w:rPr>
        <w:fldChar w:fldCharType="end"/>
      </w:r>
      <w:r w:rsidRPr="00400193">
        <w:rPr>
          <w:lang w:eastAsia="zh-CN" w:bidi="hi-IN"/>
        </w:rPr>
        <w:t xml:space="preserve"> shows that the distribution is bell-shaped and has less gap in the centre, which may in part be a consequence of the defined intervals. </w:t>
      </w:r>
    </w:p>
    <w:p w14:paraId="5C3A62A1" w14:textId="77777777" w:rsidR="006E3616" w:rsidRPr="00400193" w:rsidRDefault="006E3616" w:rsidP="006E3616">
      <w:pPr>
        <w:keepNext/>
        <w:spacing w:after="0" w:line="240" w:lineRule="auto"/>
        <w:jc w:val="center"/>
      </w:pPr>
      <w:r w:rsidRPr="00400193">
        <w:rPr>
          <w:noProof/>
          <w:lang w:val="en-US"/>
        </w:rPr>
        <w:drawing>
          <wp:inline distT="0" distB="0" distL="0" distR="0" wp14:anchorId="245BD0AB" wp14:editId="453F0552">
            <wp:extent cx="5760000" cy="3240000"/>
            <wp:effectExtent l="19050" t="19050" r="12700" b="17780"/>
            <wp:docPr id="140"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46E691C8" w14:textId="0A07A1BE" w:rsidR="006E3616" w:rsidRPr="00400193" w:rsidRDefault="006E3616" w:rsidP="006E3616">
      <w:pPr>
        <w:pStyle w:val="Caption"/>
        <w:spacing w:after="240"/>
        <w:rPr>
          <w:lang w:eastAsia="zh-CN" w:bidi="hi-IN"/>
        </w:rPr>
      </w:pPr>
      <w:bookmarkStart w:id="628" w:name="_Ref43850997"/>
      <w:bookmarkStart w:id="629" w:name="_Toc5538759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17</w:t>
      </w:r>
      <w:r w:rsidR="00E35E8C" w:rsidRPr="00400193">
        <w:fldChar w:fldCharType="end"/>
      </w:r>
      <w:bookmarkEnd w:id="628"/>
      <w:r w:rsidRPr="00400193">
        <w:t>: Histogram of the frequency of the standardised residuals for VW</w:t>
      </w:r>
      <w:bookmarkEnd w:id="629"/>
    </w:p>
    <w:p w14:paraId="16737096" w14:textId="57466798" w:rsidR="006E3616" w:rsidRPr="00400193" w:rsidRDefault="006E3616" w:rsidP="006E3616">
      <w:pPr>
        <w:rPr>
          <w:lang w:eastAsia="zh-CN" w:bidi="hi-IN"/>
        </w:rPr>
      </w:pPr>
      <w:r w:rsidRPr="00400193">
        <w:rPr>
          <w:lang w:eastAsia="zh-CN" w:bidi="hi-IN"/>
        </w:rPr>
        <w:t>Finally, the P–P diagram (</w:t>
      </w:r>
      <w:r w:rsidR="00BA4982" w:rsidRPr="00400193">
        <w:rPr>
          <w:lang w:eastAsia="zh-CN" w:bidi="hi-IN"/>
        </w:rPr>
        <w:fldChar w:fldCharType="begin"/>
      </w:r>
      <w:r w:rsidR="00BA4982" w:rsidRPr="00400193">
        <w:rPr>
          <w:lang w:eastAsia="zh-CN" w:bidi="hi-IN"/>
        </w:rPr>
        <w:instrText xml:space="preserve"> REF _Ref43259746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18</w:t>
      </w:r>
      <w:r w:rsidR="00BA4982" w:rsidRPr="00400193">
        <w:rPr>
          <w:lang w:eastAsia="zh-CN" w:bidi="hi-IN"/>
        </w:rPr>
        <w:fldChar w:fldCharType="end"/>
      </w:r>
      <w:r w:rsidRPr="00400193">
        <w:rPr>
          <w:lang w:eastAsia="zh-CN" w:bidi="hi-IN"/>
        </w:rPr>
        <w:t>) shows that there is a normal distribution.</w:t>
      </w:r>
    </w:p>
    <w:p w14:paraId="65B2F68B"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2E024B01" wp14:editId="080A4B99">
            <wp:extent cx="5760000" cy="3240000"/>
            <wp:effectExtent l="19050" t="19050" r="12700" b="17780"/>
            <wp:docPr id="141"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1DA91A59" w14:textId="5B5C13AE" w:rsidR="006E3616" w:rsidRPr="00400193" w:rsidRDefault="006E3616" w:rsidP="006E3616">
      <w:pPr>
        <w:pStyle w:val="Caption"/>
        <w:spacing w:after="240"/>
      </w:pPr>
      <w:bookmarkStart w:id="630" w:name="_Ref43259746"/>
      <w:bookmarkStart w:id="631" w:name="_Toc5538759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18</w:t>
      </w:r>
      <w:r w:rsidR="00E35E8C" w:rsidRPr="00400193">
        <w:fldChar w:fldCharType="end"/>
      </w:r>
      <w:bookmarkEnd w:id="630"/>
      <w:r w:rsidRPr="00400193">
        <w:t>: Normal P–P plot of regression standardised residual for the dependent variable for VW</w:t>
      </w:r>
      <w:bookmarkEnd w:id="631"/>
    </w:p>
    <w:p w14:paraId="7B6498BA" w14:textId="77777777" w:rsidR="006E3616" w:rsidRPr="00400193" w:rsidRDefault="006E3616" w:rsidP="006E3616">
      <w:pPr>
        <w:pStyle w:val="Heading3"/>
        <w:rPr>
          <w:lang w:eastAsia="zh-CN" w:bidi="hi-IN"/>
        </w:rPr>
      </w:pPr>
      <w:bookmarkStart w:id="632" w:name="_Toc61894773"/>
      <w:r w:rsidRPr="00400193">
        <w:rPr>
          <w:lang w:eastAsia="zh-CN" w:bidi="hi-IN"/>
        </w:rPr>
        <w:t>The Relationship Between Vulnerabilities and Weaknesses and Having a Response in Place</w:t>
      </w:r>
      <w:bookmarkEnd w:id="632"/>
    </w:p>
    <w:p w14:paraId="5D4413F3" w14:textId="41D897DE" w:rsidR="006E3616" w:rsidRPr="00400193" w:rsidRDefault="006E3616" w:rsidP="006E3616">
      <w:pPr>
        <w:spacing w:line="240" w:lineRule="auto"/>
        <w:rPr>
          <w:i/>
          <w:iCs/>
          <w:lang w:eastAsia="zh-CN" w:bidi="hi-IN"/>
        </w:rPr>
      </w:pPr>
      <w:r w:rsidRPr="00400193">
        <w:rPr>
          <w:lang w:eastAsia="zh-CN" w:bidi="hi-IN"/>
        </w:rPr>
        <w:fldChar w:fldCharType="begin"/>
      </w:r>
      <w:r w:rsidRPr="00400193">
        <w:rPr>
          <w:lang w:eastAsia="zh-CN" w:bidi="hi-IN"/>
        </w:rPr>
        <w:instrText xml:space="preserve"> REF _Ref43827241 \h </w:instrText>
      </w:r>
      <w:r w:rsidRPr="00400193">
        <w:rPr>
          <w:lang w:eastAsia="zh-CN" w:bidi="hi-IN"/>
        </w:rPr>
      </w:r>
      <w:r w:rsidRPr="00400193">
        <w:rPr>
          <w:lang w:eastAsia="zh-CN" w:bidi="hi-IN"/>
        </w:rPr>
        <w:fldChar w:fldCharType="separate"/>
      </w:r>
      <w:r w:rsidR="00BB7C18" w:rsidRPr="00400193">
        <w:t>3 – (Response in Place)</w:t>
      </w:r>
      <w:r w:rsidRPr="00400193">
        <w:rPr>
          <w:lang w:eastAsia="zh-CN" w:bidi="hi-IN"/>
        </w:rPr>
        <w:fldChar w:fldCharType="end"/>
      </w:r>
      <w:r w:rsidRPr="00400193">
        <w:rPr>
          <w:lang w:eastAsia="zh-CN" w:bidi="hi-IN"/>
        </w:rPr>
        <w:t xml:space="preserve"> </w:t>
      </w:r>
      <w:r w:rsidRPr="00400193">
        <w:rPr>
          <w:i/>
          <w:iCs/>
          <w:lang w:eastAsia="zh-CN" w:bidi="hi-IN"/>
        </w:rPr>
        <w:t>VW = RP</w:t>
      </w:r>
    </w:p>
    <w:p w14:paraId="17BE3F33" w14:textId="364AA1CB" w:rsidR="006E3616" w:rsidRPr="00400193" w:rsidRDefault="006E3616" w:rsidP="006E3616">
      <w:pPr>
        <w:rPr>
          <w:lang w:eastAsia="zh-CN" w:bidi="hi-IN"/>
        </w:rPr>
      </w:pPr>
      <w:r w:rsidRPr="00400193">
        <w:rPr>
          <w:lang w:eastAsia="zh-CN" w:bidi="hi-IN"/>
        </w:rPr>
        <w:t xml:space="preserve">In </w:t>
      </w:r>
      <w:r w:rsidR="001B1ED1" w:rsidRPr="00400193">
        <w:rPr>
          <w:lang w:eastAsia="zh-CN" w:bidi="hi-IN"/>
        </w:rPr>
        <w:fldChar w:fldCharType="begin"/>
      </w:r>
      <w:r w:rsidR="001B1ED1" w:rsidRPr="00400193">
        <w:rPr>
          <w:lang w:eastAsia="zh-CN" w:bidi="hi-IN"/>
        </w:rPr>
        <w:instrText xml:space="preserve"> REF _Ref51426611 \h </w:instrText>
      </w:r>
      <w:r w:rsidR="001B1ED1" w:rsidRPr="00400193">
        <w:rPr>
          <w:lang w:eastAsia="zh-CN" w:bidi="hi-IN"/>
        </w:rPr>
      </w:r>
      <w:r w:rsidR="001B1ED1"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65</w:t>
      </w:r>
      <w:r w:rsidR="001B1ED1" w:rsidRPr="00400193">
        <w:rPr>
          <w:lang w:eastAsia="zh-CN" w:bidi="hi-IN"/>
        </w:rPr>
        <w:fldChar w:fldCharType="end"/>
      </w:r>
      <w:r w:rsidRPr="00400193">
        <w:rPr>
          <w:lang w:eastAsia="zh-CN" w:bidi="hi-IN"/>
        </w:rPr>
        <w:t xml:space="preserve">, the R (multiple correlation coefficients) shows a value level prediction of 0.348. The R-square (coefficient of determination) value of 0.121 shows that 12.1% of the variance in vulnerabilities and weaknesses in the UAE public sector organisations can be predicted from Response in Place actions taken by these organisations to reduce risks. There is therefore is a strong relationship between vulnerabilities and weaknesses in the UAE public sector and the predictor variable (RP). </w:t>
      </w:r>
    </w:p>
    <w:tbl>
      <w:tblPr>
        <w:tblW w:w="90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0"/>
        <w:gridCol w:w="774"/>
        <w:gridCol w:w="820"/>
        <w:gridCol w:w="1108"/>
        <w:gridCol w:w="1107"/>
        <w:gridCol w:w="1107"/>
        <w:gridCol w:w="842"/>
        <w:gridCol w:w="2658"/>
      </w:tblGrid>
      <w:tr w:rsidR="006E3616" w:rsidRPr="00400193" w14:paraId="13126821" w14:textId="77777777" w:rsidTr="001B1ED1">
        <w:trPr>
          <w:cantSplit/>
          <w:trHeight w:val="283"/>
        </w:trPr>
        <w:tc>
          <w:tcPr>
            <w:tcW w:w="9016" w:type="dxa"/>
            <w:gridSpan w:val="8"/>
            <w:tcBorders>
              <w:top w:val="nil"/>
              <w:left w:val="nil"/>
              <w:bottom w:val="nil"/>
              <w:right w:val="nil"/>
            </w:tcBorders>
            <w:shd w:val="clear" w:color="auto" w:fill="auto"/>
            <w:vAlign w:val="center"/>
          </w:tcPr>
          <w:p w14:paraId="788B4CE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138C01E4" w14:textId="77777777" w:rsidTr="001B1ED1">
        <w:trPr>
          <w:cantSplit/>
          <w:trHeight w:val="283"/>
        </w:trPr>
        <w:tc>
          <w:tcPr>
            <w:tcW w:w="600" w:type="dxa"/>
            <w:vMerge w:val="restart"/>
            <w:tcBorders>
              <w:top w:val="nil"/>
              <w:left w:val="nil"/>
              <w:bottom w:val="nil"/>
              <w:right w:val="nil"/>
            </w:tcBorders>
            <w:shd w:val="clear" w:color="auto" w:fill="auto"/>
            <w:vAlign w:val="center"/>
          </w:tcPr>
          <w:p w14:paraId="4431799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74" w:type="dxa"/>
            <w:vMerge w:val="restart"/>
            <w:tcBorders>
              <w:top w:val="nil"/>
              <w:left w:val="nil"/>
              <w:bottom w:val="nil"/>
              <w:right w:val="single" w:sz="8" w:space="0" w:color="E0E0E0"/>
            </w:tcBorders>
            <w:shd w:val="clear" w:color="auto" w:fill="auto"/>
            <w:vAlign w:val="center"/>
          </w:tcPr>
          <w:p w14:paraId="3912EAF4"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20" w:type="dxa"/>
            <w:vMerge w:val="restart"/>
            <w:tcBorders>
              <w:top w:val="nil"/>
              <w:left w:val="single" w:sz="8" w:space="0" w:color="E0E0E0"/>
              <w:bottom w:val="nil"/>
              <w:right w:val="single" w:sz="8" w:space="0" w:color="E0E0E0"/>
            </w:tcBorders>
            <w:shd w:val="clear" w:color="auto" w:fill="auto"/>
            <w:vAlign w:val="center"/>
          </w:tcPr>
          <w:p w14:paraId="25CC5C9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108" w:type="dxa"/>
            <w:vMerge w:val="restart"/>
            <w:tcBorders>
              <w:top w:val="nil"/>
              <w:left w:val="single" w:sz="8" w:space="0" w:color="E0E0E0"/>
              <w:bottom w:val="nil"/>
              <w:right w:val="single" w:sz="8" w:space="0" w:color="E0E0E0"/>
            </w:tcBorders>
            <w:shd w:val="clear" w:color="auto" w:fill="auto"/>
            <w:vAlign w:val="center"/>
          </w:tcPr>
          <w:p w14:paraId="2C0917C6"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107" w:type="dxa"/>
            <w:vMerge w:val="restart"/>
            <w:tcBorders>
              <w:top w:val="nil"/>
              <w:left w:val="single" w:sz="8" w:space="0" w:color="E0E0E0"/>
              <w:bottom w:val="nil"/>
              <w:right w:val="single" w:sz="8" w:space="0" w:color="E0E0E0"/>
            </w:tcBorders>
            <w:shd w:val="clear" w:color="auto" w:fill="auto"/>
            <w:vAlign w:val="center"/>
          </w:tcPr>
          <w:p w14:paraId="73E1D7A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607" w:type="dxa"/>
            <w:gridSpan w:val="3"/>
            <w:tcBorders>
              <w:top w:val="nil"/>
              <w:left w:val="single" w:sz="8" w:space="0" w:color="E0E0E0"/>
              <w:bottom w:val="nil"/>
              <w:right w:val="nil"/>
            </w:tcBorders>
            <w:shd w:val="clear" w:color="auto" w:fill="auto"/>
            <w:vAlign w:val="center"/>
          </w:tcPr>
          <w:p w14:paraId="3A1A0704"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653A1E45" w14:textId="77777777" w:rsidTr="001B1ED1">
        <w:trPr>
          <w:cantSplit/>
          <w:trHeight w:val="283"/>
        </w:trPr>
        <w:tc>
          <w:tcPr>
            <w:tcW w:w="600" w:type="dxa"/>
            <w:vMerge/>
            <w:tcBorders>
              <w:top w:val="nil"/>
              <w:left w:val="nil"/>
              <w:bottom w:val="nil"/>
              <w:right w:val="nil"/>
            </w:tcBorders>
            <w:shd w:val="clear" w:color="auto" w:fill="auto"/>
            <w:vAlign w:val="center"/>
          </w:tcPr>
          <w:p w14:paraId="7D314EB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774" w:type="dxa"/>
            <w:vMerge/>
            <w:tcBorders>
              <w:top w:val="nil"/>
              <w:left w:val="nil"/>
              <w:bottom w:val="nil"/>
              <w:right w:val="single" w:sz="8" w:space="0" w:color="E0E0E0"/>
            </w:tcBorders>
            <w:shd w:val="clear" w:color="auto" w:fill="auto"/>
            <w:vAlign w:val="center"/>
          </w:tcPr>
          <w:p w14:paraId="67A56F8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820" w:type="dxa"/>
            <w:vMerge/>
            <w:tcBorders>
              <w:top w:val="nil"/>
              <w:left w:val="single" w:sz="8" w:space="0" w:color="E0E0E0"/>
              <w:bottom w:val="nil"/>
              <w:right w:val="single" w:sz="8" w:space="0" w:color="E0E0E0"/>
            </w:tcBorders>
            <w:shd w:val="clear" w:color="auto" w:fill="auto"/>
            <w:vAlign w:val="center"/>
          </w:tcPr>
          <w:p w14:paraId="50B3D4D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108" w:type="dxa"/>
            <w:vMerge/>
            <w:tcBorders>
              <w:top w:val="nil"/>
              <w:left w:val="single" w:sz="8" w:space="0" w:color="E0E0E0"/>
              <w:bottom w:val="nil"/>
              <w:right w:val="single" w:sz="8" w:space="0" w:color="E0E0E0"/>
            </w:tcBorders>
            <w:shd w:val="clear" w:color="auto" w:fill="auto"/>
            <w:vAlign w:val="center"/>
          </w:tcPr>
          <w:p w14:paraId="1DFA588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107" w:type="dxa"/>
            <w:vMerge/>
            <w:tcBorders>
              <w:top w:val="nil"/>
              <w:left w:val="single" w:sz="8" w:space="0" w:color="E0E0E0"/>
              <w:bottom w:val="nil"/>
              <w:right w:val="single" w:sz="8" w:space="0" w:color="E0E0E0"/>
            </w:tcBorders>
            <w:shd w:val="clear" w:color="auto" w:fill="auto"/>
            <w:vAlign w:val="center"/>
          </w:tcPr>
          <w:p w14:paraId="282269D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107" w:type="dxa"/>
            <w:tcBorders>
              <w:top w:val="nil"/>
              <w:left w:val="single" w:sz="8" w:space="0" w:color="E0E0E0"/>
              <w:bottom w:val="single" w:sz="8" w:space="0" w:color="152935"/>
              <w:right w:val="single" w:sz="8" w:space="0" w:color="E0E0E0"/>
            </w:tcBorders>
            <w:shd w:val="clear" w:color="auto" w:fill="auto"/>
            <w:vAlign w:val="center"/>
          </w:tcPr>
          <w:p w14:paraId="4B43253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42" w:type="dxa"/>
            <w:tcBorders>
              <w:top w:val="nil"/>
              <w:left w:val="single" w:sz="8" w:space="0" w:color="E0E0E0"/>
              <w:bottom w:val="single" w:sz="8" w:space="0" w:color="152935"/>
              <w:right w:val="single" w:sz="8" w:space="0" w:color="E0E0E0"/>
            </w:tcBorders>
            <w:shd w:val="clear" w:color="auto" w:fill="auto"/>
            <w:vAlign w:val="center"/>
          </w:tcPr>
          <w:p w14:paraId="69F6723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58" w:type="dxa"/>
            <w:tcBorders>
              <w:top w:val="nil"/>
              <w:left w:val="single" w:sz="8" w:space="0" w:color="E0E0E0"/>
              <w:bottom w:val="single" w:sz="8" w:space="0" w:color="152935"/>
              <w:right w:val="nil"/>
            </w:tcBorders>
            <w:shd w:val="clear" w:color="auto" w:fill="auto"/>
            <w:vAlign w:val="center"/>
          </w:tcPr>
          <w:p w14:paraId="2E8952C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3B9273BA" w14:textId="77777777" w:rsidTr="001B1ED1">
        <w:trPr>
          <w:cantSplit/>
          <w:trHeight w:val="283"/>
        </w:trPr>
        <w:tc>
          <w:tcPr>
            <w:tcW w:w="600" w:type="dxa"/>
            <w:tcBorders>
              <w:top w:val="single" w:sz="8" w:space="0" w:color="152935"/>
              <w:left w:val="nil"/>
              <w:bottom w:val="single" w:sz="8" w:space="0" w:color="152935"/>
              <w:right w:val="nil"/>
            </w:tcBorders>
            <w:shd w:val="clear" w:color="auto" w:fill="auto"/>
            <w:vAlign w:val="center"/>
          </w:tcPr>
          <w:p w14:paraId="01A825D2"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74" w:type="dxa"/>
            <w:tcBorders>
              <w:top w:val="single" w:sz="8" w:space="0" w:color="152935"/>
              <w:left w:val="nil"/>
              <w:bottom w:val="single" w:sz="8" w:space="0" w:color="152935"/>
              <w:right w:val="single" w:sz="8" w:space="0" w:color="E0E0E0"/>
            </w:tcBorders>
            <w:shd w:val="clear" w:color="auto" w:fill="auto"/>
            <w:vAlign w:val="center"/>
          </w:tcPr>
          <w:p w14:paraId="2ABF9A38"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.348</w:t>
            </w:r>
            <w:r w:rsidRPr="00400193">
              <w:rPr>
                <w:rFonts w:asciiTheme="minorHAnsi" w:hAnsiTheme="minorHAnsi" w:cstheme="minorHAnsi"/>
                <w:sz w:val="20"/>
                <w:szCs w:val="18"/>
                <w:vertAlign w:val="superscript"/>
                <w:lang w:eastAsia="zh-CN" w:bidi="hi-IN"/>
              </w:rPr>
              <w:t>a</w:t>
            </w:r>
          </w:p>
        </w:tc>
        <w:tc>
          <w:tcPr>
            <w:tcW w:w="820" w:type="dxa"/>
            <w:tcBorders>
              <w:top w:val="single" w:sz="8" w:space="0" w:color="152935"/>
              <w:left w:val="single" w:sz="8" w:space="0" w:color="E0E0E0"/>
              <w:bottom w:val="single" w:sz="8" w:space="0" w:color="152935"/>
              <w:right w:val="single" w:sz="8" w:space="0" w:color="E0E0E0"/>
            </w:tcBorders>
            <w:shd w:val="clear" w:color="auto" w:fill="auto"/>
            <w:vAlign w:val="center"/>
          </w:tcPr>
          <w:p w14:paraId="138C214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.121</w:t>
            </w:r>
          </w:p>
        </w:tc>
        <w:tc>
          <w:tcPr>
            <w:tcW w:w="1108" w:type="dxa"/>
            <w:tcBorders>
              <w:top w:val="single" w:sz="8" w:space="0" w:color="152935"/>
              <w:left w:val="single" w:sz="8" w:space="0" w:color="E0E0E0"/>
              <w:bottom w:val="single" w:sz="8" w:space="0" w:color="152935"/>
              <w:right w:val="single" w:sz="8" w:space="0" w:color="E0E0E0"/>
            </w:tcBorders>
            <w:shd w:val="clear" w:color="auto" w:fill="auto"/>
            <w:vAlign w:val="center"/>
          </w:tcPr>
          <w:p w14:paraId="01E551F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.112</w:t>
            </w:r>
          </w:p>
        </w:tc>
        <w:tc>
          <w:tcPr>
            <w:tcW w:w="1107" w:type="dxa"/>
            <w:tcBorders>
              <w:top w:val="single" w:sz="8" w:space="0" w:color="152935"/>
              <w:left w:val="single" w:sz="8" w:space="0" w:color="E0E0E0"/>
              <w:bottom w:val="single" w:sz="8" w:space="0" w:color="152935"/>
              <w:right w:val="single" w:sz="8" w:space="0" w:color="E0E0E0"/>
            </w:tcBorders>
            <w:shd w:val="clear" w:color="auto" w:fill="auto"/>
            <w:vAlign w:val="center"/>
          </w:tcPr>
          <w:p w14:paraId="558700A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.55944</w:t>
            </w:r>
          </w:p>
        </w:tc>
        <w:tc>
          <w:tcPr>
            <w:tcW w:w="1107" w:type="dxa"/>
            <w:tcBorders>
              <w:top w:val="single" w:sz="8" w:space="0" w:color="152935"/>
              <w:left w:val="single" w:sz="8" w:space="0" w:color="E0E0E0"/>
              <w:bottom w:val="single" w:sz="8" w:space="0" w:color="152935"/>
              <w:right w:val="single" w:sz="8" w:space="0" w:color="E0E0E0"/>
            </w:tcBorders>
            <w:shd w:val="clear" w:color="auto" w:fill="auto"/>
            <w:vAlign w:val="center"/>
          </w:tcPr>
          <w:p w14:paraId="37320A6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.121</w:t>
            </w:r>
          </w:p>
        </w:tc>
        <w:tc>
          <w:tcPr>
            <w:tcW w:w="842" w:type="dxa"/>
            <w:tcBorders>
              <w:top w:val="single" w:sz="8" w:space="0" w:color="152935"/>
              <w:left w:val="single" w:sz="8" w:space="0" w:color="E0E0E0"/>
              <w:bottom w:val="single" w:sz="8" w:space="0" w:color="152935"/>
              <w:right w:val="single" w:sz="8" w:space="0" w:color="E0E0E0"/>
            </w:tcBorders>
            <w:shd w:val="clear" w:color="auto" w:fill="auto"/>
            <w:vAlign w:val="center"/>
          </w:tcPr>
          <w:p w14:paraId="15C551BB"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14.038</w:t>
            </w:r>
          </w:p>
        </w:tc>
        <w:tc>
          <w:tcPr>
            <w:tcW w:w="2658" w:type="dxa"/>
            <w:tcBorders>
              <w:top w:val="single" w:sz="8" w:space="0" w:color="152935"/>
              <w:left w:val="single" w:sz="8" w:space="0" w:color="E0E0E0"/>
              <w:bottom w:val="single" w:sz="8" w:space="0" w:color="152935"/>
              <w:right w:val="nil"/>
            </w:tcBorders>
            <w:shd w:val="clear" w:color="auto" w:fill="auto"/>
            <w:vAlign w:val="center"/>
          </w:tcPr>
          <w:p w14:paraId="4DDD3DA3" w14:textId="77777777" w:rsidR="006E3616" w:rsidRPr="00400193" w:rsidRDefault="006E3616"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r>
      <w:tr w:rsidR="001B1ED1" w:rsidRPr="00400193" w14:paraId="0A5726E9" w14:textId="77777777" w:rsidTr="001B1ED1">
        <w:trPr>
          <w:cantSplit/>
          <w:trHeight w:val="283"/>
        </w:trPr>
        <w:tc>
          <w:tcPr>
            <w:tcW w:w="9016" w:type="dxa"/>
            <w:gridSpan w:val="8"/>
            <w:tcBorders>
              <w:top w:val="single" w:sz="8" w:space="0" w:color="152935"/>
              <w:left w:val="nil"/>
              <w:bottom w:val="single" w:sz="4" w:space="0" w:color="FFFFFF" w:themeColor="background1"/>
              <w:right w:val="nil"/>
            </w:tcBorders>
            <w:shd w:val="clear" w:color="auto" w:fill="auto"/>
            <w:vAlign w:val="center"/>
          </w:tcPr>
          <w:p w14:paraId="55610E4C" w14:textId="548A05B8" w:rsidR="001B1ED1" w:rsidRPr="00400193" w:rsidRDefault="001B1ED1" w:rsidP="001B1ED1">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30280511" w14:textId="7940BC01" w:rsidR="001B1ED1" w:rsidRPr="00400193" w:rsidRDefault="001B1ED1" w:rsidP="001B1ED1">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IRF</w:t>
            </w:r>
          </w:p>
        </w:tc>
      </w:tr>
    </w:tbl>
    <w:p w14:paraId="7C6E746B" w14:textId="373EB9BA" w:rsidR="006E3616" w:rsidRPr="00400193" w:rsidRDefault="006E3616" w:rsidP="006E3616">
      <w:pPr>
        <w:pStyle w:val="Caption"/>
        <w:spacing w:after="240"/>
        <w:rPr>
          <w:lang w:eastAsia="zh-CN" w:bidi="hi-IN"/>
        </w:rPr>
      </w:pPr>
      <w:bookmarkStart w:id="633" w:name="_Ref51426611"/>
      <w:bookmarkStart w:id="634" w:name="_Toc5290161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65</w:t>
      </w:r>
      <w:r w:rsidRPr="00400193">
        <w:fldChar w:fldCharType="end"/>
      </w:r>
      <w:bookmarkEnd w:id="633"/>
      <w:r w:rsidRPr="00400193">
        <w:t xml:space="preserve">: </w:t>
      </w:r>
      <w:r w:rsidRPr="00400193">
        <w:rPr>
          <w:lang w:eastAsia="zh-CN" w:bidi="hi-IN"/>
        </w:rPr>
        <w:t>Regression model summary for VW</w:t>
      </w:r>
      <w:bookmarkEnd w:id="634"/>
    </w:p>
    <w:p w14:paraId="34752282" w14:textId="1EFD3B63" w:rsidR="006E3616" w:rsidRPr="00400193" w:rsidRDefault="006E3616" w:rsidP="006E3616">
      <w:pPr>
        <w:rPr>
          <w:lang w:eastAsia="zh-CN" w:bidi="hi-IN"/>
        </w:rPr>
      </w:pPr>
      <w:r w:rsidRPr="00400193">
        <w:rPr>
          <w:lang w:eastAsia="zh-CN" w:bidi="hi-IN"/>
        </w:rPr>
        <w:t xml:space="preserve">The results of the ANOVA are shown in </w:t>
      </w:r>
      <w:r w:rsidRPr="00400193">
        <w:rPr>
          <w:lang w:eastAsia="zh-CN" w:bidi="hi-IN"/>
        </w:rPr>
        <w:fldChar w:fldCharType="begin"/>
      </w:r>
      <w:r w:rsidRPr="00400193">
        <w:rPr>
          <w:lang w:eastAsia="zh-CN" w:bidi="hi-IN"/>
        </w:rPr>
        <w:instrText xml:space="preserve"> REF _Ref43498396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66</w:t>
      </w:r>
      <w:r w:rsidRPr="00400193">
        <w:rPr>
          <w:lang w:eastAsia="zh-CN" w:bidi="hi-IN"/>
        </w:rPr>
        <w:fldChar w:fldCharType="end"/>
      </w:r>
      <w:r w:rsidRPr="00400193">
        <w:rPr>
          <w:lang w:eastAsia="zh-CN" w:bidi="hi-IN"/>
        </w:rPr>
        <w:t xml:space="preserve">. The F-statistic of the model was 14.038, indicating a significant linear regression association between the vulnerabilities and weaknesses in the UAE organisations and the predictor variables </w:t>
      </w:r>
      <w:r w:rsidRPr="00400193">
        <w:rPr>
          <w:lang w:eastAsia="zh-CN" w:bidi="hi-IN"/>
        </w:rPr>
        <w:lastRenderedPageBreak/>
        <w:t xml:space="preserve">on response in place. The F statistic indicates that the R-square was statistically significant at p &lt;0.05. </w:t>
      </w:r>
    </w:p>
    <w:tbl>
      <w:tblPr>
        <w:tblW w:w="88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9"/>
        <w:gridCol w:w="1226"/>
        <w:gridCol w:w="1402"/>
        <w:gridCol w:w="978"/>
        <w:gridCol w:w="1344"/>
        <w:gridCol w:w="978"/>
        <w:gridCol w:w="2207"/>
      </w:tblGrid>
      <w:tr w:rsidR="006E3616" w:rsidRPr="00400193" w14:paraId="4B8664F3" w14:textId="77777777" w:rsidTr="00257378">
        <w:trPr>
          <w:cantSplit/>
          <w:trHeight w:val="283"/>
        </w:trPr>
        <w:tc>
          <w:tcPr>
            <w:tcW w:w="8834" w:type="dxa"/>
            <w:gridSpan w:val="7"/>
            <w:tcBorders>
              <w:top w:val="nil"/>
              <w:left w:val="nil"/>
              <w:bottom w:val="nil"/>
              <w:right w:val="nil"/>
            </w:tcBorders>
            <w:shd w:val="clear" w:color="auto" w:fill="auto"/>
            <w:vAlign w:val="center"/>
          </w:tcPr>
          <w:p w14:paraId="0CB9B5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4B201BB8" w14:textId="77777777" w:rsidTr="00257378">
        <w:trPr>
          <w:cantSplit/>
          <w:trHeight w:val="283"/>
        </w:trPr>
        <w:tc>
          <w:tcPr>
            <w:tcW w:w="1925" w:type="dxa"/>
            <w:gridSpan w:val="2"/>
            <w:tcBorders>
              <w:top w:val="nil"/>
              <w:left w:val="nil"/>
              <w:bottom w:val="single" w:sz="8" w:space="0" w:color="152935"/>
              <w:right w:val="nil"/>
            </w:tcBorders>
            <w:shd w:val="clear" w:color="auto" w:fill="auto"/>
            <w:vAlign w:val="bottom"/>
          </w:tcPr>
          <w:p w14:paraId="7DDB9C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02" w:type="dxa"/>
            <w:tcBorders>
              <w:top w:val="nil"/>
              <w:left w:val="nil"/>
              <w:bottom w:val="single" w:sz="8" w:space="0" w:color="152935"/>
              <w:right w:val="single" w:sz="8" w:space="0" w:color="E0E0E0"/>
            </w:tcBorders>
            <w:shd w:val="clear" w:color="auto" w:fill="auto"/>
            <w:vAlign w:val="bottom"/>
          </w:tcPr>
          <w:p w14:paraId="6D02C19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78" w:type="dxa"/>
            <w:tcBorders>
              <w:top w:val="nil"/>
              <w:left w:val="single" w:sz="8" w:space="0" w:color="E0E0E0"/>
              <w:bottom w:val="single" w:sz="8" w:space="0" w:color="152935"/>
              <w:right w:val="single" w:sz="8" w:space="0" w:color="E0E0E0"/>
            </w:tcBorders>
            <w:shd w:val="clear" w:color="auto" w:fill="auto"/>
            <w:vAlign w:val="bottom"/>
          </w:tcPr>
          <w:p w14:paraId="1DC9788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44" w:type="dxa"/>
            <w:tcBorders>
              <w:top w:val="nil"/>
              <w:left w:val="single" w:sz="8" w:space="0" w:color="E0E0E0"/>
              <w:bottom w:val="single" w:sz="8" w:space="0" w:color="152935"/>
              <w:right w:val="single" w:sz="8" w:space="0" w:color="E0E0E0"/>
            </w:tcBorders>
            <w:shd w:val="clear" w:color="auto" w:fill="auto"/>
            <w:vAlign w:val="bottom"/>
          </w:tcPr>
          <w:p w14:paraId="55218F3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78" w:type="dxa"/>
            <w:tcBorders>
              <w:top w:val="nil"/>
              <w:left w:val="single" w:sz="8" w:space="0" w:color="E0E0E0"/>
              <w:bottom w:val="single" w:sz="8" w:space="0" w:color="152935"/>
              <w:right w:val="single" w:sz="8" w:space="0" w:color="E0E0E0"/>
            </w:tcBorders>
            <w:shd w:val="clear" w:color="auto" w:fill="auto"/>
            <w:vAlign w:val="bottom"/>
          </w:tcPr>
          <w:p w14:paraId="037FDEF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04" w:type="dxa"/>
            <w:tcBorders>
              <w:top w:val="nil"/>
              <w:left w:val="single" w:sz="8" w:space="0" w:color="E0E0E0"/>
              <w:bottom w:val="single" w:sz="8" w:space="0" w:color="152935"/>
              <w:right w:val="nil"/>
            </w:tcBorders>
            <w:shd w:val="clear" w:color="auto" w:fill="auto"/>
            <w:vAlign w:val="bottom"/>
          </w:tcPr>
          <w:p w14:paraId="5B9A579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4CC6AC60" w14:textId="77777777" w:rsidTr="00257378">
        <w:trPr>
          <w:cantSplit/>
          <w:trHeight w:val="283"/>
        </w:trPr>
        <w:tc>
          <w:tcPr>
            <w:tcW w:w="699" w:type="dxa"/>
            <w:vMerge w:val="restart"/>
            <w:tcBorders>
              <w:top w:val="single" w:sz="8" w:space="0" w:color="152935"/>
              <w:left w:val="nil"/>
              <w:bottom w:val="single" w:sz="8" w:space="0" w:color="152935"/>
              <w:right w:val="nil"/>
            </w:tcBorders>
            <w:shd w:val="clear" w:color="auto" w:fill="auto"/>
          </w:tcPr>
          <w:p w14:paraId="29D43B1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26" w:type="dxa"/>
            <w:tcBorders>
              <w:top w:val="single" w:sz="8" w:space="0" w:color="152935"/>
              <w:left w:val="nil"/>
              <w:bottom w:val="single" w:sz="8" w:space="0" w:color="AEAEAE"/>
              <w:right w:val="nil"/>
            </w:tcBorders>
            <w:shd w:val="clear" w:color="auto" w:fill="auto"/>
          </w:tcPr>
          <w:p w14:paraId="4DEB7B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02" w:type="dxa"/>
            <w:tcBorders>
              <w:top w:val="single" w:sz="8" w:space="0" w:color="152935"/>
              <w:left w:val="nil"/>
              <w:bottom w:val="single" w:sz="8" w:space="0" w:color="AEAEAE"/>
              <w:right w:val="single" w:sz="8" w:space="0" w:color="E0E0E0"/>
            </w:tcBorders>
            <w:shd w:val="clear" w:color="auto" w:fill="auto"/>
          </w:tcPr>
          <w:p w14:paraId="5DE54D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4.394</w:t>
            </w:r>
          </w:p>
        </w:tc>
        <w:tc>
          <w:tcPr>
            <w:tcW w:w="978" w:type="dxa"/>
            <w:tcBorders>
              <w:top w:val="single" w:sz="8" w:space="0" w:color="152935"/>
              <w:left w:val="single" w:sz="8" w:space="0" w:color="E0E0E0"/>
              <w:bottom w:val="single" w:sz="8" w:space="0" w:color="AEAEAE"/>
              <w:right w:val="single" w:sz="8" w:space="0" w:color="E0E0E0"/>
            </w:tcBorders>
            <w:shd w:val="clear" w:color="auto" w:fill="auto"/>
          </w:tcPr>
          <w:p w14:paraId="40CD9C6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344" w:type="dxa"/>
            <w:tcBorders>
              <w:top w:val="single" w:sz="8" w:space="0" w:color="152935"/>
              <w:left w:val="single" w:sz="8" w:space="0" w:color="E0E0E0"/>
              <w:bottom w:val="single" w:sz="8" w:space="0" w:color="AEAEAE"/>
              <w:right w:val="single" w:sz="8" w:space="0" w:color="E0E0E0"/>
            </w:tcBorders>
            <w:shd w:val="clear" w:color="auto" w:fill="auto"/>
          </w:tcPr>
          <w:p w14:paraId="2AF5B69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4.394</w:t>
            </w:r>
          </w:p>
        </w:tc>
        <w:tc>
          <w:tcPr>
            <w:tcW w:w="978" w:type="dxa"/>
            <w:tcBorders>
              <w:top w:val="single" w:sz="8" w:space="0" w:color="152935"/>
              <w:left w:val="single" w:sz="8" w:space="0" w:color="E0E0E0"/>
              <w:bottom w:val="single" w:sz="8" w:space="0" w:color="AEAEAE"/>
              <w:right w:val="single" w:sz="8" w:space="0" w:color="E0E0E0"/>
            </w:tcBorders>
            <w:shd w:val="clear" w:color="auto" w:fill="auto"/>
          </w:tcPr>
          <w:p w14:paraId="2F6BA2C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14.038</w:t>
            </w:r>
          </w:p>
        </w:tc>
        <w:tc>
          <w:tcPr>
            <w:tcW w:w="2204" w:type="dxa"/>
            <w:tcBorders>
              <w:top w:val="single" w:sz="8" w:space="0" w:color="152935"/>
              <w:left w:val="single" w:sz="8" w:space="0" w:color="E0E0E0"/>
              <w:bottom w:val="single" w:sz="8" w:space="0" w:color="AEAEAE"/>
              <w:right w:val="nil"/>
            </w:tcBorders>
            <w:shd w:val="clear" w:color="auto" w:fill="auto"/>
          </w:tcPr>
          <w:p w14:paraId="4F500B1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38090478" w14:textId="77777777" w:rsidTr="00257378">
        <w:trPr>
          <w:cantSplit/>
          <w:trHeight w:val="283"/>
        </w:trPr>
        <w:tc>
          <w:tcPr>
            <w:tcW w:w="699" w:type="dxa"/>
            <w:vMerge/>
            <w:tcBorders>
              <w:top w:val="single" w:sz="8" w:space="0" w:color="152935"/>
              <w:left w:val="nil"/>
              <w:bottom w:val="single" w:sz="8" w:space="0" w:color="152935"/>
              <w:right w:val="nil"/>
            </w:tcBorders>
            <w:shd w:val="clear" w:color="auto" w:fill="auto"/>
          </w:tcPr>
          <w:p w14:paraId="7CCFC71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26" w:type="dxa"/>
            <w:tcBorders>
              <w:top w:val="single" w:sz="8" w:space="0" w:color="AEAEAE"/>
              <w:left w:val="nil"/>
              <w:bottom w:val="single" w:sz="8" w:space="0" w:color="AEAEAE"/>
              <w:right w:val="nil"/>
            </w:tcBorders>
            <w:shd w:val="clear" w:color="auto" w:fill="auto"/>
          </w:tcPr>
          <w:p w14:paraId="4A15FD5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02" w:type="dxa"/>
            <w:tcBorders>
              <w:top w:val="single" w:sz="8" w:space="0" w:color="AEAEAE"/>
              <w:left w:val="nil"/>
              <w:bottom w:val="single" w:sz="8" w:space="0" w:color="AEAEAE"/>
              <w:right w:val="single" w:sz="8" w:space="0" w:color="E0E0E0"/>
            </w:tcBorders>
            <w:shd w:val="clear" w:color="auto" w:fill="auto"/>
          </w:tcPr>
          <w:p w14:paraId="48A41AB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31.923</w:t>
            </w:r>
          </w:p>
        </w:tc>
        <w:tc>
          <w:tcPr>
            <w:tcW w:w="978" w:type="dxa"/>
            <w:tcBorders>
              <w:top w:val="single" w:sz="8" w:space="0" w:color="AEAEAE"/>
              <w:left w:val="single" w:sz="8" w:space="0" w:color="E0E0E0"/>
              <w:bottom w:val="single" w:sz="8" w:space="0" w:color="AEAEAE"/>
              <w:right w:val="single" w:sz="8" w:space="0" w:color="E0E0E0"/>
            </w:tcBorders>
            <w:shd w:val="clear" w:color="auto" w:fill="auto"/>
          </w:tcPr>
          <w:p w14:paraId="5AA1B5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102</w:t>
            </w:r>
          </w:p>
        </w:tc>
        <w:tc>
          <w:tcPr>
            <w:tcW w:w="1344" w:type="dxa"/>
            <w:tcBorders>
              <w:top w:val="single" w:sz="8" w:space="0" w:color="AEAEAE"/>
              <w:left w:val="single" w:sz="8" w:space="0" w:color="E0E0E0"/>
              <w:bottom w:val="single" w:sz="8" w:space="0" w:color="AEAEAE"/>
              <w:right w:val="single" w:sz="8" w:space="0" w:color="E0E0E0"/>
            </w:tcBorders>
            <w:shd w:val="clear" w:color="auto" w:fill="auto"/>
          </w:tcPr>
          <w:p w14:paraId="08CA17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.313</w:t>
            </w:r>
          </w:p>
        </w:tc>
        <w:tc>
          <w:tcPr>
            <w:tcW w:w="978"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BFD28D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04" w:type="dxa"/>
            <w:tcBorders>
              <w:top w:val="single" w:sz="8" w:space="0" w:color="AEAEAE"/>
              <w:left w:val="single" w:sz="8" w:space="0" w:color="E0E0E0"/>
              <w:bottom w:val="single" w:sz="8" w:space="0" w:color="AEAEAE"/>
              <w:right w:val="nil"/>
            </w:tcBorders>
            <w:shd w:val="clear" w:color="auto" w:fill="auto"/>
            <w:vAlign w:val="center"/>
          </w:tcPr>
          <w:p w14:paraId="4A158E8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3CEA3F95" w14:textId="77777777" w:rsidTr="00257378">
        <w:trPr>
          <w:cantSplit/>
          <w:trHeight w:val="283"/>
        </w:trPr>
        <w:tc>
          <w:tcPr>
            <w:tcW w:w="699" w:type="dxa"/>
            <w:vMerge/>
            <w:tcBorders>
              <w:top w:val="single" w:sz="8" w:space="0" w:color="152935"/>
              <w:left w:val="nil"/>
              <w:bottom w:val="single" w:sz="8" w:space="0" w:color="152935"/>
              <w:right w:val="nil"/>
            </w:tcBorders>
            <w:shd w:val="clear" w:color="auto" w:fill="auto"/>
          </w:tcPr>
          <w:p w14:paraId="4CFD310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26" w:type="dxa"/>
            <w:tcBorders>
              <w:top w:val="single" w:sz="8" w:space="0" w:color="AEAEAE"/>
              <w:left w:val="nil"/>
              <w:bottom w:val="single" w:sz="8" w:space="0" w:color="152935"/>
              <w:right w:val="nil"/>
            </w:tcBorders>
            <w:shd w:val="clear" w:color="auto" w:fill="auto"/>
          </w:tcPr>
          <w:p w14:paraId="284DE32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02" w:type="dxa"/>
            <w:tcBorders>
              <w:top w:val="single" w:sz="8" w:space="0" w:color="AEAEAE"/>
              <w:left w:val="nil"/>
              <w:bottom w:val="single" w:sz="8" w:space="0" w:color="152935"/>
              <w:right w:val="single" w:sz="8" w:space="0" w:color="E0E0E0"/>
            </w:tcBorders>
            <w:shd w:val="clear" w:color="auto" w:fill="auto"/>
          </w:tcPr>
          <w:p w14:paraId="4F104F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78" w:type="dxa"/>
            <w:tcBorders>
              <w:top w:val="single" w:sz="8" w:space="0" w:color="AEAEAE"/>
              <w:left w:val="single" w:sz="8" w:space="0" w:color="E0E0E0"/>
              <w:bottom w:val="single" w:sz="8" w:space="0" w:color="152935"/>
              <w:right w:val="single" w:sz="8" w:space="0" w:color="E0E0E0"/>
            </w:tcBorders>
            <w:shd w:val="clear" w:color="auto" w:fill="auto"/>
          </w:tcPr>
          <w:p w14:paraId="3FCD40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44" w:type="dxa"/>
            <w:tcBorders>
              <w:top w:val="single" w:sz="8" w:space="0" w:color="AEAEAE"/>
              <w:left w:val="single" w:sz="8" w:space="0" w:color="E0E0E0"/>
              <w:bottom w:val="single" w:sz="8" w:space="0" w:color="152935"/>
              <w:right w:val="single" w:sz="8" w:space="0" w:color="E0E0E0"/>
            </w:tcBorders>
            <w:shd w:val="clear" w:color="auto" w:fill="auto"/>
            <w:vAlign w:val="center"/>
          </w:tcPr>
          <w:p w14:paraId="4036A90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78"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BFF414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04" w:type="dxa"/>
            <w:tcBorders>
              <w:top w:val="single" w:sz="8" w:space="0" w:color="AEAEAE"/>
              <w:left w:val="single" w:sz="8" w:space="0" w:color="E0E0E0"/>
              <w:bottom w:val="single" w:sz="8" w:space="0" w:color="152935"/>
              <w:right w:val="nil"/>
            </w:tcBorders>
            <w:shd w:val="clear" w:color="auto" w:fill="auto"/>
            <w:vAlign w:val="center"/>
          </w:tcPr>
          <w:p w14:paraId="5A77B1B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7183B4E3" w14:textId="77777777" w:rsidTr="00257378">
        <w:trPr>
          <w:cantSplit/>
          <w:trHeight w:val="283"/>
        </w:trPr>
        <w:tc>
          <w:tcPr>
            <w:tcW w:w="8834" w:type="dxa"/>
            <w:gridSpan w:val="7"/>
            <w:tcBorders>
              <w:top w:val="nil"/>
              <w:left w:val="nil"/>
              <w:bottom w:val="nil"/>
              <w:right w:val="nil"/>
            </w:tcBorders>
            <w:shd w:val="clear" w:color="auto" w:fill="auto"/>
          </w:tcPr>
          <w:p w14:paraId="0195F9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1EF9BB95" w14:textId="77777777" w:rsidTr="00257378">
        <w:trPr>
          <w:cantSplit/>
          <w:trHeight w:val="283"/>
        </w:trPr>
        <w:tc>
          <w:tcPr>
            <w:tcW w:w="8834" w:type="dxa"/>
            <w:gridSpan w:val="7"/>
            <w:tcBorders>
              <w:top w:val="nil"/>
              <w:left w:val="nil"/>
              <w:bottom w:val="nil"/>
              <w:right w:val="nil"/>
            </w:tcBorders>
            <w:shd w:val="clear" w:color="auto" w:fill="auto"/>
          </w:tcPr>
          <w:p w14:paraId="64BF6E5C"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RP</w:t>
            </w:r>
          </w:p>
        </w:tc>
      </w:tr>
    </w:tbl>
    <w:p w14:paraId="6D9DF5C7" w14:textId="12BA1425" w:rsidR="006E3616" w:rsidRPr="00400193" w:rsidRDefault="006E3616" w:rsidP="006E3616">
      <w:pPr>
        <w:pStyle w:val="Caption"/>
        <w:spacing w:after="240"/>
        <w:rPr>
          <w:lang w:eastAsia="zh-CN" w:bidi="hi-IN"/>
        </w:rPr>
      </w:pPr>
      <w:bookmarkStart w:id="635" w:name="_Ref43498396"/>
      <w:bookmarkStart w:id="636" w:name="_Toc5290161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66</w:t>
      </w:r>
      <w:r w:rsidRPr="00400193">
        <w:fldChar w:fldCharType="end"/>
      </w:r>
      <w:bookmarkEnd w:id="635"/>
      <w:r w:rsidRPr="00400193">
        <w:t xml:space="preserve">: Analysis of variance </w:t>
      </w:r>
      <w:r w:rsidRPr="00400193">
        <w:rPr>
          <w:vertAlign w:val="superscript"/>
        </w:rPr>
        <w:t xml:space="preserve">a </w:t>
      </w:r>
      <w:r w:rsidRPr="00400193">
        <w:t>of the model for VW</w:t>
      </w:r>
      <w:bookmarkEnd w:id="636"/>
    </w:p>
    <w:p w14:paraId="5FEACB67" w14:textId="4E3724E7" w:rsidR="006E3616" w:rsidRPr="00400193" w:rsidRDefault="006E3616" w:rsidP="006E3616">
      <w:pPr>
        <w:rPr>
          <w:lang w:eastAsia="zh-CN" w:bidi="hi-IN"/>
        </w:rPr>
      </w:pPr>
      <w:r w:rsidRPr="00400193">
        <w:rPr>
          <w:lang w:eastAsia="zh-CN" w:bidi="hi-IN"/>
        </w:rPr>
        <w:t>The F-ratio also shows that the overall regression model is a good fit for the data because the predictor variables statistically predict the response variable, F =14.038, p &lt;0.005. The regression model explains all the response data variability around its mean. The F-value is significant at 95%, even though the relatively low R-square value of 0.121 indicates that only 12.1% of the variation in standard deviation is explained by the explanatory variables. The p-value associated with the F value is 0.000 indicating that the predictor variables dependably predict the response variable</w:t>
      </w:r>
      <w:r w:rsidR="007B4418" w:rsidRPr="00400193">
        <w:rPr>
          <w:lang w:eastAsia="zh-CN" w:bidi="hi-IN"/>
        </w:rPr>
        <w:t xml:space="preserve"> (see </w:t>
      </w:r>
      <w:r w:rsidR="007B4418" w:rsidRPr="00400193">
        <w:rPr>
          <w:lang w:eastAsia="zh-CN" w:bidi="hi-IN"/>
        </w:rPr>
        <w:fldChar w:fldCharType="begin"/>
      </w:r>
      <w:r w:rsidR="007B4418" w:rsidRPr="00400193">
        <w:rPr>
          <w:lang w:eastAsia="zh-CN" w:bidi="hi-IN"/>
        </w:rPr>
        <w:instrText xml:space="preserve"> REF _Ref51432042 \h </w:instrText>
      </w:r>
      <w:r w:rsidR="007B4418" w:rsidRPr="00400193">
        <w:rPr>
          <w:lang w:eastAsia="zh-CN" w:bidi="hi-IN"/>
        </w:rPr>
      </w:r>
      <w:r w:rsidR="007B4418"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67</w:t>
      </w:r>
      <w:r w:rsidR="007B4418" w:rsidRPr="00400193">
        <w:rPr>
          <w:lang w:eastAsia="zh-CN" w:bidi="hi-IN"/>
        </w:rPr>
        <w:fldChar w:fldCharType="end"/>
      </w:r>
      <w:r w:rsidR="007B4418" w:rsidRPr="00400193">
        <w:rPr>
          <w:lang w:eastAsia="zh-CN" w:bidi="hi-IN"/>
        </w:rPr>
        <w:t>)</w:t>
      </w:r>
      <w:r w:rsidRPr="00400193">
        <w:rPr>
          <w:lang w:eastAsia="zh-CN" w:bidi="hi-IN"/>
        </w:rPr>
        <w:t xml:space="preserve">. </w:t>
      </w:r>
    </w:p>
    <w:tbl>
      <w:tblPr>
        <w:tblW w:w="87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0"/>
        <w:gridCol w:w="1677"/>
        <w:gridCol w:w="1345"/>
        <w:gridCol w:w="1512"/>
        <w:gridCol w:w="2437"/>
        <w:gridCol w:w="672"/>
        <w:gridCol w:w="760"/>
      </w:tblGrid>
      <w:tr w:rsidR="006E3616" w:rsidRPr="00400193" w14:paraId="44689245" w14:textId="77777777" w:rsidTr="007B4418">
        <w:trPr>
          <w:cantSplit/>
          <w:trHeight w:val="283"/>
        </w:trPr>
        <w:tc>
          <w:tcPr>
            <w:tcW w:w="8743" w:type="dxa"/>
            <w:gridSpan w:val="7"/>
            <w:tcBorders>
              <w:top w:val="nil"/>
              <w:left w:val="nil"/>
              <w:bottom w:val="nil"/>
              <w:right w:val="nil"/>
            </w:tcBorders>
            <w:shd w:val="clear" w:color="auto" w:fill="auto"/>
            <w:vAlign w:val="center"/>
          </w:tcPr>
          <w:p w14:paraId="4D8A0EDA"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Coefficients `</w:t>
            </w:r>
            <w:r w:rsidRPr="00400193">
              <w:rPr>
                <w:rFonts w:asciiTheme="minorHAnsi" w:hAnsiTheme="minorHAnsi" w:cstheme="minorHAnsi"/>
                <w:b/>
                <w:bCs/>
                <w:sz w:val="20"/>
                <w:szCs w:val="18"/>
                <w:vertAlign w:val="superscript"/>
                <w:lang w:eastAsia="zh-CN" w:bidi="hi-IN"/>
              </w:rPr>
              <w:t>a</w:t>
            </w:r>
          </w:p>
        </w:tc>
      </w:tr>
      <w:tr w:rsidR="006E3616" w:rsidRPr="00400193" w14:paraId="4F32AA0D" w14:textId="77777777" w:rsidTr="007B4418">
        <w:trPr>
          <w:cantSplit/>
          <w:trHeight w:val="283"/>
        </w:trPr>
        <w:tc>
          <w:tcPr>
            <w:tcW w:w="2017" w:type="dxa"/>
            <w:gridSpan w:val="2"/>
            <w:vMerge w:val="restart"/>
            <w:tcBorders>
              <w:top w:val="nil"/>
              <w:left w:val="nil"/>
              <w:bottom w:val="nil"/>
              <w:right w:val="nil"/>
            </w:tcBorders>
            <w:shd w:val="clear" w:color="auto" w:fill="auto"/>
            <w:vAlign w:val="center"/>
          </w:tcPr>
          <w:p w14:paraId="7AC02912"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857" w:type="dxa"/>
            <w:gridSpan w:val="2"/>
            <w:tcBorders>
              <w:top w:val="nil"/>
              <w:left w:val="nil"/>
              <w:bottom w:val="nil"/>
              <w:right w:val="single" w:sz="8" w:space="0" w:color="E0E0E0"/>
            </w:tcBorders>
            <w:shd w:val="clear" w:color="auto" w:fill="auto"/>
            <w:vAlign w:val="center"/>
          </w:tcPr>
          <w:p w14:paraId="38F486B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437" w:type="dxa"/>
            <w:tcBorders>
              <w:top w:val="nil"/>
              <w:left w:val="single" w:sz="8" w:space="0" w:color="E0E0E0"/>
              <w:bottom w:val="nil"/>
              <w:right w:val="single" w:sz="8" w:space="0" w:color="E0E0E0"/>
            </w:tcBorders>
            <w:shd w:val="clear" w:color="auto" w:fill="auto"/>
            <w:vAlign w:val="center"/>
          </w:tcPr>
          <w:p w14:paraId="17E1A30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672" w:type="dxa"/>
            <w:vMerge w:val="restart"/>
            <w:tcBorders>
              <w:top w:val="nil"/>
              <w:left w:val="single" w:sz="8" w:space="0" w:color="E0E0E0"/>
              <w:bottom w:val="nil"/>
              <w:right w:val="single" w:sz="8" w:space="0" w:color="E0E0E0"/>
            </w:tcBorders>
            <w:shd w:val="clear" w:color="auto" w:fill="auto"/>
            <w:vAlign w:val="center"/>
          </w:tcPr>
          <w:p w14:paraId="463911D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760" w:type="dxa"/>
            <w:vMerge w:val="restart"/>
            <w:tcBorders>
              <w:top w:val="nil"/>
              <w:left w:val="single" w:sz="8" w:space="0" w:color="E0E0E0"/>
              <w:bottom w:val="nil"/>
              <w:right w:val="nil"/>
            </w:tcBorders>
            <w:shd w:val="clear" w:color="auto" w:fill="auto"/>
            <w:vAlign w:val="center"/>
          </w:tcPr>
          <w:p w14:paraId="166F844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764020CA" w14:textId="77777777" w:rsidTr="007B4418">
        <w:trPr>
          <w:cantSplit/>
          <w:trHeight w:val="283"/>
        </w:trPr>
        <w:tc>
          <w:tcPr>
            <w:tcW w:w="2017" w:type="dxa"/>
            <w:gridSpan w:val="2"/>
            <w:vMerge/>
            <w:tcBorders>
              <w:top w:val="nil"/>
              <w:left w:val="nil"/>
              <w:bottom w:val="nil"/>
              <w:right w:val="nil"/>
            </w:tcBorders>
            <w:shd w:val="clear" w:color="auto" w:fill="auto"/>
            <w:vAlign w:val="center"/>
          </w:tcPr>
          <w:p w14:paraId="65B2A424"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345" w:type="dxa"/>
            <w:tcBorders>
              <w:top w:val="nil"/>
              <w:left w:val="nil"/>
              <w:bottom w:val="single" w:sz="8" w:space="0" w:color="152935"/>
              <w:right w:val="single" w:sz="8" w:space="0" w:color="E0E0E0"/>
            </w:tcBorders>
            <w:shd w:val="clear" w:color="auto" w:fill="auto"/>
            <w:vAlign w:val="center"/>
          </w:tcPr>
          <w:p w14:paraId="114FD6BE"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512" w:type="dxa"/>
            <w:tcBorders>
              <w:top w:val="nil"/>
              <w:left w:val="single" w:sz="8" w:space="0" w:color="E0E0E0"/>
              <w:bottom w:val="single" w:sz="8" w:space="0" w:color="152935"/>
              <w:right w:val="single" w:sz="8" w:space="0" w:color="E0E0E0"/>
            </w:tcBorders>
            <w:shd w:val="clear" w:color="auto" w:fill="auto"/>
            <w:vAlign w:val="center"/>
          </w:tcPr>
          <w:p w14:paraId="3EEDEC7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437" w:type="dxa"/>
            <w:tcBorders>
              <w:top w:val="nil"/>
              <w:left w:val="single" w:sz="8" w:space="0" w:color="E0E0E0"/>
              <w:bottom w:val="single" w:sz="8" w:space="0" w:color="152935"/>
              <w:right w:val="single" w:sz="8" w:space="0" w:color="E0E0E0"/>
            </w:tcBorders>
            <w:shd w:val="clear" w:color="auto" w:fill="auto"/>
            <w:vAlign w:val="center"/>
          </w:tcPr>
          <w:p w14:paraId="4894BECF"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672" w:type="dxa"/>
            <w:vMerge/>
            <w:tcBorders>
              <w:top w:val="nil"/>
              <w:left w:val="single" w:sz="8" w:space="0" w:color="E0E0E0"/>
              <w:bottom w:val="nil"/>
              <w:right w:val="single" w:sz="8" w:space="0" w:color="E0E0E0"/>
            </w:tcBorders>
            <w:shd w:val="clear" w:color="auto" w:fill="auto"/>
            <w:vAlign w:val="center"/>
          </w:tcPr>
          <w:p w14:paraId="0D68EC89"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760" w:type="dxa"/>
            <w:vMerge/>
            <w:tcBorders>
              <w:top w:val="nil"/>
              <w:left w:val="single" w:sz="8" w:space="0" w:color="E0E0E0"/>
              <w:bottom w:val="nil"/>
              <w:right w:val="nil"/>
            </w:tcBorders>
            <w:shd w:val="clear" w:color="auto" w:fill="auto"/>
            <w:vAlign w:val="center"/>
          </w:tcPr>
          <w:p w14:paraId="0D46F560"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r>
      <w:tr w:rsidR="006E3616" w:rsidRPr="00400193" w14:paraId="6F522D4A" w14:textId="77777777" w:rsidTr="007B4418">
        <w:trPr>
          <w:cantSplit/>
          <w:trHeight w:val="283"/>
        </w:trPr>
        <w:tc>
          <w:tcPr>
            <w:tcW w:w="340" w:type="dxa"/>
            <w:vMerge w:val="restart"/>
            <w:tcBorders>
              <w:top w:val="single" w:sz="8" w:space="0" w:color="152935"/>
              <w:left w:val="nil"/>
              <w:bottom w:val="single" w:sz="8" w:space="0" w:color="152935"/>
              <w:right w:val="nil"/>
            </w:tcBorders>
            <w:shd w:val="clear" w:color="auto" w:fill="auto"/>
            <w:vAlign w:val="center"/>
          </w:tcPr>
          <w:p w14:paraId="1536D913"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677" w:type="dxa"/>
            <w:tcBorders>
              <w:top w:val="single" w:sz="8" w:space="0" w:color="152935"/>
              <w:left w:val="nil"/>
              <w:bottom w:val="single" w:sz="8" w:space="0" w:color="AEAEAE"/>
              <w:right w:val="nil"/>
            </w:tcBorders>
            <w:shd w:val="clear" w:color="auto" w:fill="auto"/>
            <w:vAlign w:val="center"/>
          </w:tcPr>
          <w:p w14:paraId="743272C2"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1345" w:type="dxa"/>
            <w:tcBorders>
              <w:top w:val="single" w:sz="8" w:space="0" w:color="152935"/>
              <w:left w:val="nil"/>
              <w:bottom w:val="single" w:sz="8" w:space="0" w:color="AEAEAE"/>
              <w:right w:val="single" w:sz="8" w:space="0" w:color="E0E0E0"/>
            </w:tcBorders>
            <w:shd w:val="clear" w:color="auto" w:fill="auto"/>
            <w:vAlign w:val="center"/>
          </w:tcPr>
          <w:p w14:paraId="4E6979E8"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2.054</w:t>
            </w:r>
          </w:p>
        </w:tc>
        <w:tc>
          <w:tcPr>
            <w:tcW w:w="1512" w:type="dxa"/>
            <w:tcBorders>
              <w:top w:val="single" w:sz="8" w:space="0" w:color="152935"/>
              <w:left w:val="single" w:sz="8" w:space="0" w:color="E0E0E0"/>
              <w:bottom w:val="single" w:sz="8" w:space="0" w:color="AEAEAE"/>
              <w:right w:val="single" w:sz="8" w:space="0" w:color="E0E0E0"/>
            </w:tcBorders>
            <w:shd w:val="clear" w:color="auto" w:fill="auto"/>
            <w:vAlign w:val="center"/>
          </w:tcPr>
          <w:p w14:paraId="3F7695D1"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.311</w:t>
            </w:r>
          </w:p>
        </w:tc>
        <w:tc>
          <w:tcPr>
            <w:tcW w:w="2437" w:type="dxa"/>
            <w:tcBorders>
              <w:top w:val="single" w:sz="8" w:space="0" w:color="152935"/>
              <w:left w:val="single" w:sz="8" w:space="0" w:color="E0E0E0"/>
              <w:bottom w:val="single" w:sz="8" w:space="0" w:color="AEAEAE"/>
              <w:right w:val="single" w:sz="8" w:space="0" w:color="E0E0E0"/>
            </w:tcBorders>
            <w:shd w:val="clear" w:color="auto" w:fill="auto"/>
            <w:vAlign w:val="center"/>
          </w:tcPr>
          <w:p w14:paraId="435E5947"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672" w:type="dxa"/>
            <w:tcBorders>
              <w:top w:val="single" w:sz="8" w:space="0" w:color="152935"/>
              <w:left w:val="single" w:sz="8" w:space="0" w:color="E0E0E0"/>
              <w:bottom w:val="single" w:sz="8" w:space="0" w:color="AEAEAE"/>
              <w:right w:val="single" w:sz="8" w:space="0" w:color="E0E0E0"/>
            </w:tcBorders>
            <w:shd w:val="clear" w:color="auto" w:fill="auto"/>
            <w:vAlign w:val="center"/>
          </w:tcPr>
          <w:p w14:paraId="1593D748"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6.595</w:t>
            </w:r>
          </w:p>
        </w:tc>
        <w:tc>
          <w:tcPr>
            <w:tcW w:w="760" w:type="dxa"/>
            <w:tcBorders>
              <w:top w:val="single" w:sz="8" w:space="0" w:color="152935"/>
              <w:left w:val="single" w:sz="8" w:space="0" w:color="E0E0E0"/>
              <w:bottom w:val="single" w:sz="8" w:space="0" w:color="AEAEAE"/>
              <w:right w:val="nil"/>
            </w:tcBorders>
            <w:shd w:val="clear" w:color="auto" w:fill="auto"/>
            <w:vAlign w:val="center"/>
          </w:tcPr>
          <w:p w14:paraId="63B69A81"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r>
      <w:tr w:rsidR="006E3616" w:rsidRPr="00400193" w14:paraId="59FD83F8" w14:textId="77777777" w:rsidTr="007B4418">
        <w:trPr>
          <w:cantSplit/>
          <w:trHeight w:val="283"/>
        </w:trPr>
        <w:tc>
          <w:tcPr>
            <w:tcW w:w="340" w:type="dxa"/>
            <w:vMerge/>
            <w:tcBorders>
              <w:top w:val="single" w:sz="8" w:space="0" w:color="152935"/>
              <w:left w:val="nil"/>
              <w:bottom w:val="single" w:sz="8" w:space="0" w:color="152935"/>
              <w:right w:val="nil"/>
            </w:tcBorders>
            <w:shd w:val="clear" w:color="auto" w:fill="auto"/>
            <w:vAlign w:val="center"/>
          </w:tcPr>
          <w:p w14:paraId="3EA05556"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p>
        </w:tc>
        <w:tc>
          <w:tcPr>
            <w:tcW w:w="1677" w:type="dxa"/>
            <w:tcBorders>
              <w:top w:val="single" w:sz="8" w:space="0" w:color="AEAEAE"/>
              <w:left w:val="nil"/>
              <w:bottom w:val="single" w:sz="8" w:space="0" w:color="AEAEAE"/>
              <w:right w:val="nil"/>
            </w:tcBorders>
            <w:shd w:val="clear" w:color="auto" w:fill="auto"/>
            <w:vAlign w:val="center"/>
          </w:tcPr>
          <w:p w14:paraId="27F69BF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c>
          <w:tcPr>
            <w:tcW w:w="1345" w:type="dxa"/>
            <w:tcBorders>
              <w:top w:val="single" w:sz="8" w:space="0" w:color="AEAEAE"/>
              <w:left w:val="nil"/>
              <w:bottom w:val="single" w:sz="8" w:space="0" w:color="AEAEAE"/>
              <w:right w:val="single" w:sz="8" w:space="0" w:color="E0E0E0"/>
            </w:tcBorders>
            <w:shd w:val="clear" w:color="auto" w:fill="auto"/>
            <w:vAlign w:val="center"/>
          </w:tcPr>
          <w:p w14:paraId="3ACAE0EC"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.310</w:t>
            </w:r>
          </w:p>
        </w:tc>
        <w:tc>
          <w:tcPr>
            <w:tcW w:w="151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423976D"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.083</w:t>
            </w:r>
          </w:p>
        </w:tc>
        <w:tc>
          <w:tcPr>
            <w:tcW w:w="2437"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474F455"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.348</w:t>
            </w:r>
          </w:p>
        </w:tc>
        <w:tc>
          <w:tcPr>
            <w:tcW w:w="672"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5CE4284" w14:textId="77777777" w:rsidR="006E3616" w:rsidRPr="00400193" w:rsidRDefault="006E3616" w:rsidP="003B548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3.747</w:t>
            </w:r>
          </w:p>
        </w:tc>
        <w:tc>
          <w:tcPr>
            <w:tcW w:w="760" w:type="dxa"/>
            <w:tcBorders>
              <w:top w:val="single" w:sz="8" w:space="0" w:color="AEAEAE"/>
              <w:left w:val="single" w:sz="8" w:space="0" w:color="E0E0E0"/>
              <w:bottom w:val="single" w:sz="8" w:space="0" w:color="AEAEAE"/>
              <w:right w:val="nil"/>
            </w:tcBorders>
            <w:shd w:val="clear" w:color="auto" w:fill="auto"/>
            <w:vAlign w:val="center"/>
          </w:tcPr>
          <w:p w14:paraId="54DA6911" w14:textId="77777777" w:rsidR="006E3616" w:rsidRPr="00400193" w:rsidRDefault="006E3616"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r>
      <w:tr w:rsidR="007B4418" w:rsidRPr="00400193" w14:paraId="4BE15FC7" w14:textId="77777777" w:rsidTr="007B4418">
        <w:trPr>
          <w:cantSplit/>
          <w:trHeight w:val="283"/>
        </w:trPr>
        <w:tc>
          <w:tcPr>
            <w:tcW w:w="8743" w:type="dxa"/>
            <w:gridSpan w:val="7"/>
            <w:tcBorders>
              <w:top w:val="single" w:sz="8" w:space="0" w:color="152935"/>
              <w:left w:val="nil"/>
              <w:bottom w:val="single" w:sz="4" w:space="0" w:color="FFFFFF" w:themeColor="background1"/>
              <w:right w:val="nil"/>
            </w:tcBorders>
            <w:shd w:val="clear" w:color="auto" w:fill="auto"/>
            <w:vAlign w:val="center"/>
          </w:tcPr>
          <w:p w14:paraId="082699A7" w14:textId="449EFDE9" w:rsidR="007B4418" w:rsidRPr="00400193" w:rsidRDefault="007B4418" w:rsidP="003B548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6DBCB647" w14:textId="3E3609EA" w:rsidR="006E3616" w:rsidRPr="00400193" w:rsidRDefault="006E3616" w:rsidP="006E3616">
      <w:pPr>
        <w:pStyle w:val="Caption"/>
      </w:pPr>
      <w:bookmarkStart w:id="637" w:name="_Ref51432042"/>
      <w:bookmarkStart w:id="638" w:name="_Toc5290161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67</w:t>
      </w:r>
      <w:r w:rsidRPr="00400193">
        <w:fldChar w:fldCharType="end"/>
      </w:r>
      <w:bookmarkEnd w:id="637"/>
      <w:r w:rsidRPr="00400193">
        <w:t xml:space="preserve">: Coefficients </w:t>
      </w:r>
      <w:r w:rsidRPr="00400193">
        <w:rPr>
          <w:vertAlign w:val="superscript"/>
        </w:rPr>
        <w:t xml:space="preserve">a </w:t>
      </w:r>
      <w:r w:rsidRPr="00400193">
        <w:t>of the regression model VW</w:t>
      </w:r>
      <w:bookmarkEnd w:id="638"/>
    </w:p>
    <w:p w14:paraId="7BA9C54A" w14:textId="77777777" w:rsidR="006E3616" w:rsidRPr="00400193" w:rsidRDefault="006E3616" w:rsidP="006E3616">
      <w:pPr>
        <w:spacing w:line="240" w:lineRule="auto"/>
        <w:rPr>
          <w:lang w:eastAsia="zh-CN" w:bidi="hi-IN"/>
        </w:rPr>
      </w:pPr>
    </w:p>
    <w:p w14:paraId="3B029FB2" w14:textId="77777777" w:rsidR="006E3616" w:rsidRPr="00400193" w:rsidRDefault="006E3616" w:rsidP="008F2086">
      <w:pPr>
        <w:pStyle w:val="Heading4"/>
        <w:rPr>
          <w:lang w:eastAsia="zh-CN" w:bidi="hi-IN"/>
        </w:rPr>
      </w:pPr>
      <w:bookmarkStart w:id="639" w:name="_Toc61894774"/>
      <w:r w:rsidRPr="00400193">
        <w:rPr>
          <w:lang w:eastAsia="zh-CN" w:bidi="hi-IN"/>
        </w:rPr>
        <w:t>Testing for Collinearity of the Independent Variables</w:t>
      </w:r>
      <w:bookmarkEnd w:id="639"/>
    </w:p>
    <w:p w14:paraId="6EB53439" w14:textId="2BFB950B" w:rsidR="006E3616" w:rsidRPr="00400193" w:rsidRDefault="006E3616" w:rsidP="006E3616">
      <w:pPr>
        <w:rPr>
          <w:lang w:eastAsia="zh-CN" w:bidi="hi-IN"/>
        </w:rPr>
      </w:pPr>
      <w:r w:rsidRPr="00400193">
        <w:rPr>
          <w:lang w:eastAsia="zh-CN" w:bidi="hi-IN"/>
        </w:rPr>
        <w:t xml:space="preserve">The results for the collinearity testing for the independent variables are in </w:t>
      </w:r>
      <w:r w:rsidR="00BA4982" w:rsidRPr="00400193">
        <w:rPr>
          <w:lang w:eastAsia="zh-CN" w:bidi="hi-IN"/>
        </w:rPr>
        <w:fldChar w:fldCharType="begin"/>
      </w:r>
      <w:r w:rsidR="00BA4982" w:rsidRPr="00400193">
        <w:rPr>
          <w:lang w:eastAsia="zh-CN" w:bidi="hi-IN"/>
        </w:rPr>
        <w:instrText xml:space="preserve"> REF _Ref52797244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68</w:t>
      </w:r>
      <w:r w:rsidR="00BA4982" w:rsidRPr="00400193">
        <w:rPr>
          <w:lang w:eastAsia="zh-CN" w:bidi="hi-IN"/>
        </w:rPr>
        <w:fldChar w:fldCharType="end"/>
      </w:r>
      <w:r w:rsidRPr="00400193">
        <w:rPr>
          <w:lang w:eastAsia="zh-CN" w:bidi="hi-IN"/>
        </w:rPr>
        <w:t>.</w:t>
      </w:r>
    </w:p>
    <w:tbl>
      <w:tblPr>
        <w:tblW w:w="85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9"/>
        <w:gridCol w:w="1136"/>
        <w:gridCol w:w="1136"/>
        <w:gridCol w:w="1363"/>
        <w:gridCol w:w="1810"/>
        <w:gridCol w:w="2394"/>
      </w:tblGrid>
      <w:tr w:rsidR="006E3616" w:rsidRPr="00400193" w14:paraId="1F91075D" w14:textId="77777777" w:rsidTr="007B4418">
        <w:trPr>
          <w:cantSplit/>
          <w:trHeight w:val="283"/>
        </w:trPr>
        <w:tc>
          <w:tcPr>
            <w:tcW w:w="8578" w:type="dxa"/>
            <w:gridSpan w:val="6"/>
            <w:tcBorders>
              <w:top w:val="nil"/>
              <w:left w:val="nil"/>
              <w:bottom w:val="nil"/>
              <w:right w:val="nil"/>
            </w:tcBorders>
            <w:shd w:val="clear" w:color="auto" w:fill="auto"/>
            <w:vAlign w:val="center"/>
          </w:tcPr>
          <w:p w14:paraId="38A150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20066848" w14:textId="77777777" w:rsidTr="007B4418">
        <w:trPr>
          <w:cantSplit/>
          <w:trHeight w:val="283"/>
        </w:trPr>
        <w:tc>
          <w:tcPr>
            <w:tcW w:w="739" w:type="dxa"/>
            <w:vMerge w:val="restart"/>
            <w:tcBorders>
              <w:top w:val="nil"/>
              <w:left w:val="nil"/>
              <w:bottom w:val="nil"/>
              <w:right w:val="nil"/>
            </w:tcBorders>
            <w:shd w:val="clear" w:color="auto" w:fill="auto"/>
            <w:vAlign w:val="bottom"/>
          </w:tcPr>
          <w:p w14:paraId="19D439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36" w:type="dxa"/>
            <w:vMerge w:val="restart"/>
            <w:tcBorders>
              <w:top w:val="nil"/>
              <w:left w:val="nil"/>
              <w:bottom w:val="nil"/>
              <w:right w:val="nil"/>
            </w:tcBorders>
            <w:shd w:val="clear" w:color="auto" w:fill="auto"/>
            <w:vAlign w:val="bottom"/>
          </w:tcPr>
          <w:p w14:paraId="7DA61E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36" w:type="dxa"/>
            <w:vMerge w:val="restart"/>
            <w:tcBorders>
              <w:top w:val="nil"/>
              <w:left w:val="nil"/>
              <w:bottom w:val="nil"/>
              <w:right w:val="single" w:sz="8" w:space="0" w:color="E0E0E0"/>
            </w:tcBorders>
            <w:shd w:val="clear" w:color="auto" w:fill="auto"/>
            <w:vAlign w:val="bottom"/>
          </w:tcPr>
          <w:p w14:paraId="6900246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363" w:type="dxa"/>
            <w:vMerge w:val="restart"/>
            <w:tcBorders>
              <w:top w:val="nil"/>
              <w:left w:val="single" w:sz="8" w:space="0" w:color="E0E0E0"/>
              <w:bottom w:val="nil"/>
              <w:right w:val="single" w:sz="8" w:space="0" w:color="E0E0E0"/>
            </w:tcBorders>
            <w:shd w:val="clear" w:color="auto" w:fill="auto"/>
            <w:vAlign w:val="bottom"/>
          </w:tcPr>
          <w:p w14:paraId="458188B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204" w:type="dxa"/>
            <w:gridSpan w:val="2"/>
            <w:tcBorders>
              <w:top w:val="nil"/>
              <w:left w:val="single" w:sz="8" w:space="0" w:color="E0E0E0"/>
              <w:bottom w:val="nil"/>
              <w:right w:val="nil"/>
            </w:tcBorders>
            <w:shd w:val="clear" w:color="auto" w:fill="auto"/>
            <w:vAlign w:val="bottom"/>
          </w:tcPr>
          <w:p w14:paraId="1566B3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50F951A4" w14:textId="77777777" w:rsidTr="007B4418">
        <w:trPr>
          <w:cantSplit/>
          <w:trHeight w:val="283"/>
        </w:trPr>
        <w:tc>
          <w:tcPr>
            <w:tcW w:w="739" w:type="dxa"/>
            <w:vMerge/>
            <w:tcBorders>
              <w:top w:val="nil"/>
              <w:left w:val="nil"/>
              <w:bottom w:val="nil"/>
              <w:right w:val="nil"/>
            </w:tcBorders>
            <w:shd w:val="clear" w:color="auto" w:fill="auto"/>
            <w:vAlign w:val="bottom"/>
          </w:tcPr>
          <w:p w14:paraId="30DB537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36" w:type="dxa"/>
            <w:vMerge/>
            <w:tcBorders>
              <w:top w:val="nil"/>
              <w:left w:val="nil"/>
              <w:bottom w:val="nil"/>
              <w:right w:val="nil"/>
            </w:tcBorders>
            <w:shd w:val="clear" w:color="auto" w:fill="auto"/>
            <w:vAlign w:val="bottom"/>
          </w:tcPr>
          <w:p w14:paraId="691EF19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36" w:type="dxa"/>
            <w:vMerge/>
            <w:tcBorders>
              <w:top w:val="nil"/>
              <w:left w:val="nil"/>
              <w:bottom w:val="nil"/>
              <w:right w:val="single" w:sz="8" w:space="0" w:color="E0E0E0"/>
            </w:tcBorders>
            <w:shd w:val="clear" w:color="auto" w:fill="auto"/>
            <w:vAlign w:val="bottom"/>
          </w:tcPr>
          <w:p w14:paraId="632758D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363" w:type="dxa"/>
            <w:vMerge/>
            <w:tcBorders>
              <w:top w:val="nil"/>
              <w:left w:val="single" w:sz="8" w:space="0" w:color="E0E0E0"/>
              <w:bottom w:val="nil"/>
              <w:right w:val="single" w:sz="8" w:space="0" w:color="E0E0E0"/>
            </w:tcBorders>
            <w:shd w:val="clear" w:color="auto" w:fill="auto"/>
            <w:vAlign w:val="bottom"/>
          </w:tcPr>
          <w:p w14:paraId="77881D4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810" w:type="dxa"/>
            <w:tcBorders>
              <w:top w:val="nil"/>
              <w:left w:val="single" w:sz="8" w:space="0" w:color="E0E0E0"/>
              <w:bottom w:val="single" w:sz="8" w:space="0" w:color="152935"/>
              <w:right w:val="single" w:sz="8" w:space="0" w:color="E0E0E0"/>
            </w:tcBorders>
            <w:shd w:val="clear" w:color="auto" w:fill="auto"/>
            <w:vAlign w:val="bottom"/>
          </w:tcPr>
          <w:p w14:paraId="3BD7F93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2394" w:type="dxa"/>
            <w:tcBorders>
              <w:top w:val="nil"/>
              <w:left w:val="single" w:sz="8" w:space="0" w:color="E0E0E0"/>
              <w:bottom w:val="single" w:sz="8" w:space="0" w:color="152935"/>
              <w:right w:val="nil"/>
            </w:tcBorders>
            <w:shd w:val="clear" w:color="auto" w:fill="auto"/>
            <w:vAlign w:val="bottom"/>
          </w:tcPr>
          <w:p w14:paraId="6780BDA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r>
      <w:tr w:rsidR="006E3616" w:rsidRPr="00400193" w14:paraId="48DC9C76" w14:textId="77777777" w:rsidTr="007B4418">
        <w:trPr>
          <w:cantSplit/>
          <w:trHeight w:val="283"/>
        </w:trPr>
        <w:tc>
          <w:tcPr>
            <w:tcW w:w="739" w:type="dxa"/>
            <w:vMerge w:val="restart"/>
            <w:tcBorders>
              <w:top w:val="single" w:sz="8" w:space="0" w:color="152935"/>
              <w:left w:val="nil"/>
              <w:bottom w:val="single" w:sz="8" w:space="0" w:color="152935"/>
              <w:right w:val="nil"/>
            </w:tcBorders>
            <w:shd w:val="clear" w:color="auto" w:fill="auto"/>
          </w:tcPr>
          <w:p w14:paraId="07BDD87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36" w:type="dxa"/>
            <w:tcBorders>
              <w:top w:val="single" w:sz="8" w:space="0" w:color="152935"/>
              <w:left w:val="nil"/>
              <w:bottom w:val="single" w:sz="8" w:space="0" w:color="AEAEAE"/>
              <w:right w:val="nil"/>
            </w:tcBorders>
            <w:shd w:val="clear" w:color="auto" w:fill="auto"/>
          </w:tcPr>
          <w:p w14:paraId="19264FE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36" w:type="dxa"/>
            <w:tcBorders>
              <w:top w:val="single" w:sz="8" w:space="0" w:color="152935"/>
              <w:left w:val="nil"/>
              <w:bottom w:val="single" w:sz="8" w:space="0" w:color="AEAEAE"/>
              <w:right w:val="single" w:sz="8" w:space="0" w:color="E0E0E0"/>
            </w:tcBorders>
            <w:shd w:val="clear" w:color="auto" w:fill="auto"/>
          </w:tcPr>
          <w:p w14:paraId="6DD448B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1.984</w:t>
            </w:r>
          </w:p>
        </w:tc>
        <w:tc>
          <w:tcPr>
            <w:tcW w:w="1363" w:type="dxa"/>
            <w:tcBorders>
              <w:top w:val="single" w:sz="8" w:space="0" w:color="152935"/>
              <w:left w:val="single" w:sz="8" w:space="0" w:color="E0E0E0"/>
              <w:bottom w:val="single" w:sz="8" w:space="0" w:color="AEAEAE"/>
              <w:right w:val="single" w:sz="8" w:space="0" w:color="E0E0E0"/>
            </w:tcBorders>
            <w:shd w:val="clear" w:color="auto" w:fill="auto"/>
          </w:tcPr>
          <w:p w14:paraId="03F6F26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810" w:type="dxa"/>
            <w:tcBorders>
              <w:top w:val="single" w:sz="8" w:space="0" w:color="152935"/>
              <w:left w:val="single" w:sz="8" w:space="0" w:color="E0E0E0"/>
              <w:bottom w:val="single" w:sz="8" w:space="0" w:color="AEAEAE"/>
              <w:right w:val="single" w:sz="8" w:space="0" w:color="E0E0E0"/>
            </w:tcBorders>
            <w:shd w:val="clear" w:color="auto" w:fill="auto"/>
          </w:tcPr>
          <w:p w14:paraId="33BECD9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394" w:type="dxa"/>
            <w:tcBorders>
              <w:top w:val="single" w:sz="8" w:space="0" w:color="152935"/>
              <w:left w:val="single" w:sz="8" w:space="0" w:color="E0E0E0"/>
              <w:bottom w:val="single" w:sz="8" w:space="0" w:color="AEAEAE"/>
              <w:right w:val="nil"/>
            </w:tcBorders>
            <w:shd w:val="clear" w:color="auto" w:fill="auto"/>
          </w:tcPr>
          <w:p w14:paraId="39E2B2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r>
      <w:tr w:rsidR="006E3616" w:rsidRPr="00400193" w14:paraId="4B0C8FBA" w14:textId="77777777" w:rsidTr="007B4418">
        <w:trPr>
          <w:cantSplit/>
          <w:trHeight w:val="283"/>
        </w:trPr>
        <w:tc>
          <w:tcPr>
            <w:tcW w:w="739" w:type="dxa"/>
            <w:vMerge/>
            <w:tcBorders>
              <w:top w:val="single" w:sz="8" w:space="0" w:color="152935"/>
              <w:left w:val="nil"/>
              <w:bottom w:val="single" w:sz="8" w:space="0" w:color="152935"/>
              <w:right w:val="nil"/>
            </w:tcBorders>
            <w:shd w:val="clear" w:color="auto" w:fill="auto"/>
          </w:tcPr>
          <w:p w14:paraId="526B2D9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36" w:type="dxa"/>
            <w:tcBorders>
              <w:top w:val="single" w:sz="8" w:space="0" w:color="AEAEAE"/>
              <w:left w:val="nil"/>
              <w:bottom w:val="single" w:sz="8" w:space="0" w:color="152935"/>
              <w:right w:val="nil"/>
            </w:tcBorders>
            <w:shd w:val="clear" w:color="auto" w:fill="auto"/>
          </w:tcPr>
          <w:p w14:paraId="74C0C1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36" w:type="dxa"/>
            <w:tcBorders>
              <w:top w:val="single" w:sz="8" w:space="0" w:color="AEAEAE"/>
              <w:left w:val="nil"/>
              <w:bottom w:val="single" w:sz="8" w:space="0" w:color="152935"/>
              <w:right w:val="single" w:sz="8" w:space="0" w:color="E0E0E0"/>
            </w:tcBorders>
            <w:shd w:val="clear" w:color="auto" w:fill="auto"/>
          </w:tcPr>
          <w:p w14:paraId="21D4446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.016</w:t>
            </w:r>
          </w:p>
        </w:tc>
        <w:tc>
          <w:tcPr>
            <w:tcW w:w="1363" w:type="dxa"/>
            <w:tcBorders>
              <w:top w:val="single" w:sz="8" w:space="0" w:color="AEAEAE"/>
              <w:left w:val="single" w:sz="8" w:space="0" w:color="E0E0E0"/>
              <w:bottom w:val="single" w:sz="8" w:space="0" w:color="152935"/>
              <w:right w:val="single" w:sz="8" w:space="0" w:color="E0E0E0"/>
            </w:tcBorders>
            <w:shd w:val="clear" w:color="auto" w:fill="auto"/>
          </w:tcPr>
          <w:p w14:paraId="674FE8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11.265</w:t>
            </w:r>
          </w:p>
        </w:tc>
        <w:tc>
          <w:tcPr>
            <w:tcW w:w="1810" w:type="dxa"/>
            <w:tcBorders>
              <w:top w:val="single" w:sz="8" w:space="0" w:color="AEAEAE"/>
              <w:left w:val="single" w:sz="8" w:space="0" w:color="E0E0E0"/>
              <w:bottom w:val="single" w:sz="8" w:space="0" w:color="152935"/>
              <w:right w:val="single" w:sz="8" w:space="0" w:color="E0E0E0"/>
            </w:tcBorders>
            <w:shd w:val="clear" w:color="auto" w:fill="auto"/>
          </w:tcPr>
          <w:p w14:paraId="7F84FD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c>
          <w:tcPr>
            <w:tcW w:w="2394" w:type="dxa"/>
            <w:tcBorders>
              <w:top w:val="single" w:sz="8" w:space="0" w:color="AEAEAE"/>
              <w:left w:val="single" w:sz="8" w:space="0" w:color="E0E0E0"/>
              <w:bottom w:val="single" w:sz="8" w:space="0" w:color="152935"/>
              <w:right w:val="nil"/>
            </w:tcBorders>
            <w:shd w:val="clear" w:color="auto" w:fill="auto"/>
          </w:tcPr>
          <w:p w14:paraId="2BF0AC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r>
      <w:tr w:rsidR="006E3616" w:rsidRPr="00400193" w14:paraId="6A764B2A" w14:textId="77777777" w:rsidTr="007B4418">
        <w:trPr>
          <w:cantSplit/>
          <w:trHeight w:val="283"/>
        </w:trPr>
        <w:tc>
          <w:tcPr>
            <w:tcW w:w="8578" w:type="dxa"/>
            <w:gridSpan w:val="6"/>
            <w:tcBorders>
              <w:top w:val="nil"/>
              <w:left w:val="nil"/>
              <w:bottom w:val="nil"/>
              <w:right w:val="nil"/>
            </w:tcBorders>
            <w:shd w:val="clear" w:color="auto" w:fill="auto"/>
          </w:tcPr>
          <w:p w14:paraId="3BF2BE2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572E7867" w14:textId="1DBF560C" w:rsidR="006E3616" w:rsidRPr="00400193" w:rsidRDefault="006E3616" w:rsidP="006E3616">
      <w:pPr>
        <w:pStyle w:val="Caption"/>
        <w:spacing w:after="240"/>
        <w:rPr>
          <w:lang w:eastAsia="zh-CN" w:bidi="hi-IN"/>
        </w:rPr>
      </w:pPr>
      <w:bookmarkStart w:id="640" w:name="_Ref52797244"/>
      <w:bookmarkStart w:id="641" w:name="_Toc5290161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68</w:t>
      </w:r>
      <w:r w:rsidRPr="00400193">
        <w:fldChar w:fldCharType="end"/>
      </w:r>
      <w:bookmarkEnd w:id="640"/>
      <w:r w:rsidRPr="00400193">
        <w:t>: Testing the collinearity between variables for VW</w:t>
      </w:r>
      <w:bookmarkEnd w:id="641"/>
    </w:p>
    <w:p w14:paraId="7158B1DF" w14:textId="0D210D55" w:rsidR="006E3616" w:rsidRPr="00400193" w:rsidRDefault="00BA4982" w:rsidP="006E3616">
      <w:pPr>
        <w:rPr>
          <w:highlight w:val="yellow"/>
          <w:lang w:eastAsia="zh-CN" w:bidi="hi-IN"/>
        </w:rPr>
      </w:pPr>
      <w:r w:rsidRPr="00400193">
        <w:rPr>
          <w:lang w:eastAsia="zh-CN" w:bidi="hi-IN"/>
        </w:rPr>
        <w:fldChar w:fldCharType="begin"/>
      </w:r>
      <w:r w:rsidRPr="00400193">
        <w:rPr>
          <w:lang w:eastAsia="zh-CN" w:bidi="hi-IN"/>
        </w:rPr>
        <w:instrText xml:space="preserve"> REF _Ref52797244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68</w:t>
      </w:r>
      <w:r w:rsidRPr="00400193">
        <w:rPr>
          <w:lang w:eastAsia="zh-CN" w:bidi="hi-IN"/>
        </w:rPr>
        <w:fldChar w:fldCharType="end"/>
      </w:r>
      <w:r w:rsidR="006E3616" w:rsidRPr="00400193">
        <w:rPr>
          <w:lang w:eastAsia="zh-CN" w:bidi="hi-IN"/>
        </w:rPr>
        <w:t xml:space="preserve"> shows that the condition index was greater than 10 and less than 30, so there is some evidence to suggest the existence of moderate collinearity in the selected regression model (Dormann,</w:t>
      </w:r>
      <w:r w:rsidR="0019578D" w:rsidRPr="00400193">
        <w:rPr>
          <w:lang w:eastAsia="zh-CN" w:bidi="hi-IN"/>
        </w:rPr>
        <w:t xml:space="preserve"> </w:t>
      </w:r>
      <w:r w:rsidR="006E3616" w:rsidRPr="00400193">
        <w:rPr>
          <w:lang w:eastAsia="zh-CN" w:bidi="hi-IN"/>
        </w:rPr>
        <w:t>2013</w:t>
      </w:r>
      <w:r w:rsidR="008F2086" w:rsidRPr="00400193">
        <w:rPr>
          <w:lang w:eastAsia="zh-CN" w:bidi="hi-IN"/>
        </w:rPr>
        <w:t>).</w:t>
      </w:r>
    </w:p>
    <w:p w14:paraId="72AC9F09" w14:textId="77777777" w:rsidR="006E3616" w:rsidRPr="00400193" w:rsidRDefault="006E3616" w:rsidP="008F2086">
      <w:pPr>
        <w:pStyle w:val="Heading4"/>
        <w:rPr>
          <w:lang w:eastAsia="zh-CN" w:bidi="hi-IN"/>
        </w:rPr>
      </w:pPr>
      <w:bookmarkStart w:id="642" w:name="_Toc61894775"/>
      <w:r w:rsidRPr="00400193">
        <w:rPr>
          <w:lang w:eastAsia="zh-CN" w:bidi="hi-IN"/>
        </w:rPr>
        <w:lastRenderedPageBreak/>
        <w:t>Examining Residuals using Scatter Plots</w:t>
      </w:r>
      <w:bookmarkEnd w:id="642"/>
      <w:r w:rsidRPr="00400193">
        <w:rPr>
          <w:lang w:eastAsia="zh-CN" w:bidi="hi-IN"/>
        </w:rPr>
        <w:t xml:space="preserve"> </w:t>
      </w:r>
    </w:p>
    <w:p w14:paraId="635E132E" w14:textId="107F63CB"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BA4982" w:rsidRPr="00400193">
        <w:rPr>
          <w:lang w:eastAsia="zh-CN" w:bidi="hi-IN"/>
        </w:rPr>
        <w:fldChar w:fldCharType="begin"/>
      </w:r>
      <w:r w:rsidR="00BA4982" w:rsidRPr="00400193">
        <w:rPr>
          <w:lang w:eastAsia="zh-CN" w:bidi="hi-IN"/>
        </w:rPr>
        <w:instrText xml:space="preserve"> REF _Ref52797282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69</w:t>
      </w:r>
      <w:r w:rsidR="00BA4982" w:rsidRPr="00400193">
        <w:rPr>
          <w:lang w:eastAsia="zh-CN" w:bidi="hi-IN"/>
        </w:rPr>
        <w:fldChar w:fldCharType="end"/>
      </w:r>
      <w:r w:rsidRPr="00400193">
        <w:rPr>
          <w:lang w:eastAsia="zh-CN" w:bidi="hi-IN"/>
        </w:rPr>
        <w:t>. The results check the residual mean is zero.</w:t>
      </w:r>
    </w:p>
    <w:tbl>
      <w:tblPr>
        <w:tblW w:w="87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61"/>
        <w:gridCol w:w="1008"/>
        <w:gridCol w:w="1100"/>
        <w:gridCol w:w="902"/>
        <w:gridCol w:w="2082"/>
        <w:gridCol w:w="1761"/>
      </w:tblGrid>
      <w:tr w:rsidR="006E3616" w:rsidRPr="00400193" w14:paraId="06ECD24F" w14:textId="77777777" w:rsidTr="007B4418">
        <w:trPr>
          <w:cantSplit/>
          <w:trHeight w:val="283"/>
        </w:trPr>
        <w:tc>
          <w:tcPr>
            <w:tcW w:w="8714" w:type="dxa"/>
            <w:gridSpan w:val="6"/>
            <w:tcBorders>
              <w:top w:val="nil"/>
              <w:left w:val="nil"/>
              <w:bottom w:val="nil"/>
              <w:right w:val="nil"/>
            </w:tcBorders>
            <w:shd w:val="clear" w:color="auto" w:fill="auto"/>
            <w:vAlign w:val="center"/>
          </w:tcPr>
          <w:p w14:paraId="2B12AF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548ABAD1" w14:textId="77777777" w:rsidTr="007B4418">
        <w:trPr>
          <w:cantSplit/>
          <w:trHeight w:val="283"/>
        </w:trPr>
        <w:tc>
          <w:tcPr>
            <w:tcW w:w="1861" w:type="dxa"/>
            <w:tcBorders>
              <w:top w:val="nil"/>
              <w:left w:val="nil"/>
              <w:bottom w:val="single" w:sz="8" w:space="0" w:color="152935"/>
              <w:right w:val="nil"/>
            </w:tcBorders>
            <w:shd w:val="clear" w:color="auto" w:fill="auto"/>
            <w:vAlign w:val="bottom"/>
          </w:tcPr>
          <w:p w14:paraId="464CE2B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08" w:type="dxa"/>
            <w:tcBorders>
              <w:top w:val="nil"/>
              <w:left w:val="nil"/>
              <w:bottom w:val="single" w:sz="8" w:space="0" w:color="152935"/>
              <w:right w:val="single" w:sz="8" w:space="0" w:color="E0E0E0"/>
            </w:tcBorders>
            <w:shd w:val="clear" w:color="auto" w:fill="auto"/>
            <w:vAlign w:val="bottom"/>
          </w:tcPr>
          <w:p w14:paraId="0EA23A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100" w:type="dxa"/>
            <w:tcBorders>
              <w:top w:val="nil"/>
              <w:left w:val="single" w:sz="8" w:space="0" w:color="E0E0E0"/>
              <w:bottom w:val="single" w:sz="8" w:space="0" w:color="152935"/>
              <w:right w:val="single" w:sz="8" w:space="0" w:color="E0E0E0"/>
            </w:tcBorders>
            <w:shd w:val="clear" w:color="auto" w:fill="auto"/>
            <w:vAlign w:val="bottom"/>
          </w:tcPr>
          <w:p w14:paraId="00BB9C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02" w:type="dxa"/>
            <w:tcBorders>
              <w:top w:val="nil"/>
              <w:left w:val="single" w:sz="8" w:space="0" w:color="E0E0E0"/>
              <w:bottom w:val="single" w:sz="8" w:space="0" w:color="152935"/>
              <w:right w:val="single" w:sz="8" w:space="0" w:color="E0E0E0"/>
            </w:tcBorders>
            <w:shd w:val="clear" w:color="auto" w:fill="auto"/>
            <w:vAlign w:val="bottom"/>
          </w:tcPr>
          <w:p w14:paraId="385C4FD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2082" w:type="dxa"/>
            <w:tcBorders>
              <w:top w:val="nil"/>
              <w:left w:val="single" w:sz="8" w:space="0" w:color="E0E0E0"/>
              <w:bottom w:val="single" w:sz="8" w:space="0" w:color="152935"/>
              <w:right w:val="single" w:sz="8" w:space="0" w:color="E0E0E0"/>
            </w:tcBorders>
            <w:shd w:val="clear" w:color="auto" w:fill="auto"/>
            <w:vAlign w:val="bottom"/>
          </w:tcPr>
          <w:p w14:paraId="486ED80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1761" w:type="dxa"/>
            <w:tcBorders>
              <w:top w:val="nil"/>
              <w:left w:val="single" w:sz="8" w:space="0" w:color="E0E0E0"/>
              <w:bottom w:val="single" w:sz="8" w:space="0" w:color="152935"/>
              <w:right w:val="nil"/>
            </w:tcBorders>
            <w:shd w:val="clear" w:color="auto" w:fill="auto"/>
            <w:vAlign w:val="bottom"/>
          </w:tcPr>
          <w:p w14:paraId="5F622DF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1E30EED0" w14:textId="77777777" w:rsidTr="007B4418">
        <w:trPr>
          <w:cantSplit/>
          <w:trHeight w:val="283"/>
        </w:trPr>
        <w:tc>
          <w:tcPr>
            <w:tcW w:w="1861" w:type="dxa"/>
            <w:tcBorders>
              <w:top w:val="single" w:sz="8" w:space="0" w:color="152935"/>
              <w:left w:val="nil"/>
              <w:bottom w:val="single" w:sz="8" w:space="0" w:color="AEAEAE"/>
              <w:right w:val="nil"/>
            </w:tcBorders>
            <w:shd w:val="clear" w:color="auto" w:fill="auto"/>
          </w:tcPr>
          <w:p w14:paraId="692DCC7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08" w:type="dxa"/>
            <w:tcBorders>
              <w:top w:val="single" w:sz="8" w:space="0" w:color="152935"/>
              <w:left w:val="nil"/>
              <w:bottom w:val="single" w:sz="8" w:space="0" w:color="AEAEAE"/>
              <w:right w:val="single" w:sz="8" w:space="0" w:color="E0E0E0"/>
            </w:tcBorders>
            <w:shd w:val="clear" w:color="auto" w:fill="auto"/>
          </w:tcPr>
          <w:p w14:paraId="1D09408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2.4157</w:t>
            </w:r>
          </w:p>
        </w:tc>
        <w:tc>
          <w:tcPr>
            <w:tcW w:w="1100" w:type="dxa"/>
            <w:tcBorders>
              <w:top w:val="single" w:sz="8" w:space="0" w:color="152935"/>
              <w:left w:val="single" w:sz="8" w:space="0" w:color="E0E0E0"/>
              <w:bottom w:val="single" w:sz="8" w:space="0" w:color="AEAEAE"/>
              <w:right w:val="single" w:sz="8" w:space="0" w:color="E0E0E0"/>
            </w:tcBorders>
            <w:shd w:val="clear" w:color="auto" w:fill="auto"/>
          </w:tcPr>
          <w:p w14:paraId="06FD525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3.6046</w:t>
            </w:r>
          </w:p>
        </w:tc>
        <w:tc>
          <w:tcPr>
            <w:tcW w:w="902" w:type="dxa"/>
            <w:tcBorders>
              <w:top w:val="single" w:sz="8" w:space="0" w:color="152935"/>
              <w:left w:val="single" w:sz="8" w:space="0" w:color="E0E0E0"/>
              <w:bottom w:val="single" w:sz="8" w:space="0" w:color="AEAEAE"/>
              <w:right w:val="single" w:sz="8" w:space="0" w:color="E0E0E0"/>
            </w:tcBorders>
            <w:shd w:val="clear" w:color="auto" w:fill="auto"/>
          </w:tcPr>
          <w:p w14:paraId="3F4C782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2082" w:type="dxa"/>
            <w:tcBorders>
              <w:top w:val="single" w:sz="8" w:space="0" w:color="152935"/>
              <w:left w:val="single" w:sz="8" w:space="0" w:color="E0E0E0"/>
              <w:bottom w:val="single" w:sz="8" w:space="0" w:color="AEAEAE"/>
              <w:right w:val="single" w:sz="8" w:space="0" w:color="E0E0E0"/>
            </w:tcBorders>
            <w:shd w:val="clear" w:color="auto" w:fill="auto"/>
          </w:tcPr>
          <w:p w14:paraId="73AAFC0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.20653</w:t>
            </w:r>
          </w:p>
        </w:tc>
        <w:tc>
          <w:tcPr>
            <w:tcW w:w="1761" w:type="dxa"/>
            <w:tcBorders>
              <w:top w:val="single" w:sz="8" w:space="0" w:color="152935"/>
              <w:left w:val="single" w:sz="8" w:space="0" w:color="E0E0E0"/>
              <w:bottom w:val="single" w:sz="8" w:space="0" w:color="AEAEAE"/>
              <w:right w:val="nil"/>
            </w:tcBorders>
            <w:shd w:val="clear" w:color="auto" w:fill="auto"/>
          </w:tcPr>
          <w:p w14:paraId="0193CD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88E54E6" w14:textId="77777777" w:rsidTr="007B4418">
        <w:trPr>
          <w:cantSplit/>
          <w:trHeight w:val="283"/>
        </w:trPr>
        <w:tc>
          <w:tcPr>
            <w:tcW w:w="1861" w:type="dxa"/>
            <w:tcBorders>
              <w:top w:val="single" w:sz="8" w:space="0" w:color="AEAEAE"/>
              <w:left w:val="nil"/>
              <w:bottom w:val="single" w:sz="8" w:space="0" w:color="AEAEAE"/>
              <w:right w:val="nil"/>
            </w:tcBorders>
            <w:shd w:val="clear" w:color="auto" w:fill="auto"/>
          </w:tcPr>
          <w:p w14:paraId="56465F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08" w:type="dxa"/>
            <w:tcBorders>
              <w:top w:val="single" w:sz="8" w:space="0" w:color="AEAEAE"/>
              <w:left w:val="nil"/>
              <w:bottom w:val="single" w:sz="8" w:space="0" w:color="AEAEAE"/>
              <w:right w:val="single" w:sz="8" w:space="0" w:color="E0E0E0"/>
            </w:tcBorders>
            <w:shd w:val="clear" w:color="auto" w:fill="auto"/>
          </w:tcPr>
          <w:p w14:paraId="64BD4C5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-1.71107</w:t>
            </w:r>
          </w:p>
        </w:tc>
        <w:tc>
          <w:tcPr>
            <w:tcW w:w="1100" w:type="dxa"/>
            <w:tcBorders>
              <w:top w:val="single" w:sz="8" w:space="0" w:color="AEAEAE"/>
              <w:left w:val="single" w:sz="8" w:space="0" w:color="E0E0E0"/>
              <w:bottom w:val="single" w:sz="8" w:space="0" w:color="AEAEAE"/>
              <w:right w:val="single" w:sz="8" w:space="0" w:color="E0E0E0"/>
            </w:tcBorders>
            <w:shd w:val="clear" w:color="auto" w:fill="auto"/>
          </w:tcPr>
          <w:p w14:paraId="4D26C7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1.39540</w:t>
            </w:r>
          </w:p>
        </w:tc>
        <w:tc>
          <w:tcPr>
            <w:tcW w:w="902" w:type="dxa"/>
            <w:tcBorders>
              <w:top w:val="single" w:sz="8" w:space="0" w:color="AEAEAE"/>
              <w:left w:val="single" w:sz="8" w:space="0" w:color="E0E0E0"/>
              <w:bottom w:val="single" w:sz="8" w:space="0" w:color="AEAEAE"/>
              <w:right w:val="single" w:sz="8" w:space="0" w:color="E0E0E0"/>
            </w:tcBorders>
            <w:shd w:val="clear" w:color="auto" w:fill="auto"/>
          </w:tcPr>
          <w:p w14:paraId="63B2EE5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2082" w:type="dxa"/>
            <w:tcBorders>
              <w:top w:val="single" w:sz="8" w:space="0" w:color="AEAEAE"/>
              <w:left w:val="single" w:sz="8" w:space="0" w:color="E0E0E0"/>
              <w:bottom w:val="single" w:sz="8" w:space="0" w:color="AEAEAE"/>
              <w:right w:val="single" w:sz="8" w:space="0" w:color="E0E0E0"/>
            </w:tcBorders>
            <w:shd w:val="clear" w:color="auto" w:fill="auto"/>
          </w:tcPr>
          <w:p w14:paraId="626DA0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.55672</w:t>
            </w:r>
          </w:p>
        </w:tc>
        <w:tc>
          <w:tcPr>
            <w:tcW w:w="1761" w:type="dxa"/>
            <w:tcBorders>
              <w:top w:val="single" w:sz="8" w:space="0" w:color="AEAEAE"/>
              <w:left w:val="single" w:sz="8" w:space="0" w:color="E0E0E0"/>
              <w:bottom w:val="single" w:sz="8" w:space="0" w:color="AEAEAE"/>
              <w:right w:val="nil"/>
            </w:tcBorders>
            <w:shd w:val="clear" w:color="auto" w:fill="auto"/>
          </w:tcPr>
          <w:p w14:paraId="22BC9A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4B15D174" w14:textId="77777777" w:rsidTr="007B4418">
        <w:trPr>
          <w:cantSplit/>
          <w:trHeight w:val="283"/>
        </w:trPr>
        <w:tc>
          <w:tcPr>
            <w:tcW w:w="1861" w:type="dxa"/>
            <w:tcBorders>
              <w:top w:val="single" w:sz="8" w:space="0" w:color="AEAEAE"/>
              <w:left w:val="nil"/>
              <w:bottom w:val="single" w:sz="8" w:space="0" w:color="AEAEAE"/>
              <w:right w:val="nil"/>
            </w:tcBorders>
            <w:shd w:val="clear" w:color="auto" w:fill="auto"/>
          </w:tcPr>
          <w:p w14:paraId="475BC70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08" w:type="dxa"/>
            <w:tcBorders>
              <w:top w:val="single" w:sz="8" w:space="0" w:color="AEAEAE"/>
              <w:left w:val="nil"/>
              <w:bottom w:val="single" w:sz="8" w:space="0" w:color="AEAEAE"/>
              <w:right w:val="single" w:sz="8" w:space="0" w:color="E0E0E0"/>
            </w:tcBorders>
            <w:shd w:val="clear" w:color="auto" w:fill="auto"/>
          </w:tcPr>
          <w:p w14:paraId="26EE6E3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-3.809</w:t>
            </w:r>
          </w:p>
        </w:tc>
        <w:tc>
          <w:tcPr>
            <w:tcW w:w="1100" w:type="dxa"/>
            <w:tcBorders>
              <w:top w:val="single" w:sz="8" w:space="0" w:color="AEAEAE"/>
              <w:left w:val="single" w:sz="8" w:space="0" w:color="E0E0E0"/>
              <w:bottom w:val="single" w:sz="8" w:space="0" w:color="AEAEAE"/>
              <w:right w:val="single" w:sz="8" w:space="0" w:color="E0E0E0"/>
            </w:tcBorders>
            <w:shd w:val="clear" w:color="auto" w:fill="auto"/>
          </w:tcPr>
          <w:p w14:paraId="24063F2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1.947</w:t>
            </w:r>
          </w:p>
        </w:tc>
        <w:tc>
          <w:tcPr>
            <w:tcW w:w="902" w:type="dxa"/>
            <w:tcBorders>
              <w:top w:val="single" w:sz="8" w:space="0" w:color="AEAEAE"/>
              <w:left w:val="single" w:sz="8" w:space="0" w:color="E0E0E0"/>
              <w:bottom w:val="single" w:sz="8" w:space="0" w:color="AEAEAE"/>
              <w:right w:val="single" w:sz="8" w:space="0" w:color="E0E0E0"/>
            </w:tcBorders>
            <w:shd w:val="clear" w:color="auto" w:fill="auto"/>
          </w:tcPr>
          <w:p w14:paraId="1EB227A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2082" w:type="dxa"/>
            <w:tcBorders>
              <w:top w:val="single" w:sz="8" w:space="0" w:color="AEAEAE"/>
              <w:left w:val="single" w:sz="8" w:space="0" w:color="E0E0E0"/>
              <w:bottom w:val="single" w:sz="8" w:space="0" w:color="AEAEAE"/>
              <w:right w:val="single" w:sz="8" w:space="0" w:color="E0E0E0"/>
            </w:tcBorders>
            <w:shd w:val="clear" w:color="auto" w:fill="auto"/>
          </w:tcPr>
          <w:p w14:paraId="33A7A24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761" w:type="dxa"/>
            <w:tcBorders>
              <w:top w:val="single" w:sz="8" w:space="0" w:color="AEAEAE"/>
              <w:left w:val="single" w:sz="8" w:space="0" w:color="E0E0E0"/>
              <w:bottom w:val="single" w:sz="8" w:space="0" w:color="AEAEAE"/>
              <w:right w:val="nil"/>
            </w:tcBorders>
            <w:shd w:val="clear" w:color="auto" w:fill="auto"/>
          </w:tcPr>
          <w:p w14:paraId="410A817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D3A5816" w14:textId="77777777" w:rsidTr="007B4418">
        <w:trPr>
          <w:cantSplit/>
          <w:trHeight w:val="283"/>
        </w:trPr>
        <w:tc>
          <w:tcPr>
            <w:tcW w:w="1861" w:type="dxa"/>
            <w:tcBorders>
              <w:top w:val="single" w:sz="8" w:space="0" w:color="AEAEAE"/>
              <w:left w:val="nil"/>
              <w:bottom w:val="single" w:sz="8" w:space="0" w:color="152935"/>
              <w:right w:val="nil"/>
            </w:tcBorders>
            <w:shd w:val="clear" w:color="auto" w:fill="auto"/>
          </w:tcPr>
          <w:p w14:paraId="1F1128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08" w:type="dxa"/>
            <w:tcBorders>
              <w:top w:val="single" w:sz="8" w:space="0" w:color="AEAEAE"/>
              <w:left w:val="nil"/>
              <w:bottom w:val="single" w:sz="8" w:space="0" w:color="152935"/>
              <w:right w:val="single" w:sz="8" w:space="0" w:color="E0E0E0"/>
            </w:tcBorders>
            <w:shd w:val="clear" w:color="auto" w:fill="auto"/>
          </w:tcPr>
          <w:p w14:paraId="7049D7C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-3.059</w:t>
            </w:r>
          </w:p>
        </w:tc>
        <w:tc>
          <w:tcPr>
            <w:tcW w:w="1100" w:type="dxa"/>
            <w:tcBorders>
              <w:top w:val="single" w:sz="8" w:space="0" w:color="AEAEAE"/>
              <w:left w:val="single" w:sz="8" w:space="0" w:color="E0E0E0"/>
              <w:bottom w:val="single" w:sz="8" w:space="0" w:color="152935"/>
              <w:right w:val="single" w:sz="8" w:space="0" w:color="E0E0E0"/>
            </w:tcBorders>
            <w:shd w:val="clear" w:color="auto" w:fill="auto"/>
          </w:tcPr>
          <w:p w14:paraId="5BE723B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2.494</w:t>
            </w:r>
          </w:p>
        </w:tc>
        <w:tc>
          <w:tcPr>
            <w:tcW w:w="902" w:type="dxa"/>
            <w:tcBorders>
              <w:top w:val="single" w:sz="8" w:space="0" w:color="AEAEAE"/>
              <w:left w:val="single" w:sz="8" w:space="0" w:color="E0E0E0"/>
              <w:bottom w:val="single" w:sz="8" w:space="0" w:color="152935"/>
              <w:right w:val="single" w:sz="8" w:space="0" w:color="E0E0E0"/>
            </w:tcBorders>
            <w:shd w:val="clear" w:color="auto" w:fill="auto"/>
          </w:tcPr>
          <w:p w14:paraId="4D51EF3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2082" w:type="dxa"/>
            <w:tcBorders>
              <w:top w:val="single" w:sz="8" w:space="0" w:color="AEAEAE"/>
              <w:left w:val="single" w:sz="8" w:space="0" w:color="E0E0E0"/>
              <w:bottom w:val="single" w:sz="8" w:space="0" w:color="152935"/>
              <w:right w:val="single" w:sz="8" w:space="0" w:color="E0E0E0"/>
            </w:tcBorders>
            <w:shd w:val="clear" w:color="auto" w:fill="auto"/>
          </w:tcPr>
          <w:p w14:paraId="5B539CC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.995</w:t>
            </w:r>
          </w:p>
        </w:tc>
        <w:tc>
          <w:tcPr>
            <w:tcW w:w="1761" w:type="dxa"/>
            <w:tcBorders>
              <w:top w:val="single" w:sz="8" w:space="0" w:color="AEAEAE"/>
              <w:left w:val="single" w:sz="8" w:space="0" w:color="E0E0E0"/>
              <w:bottom w:val="single" w:sz="8" w:space="0" w:color="152935"/>
              <w:right w:val="nil"/>
            </w:tcBorders>
            <w:shd w:val="clear" w:color="auto" w:fill="auto"/>
          </w:tcPr>
          <w:p w14:paraId="31B238D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CEE8F81" w14:textId="77777777" w:rsidTr="007B4418">
        <w:trPr>
          <w:cantSplit/>
          <w:trHeight w:val="283"/>
        </w:trPr>
        <w:tc>
          <w:tcPr>
            <w:tcW w:w="8714" w:type="dxa"/>
            <w:gridSpan w:val="6"/>
            <w:tcBorders>
              <w:top w:val="nil"/>
              <w:left w:val="nil"/>
              <w:bottom w:val="nil"/>
              <w:right w:val="nil"/>
            </w:tcBorders>
            <w:shd w:val="clear" w:color="auto" w:fill="auto"/>
          </w:tcPr>
          <w:p w14:paraId="6251F345"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 Dependent Variable: VW</w:t>
            </w:r>
          </w:p>
        </w:tc>
      </w:tr>
    </w:tbl>
    <w:p w14:paraId="67044837" w14:textId="43B9EEC0" w:rsidR="006E3616" w:rsidRPr="00400193" w:rsidRDefault="006E3616" w:rsidP="006E3616">
      <w:pPr>
        <w:pStyle w:val="Caption"/>
        <w:spacing w:after="240"/>
      </w:pPr>
      <w:bookmarkStart w:id="643" w:name="_Ref52797282"/>
      <w:bookmarkStart w:id="644" w:name="_Toc5290161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69</w:t>
      </w:r>
      <w:r w:rsidRPr="00400193">
        <w:fldChar w:fldCharType="end"/>
      </w:r>
      <w:bookmarkEnd w:id="643"/>
      <w:r w:rsidRPr="00400193">
        <w:t xml:space="preserve">: Residuals </w:t>
      </w:r>
      <w:r w:rsidRPr="00400193">
        <w:rPr>
          <w:vertAlign w:val="superscript"/>
        </w:rPr>
        <w:t xml:space="preserve">a </w:t>
      </w:r>
      <w:r w:rsidRPr="00400193">
        <w:t>of the regression model VW</w:t>
      </w:r>
      <w:bookmarkEnd w:id="644"/>
    </w:p>
    <w:p w14:paraId="3CA2968C" w14:textId="77777777" w:rsidR="007B4418" w:rsidRPr="00400193" w:rsidRDefault="007B4418" w:rsidP="007B4418"/>
    <w:p w14:paraId="2A5345AA" w14:textId="3A1BA533" w:rsidR="006E3616" w:rsidRPr="00400193" w:rsidRDefault="006E3616" w:rsidP="006E3616">
      <w:pPr>
        <w:rPr>
          <w:lang w:eastAsia="zh-CN" w:bidi="hi-IN"/>
        </w:rPr>
      </w:pPr>
      <w:r w:rsidRPr="00400193">
        <w:rPr>
          <w:lang w:eastAsia="zh-CN" w:bidi="hi-IN"/>
        </w:rPr>
        <w:t xml:space="preserve">The assumption of error term independence was not violated. </w:t>
      </w:r>
      <w:r w:rsidR="00BA4982" w:rsidRPr="00400193">
        <w:rPr>
          <w:lang w:eastAsia="zh-CN" w:bidi="hi-IN"/>
        </w:rPr>
        <w:fldChar w:fldCharType="begin"/>
      </w:r>
      <w:r w:rsidR="00BA4982" w:rsidRPr="00400193">
        <w:rPr>
          <w:lang w:eastAsia="zh-CN" w:bidi="hi-IN"/>
        </w:rPr>
        <w:instrText xml:space="preserve"> REF _Ref52796807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19</w:t>
      </w:r>
      <w:r w:rsidR="00BA4982" w:rsidRPr="00400193">
        <w:rPr>
          <w:lang w:eastAsia="zh-CN" w:bidi="hi-IN"/>
        </w:rPr>
        <w:fldChar w:fldCharType="end"/>
      </w:r>
      <w:r w:rsidRPr="00400193">
        <w:rPr>
          <w:lang w:eastAsia="zh-CN" w:bidi="hi-IN"/>
        </w:rPr>
        <w:t xml:space="preserve"> shows that the distribution is bell-shaped and has less gap in the centre that may in part be a consequence of the defined intervals. </w:t>
      </w:r>
    </w:p>
    <w:p w14:paraId="57A462DF" w14:textId="77777777" w:rsidR="006E3616" w:rsidRPr="00400193" w:rsidRDefault="006E3616" w:rsidP="006E3616">
      <w:pPr>
        <w:spacing w:line="240" w:lineRule="auto"/>
        <w:rPr>
          <w:lang w:eastAsia="zh-CN" w:bidi="hi-IN"/>
        </w:rPr>
      </w:pPr>
    </w:p>
    <w:p w14:paraId="5871F63A" w14:textId="77777777" w:rsidR="006E3616" w:rsidRPr="00400193" w:rsidRDefault="006E3616" w:rsidP="006E3616">
      <w:pPr>
        <w:keepNext/>
        <w:spacing w:after="0" w:line="240" w:lineRule="auto"/>
        <w:jc w:val="center"/>
      </w:pPr>
      <w:r w:rsidRPr="00400193">
        <w:rPr>
          <w:noProof/>
          <w:lang w:val="en-US"/>
        </w:rPr>
        <w:drawing>
          <wp:inline distT="0" distB="0" distL="0" distR="0" wp14:anchorId="20EE571A" wp14:editId="74BCEC9D">
            <wp:extent cx="5760000" cy="3240000"/>
            <wp:effectExtent l="19050" t="19050" r="12700" b="17780"/>
            <wp:docPr id="142"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cstate="print">
                      <a:extLst>
                        <a:ext uri="{28A0092B-C50C-407E-A947-70E740481C1C}">
                          <a14:useLocalDpi xmlns:a14="http://schemas.microsoft.com/office/drawing/2010/main" val="0"/>
                        </a:ext>
                      </a:extLst>
                    </a:blip>
                    <a:srcRect r="11699"/>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6FFFA85" w14:textId="2FBDA947" w:rsidR="006E3616" w:rsidRPr="00400193" w:rsidRDefault="006E3616" w:rsidP="006E3616">
      <w:pPr>
        <w:pStyle w:val="Caption"/>
        <w:spacing w:after="240"/>
      </w:pPr>
      <w:bookmarkStart w:id="645" w:name="_Ref52796807"/>
      <w:bookmarkStart w:id="646" w:name="_Toc5538759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19</w:t>
      </w:r>
      <w:r w:rsidR="00E35E8C" w:rsidRPr="00400193">
        <w:fldChar w:fldCharType="end"/>
      </w:r>
      <w:bookmarkEnd w:id="645"/>
      <w:r w:rsidRPr="00400193">
        <w:t>: Histogram of the frequency of the standardised residuals for VW</w:t>
      </w:r>
      <w:bookmarkEnd w:id="646"/>
    </w:p>
    <w:p w14:paraId="453A85ED" w14:textId="0BD8A0AF" w:rsidR="006E3616" w:rsidRPr="00400193" w:rsidRDefault="006E3616" w:rsidP="006E3616">
      <w:pPr>
        <w:rPr>
          <w:lang w:eastAsia="zh-CN" w:bidi="hi-IN"/>
        </w:rPr>
      </w:pPr>
      <w:r w:rsidRPr="00400193">
        <w:rPr>
          <w:lang w:eastAsia="zh-CN" w:bidi="hi-IN"/>
        </w:rPr>
        <w:t>Finally, the P–P diagram (</w:t>
      </w:r>
      <w:r w:rsidR="00BA4982" w:rsidRPr="00400193">
        <w:rPr>
          <w:lang w:eastAsia="zh-CN" w:bidi="hi-IN"/>
        </w:rPr>
        <w:fldChar w:fldCharType="begin"/>
      </w:r>
      <w:r w:rsidR="00BA4982" w:rsidRPr="00400193">
        <w:rPr>
          <w:lang w:eastAsia="zh-CN" w:bidi="hi-IN"/>
        </w:rPr>
        <w:instrText xml:space="preserve"> REF _Ref52796820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20</w:t>
      </w:r>
      <w:r w:rsidR="00BA4982" w:rsidRPr="00400193">
        <w:rPr>
          <w:lang w:eastAsia="zh-CN" w:bidi="hi-IN"/>
        </w:rPr>
        <w:fldChar w:fldCharType="end"/>
      </w:r>
      <w:r w:rsidRPr="00400193">
        <w:rPr>
          <w:lang w:eastAsia="zh-CN" w:bidi="hi-IN"/>
        </w:rPr>
        <w:t>) also shows that there is a normal distribution.</w:t>
      </w:r>
    </w:p>
    <w:p w14:paraId="7130A51E"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243E12B7" wp14:editId="38F5CB4D">
            <wp:extent cx="5760000" cy="3600000"/>
            <wp:effectExtent l="19050" t="19050" r="12700" b="19685"/>
            <wp:docPr id="143"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760000" cy="3600000"/>
                    </a:xfrm>
                    <a:prstGeom prst="rect">
                      <a:avLst/>
                    </a:prstGeom>
                    <a:noFill/>
                    <a:ln w="19050">
                      <a:solidFill>
                        <a:schemeClr val="tx1"/>
                      </a:solidFill>
                    </a:ln>
                  </pic:spPr>
                </pic:pic>
              </a:graphicData>
            </a:graphic>
          </wp:inline>
        </w:drawing>
      </w:r>
    </w:p>
    <w:p w14:paraId="723B6FCC" w14:textId="6893886F" w:rsidR="006E3616" w:rsidRPr="00400193" w:rsidRDefault="006E3616" w:rsidP="006E3616">
      <w:pPr>
        <w:pStyle w:val="Caption"/>
        <w:rPr>
          <w:lang w:eastAsia="zh-CN" w:bidi="hi-IN"/>
        </w:rPr>
      </w:pPr>
      <w:bookmarkStart w:id="647" w:name="_Ref52796820"/>
      <w:bookmarkStart w:id="648" w:name="_Toc5538759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20</w:t>
      </w:r>
      <w:r w:rsidR="00E35E8C" w:rsidRPr="00400193">
        <w:fldChar w:fldCharType="end"/>
      </w:r>
      <w:bookmarkEnd w:id="647"/>
      <w:r w:rsidRPr="00400193">
        <w:t xml:space="preserve">: </w:t>
      </w:r>
      <w:r w:rsidRPr="00400193">
        <w:rPr>
          <w:bCs/>
          <w:szCs w:val="24"/>
          <w:cs/>
        </w:rPr>
        <w:t>‎</w:t>
      </w:r>
      <w:r w:rsidRPr="00400193">
        <w:rPr>
          <w:b w:val="0"/>
          <w:bCs/>
          <w:sz w:val="36"/>
          <w:szCs w:val="24"/>
          <w:rtl/>
          <w:cs/>
        </w:rPr>
        <w:t>Normal P</w:t>
      </w:r>
      <w:r w:rsidRPr="00400193">
        <w:t>–P plot of regression standardised residual for the dependent variable for VW</w:t>
      </w:r>
      <w:bookmarkEnd w:id="648"/>
    </w:p>
    <w:p w14:paraId="6D3CE7B5" w14:textId="77777777" w:rsidR="006E3616" w:rsidRPr="00400193" w:rsidRDefault="006E3616" w:rsidP="006E3616">
      <w:pPr>
        <w:spacing w:line="240" w:lineRule="auto"/>
        <w:rPr>
          <w:lang w:eastAsia="zh-CN" w:bidi="hi-IN"/>
        </w:rPr>
      </w:pPr>
      <w:r w:rsidRPr="00400193">
        <w:rPr>
          <w:lang w:eastAsia="zh-CN" w:bidi="hi-IN"/>
        </w:rPr>
        <w:t xml:space="preserve">. </w:t>
      </w:r>
    </w:p>
    <w:p w14:paraId="5491FBAB" w14:textId="77777777" w:rsidR="006E3616" w:rsidRPr="00400193" w:rsidRDefault="006E3616" w:rsidP="006E3616">
      <w:pPr>
        <w:pStyle w:val="Heading3"/>
        <w:rPr>
          <w:lang w:eastAsia="zh-CN" w:bidi="hi-IN"/>
        </w:rPr>
      </w:pPr>
      <w:bookmarkStart w:id="649" w:name="_Toc61894776"/>
      <w:r w:rsidRPr="00400193">
        <w:rPr>
          <w:lang w:eastAsia="zh-CN" w:bidi="hi-IN"/>
        </w:rPr>
        <w:t>The Relationship Between Vulnerabilities and Weaknesses and Organisation Resilience</w:t>
      </w:r>
      <w:bookmarkEnd w:id="649"/>
    </w:p>
    <w:p w14:paraId="7F70C521" w14:textId="4F445094" w:rsidR="006E3616" w:rsidRPr="00400193" w:rsidRDefault="006E3616" w:rsidP="006E3616">
      <w:pPr>
        <w:spacing w:line="240" w:lineRule="auto"/>
        <w:rPr>
          <w:i/>
          <w:iCs/>
          <w:lang w:eastAsia="zh-CN" w:bidi="hi-IN"/>
        </w:rPr>
      </w:pPr>
      <w:r w:rsidRPr="00400193">
        <w:rPr>
          <w:lang w:eastAsia="zh-CN" w:bidi="hi-IN"/>
        </w:rPr>
        <w:fldChar w:fldCharType="begin"/>
      </w:r>
      <w:r w:rsidRPr="00400193">
        <w:rPr>
          <w:i/>
          <w:iCs/>
          <w:lang w:eastAsia="zh-CN" w:bidi="hi-IN"/>
        </w:rPr>
        <w:instrText xml:space="preserve"> REF _Ref43827332 \h </w:instrText>
      </w:r>
      <w:r w:rsidRPr="00400193">
        <w:rPr>
          <w:lang w:eastAsia="zh-CN" w:bidi="hi-IN"/>
        </w:rPr>
      </w:r>
      <w:r w:rsidRPr="00400193">
        <w:rPr>
          <w:lang w:eastAsia="zh-CN" w:bidi="hi-IN"/>
        </w:rPr>
        <w:fldChar w:fldCharType="separate"/>
      </w:r>
      <w:r w:rsidR="00BB7C18" w:rsidRPr="00400193">
        <w:t>4 – (Organisational Resilience)</w:t>
      </w:r>
      <w:r w:rsidRPr="00400193">
        <w:rPr>
          <w:lang w:eastAsia="zh-CN" w:bidi="hi-IN"/>
        </w:rPr>
        <w:fldChar w:fldCharType="end"/>
      </w:r>
      <w:r w:rsidRPr="00400193">
        <w:rPr>
          <w:i/>
          <w:iCs/>
          <w:lang w:eastAsia="zh-CN" w:bidi="hi-IN"/>
        </w:rPr>
        <w:t xml:space="preserve"> VW = OR</w:t>
      </w:r>
      <w:r w:rsidR="007B4418" w:rsidRPr="00400193">
        <w:rPr>
          <w:i/>
          <w:iCs/>
          <w:lang w:eastAsia="zh-CN" w:bidi="hi-IN"/>
        </w:rPr>
        <w:t>e</w:t>
      </w:r>
    </w:p>
    <w:p w14:paraId="2447866A" w14:textId="3C7418DE" w:rsidR="006E3616" w:rsidRPr="00400193" w:rsidRDefault="006E3616" w:rsidP="006E3616">
      <w:pPr>
        <w:rPr>
          <w:lang w:eastAsia="zh-CN" w:bidi="hi-IN"/>
        </w:rPr>
      </w:pPr>
      <w:r w:rsidRPr="00400193">
        <w:rPr>
          <w:lang w:eastAsia="zh-CN" w:bidi="hi-IN"/>
        </w:rPr>
        <w:t xml:space="preserve">In </w:t>
      </w:r>
      <w:r w:rsidR="00BA4982" w:rsidRPr="00400193">
        <w:rPr>
          <w:lang w:eastAsia="zh-CN" w:bidi="hi-IN"/>
        </w:rPr>
        <w:fldChar w:fldCharType="begin"/>
      </w:r>
      <w:r w:rsidR="00BA4982" w:rsidRPr="00400193">
        <w:rPr>
          <w:lang w:eastAsia="zh-CN" w:bidi="hi-IN"/>
        </w:rPr>
        <w:instrText xml:space="preserve"> REF _Ref52797297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70</w:t>
      </w:r>
      <w:r w:rsidR="00BA4982" w:rsidRPr="00400193">
        <w:rPr>
          <w:lang w:eastAsia="zh-CN" w:bidi="hi-IN"/>
        </w:rPr>
        <w:fldChar w:fldCharType="end"/>
      </w:r>
      <w:r w:rsidRPr="00400193">
        <w:rPr>
          <w:lang w:eastAsia="zh-CN" w:bidi="hi-IN"/>
        </w:rPr>
        <w:t>, the R (multiple correlation coefficients) shows a value level prediction of 0.142. The R-square (coefficient of determination) value of 0.020 shows that 0.20% of the variance in vulnerabilities and weaknesses in the UAE public sector organisations can be predicted from organisation resilience</w:t>
      </w:r>
      <w:r w:rsidRPr="00400193">
        <w:rPr>
          <w:b/>
          <w:bCs/>
          <w:lang w:eastAsia="zh-CN" w:bidi="hi-IN"/>
        </w:rPr>
        <w:t xml:space="preserve"> </w:t>
      </w:r>
      <w:r w:rsidRPr="00400193">
        <w:rPr>
          <w:lang w:eastAsia="zh-CN" w:bidi="hi-IN"/>
        </w:rPr>
        <w:t>actions taken by public sector organisation to reduce cyber-risks. There is therefore a weak relationship between vulnerabilities and weaknesses in the UAE public sector organisations and the predictor variable (OR</w:t>
      </w:r>
      <w:r w:rsidR="007B4418" w:rsidRPr="00400193">
        <w:rPr>
          <w:lang w:eastAsia="zh-CN" w:bidi="hi-IN"/>
        </w:rPr>
        <w:t>e</w:t>
      </w:r>
      <w:r w:rsidRPr="00400193">
        <w:rPr>
          <w:lang w:eastAsia="zh-CN" w:bidi="hi-IN"/>
        </w:rPr>
        <w:t>).</w:t>
      </w:r>
    </w:p>
    <w:tbl>
      <w:tblPr>
        <w:tblW w:w="88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9"/>
        <w:gridCol w:w="760"/>
        <w:gridCol w:w="805"/>
        <w:gridCol w:w="1088"/>
        <w:gridCol w:w="1087"/>
        <w:gridCol w:w="1087"/>
        <w:gridCol w:w="827"/>
        <w:gridCol w:w="2608"/>
      </w:tblGrid>
      <w:tr w:rsidR="006E3616" w:rsidRPr="00400193" w14:paraId="7A3E4462" w14:textId="77777777" w:rsidTr="007B4418">
        <w:trPr>
          <w:cantSplit/>
          <w:trHeight w:val="283"/>
        </w:trPr>
        <w:tc>
          <w:tcPr>
            <w:tcW w:w="8851" w:type="dxa"/>
            <w:gridSpan w:val="8"/>
            <w:tcBorders>
              <w:top w:val="nil"/>
              <w:left w:val="nil"/>
              <w:bottom w:val="nil"/>
              <w:right w:val="nil"/>
            </w:tcBorders>
            <w:shd w:val="clear" w:color="auto" w:fill="auto"/>
            <w:vAlign w:val="center"/>
          </w:tcPr>
          <w:p w14:paraId="66FC5B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4AD4E29F" w14:textId="77777777" w:rsidTr="007B4418">
        <w:trPr>
          <w:cantSplit/>
          <w:trHeight w:val="283"/>
        </w:trPr>
        <w:tc>
          <w:tcPr>
            <w:tcW w:w="589" w:type="dxa"/>
            <w:vMerge w:val="restart"/>
            <w:tcBorders>
              <w:top w:val="nil"/>
              <w:left w:val="nil"/>
              <w:bottom w:val="nil"/>
              <w:right w:val="nil"/>
            </w:tcBorders>
            <w:shd w:val="clear" w:color="auto" w:fill="auto"/>
            <w:vAlign w:val="bottom"/>
          </w:tcPr>
          <w:p w14:paraId="41D260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60" w:type="dxa"/>
            <w:vMerge w:val="restart"/>
            <w:tcBorders>
              <w:top w:val="nil"/>
              <w:left w:val="nil"/>
              <w:bottom w:val="nil"/>
              <w:right w:val="single" w:sz="8" w:space="0" w:color="E0E0E0"/>
            </w:tcBorders>
            <w:shd w:val="clear" w:color="auto" w:fill="auto"/>
            <w:vAlign w:val="bottom"/>
          </w:tcPr>
          <w:p w14:paraId="3EBBEE0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05" w:type="dxa"/>
            <w:vMerge w:val="restart"/>
            <w:tcBorders>
              <w:top w:val="nil"/>
              <w:left w:val="single" w:sz="8" w:space="0" w:color="E0E0E0"/>
              <w:bottom w:val="nil"/>
              <w:right w:val="single" w:sz="8" w:space="0" w:color="E0E0E0"/>
            </w:tcBorders>
            <w:shd w:val="clear" w:color="auto" w:fill="auto"/>
            <w:vAlign w:val="bottom"/>
          </w:tcPr>
          <w:p w14:paraId="4AA830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088" w:type="dxa"/>
            <w:vMerge w:val="restart"/>
            <w:tcBorders>
              <w:top w:val="nil"/>
              <w:left w:val="single" w:sz="8" w:space="0" w:color="E0E0E0"/>
              <w:bottom w:val="nil"/>
              <w:right w:val="single" w:sz="8" w:space="0" w:color="E0E0E0"/>
            </w:tcBorders>
            <w:shd w:val="clear" w:color="auto" w:fill="auto"/>
            <w:vAlign w:val="bottom"/>
          </w:tcPr>
          <w:p w14:paraId="316ADE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087" w:type="dxa"/>
            <w:vMerge w:val="restart"/>
            <w:tcBorders>
              <w:top w:val="nil"/>
              <w:left w:val="single" w:sz="8" w:space="0" w:color="E0E0E0"/>
              <w:bottom w:val="nil"/>
              <w:right w:val="single" w:sz="8" w:space="0" w:color="E0E0E0"/>
            </w:tcBorders>
            <w:shd w:val="clear" w:color="auto" w:fill="auto"/>
            <w:vAlign w:val="bottom"/>
          </w:tcPr>
          <w:p w14:paraId="6BE1EBA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22" w:type="dxa"/>
            <w:gridSpan w:val="3"/>
            <w:tcBorders>
              <w:top w:val="nil"/>
              <w:left w:val="single" w:sz="8" w:space="0" w:color="E0E0E0"/>
              <w:bottom w:val="nil"/>
              <w:right w:val="nil"/>
            </w:tcBorders>
            <w:shd w:val="clear" w:color="auto" w:fill="auto"/>
            <w:vAlign w:val="bottom"/>
          </w:tcPr>
          <w:p w14:paraId="551968C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29AD9BEB" w14:textId="77777777" w:rsidTr="007B4418">
        <w:trPr>
          <w:cantSplit/>
          <w:trHeight w:val="283"/>
        </w:trPr>
        <w:tc>
          <w:tcPr>
            <w:tcW w:w="589" w:type="dxa"/>
            <w:vMerge/>
            <w:tcBorders>
              <w:top w:val="nil"/>
              <w:left w:val="nil"/>
              <w:bottom w:val="nil"/>
              <w:right w:val="nil"/>
            </w:tcBorders>
            <w:shd w:val="clear" w:color="auto" w:fill="auto"/>
            <w:vAlign w:val="bottom"/>
          </w:tcPr>
          <w:p w14:paraId="6406C92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60" w:type="dxa"/>
            <w:vMerge/>
            <w:tcBorders>
              <w:top w:val="nil"/>
              <w:left w:val="nil"/>
              <w:bottom w:val="nil"/>
              <w:right w:val="single" w:sz="8" w:space="0" w:color="E0E0E0"/>
            </w:tcBorders>
            <w:shd w:val="clear" w:color="auto" w:fill="auto"/>
            <w:vAlign w:val="bottom"/>
          </w:tcPr>
          <w:p w14:paraId="73608DE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05" w:type="dxa"/>
            <w:vMerge/>
            <w:tcBorders>
              <w:top w:val="nil"/>
              <w:left w:val="single" w:sz="8" w:space="0" w:color="E0E0E0"/>
              <w:bottom w:val="nil"/>
              <w:right w:val="single" w:sz="8" w:space="0" w:color="E0E0E0"/>
            </w:tcBorders>
            <w:shd w:val="clear" w:color="auto" w:fill="auto"/>
            <w:vAlign w:val="bottom"/>
          </w:tcPr>
          <w:p w14:paraId="5A30A67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88" w:type="dxa"/>
            <w:vMerge/>
            <w:tcBorders>
              <w:top w:val="nil"/>
              <w:left w:val="single" w:sz="8" w:space="0" w:color="E0E0E0"/>
              <w:bottom w:val="nil"/>
              <w:right w:val="single" w:sz="8" w:space="0" w:color="E0E0E0"/>
            </w:tcBorders>
            <w:shd w:val="clear" w:color="auto" w:fill="auto"/>
            <w:vAlign w:val="bottom"/>
          </w:tcPr>
          <w:p w14:paraId="1770060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87" w:type="dxa"/>
            <w:vMerge/>
            <w:tcBorders>
              <w:top w:val="nil"/>
              <w:left w:val="single" w:sz="8" w:space="0" w:color="E0E0E0"/>
              <w:bottom w:val="nil"/>
              <w:right w:val="single" w:sz="8" w:space="0" w:color="E0E0E0"/>
            </w:tcBorders>
            <w:shd w:val="clear" w:color="auto" w:fill="auto"/>
            <w:vAlign w:val="bottom"/>
          </w:tcPr>
          <w:p w14:paraId="3FA3A3E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87" w:type="dxa"/>
            <w:tcBorders>
              <w:top w:val="nil"/>
              <w:left w:val="single" w:sz="8" w:space="0" w:color="E0E0E0"/>
              <w:bottom w:val="single" w:sz="8" w:space="0" w:color="152935"/>
              <w:right w:val="single" w:sz="8" w:space="0" w:color="E0E0E0"/>
            </w:tcBorders>
            <w:shd w:val="clear" w:color="auto" w:fill="auto"/>
            <w:vAlign w:val="bottom"/>
          </w:tcPr>
          <w:p w14:paraId="03D4276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27" w:type="dxa"/>
            <w:tcBorders>
              <w:top w:val="nil"/>
              <w:left w:val="single" w:sz="8" w:space="0" w:color="E0E0E0"/>
              <w:bottom w:val="single" w:sz="8" w:space="0" w:color="152935"/>
              <w:right w:val="single" w:sz="8" w:space="0" w:color="E0E0E0"/>
            </w:tcBorders>
            <w:shd w:val="clear" w:color="auto" w:fill="auto"/>
            <w:vAlign w:val="bottom"/>
          </w:tcPr>
          <w:p w14:paraId="7CF809E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08" w:type="dxa"/>
            <w:tcBorders>
              <w:top w:val="nil"/>
              <w:left w:val="single" w:sz="8" w:space="0" w:color="E0E0E0"/>
              <w:bottom w:val="single" w:sz="8" w:space="0" w:color="152935"/>
              <w:right w:val="nil"/>
            </w:tcBorders>
            <w:shd w:val="clear" w:color="auto" w:fill="auto"/>
            <w:vAlign w:val="bottom"/>
          </w:tcPr>
          <w:p w14:paraId="52A1F1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5BDE4025" w14:textId="77777777" w:rsidTr="007B4418">
        <w:trPr>
          <w:cantSplit/>
          <w:trHeight w:val="283"/>
        </w:trPr>
        <w:tc>
          <w:tcPr>
            <w:tcW w:w="589" w:type="dxa"/>
            <w:tcBorders>
              <w:top w:val="single" w:sz="8" w:space="0" w:color="152935"/>
              <w:left w:val="nil"/>
              <w:bottom w:val="single" w:sz="8" w:space="0" w:color="152935"/>
              <w:right w:val="nil"/>
            </w:tcBorders>
            <w:shd w:val="clear" w:color="auto" w:fill="auto"/>
          </w:tcPr>
          <w:p w14:paraId="044361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60" w:type="dxa"/>
            <w:tcBorders>
              <w:top w:val="single" w:sz="8" w:space="0" w:color="152935"/>
              <w:left w:val="nil"/>
              <w:bottom w:val="single" w:sz="8" w:space="0" w:color="152935"/>
              <w:right w:val="single" w:sz="8" w:space="0" w:color="E0E0E0"/>
            </w:tcBorders>
            <w:shd w:val="clear" w:color="auto" w:fill="auto"/>
          </w:tcPr>
          <w:p w14:paraId="27EE67D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.142</w:t>
            </w:r>
            <w:r w:rsidRPr="00400193">
              <w:rPr>
                <w:rFonts w:asciiTheme="minorHAnsi" w:hAnsiTheme="minorHAnsi" w:cstheme="minorHAnsi"/>
                <w:sz w:val="20"/>
                <w:szCs w:val="18"/>
                <w:vertAlign w:val="superscript"/>
                <w:lang w:eastAsia="zh-CN" w:bidi="hi-IN"/>
              </w:rPr>
              <w:t>a</w:t>
            </w:r>
          </w:p>
        </w:tc>
        <w:tc>
          <w:tcPr>
            <w:tcW w:w="805" w:type="dxa"/>
            <w:tcBorders>
              <w:top w:val="single" w:sz="8" w:space="0" w:color="152935"/>
              <w:left w:val="single" w:sz="8" w:space="0" w:color="E0E0E0"/>
              <w:bottom w:val="single" w:sz="8" w:space="0" w:color="152935"/>
              <w:right w:val="single" w:sz="8" w:space="0" w:color="E0E0E0"/>
            </w:tcBorders>
            <w:shd w:val="clear" w:color="auto" w:fill="auto"/>
          </w:tcPr>
          <w:p w14:paraId="0013821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.020</w:t>
            </w:r>
          </w:p>
        </w:tc>
        <w:tc>
          <w:tcPr>
            <w:tcW w:w="1088" w:type="dxa"/>
            <w:tcBorders>
              <w:top w:val="single" w:sz="8" w:space="0" w:color="152935"/>
              <w:left w:val="single" w:sz="8" w:space="0" w:color="E0E0E0"/>
              <w:bottom w:val="single" w:sz="8" w:space="0" w:color="152935"/>
              <w:right w:val="single" w:sz="8" w:space="0" w:color="E0E0E0"/>
            </w:tcBorders>
            <w:shd w:val="clear" w:color="auto" w:fill="auto"/>
          </w:tcPr>
          <w:p w14:paraId="0771BEE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.011</w:t>
            </w:r>
          </w:p>
        </w:tc>
        <w:tc>
          <w:tcPr>
            <w:tcW w:w="1087" w:type="dxa"/>
            <w:tcBorders>
              <w:top w:val="single" w:sz="8" w:space="0" w:color="152935"/>
              <w:left w:val="single" w:sz="8" w:space="0" w:color="E0E0E0"/>
              <w:bottom w:val="single" w:sz="8" w:space="0" w:color="152935"/>
              <w:right w:val="single" w:sz="8" w:space="0" w:color="E0E0E0"/>
            </w:tcBorders>
            <w:shd w:val="clear" w:color="auto" w:fill="auto"/>
          </w:tcPr>
          <w:p w14:paraId="31B4D5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.59064</w:t>
            </w:r>
          </w:p>
        </w:tc>
        <w:tc>
          <w:tcPr>
            <w:tcW w:w="1087" w:type="dxa"/>
            <w:tcBorders>
              <w:top w:val="single" w:sz="8" w:space="0" w:color="152935"/>
              <w:left w:val="single" w:sz="8" w:space="0" w:color="E0E0E0"/>
              <w:bottom w:val="single" w:sz="8" w:space="0" w:color="152935"/>
              <w:right w:val="single" w:sz="8" w:space="0" w:color="E0E0E0"/>
            </w:tcBorders>
            <w:shd w:val="clear" w:color="auto" w:fill="auto"/>
          </w:tcPr>
          <w:p w14:paraId="017C9CA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.020</w:t>
            </w:r>
          </w:p>
        </w:tc>
        <w:tc>
          <w:tcPr>
            <w:tcW w:w="827" w:type="dxa"/>
            <w:tcBorders>
              <w:top w:val="single" w:sz="8" w:space="0" w:color="152935"/>
              <w:left w:val="single" w:sz="8" w:space="0" w:color="E0E0E0"/>
              <w:bottom w:val="single" w:sz="8" w:space="0" w:color="152935"/>
              <w:right w:val="single" w:sz="8" w:space="0" w:color="E0E0E0"/>
            </w:tcBorders>
            <w:shd w:val="clear" w:color="auto" w:fill="auto"/>
          </w:tcPr>
          <w:p w14:paraId="24916FA2" w14:textId="538BF34F" w:rsidR="006E3616" w:rsidRPr="00400193" w:rsidRDefault="00846978"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6E3616" w:rsidRPr="00400193">
              <w:rPr>
                <w:rFonts w:asciiTheme="minorHAnsi" w:hAnsiTheme="minorHAnsi" w:cstheme="minorHAnsi"/>
                <w:sz w:val="20"/>
                <w:szCs w:val="18"/>
                <w:lang w:eastAsia="zh-CN" w:bidi="hi-IN"/>
              </w:rPr>
              <w:t>2.104</w:t>
            </w:r>
          </w:p>
        </w:tc>
        <w:tc>
          <w:tcPr>
            <w:tcW w:w="2608" w:type="dxa"/>
            <w:tcBorders>
              <w:top w:val="single" w:sz="8" w:space="0" w:color="152935"/>
              <w:left w:val="single" w:sz="8" w:space="0" w:color="E0E0E0"/>
              <w:bottom w:val="single" w:sz="8" w:space="0" w:color="152935"/>
              <w:right w:val="nil"/>
            </w:tcBorders>
            <w:shd w:val="clear" w:color="auto" w:fill="auto"/>
          </w:tcPr>
          <w:p w14:paraId="7A745498"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r>
      <w:tr w:rsidR="007B4418" w:rsidRPr="00400193" w14:paraId="3F3C6A1B" w14:textId="77777777" w:rsidTr="007B4418">
        <w:trPr>
          <w:cantSplit/>
          <w:trHeight w:val="283"/>
        </w:trPr>
        <w:tc>
          <w:tcPr>
            <w:tcW w:w="8851" w:type="dxa"/>
            <w:gridSpan w:val="8"/>
            <w:tcBorders>
              <w:top w:val="single" w:sz="8" w:space="0" w:color="152935"/>
              <w:left w:val="nil"/>
              <w:bottom w:val="single" w:sz="8" w:space="0" w:color="152935"/>
              <w:right w:val="single" w:sz="8" w:space="0" w:color="E0E0E0"/>
            </w:tcBorders>
            <w:shd w:val="clear" w:color="auto" w:fill="auto"/>
            <w:vAlign w:val="center"/>
          </w:tcPr>
          <w:p w14:paraId="1D67A9A3" w14:textId="77777777" w:rsidR="007B4418" w:rsidRPr="00400193" w:rsidRDefault="007B4418" w:rsidP="007B4418">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5ECB7B0C" w14:textId="7ED8ABB7" w:rsidR="007B4418" w:rsidRPr="00400193" w:rsidRDefault="007B4418" w:rsidP="007B4418">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 xml:space="preserve">Predictor: </w:t>
            </w:r>
            <w:r w:rsidR="004F67F9" w:rsidRPr="00400193">
              <w:rPr>
                <w:rFonts w:asciiTheme="minorHAnsi" w:hAnsiTheme="minorHAnsi" w:cstheme="minorHAnsi"/>
                <w:sz w:val="20"/>
                <w:szCs w:val="18"/>
                <w:lang w:eastAsia="zh-CN" w:bidi="hi-IN"/>
              </w:rPr>
              <w:t>(Constant)</w:t>
            </w:r>
            <w:r w:rsidRPr="00400193">
              <w:rPr>
                <w:rFonts w:asciiTheme="minorHAnsi" w:hAnsiTheme="minorHAnsi" w:cstheme="minorHAnsi"/>
                <w:sz w:val="20"/>
                <w:szCs w:val="18"/>
                <w:lang w:eastAsia="zh-CN" w:bidi="hi-IN"/>
              </w:rPr>
              <w:t xml:space="preserve"> ORe</w:t>
            </w:r>
          </w:p>
        </w:tc>
      </w:tr>
    </w:tbl>
    <w:p w14:paraId="784FA37B" w14:textId="650C8C7B" w:rsidR="006E3616" w:rsidRPr="00400193" w:rsidRDefault="006E3616" w:rsidP="006E3616">
      <w:pPr>
        <w:pStyle w:val="Caption"/>
        <w:spacing w:after="240"/>
        <w:rPr>
          <w:lang w:eastAsia="zh-CN" w:bidi="hi-IN"/>
        </w:rPr>
      </w:pPr>
      <w:bookmarkStart w:id="650" w:name="_Ref52797297"/>
      <w:bookmarkStart w:id="651" w:name="_Toc5290161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70</w:t>
      </w:r>
      <w:r w:rsidRPr="00400193">
        <w:fldChar w:fldCharType="end"/>
      </w:r>
      <w:bookmarkEnd w:id="650"/>
      <w:r w:rsidRPr="00400193">
        <w:t>: Regression model summary for VW</w:t>
      </w:r>
      <w:bookmarkEnd w:id="651"/>
    </w:p>
    <w:p w14:paraId="223F8FEF" w14:textId="4CE414BB" w:rsidR="006E3616" w:rsidRPr="00400193" w:rsidRDefault="006E3616" w:rsidP="006E3616">
      <w:pPr>
        <w:rPr>
          <w:lang w:eastAsia="zh-CN" w:bidi="hi-IN"/>
        </w:rPr>
      </w:pPr>
      <w:r w:rsidRPr="00400193">
        <w:rPr>
          <w:lang w:eastAsia="zh-CN" w:bidi="hi-IN"/>
        </w:rPr>
        <w:lastRenderedPageBreak/>
        <w:t xml:space="preserve">The results of ANOVA are shown in </w:t>
      </w:r>
      <w:r w:rsidR="00BA4982" w:rsidRPr="00400193">
        <w:rPr>
          <w:lang w:eastAsia="zh-CN" w:bidi="hi-IN"/>
        </w:rPr>
        <w:fldChar w:fldCharType="begin"/>
      </w:r>
      <w:r w:rsidR="00BA4982" w:rsidRPr="00400193">
        <w:rPr>
          <w:lang w:eastAsia="zh-CN" w:bidi="hi-IN"/>
        </w:rPr>
        <w:instrText xml:space="preserve"> REF _Ref52797312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71</w:t>
      </w:r>
      <w:r w:rsidR="00BA4982" w:rsidRPr="00400193">
        <w:rPr>
          <w:lang w:eastAsia="zh-CN" w:bidi="hi-IN"/>
        </w:rPr>
        <w:fldChar w:fldCharType="end"/>
      </w:r>
      <w:r w:rsidRPr="00400193">
        <w:rPr>
          <w:lang w:eastAsia="zh-CN" w:bidi="hi-IN"/>
        </w:rPr>
        <w:t xml:space="preserve">. The F-statistic of the model was </w:t>
      </w:r>
      <w:r w:rsidR="00511C8B" w:rsidRPr="00400193">
        <w:rPr>
          <w:lang w:eastAsia="zh-CN" w:bidi="hi-IN"/>
        </w:rPr>
        <w:t>1</w:t>
      </w:r>
      <w:r w:rsidRPr="00400193">
        <w:rPr>
          <w:lang w:eastAsia="zh-CN" w:bidi="hi-IN"/>
        </w:rPr>
        <w:t xml:space="preserve">2.104, which indicates a non-significant linear regression association between vulnerabilities and weaknesses in the UAE organisations and the predictor variable (organisational resilience). The F statistic also indicates that the R-square was statistically not significant at p &lt;0.05. </w:t>
      </w:r>
    </w:p>
    <w:tbl>
      <w:tblPr>
        <w:tblW w:w="8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8"/>
        <w:gridCol w:w="1207"/>
        <w:gridCol w:w="1381"/>
        <w:gridCol w:w="963"/>
        <w:gridCol w:w="1323"/>
        <w:gridCol w:w="963"/>
        <w:gridCol w:w="2174"/>
      </w:tblGrid>
      <w:tr w:rsidR="006E3616" w:rsidRPr="00400193" w14:paraId="3411F0E2" w14:textId="77777777" w:rsidTr="007B4418">
        <w:trPr>
          <w:cantSplit/>
          <w:trHeight w:val="283"/>
        </w:trPr>
        <w:tc>
          <w:tcPr>
            <w:tcW w:w="8699" w:type="dxa"/>
            <w:gridSpan w:val="7"/>
            <w:tcBorders>
              <w:top w:val="nil"/>
              <w:left w:val="nil"/>
              <w:bottom w:val="nil"/>
              <w:right w:val="nil"/>
            </w:tcBorders>
            <w:shd w:val="clear" w:color="auto" w:fill="auto"/>
            <w:vAlign w:val="center"/>
          </w:tcPr>
          <w:p w14:paraId="7B818D2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64046120" w14:textId="77777777" w:rsidTr="007B4418">
        <w:trPr>
          <w:cantSplit/>
          <w:trHeight w:val="283"/>
        </w:trPr>
        <w:tc>
          <w:tcPr>
            <w:tcW w:w="1895" w:type="dxa"/>
            <w:gridSpan w:val="2"/>
            <w:tcBorders>
              <w:top w:val="nil"/>
              <w:left w:val="nil"/>
              <w:bottom w:val="single" w:sz="8" w:space="0" w:color="152935"/>
              <w:right w:val="nil"/>
            </w:tcBorders>
            <w:shd w:val="clear" w:color="auto" w:fill="auto"/>
            <w:vAlign w:val="bottom"/>
          </w:tcPr>
          <w:p w14:paraId="2F52D98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381" w:type="dxa"/>
            <w:tcBorders>
              <w:top w:val="nil"/>
              <w:left w:val="nil"/>
              <w:bottom w:val="single" w:sz="8" w:space="0" w:color="152935"/>
              <w:right w:val="single" w:sz="8" w:space="0" w:color="E0E0E0"/>
            </w:tcBorders>
            <w:shd w:val="clear" w:color="auto" w:fill="auto"/>
            <w:vAlign w:val="bottom"/>
          </w:tcPr>
          <w:p w14:paraId="1870F30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63" w:type="dxa"/>
            <w:tcBorders>
              <w:top w:val="nil"/>
              <w:left w:val="single" w:sz="8" w:space="0" w:color="E0E0E0"/>
              <w:bottom w:val="single" w:sz="8" w:space="0" w:color="152935"/>
              <w:right w:val="single" w:sz="8" w:space="0" w:color="E0E0E0"/>
            </w:tcBorders>
            <w:shd w:val="clear" w:color="auto" w:fill="auto"/>
            <w:vAlign w:val="bottom"/>
          </w:tcPr>
          <w:p w14:paraId="40292B1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23" w:type="dxa"/>
            <w:tcBorders>
              <w:top w:val="nil"/>
              <w:left w:val="single" w:sz="8" w:space="0" w:color="E0E0E0"/>
              <w:bottom w:val="single" w:sz="8" w:space="0" w:color="152935"/>
              <w:right w:val="single" w:sz="8" w:space="0" w:color="E0E0E0"/>
            </w:tcBorders>
            <w:shd w:val="clear" w:color="auto" w:fill="auto"/>
            <w:vAlign w:val="bottom"/>
          </w:tcPr>
          <w:p w14:paraId="0666E4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63" w:type="dxa"/>
            <w:tcBorders>
              <w:top w:val="nil"/>
              <w:left w:val="single" w:sz="8" w:space="0" w:color="E0E0E0"/>
              <w:bottom w:val="single" w:sz="8" w:space="0" w:color="152935"/>
              <w:right w:val="single" w:sz="8" w:space="0" w:color="E0E0E0"/>
            </w:tcBorders>
            <w:shd w:val="clear" w:color="auto" w:fill="auto"/>
            <w:vAlign w:val="bottom"/>
          </w:tcPr>
          <w:p w14:paraId="34541A9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174" w:type="dxa"/>
            <w:tcBorders>
              <w:top w:val="nil"/>
              <w:left w:val="single" w:sz="8" w:space="0" w:color="E0E0E0"/>
              <w:bottom w:val="single" w:sz="8" w:space="0" w:color="152935"/>
              <w:right w:val="nil"/>
            </w:tcBorders>
            <w:shd w:val="clear" w:color="auto" w:fill="auto"/>
            <w:vAlign w:val="bottom"/>
          </w:tcPr>
          <w:p w14:paraId="198D7D1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13209F94" w14:textId="77777777" w:rsidTr="007B4418">
        <w:trPr>
          <w:cantSplit/>
          <w:trHeight w:val="283"/>
        </w:trPr>
        <w:tc>
          <w:tcPr>
            <w:tcW w:w="688" w:type="dxa"/>
            <w:vMerge w:val="restart"/>
            <w:tcBorders>
              <w:top w:val="single" w:sz="8" w:space="0" w:color="152935"/>
              <w:left w:val="nil"/>
              <w:bottom w:val="single" w:sz="8" w:space="0" w:color="152935"/>
              <w:right w:val="nil"/>
            </w:tcBorders>
            <w:shd w:val="clear" w:color="auto" w:fill="auto"/>
          </w:tcPr>
          <w:p w14:paraId="170EE1F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07" w:type="dxa"/>
            <w:tcBorders>
              <w:top w:val="single" w:sz="8" w:space="0" w:color="152935"/>
              <w:left w:val="nil"/>
              <w:bottom w:val="single" w:sz="8" w:space="0" w:color="AEAEAE"/>
              <w:right w:val="nil"/>
            </w:tcBorders>
            <w:shd w:val="clear" w:color="auto" w:fill="auto"/>
          </w:tcPr>
          <w:p w14:paraId="30FEA1C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381" w:type="dxa"/>
            <w:tcBorders>
              <w:top w:val="single" w:sz="8" w:space="0" w:color="152935"/>
              <w:left w:val="nil"/>
              <w:bottom w:val="single" w:sz="8" w:space="0" w:color="AEAEAE"/>
              <w:right w:val="single" w:sz="8" w:space="0" w:color="E0E0E0"/>
            </w:tcBorders>
            <w:shd w:val="clear" w:color="auto" w:fill="auto"/>
          </w:tcPr>
          <w:p w14:paraId="3392521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.734</w:t>
            </w:r>
          </w:p>
        </w:tc>
        <w:tc>
          <w:tcPr>
            <w:tcW w:w="963" w:type="dxa"/>
            <w:tcBorders>
              <w:top w:val="single" w:sz="8" w:space="0" w:color="152935"/>
              <w:left w:val="single" w:sz="8" w:space="0" w:color="E0E0E0"/>
              <w:bottom w:val="single" w:sz="8" w:space="0" w:color="AEAEAE"/>
              <w:right w:val="single" w:sz="8" w:space="0" w:color="E0E0E0"/>
            </w:tcBorders>
            <w:shd w:val="clear" w:color="auto" w:fill="auto"/>
          </w:tcPr>
          <w:p w14:paraId="0F636E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323" w:type="dxa"/>
            <w:tcBorders>
              <w:top w:val="single" w:sz="8" w:space="0" w:color="152935"/>
              <w:left w:val="single" w:sz="8" w:space="0" w:color="E0E0E0"/>
              <w:bottom w:val="single" w:sz="8" w:space="0" w:color="AEAEAE"/>
              <w:right w:val="single" w:sz="8" w:space="0" w:color="E0E0E0"/>
            </w:tcBorders>
            <w:shd w:val="clear" w:color="auto" w:fill="auto"/>
          </w:tcPr>
          <w:p w14:paraId="74932F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.734</w:t>
            </w:r>
          </w:p>
        </w:tc>
        <w:tc>
          <w:tcPr>
            <w:tcW w:w="963" w:type="dxa"/>
            <w:tcBorders>
              <w:top w:val="single" w:sz="8" w:space="0" w:color="152935"/>
              <w:left w:val="single" w:sz="8" w:space="0" w:color="E0E0E0"/>
              <w:bottom w:val="single" w:sz="8" w:space="0" w:color="AEAEAE"/>
              <w:right w:val="single" w:sz="8" w:space="0" w:color="E0E0E0"/>
            </w:tcBorders>
            <w:shd w:val="clear" w:color="auto" w:fill="auto"/>
          </w:tcPr>
          <w:p w14:paraId="4D892CD4" w14:textId="3B020C25" w:rsidR="006E3616" w:rsidRPr="00400193" w:rsidRDefault="00846978"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6E3616" w:rsidRPr="00400193">
              <w:rPr>
                <w:rFonts w:asciiTheme="minorHAnsi" w:hAnsiTheme="minorHAnsi" w:cstheme="minorHAnsi"/>
                <w:sz w:val="20"/>
                <w:szCs w:val="18"/>
                <w:lang w:eastAsia="zh-CN" w:bidi="hi-IN"/>
              </w:rPr>
              <w:t>2.104</w:t>
            </w:r>
          </w:p>
        </w:tc>
        <w:tc>
          <w:tcPr>
            <w:tcW w:w="2174" w:type="dxa"/>
            <w:tcBorders>
              <w:top w:val="single" w:sz="8" w:space="0" w:color="152935"/>
              <w:left w:val="single" w:sz="8" w:space="0" w:color="E0E0E0"/>
              <w:bottom w:val="single" w:sz="8" w:space="0" w:color="AEAEAE"/>
              <w:right w:val="nil"/>
            </w:tcBorders>
            <w:shd w:val="clear" w:color="auto" w:fill="auto"/>
          </w:tcPr>
          <w:p w14:paraId="228994DD" w14:textId="7C2C6497" w:rsidR="006E3616" w:rsidRPr="00400193" w:rsidRDefault="00511C8B"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0.00015</w:t>
            </w:r>
          </w:p>
        </w:tc>
      </w:tr>
      <w:tr w:rsidR="006E3616" w:rsidRPr="00400193" w14:paraId="1FD2B3FC" w14:textId="77777777" w:rsidTr="007B4418">
        <w:trPr>
          <w:cantSplit/>
          <w:trHeight w:val="283"/>
        </w:trPr>
        <w:tc>
          <w:tcPr>
            <w:tcW w:w="688" w:type="dxa"/>
            <w:vMerge/>
            <w:tcBorders>
              <w:top w:val="single" w:sz="8" w:space="0" w:color="152935"/>
              <w:left w:val="nil"/>
              <w:bottom w:val="single" w:sz="8" w:space="0" w:color="152935"/>
              <w:right w:val="nil"/>
            </w:tcBorders>
            <w:shd w:val="clear" w:color="auto" w:fill="auto"/>
          </w:tcPr>
          <w:p w14:paraId="6596BA9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07" w:type="dxa"/>
            <w:tcBorders>
              <w:top w:val="single" w:sz="8" w:space="0" w:color="AEAEAE"/>
              <w:left w:val="nil"/>
              <w:bottom w:val="single" w:sz="8" w:space="0" w:color="AEAEAE"/>
              <w:right w:val="nil"/>
            </w:tcBorders>
            <w:shd w:val="clear" w:color="auto" w:fill="auto"/>
          </w:tcPr>
          <w:p w14:paraId="628049A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381" w:type="dxa"/>
            <w:tcBorders>
              <w:top w:val="single" w:sz="8" w:space="0" w:color="AEAEAE"/>
              <w:left w:val="nil"/>
              <w:bottom w:val="single" w:sz="8" w:space="0" w:color="AEAEAE"/>
              <w:right w:val="single" w:sz="8" w:space="0" w:color="E0E0E0"/>
            </w:tcBorders>
            <w:shd w:val="clear" w:color="auto" w:fill="auto"/>
          </w:tcPr>
          <w:p w14:paraId="6E968AF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35.583</w:t>
            </w:r>
          </w:p>
        </w:tc>
        <w:tc>
          <w:tcPr>
            <w:tcW w:w="963" w:type="dxa"/>
            <w:tcBorders>
              <w:top w:val="single" w:sz="8" w:space="0" w:color="AEAEAE"/>
              <w:left w:val="single" w:sz="8" w:space="0" w:color="E0E0E0"/>
              <w:bottom w:val="single" w:sz="8" w:space="0" w:color="AEAEAE"/>
              <w:right w:val="single" w:sz="8" w:space="0" w:color="E0E0E0"/>
            </w:tcBorders>
            <w:shd w:val="clear" w:color="auto" w:fill="auto"/>
          </w:tcPr>
          <w:p w14:paraId="205E3D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102</w:t>
            </w:r>
          </w:p>
        </w:tc>
        <w:tc>
          <w:tcPr>
            <w:tcW w:w="1323" w:type="dxa"/>
            <w:tcBorders>
              <w:top w:val="single" w:sz="8" w:space="0" w:color="AEAEAE"/>
              <w:left w:val="single" w:sz="8" w:space="0" w:color="E0E0E0"/>
              <w:bottom w:val="single" w:sz="8" w:space="0" w:color="AEAEAE"/>
              <w:right w:val="single" w:sz="8" w:space="0" w:color="E0E0E0"/>
            </w:tcBorders>
            <w:shd w:val="clear" w:color="auto" w:fill="auto"/>
          </w:tcPr>
          <w:p w14:paraId="5A600B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.349</w:t>
            </w:r>
          </w:p>
        </w:tc>
        <w:tc>
          <w:tcPr>
            <w:tcW w:w="963" w:type="dxa"/>
            <w:tcBorders>
              <w:top w:val="single" w:sz="8" w:space="0" w:color="AEAEAE"/>
              <w:left w:val="single" w:sz="8" w:space="0" w:color="E0E0E0"/>
              <w:bottom w:val="single" w:sz="8" w:space="0" w:color="AEAEAE"/>
              <w:right w:val="single" w:sz="8" w:space="0" w:color="E0E0E0"/>
            </w:tcBorders>
            <w:shd w:val="clear" w:color="auto" w:fill="auto"/>
            <w:vAlign w:val="center"/>
          </w:tcPr>
          <w:p w14:paraId="31A32C4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74" w:type="dxa"/>
            <w:tcBorders>
              <w:top w:val="single" w:sz="8" w:space="0" w:color="AEAEAE"/>
              <w:left w:val="single" w:sz="8" w:space="0" w:color="E0E0E0"/>
              <w:bottom w:val="single" w:sz="8" w:space="0" w:color="AEAEAE"/>
              <w:right w:val="nil"/>
            </w:tcBorders>
            <w:shd w:val="clear" w:color="auto" w:fill="auto"/>
            <w:vAlign w:val="center"/>
          </w:tcPr>
          <w:p w14:paraId="5BE5F41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66B9B7D0" w14:textId="77777777" w:rsidTr="007B4418">
        <w:trPr>
          <w:cantSplit/>
          <w:trHeight w:val="283"/>
        </w:trPr>
        <w:tc>
          <w:tcPr>
            <w:tcW w:w="688" w:type="dxa"/>
            <w:vMerge/>
            <w:tcBorders>
              <w:top w:val="single" w:sz="8" w:space="0" w:color="152935"/>
              <w:left w:val="nil"/>
              <w:bottom w:val="single" w:sz="8" w:space="0" w:color="152935"/>
              <w:right w:val="nil"/>
            </w:tcBorders>
            <w:shd w:val="clear" w:color="auto" w:fill="auto"/>
          </w:tcPr>
          <w:p w14:paraId="714F8DE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07" w:type="dxa"/>
            <w:tcBorders>
              <w:top w:val="single" w:sz="8" w:space="0" w:color="AEAEAE"/>
              <w:left w:val="nil"/>
              <w:bottom w:val="single" w:sz="8" w:space="0" w:color="152935"/>
              <w:right w:val="nil"/>
            </w:tcBorders>
            <w:shd w:val="clear" w:color="auto" w:fill="auto"/>
          </w:tcPr>
          <w:p w14:paraId="1403E2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381" w:type="dxa"/>
            <w:tcBorders>
              <w:top w:val="single" w:sz="8" w:space="0" w:color="AEAEAE"/>
              <w:left w:val="nil"/>
              <w:bottom w:val="single" w:sz="8" w:space="0" w:color="152935"/>
              <w:right w:val="single" w:sz="8" w:space="0" w:color="E0E0E0"/>
            </w:tcBorders>
            <w:shd w:val="clear" w:color="auto" w:fill="auto"/>
          </w:tcPr>
          <w:p w14:paraId="74129E8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63" w:type="dxa"/>
            <w:tcBorders>
              <w:top w:val="single" w:sz="8" w:space="0" w:color="AEAEAE"/>
              <w:left w:val="single" w:sz="8" w:space="0" w:color="E0E0E0"/>
              <w:bottom w:val="single" w:sz="8" w:space="0" w:color="152935"/>
              <w:right w:val="single" w:sz="8" w:space="0" w:color="E0E0E0"/>
            </w:tcBorders>
            <w:shd w:val="clear" w:color="auto" w:fill="auto"/>
          </w:tcPr>
          <w:p w14:paraId="09598C7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23" w:type="dxa"/>
            <w:tcBorders>
              <w:top w:val="single" w:sz="8" w:space="0" w:color="AEAEAE"/>
              <w:left w:val="single" w:sz="8" w:space="0" w:color="E0E0E0"/>
              <w:bottom w:val="single" w:sz="8" w:space="0" w:color="152935"/>
              <w:right w:val="single" w:sz="8" w:space="0" w:color="E0E0E0"/>
            </w:tcBorders>
            <w:shd w:val="clear" w:color="auto" w:fill="auto"/>
            <w:vAlign w:val="center"/>
          </w:tcPr>
          <w:p w14:paraId="4B6DC9C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63" w:type="dxa"/>
            <w:tcBorders>
              <w:top w:val="single" w:sz="8" w:space="0" w:color="AEAEAE"/>
              <w:left w:val="single" w:sz="8" w:space="0" w:color="E0E0E0"/>
              <w:bottom w:val="single" w:sz="8" w:space="0" w:color="152935"/>
              <w:right w:val="single" w:sz="8" w:space="0" w:color="E0E0E0"/>
            </w:tcBorders>
            <w:shd w:val="clear" w:color="auto" w:fill="auto"/>
            <w:vAlign w:val="center"/>
          </w:tcPr>
          <w:p w14:paraId="4DE1D0D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74" w:type="dxa"/>
            <w:tcBorders>
              <w:top w:val="single" w:sz="8" w:space="0" w:color="AEAEAE"/>
              <w:left w:val="single" w:sz="8" w:space="0" w:color="E0E0E0"/>
              <w:bottom w:val="single" w:sz="8" w:space="0" w:color="152935"/>
              <w:right w:val="nil"/>
            </w:tcBorders>
            <w:shd w:val="clear" w:color="auto" w:fill="auto"/>
            <w:vAlign w:val="center"/>
          </w:tcPr>
          <w:p w14:paraId="6B16DA1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5275A20D" w14:textId="77777777" w:rsidTr="007B4418">
        <w:trPr>
          <w:cantSplit/>
          <w:trHeight w:val="283"/>
        </w:trPr>
        <w:tc>
          <w:tcPr>
            <w:tcW w:w="8699" w:type="dxa"/>
            <w:gridSpan w:val="7"/>
            <w:tcBorders>
              <w:top w:val="nil"/>
              <w:left w:val="nil"/>
              <w:bottom w:val="nil"/>
              <w:right w:val="nil"/>
            </w:tcBorders>
            <w:shd w:val="clear" w:color="auto" w:fill="auto"/>
          </w:tcPr>
          <w:p w14:paraId="7DCD926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17F72605" w14:textId="77777777" w:rsidTr="007B4418">
        <w:trPr>
          <w:cantSplit/>
          <w:trHeight w:val="283"/>
        </w:trPr>
        <w:tc>
          <w:tcPr>
            <w:tcW w:w="8699" w:type="dxa"/>
            <w:gridSpan w:val="7"/>
            <w:tcBorders>
              <w:top w:val="nil"/>
              <w:left w:val="nil"/>
              <w:bottom w:val="nil"/>
              <w:right w:val="nil"/>
            </w:tcBorders>
            <w:shd w:val="clear" w:color="auto" w:fill="auto"/>
          </w:tcPr>
          <w:p w14:paraId="05D6AEA8" w14:textId="05F4B57C"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OR</w:t>
            </w:r>
            <w:r w:rsidR="007B4418" w:rsidRPr="00400193">
              <w:rPr>
                <w:rFonts w:asciiTheme="minorHAnsi" w:hAnsiTheme="minorHAnsi" w:cstheme="minorHAnsi"/>
                <w:sz w:val="20"/>
                <w:szCs w:val="18"/>
                <w:lang w:eastAsia="zh-CN" w:bidi="hi-IN"/>
              </w:rPr>
              <w:t>e</w:t>
            </w:r>
          </w:p>
        </w:tc>
      </w:tr>
    </w:tbl>
    <w:p w14:paraId="7F7A5020" w14:textId="1E4EF5F5" w:rsidR="006E3616" w:rsidRPr="00400193" w:rsidRDefault="006E3616" w:rsidP="006E3616">
      <w:pPr>
        <w:pStyle w:val="Caption"/>
        <w:spacing w:after="240"/>
        <w:rPr>
          <w:lang w:eastAsia="zh-CN" w:bidi="hi-IN"/>
        </w:rPr>
      </w:pPr>
      <w:bookmarkStart w:id="652" w:name="_Ref52797312"/>
      <w:bookmarkStart w:id="653" w:name="_Toc5290161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71</w:t>
      </w:r>
      <w:r w:rsidRPr="00400193">
        <w:fldChar w:fldCharType="end"/>
      </w:r>
      <w:bookmarkEnd w:id="652"/>
      <w:r w:rsidRPr="00400193">
        <w:t>: Analysis of variance of the model for VW</w:t>
      </w:r>
      <w:bookmarkEnd w:id="653"/>
    </w:p>
    <w:p w14:paraId="1260D251" w14:textId="1143FBA9" w:rsidR="006E3616" w:rsidRPr="00400193" w:rsidRDefault="006E3616" w:rsidP="006E3616">
      <w:pPr>
        <w:rPr>
          <w:lang w:eastAsia="zh-CN" w:bidi="hi-IN"/>
        </w:rPr>
      </w:pPr>
      <w:r w:rsidRPr="00400193">
        <w:rPr>
          <w:lang w:eastAsia="zh-CN" w:bidi="hi-IN"/>
        </w:rPr>
        <w:t xml:space="preserve">The F-ratio shows that the overall regression model is a poor fit for the data because the predictor variables do not statistically predict the response variable, F = </w:t>
      </w:r>
      <w:r w:rsidR="00511C8B" w:rsidRPr="00400193">
        <w:rPr>
          <w:lang w:eastAsia="zh-CN" w:bidi="hi-IN"/>
        </w:rPr>
        <w:t>1</w:t>
      </w:r>
      <w:r w:rsidRPr="00400193">
        <w:rPr>
          <w:lang w:eastAsia="zh-CN" w:bidi="hi-IN"/>
        </w:rPr>
        <w:t>2.104, p &gt;0.005. The regression model explains all the response data variability around its mean. The F-value is not significant at 95%. The p-value associated with the F value is 0.150, indicating that the predictor variables do not dependably predict the response variable</w:t>
      </w:r>
      <w:r w:rsidR="003D7369" w:rsidRPr="00400193">
        <w:rPr>
          <w:lang w:eastAsia="zh-CN" w:bidi="hi-IN"/>
        </w:rPr>
        <w:t xml:space="preserve"> (see </w:t>
      </w:r>
      <w:r w:rsidR="003D7369" w:rsidRPr="00400193">
        <w:rPr>
          <w:lang w:eastAsia="zh-CN" w:bidi="hi-IN"/>
        </w:rPr>
        <w:fldChar w:fldCharType="begin"/>
      </w:r>
      <w:r w:rsidR="003D7369" w:rsidRPr="00400193">
        <w:rPr>
          <w:lang w:eastAsia="zh-CN" w:bidi="hi-IN"/>
        </w:rPr>
        <w:instrText xml:space="preserve"> REF _Ref51432729 \h </w:instrText>
      </w:r>
      <w:r w:rsidR="003D7369" w:rsidRPr="00400193">
        <w:rPr>
          <w:lang w:eastAsia="zh-CN" w:bidi="hi-IN"/>
        </w:rPr>
      </w:r>
      <w:r w:rsidR="003D7369"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72</w:t>
      </w:r>
      <w:r w:rsidR="003D7369" w:rsidRPr="00400193">
        <w:rPr>
          <w:lang w:eastAsia="zh-CN" w:bidi="hi-IN"/>
        </w:rPr>
        <w:fldChar w:fldCharType="end"/>
      </w:r>
      <w:r w:rsidR="003D7369" w:rsidRPr="00400193">
        <w:rPr>
          <w:lang w:eastAsia="zh-CN" w:bidi="hi-IN"/>
        </w:rPr>
        <w:t>)</w:t>
      </w:r>
      <w:r w:rsidRPr="00400193">
        <w:rPr>
          <w:lang w:eastAsia="zh-CN" w:bidi="hi-IN"/>
        </w:rPr>
        <w:t>.</w:t>
      </w:r>
    </w:p>
    <w:tbl>
      <w:tblPr>
        <w:tblW w:w="88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5"/>
        <w:gridCol w:w="1788"/>
        <w:gridCol w:w="938"/>
        <w:gridCol w:w="1879"/>
        <w:gridCol w:w="2250"/>
        <w:gridCol w:w="810"/>
        <w:gridCol w:w="868"/>
      </w:tblGrid>
      <w:tr w:rsidR="006E3616" w:rsidRPr="00400193" w14:paraId="386A2237" w14:textId="77777777" w:rsidTr="007A10B0">
        <w:trPr>
          <w:cantSplit/>
          <w:trHeight w:val="283"/>
        </w:trPr>
        <w:tc>
          <w:tcPr>
            <w:tcW w:w="8878" w:type="dxa"/>
            <w:gridSpan w:val="7"/>
            <w:tcBorders>
              <w:top w:val="nil"/>
              <w:left w:val="nil"/>
              <w:bottom w:val="nil"/>
              <w:right w:val="nil"/>
            </w:tcBorders>
            <w:shd w:val="clear" w:color="auto" w:fill="auto"/>
            <w:vAlign w:val="center"/>
          </w:tcPr>
          <w:p w14:paraId="2771161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390DE46E" w14:textId="77777777" w:rsidTr="007A10B0">
        <w:trPr>
          <w:cantSplit/>
          <w:trHeight w:val="283"/>
        </w:trPr>
        <w:tc>
          <w:tcPr>
            <w:tcW w:w="2133" w:type="dxa"/>
            <w:gridSpan w:val="2"/>
            <w:vMerge w:val="restart"/>
            <w:tcBorders>
              <w:top w:val="nil"/>
              <w:left w:val="nil"/>
              <w:bottom w:val="nil"/>
              <w:right w:val="nil"/>
            </w:tcBorders>
            <w:shd w:val="clear" w:color="auto" w:fill="auto"/>
            <w:vAlign w:val="bottom"/>
          </w:tcPr>
          <w:p w14:paraId="5AAF5CF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817" w:type="dxa"/>
            <w:gridSpan w:val="2"/>
            <w:tcBorders>
              <w:top w:val="nil"/>
              <w:left w:val="nil"/>
              <w:bottom w:val="nil"/>
              <w:right w:val="single" w:sz="8" w:space="0" w:color="E0E0E0"/>
            </w:tcBorders>
            <w:shd w:val="clear" w:color="auto" w:fill="auto"/>
            <w:vAlign w:val="bottom"/>
          </w:tcPr>
          <w:p w14:paraId="148F3AE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250" w:type="dxa"/>
            <w:tcBorders>
              <w:top w:val="nil"/>
              <w:left w:val="single" w:sz="8" w:space="0" w:color="E0E0E0"/>
              <w:bottom w:val="nil"/>
              <w:right w:val="single" w:sz="8" w:space="0" w:color="E0E0E0"/>
            </w:tcBorders>
            <w:shd w:val="clear" w:color="auto" w:fill="auto"/>
            <w:vAlign w:val="bottom"/>
          </w:tcPr>
          <w:p w14:paraId="55D3F7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810" w:type="dxa"/>
            <w:vMerge w:val="restart"/>
            <w:tcBorders>
              <w:top w:val="nil"/>
              <w:left w:val="single" w:sz="8" w:space="0" w:color="E0E0E0"/>
              <w:bottom w:val="nil"/>
              <w:right w:val="single" w:sz="8" w:space="0" w:color="E0E0E0"/>
            </w:tcBorders>
            <w:shd w:val="clear" w:color="auto" w:fill="auto"/>
            <w:vAlign w:val="bottom"/>
          </w:tcPr>
          <w:p w14:paraId="3FBD6C5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868" w:type="dxa"/>
            <w:vMerge w:val="restart"/>
            <w:tcBorders>
              <w:top w:val="nil"/>
              <w:left w:val="single" w:sz="8" w:space="0" w:color="E0E0E0"/>
              <w:bottom w:val="nil"/>
              <w:right w:val="nil"/>
            </w:tcBorders>
            <w:shd w:val="clear" w:color="auto" w:fill="auto"/>
            <w:vAlign w:val="bottom"/>
          </w:tcPr>
          <w:p w14:paraId="60F1D89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697DDE93" w14:textId="77777777" w:rsidTr="007A10B0">
        <w:trPr>
          <w:cantSplit/>
          <w:trHeight w:val="283"/>
        </w:trPr>
        <w:tc>
          <w:tcPr>
            <w:tcW w:w="2133" w:type="dxa"/>
            <w:gridSpan w:val="2"/>
            <w:vMerge/>
            <w:tcBorders>
              <w:top w:val="nil"/>
              <w:left w:val="nil"/>
              <w:bottom w:val="nil"/>
              <w:right w:val="nil"/>
            </w:tcBorders>
            <w:shd w:val="clear" w:color="auto" w:fill="auto"/>
            <w:vAlign w:val="bottom"/>
          </w:tcPr>
          <w:p w14:paraId="65011AD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38" w:type="dxa"/>
            <w:tcBorders>
              <w:top w:val="nil"/>
              <w:left w:val="nil"/>
              <w:bottom w:val="single" w:sz="8" w:space="0" w:color="152935"/>
              <w:right w:val="single" w:sz="8" w:space="0" w:color="E0E0E0"/>
            </w:tcBorders>
            <w:shd w:val="clear" w:color="auto" w:fill="auto"/>
            <w:vAlign w:val="bottom"/>
          </w:tcPr>
          <w:p w14:paraId="766E890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879" w:type="dxa"/>
            <w:tcBorders>
              <w:top w:val="nil"/>
              <w:left w:val="single" w:sz="8" w:space="0" w:color="E0E0E0"/>
              <w:bottom w:val="single" w:sz="8" w:space="0" w:color="152935"/>
              <w:right w:val="single" w:sz="8" w:space="0" w:color="E0E0E0"/>
            </w:tcBorders>
            <w:shd w:val="clear" w:color="auto" w:fill="auto"/>
            <w:vAlign w:val="bottom"/>
          </w:tcPr>
          <w:p w14:paraId="098AFD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250" w:type="dxa"/>
            <w:tcBorders>
              <w:top w:val="nil"/>
              <w:left w:val="single" w:sz="8" w:space="0" w:color="E0E0E0"/>
              <w:bottom w:val="single" w:sz="8" w:space="0" w:color="152935"/>
              <w:right w:val="single" w:sz="8" w:space="0" w:color="E0E0E0"/>
            </w:tcBorders>
            <w:shd w:val="clear" w:color="auto" w:fill="auto"/>
            <w:vAlign w:val="bottom"/>
          </w:tcPr>
          <w:p w14:paraId="34338C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810" w:type="dxa"/>
            <w:vMerge/>
            <w:tcBorders>
              <w:top w:val="nil"/>
              <w:left w:val="single" w:sz="8" w:space="0" w:color="E0E0E0"/>
              <w:bottom w:val="nil"/>
              <w:right w:val="single" w:sz="8" w:space="0" w:color="E0E0E0"/>
            </w:tcBorders>
            <w:shd w:val="clear" w:color="auto" w:fill="auto"/>
            <w:vAlign w:val="bottom"/>
          </w:tcPr>
          <w:p w14:paraId="3893882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68" w:type="dxa"/>
            <w:vMerge/>
            <w:tcBorders>
              <w:top w:val="nil"/>
              <w:left w:val="single" w:sz="8" w:space="0" w:color="E0E0E0"/>
              <w:bottom w:val="nil"/>
              <w:right w:val="nil"/>
            </w:tcBorders>
            <w:shd w:val="clear" w:color="auto" w:fill="auto"/>
            <w:vAlign w:val="bottom"/>
          </w:tcPr>
          <w:p w14:paraId="0EDA586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1A68557E" w14:textId="77777777" w:rsidTr="007A10B0">
        <w:trPr>
          <w:cantSplit/>
          <w:trHeight w:val="283"/>
        </w:trPr>
        <w:tc>
          <w:tcPr>
            <w:tcW w:w="345" w:type="dxa"/>
            <w:vMerge w:val="restart"/>
            <w:tcBorders>
              <w:top w:val="single" w:sz="8" w:space="0" w:color="152935"/>
              <w:left w:val="nil"/>
              <w:bottom w:val="single" w:sz="8" w:space="0" w:color="152935"/>
              <w:right w:val="nil"/>
            </w:tcBorders>
            <w:shd w:val="clear" w:color="auto" w:fill="auto"/>
          </w:tcPr>
          <w:p w14:paraId="1CD09C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788" w:type="dxa"/>
            <w:tcBorders>
              <w:top w:val="single" w:sz="8" w:space="0" w:color="152935"/>
              <w:left w:val="nil"/>
              <w:bottom w:val="single" w:sz="8" w:space="0" w:color="AEAEAE"/>
              <w:right w:val="nil"/>
            </w:tcBorders>
            <w:shd w:val="clear" w:color="auto" w:fill="auto"/>
          </w:tcPr>
          <w:p w14:paraId="0A22C1B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938" w:type="dxa"/>
            <w:tcBorders>
              <w:top w:val="single" w:sz="8" w:space="0" w:color="152935"/>
              <w:left w:val="nil"/>
              <w:bottom w:val="single" w:sz="8" w:space="0" w:color="AEAEAE"/>
              <w:right w:val="single" w:sz="8" w:space="0" w:color="E0E0E0"/>
            </w:tcBorders>
            <w:shd w:val="clear" w:color="auto" w:fill="auto"/>
          </w:tcPr>
          <w:p w14:paraId="726D76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2.785</w:t>
            </w:r>
          </w:p>
        </w:tc>
        <w:tc>
          <w:tcPr>
            <w:tcW w:w="1879" w:type="dxa"/>
            <w:tcBorders>
              <w:top w:val="single" w:sz="8" w:space="0" w:color="152935"/>
              <w:left w:val="single" w:sz="8" w:space="0" w:color="E0E0E0"/>
              <w:bottom w:val="single" w:sz="8" w:space="0" w:color="AEAEAE"/>
              <w:right w:val="single" w:sz="8" w:space="0" w:color="E0E0E0"/>
            </w:tcBorders>
            <w:shd w:val="clear" w:color="auto" w:fill="auto"/>
          </w:tcPr>
          <w:p w14:paraId="6C752A9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.294</w:t>
            </w:r>
          </w:p>
        </w:tc>
        <w:tc>
          <w:tcPr>
            <w:tcW w:w="2250" w:type="dxa"/>
            <w:tcBorders>
              <w:top w:val="single" w:sz="8" w:space="0" w:color="152935"/>
              <w:left w:val="single" w:sz="8" w:space="0" w:color="E0E0E0"/>
              <w:bottom w:val="single" w:sz="8" w:space="0" w:color="AEAEAE"/>
              <w:right w:val="single" w:sz="8" w:space="0" w:color="E0E0E0"/>
            </w:tcBorders>
            <w:shd w:val="clear" w:color="auto" w:fill="auto"/>
            <w:vAlign w:val="center"/>
          </w:tcPr>
          <w:p w14:paraId="65F0A37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10" w:type="dxa"/>
            <w:tcBorders>
              <w:top w:val="single" w:sz="8" w:space="0" w:color="152935"/>
              <w:left w:val="single" w:sz="8" w:space="0" w:color="E0E0E0"/>
              <w:bottom w:val="single" w:sz="8" w:space="0" w:color="AEAEAE"/>
              <w:right w:val="single" w:sz="8" w:space="0" w:color="E0E0E0"/>
            </w:tcBorders>
            <w:shd w:val="clear" w:color="auto" w:fill="auto"/>
          </w:tcPr>
          <w:p w14:paraId="5BBC3C1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9.476</w:t>
            </w:r>
          </w:p>
        </w:tc>
        <w:tc>
          <w:tcPr>
            <w:tcW w:w="868" w:type="dxa"/>
            <w:tcBorders>
              <w:top w:val="single" w:sz="8" w:space="0" w:color="152935"/>
              <w:left w:val="single" w:sz="8" w:space="0" w:color="E0E0E0"/>
              <w:bottom w:val="single" w:sz="8" w:space="0" w:color="AEAEAE"/>
              <w:right w:val="nil"/>
            </w:tcBorders>
            <w:shd w:val="clear" w:color="auto" w:fill="auto"/>
          </w:tcPr>
          <w:p w14:paraId="5F59FD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r>
      <w:tr w:rsidR="006E3616" w:rsidRPr="00400193" w14:paraId="1B0AE146" w14:textId="77777777" w:rsidTr="007A10B0">
        <w:trPr>
          <w:cantSplit/>
          <w:trHeight w:val="283"/>
        </w:trPr>
        <w:tc>
          <w:tcPr>
            <w:tcW w:w="345" w:type="dxa"/>
            <w:vMerge/>
            <w:tcBorders>
              <w:top w:val="single" w:sz="8" w:space="0" w:color="152935"/>
              <w:left w:val="nil"/>
              <w:bottom w:val="single" w:sz="8" w:space="0" w:color="152935"/>
              <w:right w:val="nil"/>
            </w:tcBorders>
            <w:shd w:val="clear" w:color="auto" w:fill="auto"/>
          </w:tcPr>
          <w:p w14:paraId="2FA472B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788" w:type="dxa"/>
            <w:tcBorders>
              <w:top w:val="single" w:sz="8" w:space="0" w:color="AEAEAE"/>
              <w:left w:val="nil"/>
              <w:bottom w:val="single" w:sz="8" w:space="0" w:color="AEAEAE"/>
              <w:right w:val="nil"/>
            </w:tcBorders>
            <w:shd w:val="clear" w:color="auto" w:fill="auto"/>
          </w:tcPr>
          <w:p w14:paraId="52D22D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c>
          <w:tcPr>
            <w:tcW w:w="938" w:type="dxa"/>
            <w:tcBorders>
              <w:top w:val="single" w:sz="8" w:space="0" w:color="AEAEAE"/>
              <w:left w:val="nil"/>
              <w:bottom w:val="single" w:sz="8" w:space="0" w:color="AEAEAE"/>
              <w:right w:val="single" w:sz="8" w:space="0" w:color="E0E0E0"/>
            </w:tcBorders>
            <w:shd w:val="clear" w:color="auto" w:fill="auto"/>
          </w:tcPr>
          <w:p w14:paraId="6415344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.112</w:t>
            </w:r>
          </w:p>
        </w:tc>
        <w:tc>
          <w:tcPr>
            <w:tcW w:w="1879" w:type="dxa"/>
            <w:tcBorders>
              <w:top w:val="single" w:sz="8" w:space="0" w:color="AEAEAE"/>
              <w:left w:val="single" w:sz="8" w:space="0" w:color="E0E0E0"/>
              <w:bottom w:val="single" w:sz="8" w:space="0" w:color="AEAEAE"/>
              <w:right w:val="single" w:sz="8" w:space="0" w:color="E0E0E0"/>
            </w:tcBorders>
            <w:shd w:val="clear" w:color="auto" w:fill="auto"/>
          </w:tcPr>
          <w:p w14:paraId="1C82D15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.077</w:t>
            </w:r>
          </w:p>
        </w:tc>
        <w:tc>
          <w:tcPr>
            <w:tcW w:w="2250" w:type="dxa"/>
            <w:tcBorders>
              <w:top w:val="single" w:sz="8" w:space="0" w:color="AEAEAE"/>
              <w:left w:val="single" w:sz="8" w:space="0" w:color="E0E0E0"/>
              <w:bottom w:val="single" w:sz="8" w:space="0" w:color="AEAEAE"/>
              <w:right w:val="single" w:sz="8" w:space="0" w:color="E0E0E0"/>
            </w:tcBorders>
            <w:shd w:val="clear" w:color="auto" w:fill="auto"/>
          </w:tcPr>
          <w:p w14:paraId="61A50E9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.142</w:t>
            </w:r>
          </w:p>
        </w:tc>
        <w:tc>
          <w:tcPr>
            <w:tcW w:w="810" w:type="dxa"/>
            <w:tcBorders>
              <w:top w:val="single" w:sz="8" w:space="0" w:color="AEAEAE"/>
              <w:left w:val="single" w:sz="8" w:space="0" w:color="E0E0E0"/>
              <w:bottom w:val="single" w:sz="8" w:space="0" w:color="AEAEAE"/>
              <w:right w:val="single" w:sz="8" w:space="0" w:color="E0E0E0"/>
            </w:tcBorders>
            <w:shd w:val="clear" w:color="auto" w:fill="auto"/>
          </w:tcPr>
          <w:p w14:paraId="142E25A8" w14:textId="1B53A63C"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511C8B" w:rsidRPr="00400193">
              <w:rPr>
                <w:rFonts w:asciiTheme="minorHAnsi" w:hAnsiTheme="minorHAnsi" w:cstheme="minorHAnsi"/>
                <w:sz w:val="20"/>
                <w:szCs w:val="18"/>
                <w:lang w:eastAsia="zh-CN" w:bidi="hi-IN"/>
              </w:rPr>
              <w:t>1</w:t>
            </w:r>
            <w:r w:rsidRPr="00400193">
              <w:rPr>
                <w:rFonts w:asciiTheme="minorHAnsi" w:hAnsiTheme="minorHAnsi" w:cstheme="minorHAnsi"/>
                <w:sz w:val="20"/>
                <w:szCs w:val="18"/>
                <w:lang w:eastAsia="zh-CN" w:bidi="hi-IN"/>
              </w:rPr>
              <w:t>.451</w:t>
            </w:r>
          </w:p>
        </w:tc>
        <w:tc>
          <w:tcPr>
            <w:tcW w:w="868" w:type="dxa"/>
            <w:tcBorders>
              <w:top w:val="single" w:sz="8" w:space="0" w:color="AEAEAE"/>
              <w:left w:val="single" w:sz="8" w:space="0" w:color="E0E0E0"/>
              <w:bottom w:val="single" w:sz="8" w:space="0" w:color="AEAEAE"/>
              <w:right w:val="nil"/>
            </w:tcBorders>
            <w:shd w:val="clear" w:color="auto" w:fill="auto"/>
          </w:tcPr>
          <w:p w14:paraId="49674D3C" w14:textId="072962D3" w:rsidR="006E3616" w:rsidRPr="00400193" w:rsidRDefault="00511C8B"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0.00015</w:t>
            </w:r>
          </w:p>
        </w:tc>
      </w:tr>
      <w:tr w:rsidR="003D7369" w:rsidRPr="00400193" w14:paraId="71CCB719" w14:textId="77777777" w:rsidTr="007A10B0">
        <w:trPr>
          <w:cantSplit/>
          <w:trHeight w:val="283"/>
        </w:trPr>
        <w:tc>
          <w:tcPr>
            <w:tcW w:w="8878" w:type="dxa"/>
            <w:gridSpan w:val="7"/>
            <w:tcBorders>
              <w:top w:val="single" w:sz="8" w:space="0" w:color="152935"/>
              <w:left w:val="nil"/>
              <w:bottom w:val="single" w:sz="8" w:space="0" w:color="152935"/>
              <w:right w:val="nil"/>
            </w:tcBorders>
            <w:shd w:val="clear" w:color="auto" w:fill="auto"/>
          </w:tcPr>
          <w:p w14:paraId="21EBE569" w14:textId="291030EB" w:rsidR="003D7369" w:rsidRPr="00400193" w:rsidRDefault="003D7369"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0B70F22E" w14:textId="2ECF1DD3" w:rsidR="006E3616" w:rsidRPr="00400193" w:rsidRDefault="006E3616" w:rsidP="006E3616">
      <w:pPr>
        <w:pStyle w:val="Caption"/>
        <w:rPr>
          <w:b w:val="0"/>
          <w:bCs/>
          <w:lang w:eastAsia="zh-CN" w:bidi="hi-IN"/>
        </w:rPr>
      </w:pPr>
      <w:bookmarkStart w:id="654" w:name="_Ref51432729"/>
      <w:bookmarkStart w:id="655" w:name="_Toc5290161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72</w:t>
      </w:r>
      <w:r w:rsidRPr="00400193">
        <w:fldChar w:fldCharType="end"/>
      </w:r>
      <w:bookmarkEnd w:id="654"/>
      <w:r w:rsidRPr="00400193">
        <w:t xml:space="preserve">: Coefficients </w:t>
      </w:r>
      <w:r w:rsidRPr="00400193">
        <w:rPr>
          <w:vertAlign w:val="superscript"/>
        </w:rPr>
        <w:t>a</w:t>
      </w:r>
      <w:r w:rsidRPr="00400193">
        <w:t xml:space="preserve"> of the regression model VW</w:t>
      </w:r>
      <w:bookmarkEnd w:id="655"/>
    </w:p>
    <w:p w14:paraId="07078796" w14:textId="77777777" w:rsidR="006E3616" w:rsidRPr="00400193" w:rsidRDefault="006E3616" w:rsidP="006E3616">
      <w:pPr>
        <w:spacing w:line="240" w:lineRule="auto"/>
        <w:rPr>
          <w:b/>
          <w:bCs/>
          <w:lang w:eastAsia="zh-CN" w:bidi="hi-IN"/>
        </w:rPr>
      </w:pPr>
    </w:p>
    <w:p w14:paraId="46E933CC" w14:textId="77777777" w:rsidR="006E3616" w:rsidRPr="00400193" w:rsidRDefault="006E3616" w:rsidP="008F2086">
      <w:pPr>
        <w:pStyle w:val="Heading4"/>
        <w:rPr>
          <w:lang w:eastAsia="zh-CN" w:bidi="hi-IN"/>
        </w:rPr>
      </w:pPr>
      <w:bookmarkStart w:id="656" w:name="_Toc61894777"/>
      <w:r w:rsidRPr="00400193">
        <w:rPr>
          <w:lang w:eastAsia="zh-CN" w:bidi="hi-IN"/>
        </w:rPr>
        <w:t>Testing for Collinearity of the Independent Variables</w:t>
      </w:r>
      <w:bookmarkEnd w:id="656"/>
    </w:p>
    <w:p w14:paraId="7B74FCB0" w14:textId="6BDAD2CB" w:rsidR="006E3616" w:rsidRPr="00400193" w:rsidRDefault="006E3616" w:rsidP="006E3616">
      <w:pPr>
        <w:rPr>
          <w:lang w:eastAsia="zh-CN" w:bidi="hi-IN"/>
        </w:rPr>
      </w:pPr>
      <w:r w:rsidRPr="00400193">
        <w:rPr>
          <w:lang w:eastAsia="zh-CN" w:bidi="hi-IN"/>
        </w:rPr>
        <w:t xml:space="preserve">The collinearity results for the independent variables of the study are in </w:t>
      </w:r>
      <w:r w:rsidR="00BA4982" w:rsidRPr="00400193">
        <w:rPr>
          <w:lang w:eastAsia="zh-CN" w:bidi="hi-IN"/>
        </w:rPr>
        <w:fldChar w:fldCharType="begin"/>
      </w:r>
      <w:r w:rsidR="00BA4982" w:rsidRPr="00400193">
        <w:rPr>
          <w:lang w:eastAsia="zh-CN" w:bidi="hi-IN"/>
        </w:rPr>
        <w:instrText xml:space="preserve"> REF _Ref52797330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73</w:t>
      </w:r>
      <w:r w:rsidR="00BA4982" w:rsidRPr="00400193">
        <w:rPr>
          <w:lang w:eastAsia="zh-CN" w:bidi="hi-IN"/>
        </w:rPr>
        <w:fldChar w:fldCharType="end"/>
      </w:r>
      <w:r w:rsidRPr="00400193">
        <w:rPr>
          <w:lang w:eastAsia="zh-CN" w:bidi="hi-IN"/>
        </w:rPr>
        <w:t>.</w:t>
      </w:r>
    </w:p>
    <w:tbl>
      <w:tblPr>
        <w:tblW w:w="88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1"/>
        <w:gridCol w:w="1185"/>
        <w:gridCol w:w="1185"/>
        <w:gridCol w:w="1422"/>
        <w:gridCol w:w="1140"/>
        <w:gridCol w:w="3161"/>
      </w:tblGrid>
      <w:tr w:rsidR="006E3616" w:rsidRPr="00400193" w14:paraId="1E137A75" w14:textId="77777777" w:rsidTr="003D7369">
        <w:trPr>
          <w:cantSplit/>
          <w:trHeight w:val="283"/>
        </w:trPr>
        <w:tc>
          <w:tcPr>
            <w:tcW w:w="8864" w:type="dxa"/>
            <w:gridSpan w:val="6"/>
            <w:tcBorders>
              <w:top w:val="nil"/>
              <w:left w:val="nil"/>
              <w:bottom w:val="nil"/>
              <w:right w:val="nil"/>
            </w:tcBorders>
            <w:shd w:val="clear" w:color="auto" w:fill="auto"/>
            <w:vAlign w:val="center"/>
          </w:tcPr>
          <w:p w14:paraId="520ED52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73CF030F" w14:textId="77777777" w:rsidTr="003D7369">
        <w:trPr>
          <w:cantSplit/>
          <w:trHeight w:val="283"/>
        </w:trPr>
        <w:tc>
          <w:tcPr>
            <w:tcW w:w="771" w:type="dxa"/>
            <w:vMerge w:val="restart"/>
            <w:tcBorders>
              <w:top w:val="nil"/>
              <w:left w:val="nil"/>
              <w:bottom w:val="nil"/>
              <w:right w:val="nil"/>
            </w:tcBorders>
            <w:shd w:val="clear" w:color="auto" w:fill="auto"/>
            <w:vAlign w:val="bottom"/>
          </w:tcPr>
          <w:p w14:paraId="6C4D8C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85" w:type="dxa"/>
            <w:vMerge w:val="restart"/>
            <w:tcBorders>
              <w:top w:val="nil"/>
              <w:left w:val="nil"/>
              <w:bottom w:val="nil"/>
              <w:right w:val="nil"/>
            </w:tcBorders>
            <w:shd w:val="clear" w:color="auto" w:fill="auto"/>
            <w:vAlign w:val="bottom"/>
          </w:tcPr>
          <w:p w14:paraId="761BCA0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85" w:type="dxa"/>
            <w:vMerge w:val="restart"/>
            <w:tcBorders>
              <w:top w:val="nil"/>
              <w:left w:val="nil"/>
              <w:bottom w:val="nil"/>
              <w:right w:val="single" w:sz="8" w:space="0" w:color="E0E0E0"/>
            </w:tcBorders>
            <w:shd w:val="clear" w:color="auto" w:fill="auto"/>
            <w:vAlign w:val="bottom"/>
          </w:tcPr>
          <w:p w14:paraId="23234DE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22" w:type="dxa"/>
            <w:vMerge w:val="restart"/>
            <w:tcBorders>
              <w:top w:val="nil"/>
              <w:left w:val="single" w:sz="8" w:space="0" w:color="E0E0E0"/>
              <w:bottom w:val="nil"/>
              <w:right w:val="single" w:sz="8" w:space="0" w:color="E0E0E0"/>
            </w:tcBorders>
            <w:shd w:val="clear" w:color="auto" w:fill="auto"/>
            <w:vAlign w:val="bottom"/>
          </w:tcPr>
          <w:p w14:paraId="1C6FA60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298" w:type="dxa"/>
            <w:gridSpan w:val="2"/>
            <w:tcBorders>
              <w:top w:val="nil"/>
              <w:left w:val="single" w:sz="8" w:space="0" w:color="E0E0E0"/>
              <w:bottom w:val="nil"/>
              <w:right w:val="nil"/>
            </w:tcBorders>
            <w:shd w:val="clear" w:color="auto" w:fill="auto"/>
            <w:vAlign w:val="bottom"/>
          </w:tcPr>
          <w:p w14:paraId="0240321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017FB421" w14:textId="77777777" w:rsidTr="003D7369">
        <w:trPr>
          <w:cantSplit/>
          <w:trHeight w:val="283"/>
        </w:trPr>
        <w:tc>
          <w:tcPr>
            <w:tcW w:w="771" w:type="dxa"/>
            <w:vMerge/>
            <w:tcBorders>
              <w:top w:val="nil"/>
              <w:left w:val="nil"/>
              <w:bottom w:val="nil"/>
              <w:right w:val="nil"/>
            </w:tcBorders>
            <w:shd w:val="clear" w:color="auto" w:fill="auto"/>
            <w:vAlign w:val="bottom"/>
          </w:tcPr>
          <w:p w14:paraId="67B53AB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5" w:type="dxa"/>
            <w:vMerge/>
            <w:tcBorders>
              <w:top w:val="nil"/>
              <w:left w:val="nil"/>
              <w:bottom w:val="nil"/>
              <w:right w:val="nil"/>
            </w:tcBorders>
            <w:shd w:val="clear" w:color="auto" w:fill="auto"/>
            <w:vAlign w:val="bottom"/>
          </w:tcPr>
          <w:p w14:paraId="2E99FDA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5" w:type="dxa"/>
            <w:vMerge/>
            <w:tcBorders>
              <w:top w:val="nil"/>
              <w:left w:val="nil"/>
              <w:bottom w:val="nil"/>
              <w:right w:val="single" w:sz="8" w:space="0" w:color="E0E0E0"/>
            </w:tcBorders>
            <w:shd w:val="clear" w:color="auto" w:fill="auto"/>
            <w:vAlign w:val="bottom"/>
          </w:tcPr>
          <w:p w14:paraId="64A4EFF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22" w:type="dxa"/>
            <w:vMerge/>
            <w:tcBorders>
              <w:top w:val="nil"/>
              <w:left w:val="single" w:sz="8" w:space="0" w:color="E0E0E0"/>
              <w:bottom w:val="nil"/>
              <w:right w:val="single" w:sz="8" w:space="0" w:color="E0E0E0"/>
            </w:tcBorders>
            <w:shd w:val="clear" w:color="auto" w:fill="auto"/>
            <w:vAlign w:val="bottom"/>
          </w:tcPr>
          <w:p w14:paraId="2695EF8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0" w:type="dxa"/>
            <w:tcBorders>
              <w:top w:val="nil"/>
              <w:left w:val="single" w:sz="8" w:space="0" w:color="E0E0E0"/>
              <w:bottom w:val="single" w:sz="8" w:space="0" w:color="152935"/>
              <w:right w:val="single" w:sz="8" w:space="0" w:color="E0E0E0"/>
            </w:tcBorders>
            <w:shd w:val="clear" w:color="auto" w:fill="auto"/>
            <w:vAlign w:val="bottom"/>
          </w:tcPr>
          <w:p w14:paraId="6113EFD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3157" w:type="dxa"/>
            <w:tcBorders>
              <w:top w:val="nil"/>
              <w:left w:val="single" w:sz="8" w:space="0" w:color="E0E0E0"/>
              <w:bottom w:val="single" w:sz="8" w:space="0" w:color="152935"/>
              <w:right w:val="nil"/>
            </w:tcBorders>
            <w:shd w:val="clear" w:color="auto" w:fill="auto"/>
            <w:vAlign w:val="bottom"/>
          </w:tcPr>
          <w:p w14:paraId="54E5732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r>
      <w:tr w:rsidR="006E3616" w:rsidRPr="00400193" w14:paraId="3523F824" w14:textId="77777777" w:rsidTr="003D7369">
        <w:trPr>
          <w:cantSplit/>
          <w:trHeight w:val="283"/>
        </w:trPr>
        <w:tc>
          <w:tcPr>
            <w:tcW w:w="771" w:type="dxa"/>
            <w:vMerge w:val="restart"/>
            <w:tcBorders>
              <w:top w:val="single" w:sz="8" w:space="0" w:color="152935"/>
              <w:left w:val="nil"/>
              <w:bottom w:val="single" w:sz="8" w:space="0" w:color="152935"/>
              <w:right w:val="nil"/>
            </w:tcBorders>
            <w:shd w:val="clear" w:color="auto" w:fill="auto"/>
          </w:tcPr>
          <w:p w14:paraId="1B2E0D5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85" w:type="dxa"/>
            <w:tcBorders>
              <w:top w:val="single" w:sz="8" w:space="0" w:color="152935"/>
              <w:left w:val="nil"/>
              <w:bottom w:val="single" w:sz="8" w:space="0" w:color="AEAEAE"/>
              <w:right w:val="nil"/>
            </w:tcBorders>
            <w:shd w:val="clear" w:color="auto" w:fill="auto"/>
          </w:tcPr>
          <w:p w14:paraId="50C3652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85" w:type="dxa"/>
            <w:tcBorders>
              <w:top w:val="single" w:sz="8" w:space="0" w:color="152935"/>
              <w:left w:val="nil"/>
              <w:bottom w:val="single" w:sz="8" w:space="0" w:color="AEAEAE"/>
              <w:right w:val="single" w:sz="8" w:space="0" w:color="E0E0E0"/>
            </w:tcBorders>
            <w:shd w:val="clear" w:color="auto" w:fill="auto"/>
          </w:tcPr>
          <w:p w14:paraId="730D64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1.980</w:t>
            </w:r>
          </w:p>
        </w:tc>
        <w:tc>
          <w:tcPr>
            <w:tcW w:w="1422" w:type="dxa"/>
            <w:tcBorders>
              <w:top w:val="single" w:sz="8" w:space="0" w:color="152935"/>
              <w:left w:val="single" w:sz="8" w:space="0" w:color="E0E0E0"/>
              <w:bottom w:val="single" w:sz="8" w:space="0" w:color="AEAEAE"/>
              <w:right w:val="single" w:sz="8" w:space="0" w:color="E0E0E0"/>
            </w:tcBorders>
            <w:shd w:val="clear" w:color="auto" w:fill="auto"/>
          </w:tcPr>
          <w:p w14:paraId="63C6E9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140" w:type="dxa"/>
            <w:tcBorders>
              <w:top w:val="single" w:sz="8" w:space="0" w:color="152935"/>
              <w:left w:val="single" w:sz="8" w:space="0" w:color="E0E0E0"/>
              <w:bottom w:val="single" w:sz="8" w:space="0" w:color="AEAEAE"/>
              <w:right w:val="single" w:sz="8" w:space="0" w:color="E0E0E0"/>
            </w:tcBorders>
            <w:shd w:val="clear" w:color="auto" w:fill="auto"/>
          </w:tcPr>
          <w:p w14:paraId="60FE97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3157" w:type="dxa"/>
            <w:tcBorders>
              <w:top w:val="single" w:sz="8" w:space="0" w:color="152935"/>
              <w:left w:val="single" w:sz="8" w:space="0" w:color="E0E0E0"/>
              <w:bottom w:val="single" w:sz="8" w:space="0" w:color="AEAEAE"/>
              <w:right w:val="nil"/>
            </w:tcBorders>
            <w:shd w:val="clear" w:color="auto" w:fill="auto"/>
          </w:tcPr>
          <w:p w14:paraId="21FAFF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r>
      <w:tr w:rsidR="006E3616" w:rsidRPr="00400193" w14:paraId="0EF9D5C2" w14:textId="77777777" w:rsidTr="003D7369">
        <w:trPr>
          <w:cantSplit/>
          <w:trHeight w:val="283"/>
        </w:trPr>
        <w:tc>
          <w:tcPr>
            <w:tcW w:w="771" w:type="dxa"/>
            <w:vMerge/>
            <w:tcBorders>
              <w:top w:val="single" w:sz="8" w:space="0" w:color="152935"/>
              <w:left w:val="nil"/>
              <w:bottom w:val="single" w:sz="8" w:space="0" w:color="152935"/>
              <w:right w:val="nil"/>
            </w:tcBorders>
            <w:shd w:val="clear" w:color="auto" w:fill="auto"/>
          </w:tcPr>
          <w:p w14:paraId="3FF356F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5" w:type="dxa"/>
            <w:tcBorders>
              <w:top w:val="single" w:sz="8" w:space="0" w:color="AEAEAE"/>
              <w:left w:val="nil"/>
              <w:bottom w:val="single" w:sz="8" w:space="0" w:color="152935"/>
              <w:right w:val="nil"/>
            </w:tcBorders>
            <w:shd w:val="clear" w:color="auto" w:fill="auto"/>
          </w:tcPr>
          <w:p w14:paraId="755D26E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85" w:type="dxa"/>
            <w:tcBorders>
              <w:top w:val="single" w:sz="8" w:space="0" w:color="AEAEAE"/>
              <w:left w:val="nil"/>
              <w:bottom w:val="single" w:sz="8" w:space="0" w:color="152935"/>
              <w:right w:val="single" w:sz="8" w:space="0" w:color="E0E0E0"/>
            </w:tcBorders>
            <w:shd w:val="clear" w:color="auto" w:fill="auto"/>
          </w:tcPr>
          <w:p w14:paraId="11AAB4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.020</w:t>
            </w:r>
          </w:p>
        </w:tc>
        <w:tc>
          <w:tcPr>
            <w:tcW w:w="1422" w:type="dxa"/>
            <w:tcBorders>
              <w:top w:val="single" w:sz="8" w:space="0" w:color="AEAEAE"/>
              <w:left w:val="single" w:sz="8" w:space="0" w:color="E0E0E0"/>
              <w:bottom w:val="single" w:sz="8" w:space="0" w:color="152935"/>
              <w:right w:val="single" w:sz="8" w:space="0" w:color="E0E0E0"/>
            </w:tcBorders>
            <w:shd w:val="clear" w:color="auto" w:fill="auto"/>
          </w:tcPr>
          <w:p w14:paraId="5CD2D68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10.048</w:t>
            </w:r>
          </w:p>
        </w:tc>
        <w:tc>
          <w:tcPr>
            <w:tcW w:w="1140" w:type="dxa"/>
            <w:tcBorders>
              <w:top w:val="single" w:sz="8" w:space="0" w:color="AEAEAE"/>
              <w:left w:val="single" w:sz="8" w:space="0" w:color="E0E0E0"/>
              <w:bottom w:val="single" w:sz="8" w:space="0" w:color="152935"/>
              <w:right w:val="single" w:sz="8" w:space="0" w:color="E0E0E0"/>
            </w:tcBorders>
            <w:shd w:val="clear" w:color="auto" w:fill="auto"/>
          </w:tcPr>
          <w:p w14:paraId="1F7D68A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c>
          <w:tcPr>
            <w:tcW w:w="3157" w:type="dxa"/>
            <w:tcBorders>
              <w:top w:val="single" w:sz="8" w:space="0" w:color="AEAEAE"/>
              <w:left w:val="single" w:sz="8" w:space="0" w:color="E0E0E0"/>
              <w:bottom w:val="single" w:sz="8" w:space="0" w:color="152935"/>
              <w:right w:val="nil"/>
            </w:tcBorders>
            <w:shd w:val="clear" w:color="auto" w:fill="auto"/>
          </w:tcPr>
          <w:p w14:paraId="2925174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r>
      <w:tr w:rsidR="006E3616" w:rsidRPr="00400193" w14:paraId="4D4721D4" w14:textId="77777777" w:rsidTr="003D7369">
        <w:trPr>
          <w:cantSplit/>
          <w:trHeight w:val="283"/>
        </w:trPr>
        <w:tc>
          <w:tcPr>
            <w:tcW w:w="8864" w:type="dxa"/>
            <w:gridSpan w:val="6"/>
            <w:tcBorders>
              <w:top w:val="nil"/>
              <w:left w:val="nil"/>
              <w:bottom w:val="nil"/>
              <w:right w:val="nil"/>
            </w:tcBorders>
            <w:shd w:val="clear" w:color="auto" w:fill="auto"/>
          </w:tcPr>
          <w:p w14:paraId="218A2F59"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3CE99A35" w14:textId="00B9ABEB" w:rsidR="006E3616" w:rsidRPr="00400193" w:rsidRDefault="006E3616" w:rsidP="006E3616">
      <w:pPr>
        <w:pStyle w:val="Caption"/>
        <w:spacing w:after="240"/>
        <w:rPr>
          <w:lang w:eastAsia="zh-CN" w:bidi="hi-IN"/>
        </w:rPr>
      </w:pPr>
      <w:bookmarkStart w:id="657" w:name="_Ref52797330"/>
      <w:bookmarkStart w:id="658" w:name="_Toc5290161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73</w:t>
      </w:r>
      <w:r w:rsidRPr="00400193">
        <w:fldChar w:fldCharType="end"/>
      </w:r>
      <w:bookmarkEnd w:id="657"/>
      <w:r w:rsidRPr="00400193">
        <w:t>: Testing the Collinearity between variables for VW</w:t>
      </w:r>
      <w:bookmarkEnd w:id="658"/>
    </w:p>
    <w:p w14:paraId="68CDB513" w14:textId="2F37DD06" w:rsidR="006E3616" w:rsidRPr="00400193" w:rsidRDefault="00BA4982" w:rsidP="006E3616">
      <w:pPr>
        <w:rPr>
          <w:lang w:eastAsia="zh-CN" w:bidi="hi-IN"/>
        </w:rPr>
      </w:pPr>
      <w:r w:rsidRPr="00400193">
        <w:rPr>
          <w:lang w:eastAsia="zh-CN" w:bidi="hi-IN"/>
        </w:rPr>
        <w:fldChar w:fldCharType="begin"/>
      </w:r>
      <w:r w:rsidRPr="00400193">
        <w:rPr>
          <w:lang w:eastAsia="zh-CN" w:bidi="hi-IN"/>
        </w:rPr>
        <w:instrText xml:space="preserve"> REF _Ref52797330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73</w:t>
      </w:r>
      <w:r w:rsidRPr="00400193">
        <w:rPr>
          <w:lang w:eastAsia="zh-CN" w:bidi="hi-IN"/>
        </w:rPr>
        <w:fldChar w:fldCharType="end"/>
      </w:r>
      <w:r w:rsidR="006E3616" w:rsidRPr="00400193">
        <w:rPr>
          <w:lang w:eastAsia="zh-CN" w:bidi="hi-IN"/>
        </w:rPr>
        <w:t xml:space="preserve"> shows that the variables have a condition index slightly over 10 (10.048), so the variable had a slight collinearity.</w:t>
      </w:r>
    </w:p>
    <w:p w14:paraId="36A8813B" w14:textId="77777777" w:rsidR="006E3616" w:rsidRPr="00400193" w:rsidRDefault="006E3616" w:rsidP="008F2086">
      <w:pPr>
        <w:pStyle w:val="Heading4"/>
        <w:rPr>
          <w:lang w:eastAsia="zh-CN" w:bidi="hi-IN"/>
        </w:rPr>
      </w:pPr>
      <w:bookmarkStart w:id="659" w:name="_Toc61894778"/>
      <w:r w:rsidRPr="00400193">
        <w:rPr>
          <w:lang w:eastAsia="zh-CN" w:bidi="hi-IN"/>
        </w:rPr>
        <w:lastRenderedPageBreak/>
        <w:t>Examining Residuals using Scatter Plots</w:t>
      </w:r>
      <w:bookmarkEnd w:id="659"/>
      <w:r w:rsidRPr="00400193">
        <w:rPr>
          <w:lang w:eastAsia="zh-CN" w:bidi="hi-IN"/>
        </w:rPr>
        <w:t xml:space="preserve"> </w:t>
      </w:r>
    </w:p>
    <w:p w14:paraId="79727A6A" w14:textId="0A9A34F3" w:rsidR="006E3616" w:rsidRPr="00400193" w:rsidRDefault="006E3616" w:rsidP="006E3616">
      <w:pPr>
        <w:rPr>
          <w:lang w:eastAsia="zh-CN" w:bidi="hi-IN"/>
        </w:rPr>
      </w:pPr>
      <w:r w:rsidRPr="00400193">
        <w:rPr>
          <w:lang w:eastAsia="zh-CN" w:bidi="hi-IN"/>
        </w:rPr>
        <w:t xml:space="preserve">The residual statistics from the regression analysis are in </w:t>
      </w:r>
      <w:r w:rsidR="00BA4982" w:rsidRPr="00400193">
        <w:rPr>
          <w:lang w:eastAsia="zh-CN" w:bidi="hi-IN"/>
        </w:rPr>
        <w:fldChar w:fldCharType="begin"/>
      </w:r>
      <w:r w:rsidR="00BA4982" w:rsidRPr="00400193">
        <w:rPr>
          <w:lang w:eastAsia="zh-CN" w:bidi="hi-IN"/>
        </w:rPr>
        <w:instrText xml:space="preserve"> REF _Ref52797367 \h </w:instrText>
      </w:r>
      <w:r w:rsidR="00BA4982" w:rsidRPr="00400193">
        <w:rPr>
          <w:lang w:eastAsia="zh-CN" w:bidi="hi-IN"/>
        </w:rPr>
      </w:r>
      <w:r w:rsidR="00BA4982"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74</w:t>
      </w:r>
      <w:r w:rsidR="00BA4982" w:rsidRPr="00400193">
        <w:rPr>
          <w:lang w:eastAsia="zh-CN" w:bidi="hi-IN"/>
        </w:rPr>
        <w:fldChar w:fldCharType="end"/>
      </w:r>
      <w:r w:rsidRPr="00400193">
        <w:rPr>
          <w:lang w:eastAsia="zh-CN" w:bidi="hi-IN"/>
        </w:rPr>
        <w:t xml:space="preserve">. </w:t>
      </w:r>
    </w:p>
    <w:tbl>
      <w:tblPr>
        <w:tblW w:w="8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8"/>
        <w:gridCol w:w="1028"/>
        <w:gridCol w:w="1058"/>
        <w:gridCol w:w="984"/>
        <w:gridCol w:w="1381"/>
        <w:gridCol w:w="2455"/>
      </w:tblGrid>
      <w:tr w:rsidR="006E3616" w:rsidRPr="00400193" w14:paraId="212652E3" w14:textId="77777777" w:rsidTr="003D7369">
        <w:trPr>
          <w:cantSplit/>
          <w:trHeight w:val="283"/>
        </w:trPr>
        <w:tc>
          <w:tcPr>
            <w:tcW w:w="8804" w:type="dxa"/>
            <w:gridSpan w:val="6"/>
            <w:tcBorders>
              <w:top w:val="nil"/>
              <w:left w:val="nil"/>
              <w:bottom w:val="nil"/>
              <w:right w:val="nil"/>
            </w:tcBorders>
            <w:shd w:val="clear" w:color="auto" w:fill="auto"/>
            <w:vAlign w:val="center"/>
          </w:tcPr>
          <w:p w14:paraId="37CF276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087449F7" w14:textId="77777777" w:rsidTr="003D7369">
        <w:trPr>
          <w:cantSplit/>
          <w:trHeight w:val="283"/>
        </w:trPr>
        <w:tc>
          <w:tcPr>
            <w:tcW w:w="1898" w:type="dxa"/>
            <w:tcBorders>
              <w:top w:val="nil"/>
              <w:left w:val="nil"/>
              <w:bottom w:val="single" w:sz="8" w:space="0" w:color="152935"/>
              <w:right w:val="nil"/>
            </w:tcBorders>
            <w:shd w:val="clear" w:color="auto" w:fill="auto"/>
            <w:vAlign w:val="bottom"/>
          </w:tcPr>
          <w:p w14:paraId="56468D1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28" w:type="dxa"/>
            <w:tcBorders>
              <w:top w:val="nil"/>
              <w:left w:val="nil"/>
              <w:bottom w:val="single" w:sz="8" w:space="0" w:color="152935"/>
              <w:right w:val="single" w:sz="8" w:space="0" w:color="E0E0E0"/>
            </w:tcBorders>
            <w:shd w:val="clear" w:color="auto" w:fill="auto"/>
            <w:vAlign w:val="bottom"/>
          </w:tcPr>
          <w:p w14:paraId="6BA018F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58" w:type="dxa"/>
            <w:tcBorders>
              <w:top w:val="nil"/>
              <w:left w:val="single" w:sz="8" w:space="0" w:color="E0E0E0"/>
              <w:bottom w:val="single" w:sz="8" w:space="0" w:color="152935"/>
              <w:right w:val="single" w:sz="8" w:space="0" w:color="E0E0E0"/>
            </w:tcBorders>
            <w:shd w:val="clear" w:color="auto" w:fill="auto"/>
            <w:vAlign w:val="bottom"/>
          </w:tcPr>
          <w:p w14:paraId="77EA21C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4" w:type="dxa"/>
            <w:tcBorders>
              <w:top w:val="nil"/>
              <w:left w:val="single" w:sz="8" w:space="0" w:color="E0E0E0"/>
              <w:bottom w:val="single" w:sz="8" w:space="0" w:color="152935"/>
              <w:right w:val="single" w:sz="8" w:space="0" w:color="E0E0E0"/>
            </w:tcBorders>
            <w:shd w:val="clear" w:color="auto" w:fill="auto"/>
            <w:vAlign w:val="bottom"/>
          </w:tcPr>
          <w:p w14:paraId="6C1FBB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81" w:type="dxa"/>
            <w:tcBorders>
              <w:top w:val="nil"/>
              <w:left w:val="single" w:sz="8" w:space="0" w:color="E0E0E0"/>
              <w:bottom w:val="single" w:sz="8" w:space="0" w:color="152935"/>
              <w:right w:val="single" w:sz="8" w:space="0" w:color="E0E0E0"/>
            </w:tcBorders>
            <w:shd w:val="clear" w:color="auto" w:fill="auto"/>
            <w:vAlign w:val="bottom"/>
          </w:tcPr>
          <w:p w14:paraId="186F75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455" w:type="dxa"/>
            <w:tcBorders>
              <w:top w:val="nil"/>
              <w:left w:val="single" w:sz="8" w:space="0" w:color="E0E0E0"/>
              <w:bottom w:val="single" w:sz="8" w:space="0" w:color="152935"/>
              <w:right w:val="nil"/>
            </w:tcBorders>
            <w:shd w:val="clear" w:color="auto" w:fill="auto"/>
            <w:vAlign w:val="bottom"/>
          </w:tcPr>
          <w:p w14:paraId="06F1E1E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588700DB" w14:textId="77777777" w:rsidTr="003D7369">
        <w:trPr>
          <w:cantSplit/>
          <w:trHeight w:val="283"/>
        </w:trPr>
        <w:tc>
          <w:tcPr>
            <w:tcW w:w="1898" w:type="dxa"/>
            <w:tcBorders>
              <w:top w:val="single" w:sz="8" w:space="0" w:color="152935"/>
              <w:left w:val="nil"/>
              <w:bottom w:val="single" w:sz="8" w:space="0" w:color="AEAEAE"/>
              <w:right w:val="nil"/>
            </w:tcBorders>
            <w:shd w:val="clear" w:color="auto" w:fill="auto"/>
          </w:tcPr>
          <w:p w14:paraId="7046438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28" w:type="dxa"/>
            <w:tcBorders>
              <w:top w:val="single" w:sz="8" w:space="0" w:color="152935"/>
              <w:left w:val="nil"/>
              <w:bottom w:val="single" w:sz="8" w:space="0" w:color="AEAEAE"/>
              <w:right w:val="single" w:sz="8" w:space="0" w:color="E0E0E0"/>
            </w:tcBorders>
            <w:shd w:val="clear" w:color="auto" w:fill="auto"/>
          </w:tcPr>
          <w:p w14:paraId="529A42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2.8969</w:t>
            </w:r>
          </w:p>
        </w:tc>
        <w:tc>
          <w:tcPr>
            <w:tcW w:w="1058" w:type="dxa"/>
            <w:tcBorders>
              <w:top w:val="single" w:sz="8" w:space="0" w:color="152935"/>
              <w:left w:val="single" w:sz="8" w:space="0" w:color="E0E0E0"/>
              <w:bottom w:val="single" w:sz="8" w:space="0" w:color="AEAEAE"/>
              <w:right w:val="single" w:sz="8" w:space="0" w:color="E0E0E0"/>
            </w:tcBorders>
            <w:shd w:val="clear" w:color="auto" w:fill="auto"/>
          </w:tcPr>
          <w:p w14:paraId="02EC7CC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3.3466</w:t>
            </w:r>
          </w:p>
        </w:tc>
        <w:tc>
          <w:tcPr>
            <w:tcW w:w="984" w:type="dxa"/>
            <w:tcBorders>
              <w:top w:val="single" w:sz="8" w:space="0" w:color="152935"/>
              <w:left w:val="single" w:sz="8" w:space="0" w:color="E0E0E0"/>
              <w:bottom w:val="single" w:sz="8" w:space="0" w:color="AEAEAE"/>
              <w:right w:val="single" w:sz="8" w:space="0" w:color="E0E0E0"/>
            </w:tcBorders>
            <w:shd w:val="clear" w:color="auto" w:fill="auto"/>
          </w:tcPr>
          <w:p w14:paraId="457B84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81" w:type="dxa"/>
            <w:tcBorders>
              <w:top w:val="single" w:sz="8" w:space="0" w:color="152935"/>
              <w:left w:val="single" w:sz="8" w:space="0" w:color="E0E0E0"/>
              <w:bottom w:val="single" w:sz="8" w:space="0" w:color="AEAEAE"/>
              <w:right w:val="single" w:sz="8" w:space="0" w:color="E0E0E0"/>
            </w:tcBorders>
            <w:shd w:val="clear" w:color="auto" w:fill="auto"/>
          </w:tcPr>
          <w:p w14:paraId="2E973B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.08442</w:t>
            </w:r>
          </w:p>
        </w:tc>
        <w:tc>
          <w:tcPr>
            <w:tcW w:w="2455" w:type="dxa"/>
            <w:tcBorders>
              <w:top w:val="single" w:sz="8" w:space="0" w:color="152935"/>
              <w:left w:val="single" w:sz="8" w:space="0" w:color="E0E0E0"/>
              <w:bottom w:val="single" w:sz="8" w:space="0" w:color="AEAEAE"/>
              <w:right w:val="nil"/>
            </w:tcBorders>
            <w:shd w:val="clear" w:color="auto" w:fill="auto"/>
          </w:tcPr>
          <w:p w14:paraId="7AC451E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E04EDFF" w14:textId="77777777" w:rsidTr="003D7369">
        <w:trPr>
          <w:cantSplit/>
          <w:trHeight w:val="283"/>
        </w:trPr>
        <w:tc>
          <w:tcPr>
            <w:tcW w:w="1898" w:type="dxa"/>
            <w:tcBorders>
              <w:top w:val="single" w:sz="8" w:space="0" w:color="AEAEAE"/>
              <w:left w:val="nil"/>
              <w:bottom w:val="single" w:sz="8" w:space="0" w:color="AEAEAE"/>
              <w:right w:val="nil"/>
            </w:tcBorders>
            <w:shd w:val="clear" w:color="auto" w:fill="auto"/>
          </w:tcPr>
          <w:p w14:paraId="4E38A7C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28" w:type="dxa"/>
            <w:tcBorders>
              <w:top w:val="single" w:sz="8" w:space="0" w:color="AEAEAE"/>
              <w:left w:val="nil"/>
              <w:bottom w:val="single" w:sz="8" w:space="0" w:color="AEAEAE"/>
              <w:right w:val="single" w:sz="8" w:space="0" w:color="E0E0E0"/>
            </w:tcBorders>
            <w:shd w:val="clear" w:color="auto" w:fill="auto"/>
          </w:tcPr>
          <w:p w14:paraId="6E8A3F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−2.01748</w:t>
            </w:r>
          </w:p>
        </w:tc>
        <w:tc>
          <w:tcPr>
            <w:tcW w:w="1058" w:type="dxa"/>
            <w:tcBorders>
              <w:top w:val="single" w:sz="8" w:space="0" w:color="AEAEAE"/>
              <w:left w:val="single" w:sz="8" w:space="0" w:color="E0E0E0"/>
              <w:bottom w:val="single" w:sz="8" w:space="0" w:color="AEAEAE"/>
              <w:right w:val="single" w:sz="8" w:space="0" w:color="E0E0E0"/>
            </w:tcBorders>
            <w:shd w:val="clear" w:color="auto" w:fill="auto"/>
          </w:tcPr>
          <w:p w14:paraId="48C3933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1.65877</w:t>
            </w:r>
          </w:p>
        </w:tc>
        <w:tc>
          <w:tcPr>
            <w:tcW w:w="984" w:type="dxa"/>
            <w:tcBorders>
              <w:top w:val="single" w:sz="8" w:space="0" w:color="AEAEAE"/>
              <w:left w:val="single" w:sz="8" w:space="0" w:color="E0E0E0"/>
              <w:bottom w:val="single" w:sz="8" w:space="0" w:color="AEAEAE"/>
              <w:right w:val="single" w:sz="8" w:space="0" w:color="E0E0E0"/>
            </w:tcBorders>
            <w:shd w:val="clear" w:color="auto" w:fill="auto"/>
          </w:tcPr>
          <w:p w14:paraId="11F33AF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81" w:type="dxa"/>
            <w:tcBorders>
              <w:top w:val="single" w:sz="8" w:space="0" w:color="AEAEAE"/>
              <w:left w:val="single" w:sz="8" w:space="0" w:color="E0E0E0"/>
              <w:bottom w:val="single" w:sz="8" w:space="0" w:color="AEAEAE"/>
              <w:right w:val="single" w:sz="8" w:space="0" w:color="E0E0E0"/>
            </w:tcBorders>
            <w:shd w:val="clear" w:color="auto" w:fill="auto"/>
          </w:tcPr>
          <w:p w14:paraId="3B28C52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.58776</w:t>
            </w:r>
          </w:p>
        </w:tc>
        <w:tc>
          <w:tcPr>
            <w:tcW w:w="2455" w:type="dxa"/>
            <w:tcBorders>
              <w:top w:val="single" w:sz="8" w:space="0" w:color="AEAEAE"/>
              <w:left w:val="single" w:sz="8" w:space="0" w:color="E0E0E0"/>
              <w:bottom w:val="single" w:sz="8" w:space="0" w:color="AEAEAE"/>
              <w:right w:val="nil"/>
            </w:tcBorders>
            <w:shd w:val="clear" w:color="auto" w:fill="auto"/>
          </w:tcPr>
          <w:p w14:paraId="261F68D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9DAA569" w14:textId="77777777" w:rsidTr="003D7369">
        <w:trPr>
          <w:cantSplit/>
          <w:trHeight w:val="283"/>
        </w:trPr>
        <w:tc>
          <w:tcPr>
            <w:tcW w:w="1898" w:type="dxa"/>
            <w:tcBorders>
              <w:top w:val="single" w:sz="8" w:space="0" w:color="AEAEAE"/>
              <w:left w:val="nil"/>
              <w:bottom w:val="single" w:sz="8" w:space="0" w:color="AEAEAE"/>
              <w:right w:val="nil"/>
            </w:tcBorders>
            <w:shd w:val="clear" w:color="auto" w:fill="auto"/>
          </w:tcPr>
          <w:p w14:paraId="3E2B21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28" w:type="dxa"/>
            <w:tcBorders>
              <w:top w:val="single" w:sz="8" w:space="0" w:color="AEAEAE"/>
              <w:left w:val="nil"/>
              <w:bottom w:val="single" w:sz="8" w:space="0" w:color="AEAEAE"/>
              <w:right w:val="single" w:sz="8" w:space="0" w:color="E0E0E0"/>
            </w:tcBorders>
            <w:shd w:val="clear" w:color="auto" w:fill="auto"/>
          </w:tcPr>
          <w:p w14:paraId="17BDCC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−3.619</w:t>
            </w:r>
          </w:p>
        </w:tc>
        <w:tc>
          <w:tcPr>
            <w:tcW w:w="1058" w:type="dxa"/>
            <w:tcBorders>
              <w:top w:val="single" w:sz="8" w:space="0" w:color="AEAEAE"/>
              <w:left w:val="single" w:sz="8" w:space="0" w:color="E0E0E0"/>
              <w:bottom w:val="single" w:sz="8" w:space="0" w:color="AEAEAE"/>
              <w:right w:val="single" w:sz="8" w:space="0" w:color="E0E0E0"/>
            </w:tcBorders>
            <w:shd w:val="clear" w:color="auto" w:fill="auto"/>
          </w:tcPr>
          <w:p w14:paraId="674EFED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1.708</w:t>
            </w:r>
          </w:p>
        </w:tc>
        <w:tc>
          <w:tcPr>
            <w:tcW w:w="984" w:type="dxa"/>
            <w:tcBorders>
              <w:top w:val="single" w:sz="8" w:space="0" w:color="AEAEAE"/>
              <w:left w:val="single" w:sz="8" w:space="0" w:color="E0E0E0"/>
              <w:bottom w:val="single" w:sz="8" w:space="0" w:color="AEAEAE"/>
              <w:right w:val="single" w:sz="8" w:space="0" w:color="E0E0E0"/>
            </w:tcBorders>
            <w:shd w:val="clear" w:color="auto" w:fill="auto"/>
          </w:tcPr>
          <w:p w14:paraId="5C92664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1" w:type="dxa"/>
            <w:tcBorders>
              <w:top w:val="single" w:sz="8" w:space="0" w:color="AEAEAE"/>
              <w:left w:val="single" w:sz="8" w:space="0" w:color="E0E0E0"/>
              <w:bottom w:val="single" w:sz="8" w:space="0" w:color="AEAEAE"/>
              <w:right w:val="single" w:sz="8" w:space="0" w:color="E0E0E0"/>
            </w:tcBorders>
            <w:shd w:val="clear" w:color="auto" w:fill="auto"/>
          </w:tcPr>
          <w:p w14:paraId="776B71A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455" w:type="dxa"/>
            <w:tcBorders>
              <w:top w:val="single" w:sz="8" w:space="0" w:color="AEAEAE"/>
              <w:left w:val="single" w:sz="8" w:space="0" w:color="E0E0E0"/>
              <w:bottom w:val="single" w:sz="8" w:space="0" w:color="AEAEAE"/>
              <w:right w:val="nil"/>
            </w:tcBorders>
            <w:shd w:val="clear" w:color="auto" w:fill="auto"/>
          </w:tcPr>
          <w:p w14:paraId="6FF44A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FC1DEB9" w14:textId="77777777" w:rsidTr="003D7369">
        <w:trPr>
          <w:cantSplit/>
          <w:trHeight w:val="283"/>
        </w:trPr>
        <w:tc>
          <w:tcPr>
            <w:tcW w:w="1898" w:type="dxa"/>
            <w:tcBorders>
              <w:top w:val="single" w:sz="8" w:space="0" w:color="AEAEAE"/>
              <w:left w:val="nil"/>
              <w:bottom w:val="single" w:sz="8" w:space="0" w:color="152935"/>
              <w:right w:val="nil"/>
            </w:tcBorders>
            <w:shd w:val="clear" w:color="auto" w:fill="auto"/>
          </w:tcPr>
          <w:p w14:paraId="2408545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28" w:type="dxa"/>
            <w:tcBorders>
              <w:top w:val="single" w:sz="8" w:space="0" w:color="AEAEAE"/>
              <w:left w:val="nil"/>
              <w:bottom w:val="single" w:sz="8" w:space="0" w:color="152935"/>
              <w:right w:val="single" w:sz="8" w:space="0" w:color="E0E0E0"/>
            </w:tcBorders>
            <w:shd w:val="clear" w:color="auto" w:fill="auto"/>
          </w:tcPr>
          <w:p w14:paraId="6E981A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−3.416</w:t>
            </w:r>
          </w:p>
        </w:tc>
        <w:tc>
          <w:tcPr>
            <w:tcW w:w="1058" w:type="dxa"/>
            <w:tcBorders>
              <w:top w:val="single" w:sz="8" w:space="0" w:color="AEAEAE"/>
              <w:left w:val="single" w:sz="8" w:space="0" w:color="E0E0E0"/>
              <w:bottom w:val="single" w:sz="8" w:space="0" w:color="152935"/>
              <w:right w:val="single" w:sz="8" w:space="0" w:color="E0E0E0"/>
            </w:tcBorders>
            <w:shd w:val="clear" w:color="auto" w:fill="auto"/>
          </w:tcPr>
          <w:p w14:paraId="5C42F6A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2.808</w:t>
            </w:r>
          </w:p>
        </w:tc>
        <w:tc>
          <w:tcPr>
            <w:tcW w:w="984" w:type="dxa"/>
            <w:tcBorders>
              <w:top w:val="single" w:sz="8" w:space="0" w:color="AEAEAE"/>
              <w:left w:val="single" w:sz="8" w:space="0" w:color="E0E0E0"/>
              <w:bottom w:val="single" w:sz="8" w:space="0" w:color="152935"/>
              <w:right w:val="single" w:sz="8" w:space="0" w:color="E0E0E0"/>
            </w:tcBorders>
            <w:shd w:val="clear" w:color="auto" w:fill="auto"/>
          </w:tcPr>
          <w:p w14:paraId="0FFCF58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1" w:type="dxa"/>
            <w:tcBorders>
              <w:top w:val="single" w:sz="8" w:space="0" w:color="AEAEAE"/>
              <w:left w:val="single" w:sz="8" w:space="0" w:color="E0E0E0"/>
              <w:bottom w:val="single" w:sz="8" w:space="0" w:color="152935"/>
              <w:right w:val="single" w:sz="8" w:space="0" w:color="E0E0E0"/>
            </w:tcBorders>
            <w:shd w:val="clear" w:color="auto" w:fill="auto"/>
          </w:tcPr>
          <w:p w14:paraId="766410D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.995</w:t>
            </w:r>
          </w:p>
        </w:tc>
        <w:tc>
          <w:tcPr>
            <w:tcW w:w="2455" w:type="dxa"/>
            <w:tcBorders>
              <w:top w:val="single" w:sz="8" w:space="0" w:color="AEAEAE"/>
              <w:left w:val="single" w:sz="8" w:space="0" w:color="E0E0E0"/>
              <w:bottom w:val="single" w:sz="8" w:space="0" w:color="152935"/>
              <w:right w:val="nil"/>
            </w:tcBorders>
            <w:shd w:val="clear" w:color="auto" w:fill="auto"/>
          </w:tcPr>
          <w:p w14:paraId="77E7B96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C49063F" w14:textId="77777777" w:rsidTr="003D7369">
        <w:trPr>
          <w:cantSplit/>
          <w:trHeight w:val="283"/>
        </w:trPr>
        <w:tc>
          <w:tcPr>
            <w:tcW w:w="8804" w:type="dxa"/>
            <w:gridSpan w:val="6"/>
            <w:tcBorders>
              <w:top w:val="nil"/>
              <w:left w:val="nil"/>
              <w:bottom w:val="nil"/>
              <w:right w:val="nil"/>
            </w:tcBorders>
            <w:shd w:val="clear" w:color="auto" w:fill="auto"/>
          </w:tcPr>
          <w:p w14:paraId="1B8A1B6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38816698" w14:textId="433A7270" w:rsidR="006E3616" w:rsidRPr="00400193" w:rsidRDefault="006E3616" w:rsidP="006E3616">
      <w:pPr>
        <w:pStyle w:val="Caption"/>
        <w:spacing w:after="240"/>
      </w:pPr>
      <w:bookmarkStart w:id="660" w:name="_Ref52797367"/>
      <w:bookmarkStart w:id="661" w:name="_Toc5290161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74</w:t>
      </w:r>
      <w:r w:rsidRPr="00400193">
        <w:fldChar w:fldCharType="end"/>
      </w:r>
      <w:bookmarkEnd w:id="660"/>
      <w:r w:rsidRPr="00400193">
        <w:t>: Residual statistics of the model regression for VW</w:t>
      </w:r>
      <w:bookmarkEnd w:id="661"/>
    </w:p>
    <w:p w14:paraId="4C897264" w14:textId="77777777" w:rsidR="003D7369" w:rsidRPr="00400193" w:rsidRDefault="003D7369" w:rsidP="003D7369"/>
    <w:p w14:paraId="5749A88A" w14:textId="0ABDF7C0" w:rsidR="006E3616" w:rsidRPr="00400193" w:rsidRDefault="006E3616" w:rsidP="006E3616">
      <w:pPr>
        <w:rPr>
          <w:lang w:eastAsia="zh-CN" w:bidi="hi-IN"/>
        </w:rPr>
      </w:pPr>
      <w:r w:rsidRPr="00400193">
        <w:rPr>
          <w:lang w:eastAsia="zh-CN" w:bidi="hi-IN"/>
        </w:rPr>
        <w:t xml:space="preserve">The assumption of error term independence is not violated. </w:t>
      </w:r>
      <w:r w:rsidR="00BA4982" w:rsidRPr="00400193">
        <w:rPr>
          <w:lang w:eastAsia="zh-CN" w:bidi="hi-IN"/>
        </w:rPr>
        <w:fldChar w:fldCharType="begin"/>
      </w:r>
      <w:r w:rsidR="00BA4982" w:rsidRPr="00400193">
        <w:rPr>
          <w:lang w:eastAsia="zh-CN" w:bidi="hi-IN"/>
        </w:rPr>
        <w:instrText xml:space="preserve"> REF _Ref52796838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21</w:t>
      </w:r>
      <w:r w:rsidR="00BA4982" w:rsidRPr="00400193">
        <w:rPr>
          <w:lang w:eastAsia="zh-CN" w:bidi="hi-IN"/>
        </w:rPr>
        <w:fldChar w:fldCharType="end"/>
      </w:r>
      <w:r w:rsidRPr="00400193">
        <w:rPr>
          <w:lang w:eastAsia="zh-CN" w:bidi="hi-IN"/>
        </w:rPr>
        <w:t xml:space="preserve"> shows that the distribution is bell-shaped and has less gap in the centre that may in part be a consequence of the defined intervals. </w:t>
      </w:r>
    </w:p>
    <w:p w14:paraId="3FD38F5F"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255ED6EB" wp14:editId="0AAC591E">
            <wp:extent cx="5760000" cy="3240000"/>
            <wp:effectExtent l="19050" t="19050" r="12700" b="17780"/>
            <wp:docPr id="144"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6" cstate="print">
                      <a:extLst>
                        <a:ext uri="{28A0092B-C50C-407E-A947-70E740481C1C}">
                          <a14:useLocalDpi xmlns:a14="http://schemas.microsoft.com/office/drawing/2010/main" val="0"/>
                        </a:ext>
                      </a:extLst>
                    </a:blip>
                    <a:srcRect r="13040"/>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3230162A" w14:textId="60050261" w:rsidR="006E3616" w:rsidRPr="00400193" w:rsidRDefault="006E3616" w:rsidP="006E3616">
      <w:pPr>
        <w:pStyle w:val="Caption"/>
        <w:spacing w:after="240"/>
      </w:pPr>
      <w:bookmarkStart w:id="662" w:name="_Ref52796838"/>
      <w:bookmarkStart w:id="663" w:name="_Toc5538759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21</w:t>
      </w:r>
      <w:r w:rsidR="00E35E8C" w:rsidRPr="00400193">
        <w:fldChar w:fldCharType="end"/>
      </w:r>
      <w:bookmarkEnd w:id="662"/>
      <w:r w:rsidRPr="00400193">
        <w:t>: Histogram of the frequency of the standardised residuals for VW</w:t>
      </w:r>
      <w:bookmarkEnd w:id="663"/>
    </w:p>
    <w:p w14:paraId="79CF1D40" w14:textId="082F967A" w:rsidR="006E3616" w:rsidRPr="00400193" w:rsidRDefault="006E3616" w:rsidP="006E3616">
      <w:pPr>
        <w:rPr>
          <w:lang w:eastAsia="zh-CN" w:bidi="hi-IN"/>
        </w:rPr>
      </w:pPr>
      <w:r w:rsidRPr="00400193">
        <w:rPr>
          <w:lang w:eastAsia="zh-CN" w:bidi="hi-IN"/>
        </w:rPr>
        <w:t>Finally, the P–P diagram (</w:t>
      </w:r>
      <w:r w:rsidR="00BA4982" w:rsidRPr="00400193">
        <w:rPr>
          <w:lang w:eastAsia="zh-CN" w:bidi="hi-IN"/>
        </w:rPr>
        <w:fldChar w:fldCharType="begin"/>
      </w:r>
      <w:r w:rsidR="00BA4982" w:rsidRPr="00400193">
        <w:rPr>
          <w:lang w:eastAsia="zh-CN" w:bidi="hi-IN"/>
        </w:rPr>
        <w:instrText xml:space="preserve"> REF _Ref52796858 \h </w:instrText>
      </w:r>
      <w:r w:rsidR="00BA4982" w:rsidRPr="00400193">
        <w:rPr>
          <w:lang w:eastAsia="zh-CN" w:bidi="hi-IN"/>
        </w:rPr>
      </w:r>
      <w:r w:rsidR="00BA498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22</w:t>
      </w:r>
      <w:r w:rsidR="00BA4982" w:rsidRPr="00400193">
        <w:rPr>
          <w:lang w:eastAsia="zh-CN" w:bidi="hi-IN"/>
        </w:rPr>
        <w:fldChar w:fldCharType="end"/>
      </w:r>
      <w:r w:rsidRPr="00400193">
        <w:rPr>
          <w:lang w:eastAsia="zh-CN" w:bidi="hi-IN"/>
        </w:rPr>
        <w:t>) shows that there is a normal distribution.</w:t>
      </w:r>
    </w:p>
    <w:p w14:paraId="19A211D8"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1E43D8D1" wp14:editId="20922A72">
            <wp:extent cx="5760000" cy="3240000"/>
            <wp:effectExtent l="19050" t="19050" r="12700" b="17780"/>
            <wp:docPr id="145"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9934D07" w14:textId="5E252923" w:rsidR="006E3616" w:rsidRPr="00400193" w:rsidRDefault="006E3616" w:rsidP="006E3616">
      <w:pPr>
        <w:pStyle w:val="Caption"/>
        <w:rPr>
          <w:lang w:eastAsia="zh-CN" w:bidi="hi-IN"/>
        </w:rPr>
      </w:pPr>
      <w:bookmarkStart w:id="664" w:name="_Ref52796858"/>
      <w:bookmarkStart w:id="665" w:name="_Toc5538760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22</w:t>
      </w:r>
      <w:r w:rsidR="00E35E8C" w:rsidRPr="00400193">
        <w:fldChar w:fldCharType="end"/>
      </w:r>
      <w:bookmarkEnd w:id="664"/>
      <w:r w:rsidRPr="00400193">
        <w:t>: Normal P–P plot of regression standardised residual for the dependent variable for VW</w:t>
      </w:r>
      <w:bookmarkEnd w:id="665"/>
    </w:p>
    <w:p w14:paraId="22FF0346" w14:textId="77777777" w:rsidR="006E3616" w:rsidRPr="00400193" w:rsidRDefault="006E3616" w:rsidP="006E3616">
      <w:pPr>
        <w:spacing w:line="240" w:lineRule="auto"/>
        <w:rPr>
          <w:lang w:eastAsia="zh-CN" w:bidi="hi-IN"/>
        </w:rPr>
      </w:pPr>
    </w:p>
    <w:p w14:paraId="2C2D667A" w14:textId="77777777" w:rsidR="006E3616" w:rsidRPr="00400193" w:rsidRDefault="006E3616" w:rsidP="006E3616">
      <w:pPr>
        <w:pStyle w:val="Heading3"/>
        <w:rPr>
          <w:lang w:eastAsia="zh-CN" w:bidi="hi-IN"/>
        </w:rPr>
      </w:pPr>
      <w:bookmarkStart w:id="666" w:name="_Toc61894779"/>
      <w:r w:rsidRPr="00400193">
        <w:rPr>
          <w:lang w:eastAsia="zh-CN" w:bidi="hi-IN"/>
        </w:rPr>
        <w:t>The Relationship Between Vulnerabilities and External Threats is Moderated by Having a Response in Place</w:t>
      </w:r>
      <w:bookmarkEnd w:id="666"/>
      <w:r w:rsidRPr="00400193">
        <w:rPr>
          <w:lang w:eastAsia="zh-CN" w:bidi="hi-IN"/>
        </w:rPr>
        <w:t xml:space="preserve"> </w:t>
      </w:r>
    </w:p>
    <w:p w14:paraId="64C12C30" w14:textId="1F071339" w:rsidR="006E3616" w:rsidRPr="00400193" w:rsidRDefault="006E3616" w:rsidP="006E3616">
      <w:pPr>
        <w:spacing w:line="240" w:lineRule="auto"/>
        <w:rPr>
          <w:i/>
          <w:iCs/>
          <w:lang w:eastAsia="zh-CN" w:bidi="hi-IN"/>
        </w:rPr>
      </w:pPr>
      <w:r w:rsidRPr="00400193">
        <w:rPr>
          <w:lang w:eastAsia="zh-CN" w:bidi="hi-IN"/>
        </w:rPr>
        <w:fldChar w:fldCharType="begin"/>
      </w:r>
      <w:r w:rsidRPr="00400193">
        <w:rPr>
          <w:i/>
          <w:iCs/>
          <w:lang w:eastAsia="zh-CN" w:bidi="hi-IN"/>
        </w:rPr>
        <w:instrText xml:space="preserve"> REF _Ref43827440 \h </w:instrText>
      </w:r>
      <w:r w:rsidRPr="00400193">
        <w:rPr>
          <w:lang w:eastAsia="zh-CN" w:bidi="hi-IN"/>
        </w:rPr>
      </w:r>
      <w:r w:rsidRPr="00400193">
        <w:rPr>
          <w:lang w:eastAsia="zh-CN" w:bidi="hi-IN"/>
        </w:rPr>
        <w:fldChar w:fldCharType="separate"/>
      </w:r>
      <w:r w:rsidR="00BB7C18" w:rsidRPr="00400193">
        <w:t>8 – (External + Response in Place)</w:t>
      </w:r>
      <w:r w:rsidRPr="00400193">
        <w:rPr>
          <w:lang w:eastAsia="zh-CN" w:bidi="hi-IN"/>
        </w:rPr>
        <w:fldChar w:fldCharType="end"/>
      </w:r>
      <w:r w:rsidRPr="00400193">
        <w:rPr>
          <w:i/>
          <w:iCs/>
          <w:lang w:eastAsia="zh-CN" w:bidi="hi-IN"/>
        </w:rPr>
        <w:t xml:space="preserve"> VW = </w:t>
      </w:r>
      <w:r w:rsidR="00DD07A5" w:rsidRPr="00400193">
        <w:rPr>
          <w:i/>
          <w:iCs/>
          <w:lang w:eastAsia="zh-CN" w:bidi="hi-IN"/>
        </w:rPr>
        <w:t>ERF</w:t>
      </w:r>
      <w:r w:rsidRPr="00400193">
        <w:rPr>
          <w:i/>
          <w:iCs/>
          <w:lang w:eastAsia="zh-CN" w:bidi="hi-IN"/>
        </w:rPr>
        <w:t xml:space="preserve"> + RP</w:t>
      </w:r>
    </w:p>
    <w:p w14:paraId="61C90D6B" w14:textId="4D3303A5" w:rsidR="006E3616" w:rsidRPr="00400193" w:rsidRDefault="006E3616" w:rsidP="006E3616">
      <w:r w:rsidRPr="00400193">
        <w:t>This section examines how the relationship between vulnerabilities and weaknesses and external threats (</w:t>
      </w:r>
      <w:r w:rsidR="00DD07A5" w:rsidRPr="00400193">
        <w:rPr>
          <w:i/>
          <w:iCs/>
        </w:rPr>
        <w:t>ERF</w:t>
      </w:r>
      <w:r w:rsidRPr="00400193">
        <w:t xml:space="preserve">) is moderated by having responses in place. It therefore explores the level to which these variables together affect vulnerabilities and weaknesses. A regression model was developed to assess this association. </w:t>
      </w:r>
      <w:r w:rsidR="00F319CB" w:rsidRPr="00400193">
        <w:fldChar w:fldCharType="begin"/>
      </w:r>
      <w:r w:rsidR="00F319CB" w:rsidRPr="00400193">
        <w:instrText xml:space="preserve"> REF _Ref52820986 \h </w:instrText>
      </w:r>
      <w:r w:rsidR="00F319CB"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75</w:t>
      </w:r>
      <w:r w:rsidR="00F319CB" w:rsidRPr="00400193">
        <w:fldChar w:fldCharType="end"/>
      </w:r>
      <w:r w:rsidRPr="00400193">
        <w:t xml:space="preserve"> shows that the R (multiple correlation coefficients) value of 0.692 shows a good level of prediction. The R-square (coefficient of determination) value of 0.479 suggests that 47.9% of the variance in vulnerabilities and weaknesses in the UAE public sector organisations can be predicted from key external threats including cyber-attack, hacktivism, phishing, financial fraud, and criminal acts, but that this is moderated by the level of response in place. </w:t>
      </w:r>
    </w:p>
    <w:p w14:paraId="79DA4BAA" w14:textId="41AA111F" w:rsidR="00C9238D" w:rsidRPr="00400193" w:rsidRDefault="00C9238D" w:rsidP="006E3616">
      <w:r w:rsidRPr="00400193">
        <w:t xml:space="preserve">The ANOVA results are displayed below in </w:t>
      </w:r>
      <w:r w:rsidRPr="00400193">
        <w:fldChar w:fldCharType="begin"/>
      </w:r>
      <w:r w:rsidRPr="00400193">
        <w:instrText xml:space="preserve"> REF _Ref51433385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76</w:t>
      </w:r>
      <w:r w:rsidRPr="00400193">
        <w:fldChar w:fldCharType="end"/>
      </w:r>
      <w:r w:rsidRPr="00400193">
        <w:t xml:space="preserve">, overleaf, and the coefficients in </w:t>
      </w:r>
      <w:r w:rsidRPr="00400193">
        <w:fldChar w:fldCharType="begin"/>
      </w:r>
      <w:r w:rsidRPr="00400193">
        <w:instrText xml:space="preserve"> REF _Ref51433635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77</w:t>
      </w:r>
      <w:r w:rsidRPr="00400193">
        <w:fldChar w:fldCharType="end"/>
      </w:r>
      <w:r w:rsidRPr="00400193">
        <w:t>.</w:t>
      </w:r>
    </w:p>
    <w:p w14:paraId="45ACC7A4" w14:textId="1073BFEA" w:rsidR="00C9238D" w:rsidRPr="00400193" w:rsidRDefault="00C9238D" w:rsidP="006E3616"/>
    <w:p w14:paraId="4396259C" w14:textId="722DB4F3" w:rsidR="00C9238D" w:rsidRPr="00400193" w:rsidRDefault="00C9238D" w:rsidP="006E3616"/>
    <w:tbl>
      <w:tblPr>
        <w:tblW w:w="8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1"/>
        <w:gridCol w:w="749"/>
        <w:gridCol w:w="794"/>
        <w:gridCol w:w="1566"/>
        <w:gridCol w:w="2098"/>
        <w:gridCol w:w="1510"/>
        <w:gridCol w:w="923"/>
        <w:gridCol w:w="509"/>
      </w:tblGrid>
      <w:tr w:rsidR="006E3616" w:rsidRPr="00400193" w14:paraId="2A9199A8" w14:textId="77777777" w:rsidTr="003D7369">
        <w:trPr>
          <w:cantSplit/>
          <w:trHeight w:val="283"/>
        </w:trPr>
        <w:tc>
          <w:tcPr>
            <w:tcW w:w="8730" w:type="dxa"/>
            <w:gridSpan w:val="8"/>
            <w:tcBorders>
              <w:top w:val="nil"/>
              <w:left w:val="nil"/>
              <w:bottom w:val="nil"/>
              <w:right w:val="nil"/>
            </w:tcBorders>
            <w:shd w:val="clear" w:color="auto" w:fill="auto"/>
            <w:vAlign w:val="center"/>
          </w:tcPr>
          <w:p w14:paraId="7914B5D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556249A1" w14:textId="77777777" w:rsidTr="003D7369">
        <w:trPr>
          <w:cantSplit/>
          <w:trHeight w:val="283"/>
        </w:trPr>
        <w:tc>
          <w:tcPr>
            <w:tcW w:w="581" w:type="dxa"/>
            <w:vMerge w:val="restart"/>
            <w:tcBorders>
              <w:top w:val="nil"/>
              <w:left w:val="nil"/>
              <w:bottom w:val="nil"/>
              <w:right w:val="nil"/>
            </w:tcBorders>
            <w:shd w:val="clear" w:color="auto" w:fill="auto"/>
            <w:vAlign w:val="bottom"/>
          </w:tcPr>
          <w:p w14:paraId="2EC088B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49" w:type="dxa"/>
            <w:vMerge w:val="restart"/>
            <w:tcBorders>
              <w:top w:val="nil"/>
              <w:left w:val="nil"/>
              <w:bottom w:val="nil"/>
              <w:right w:val="single" w:sz="8" w:space="0" w:color="E0E0E0"/>
            </w:tcBorders>
            <w:shd w:val="clear" w:color="auto" w:fill="auto"/>
            <w:vAlign w:val="bottom"/>
          </w:tcPr>
          <w:p w14:paraId="2B48AC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794" w:type="dxa"/>
            <w:vMerge w:val="restart"/>
            <w:tcBorders>
              <w:top w:val="nil"/>
              <w:left w:val="single" w:sz="8" w:space="0" w:color="E0E0E0"/>
              <w:bottom w:val="nil"/>
              <w:right w:val="single" w:sz="8" w:space="0" w:color="E0E0E0"/>
            </w:tcBorders>
            <w:shd w:val="clear" w:color="auto" w:fill="auto"/>
            <w:vAlign w:val="bottom"/>
          </w:tcPr>
          <w:p w14:paraId="1E19ADF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566" w:type="dxa"/>
            <w:vMerge w:val="restart"/>
            <w:tcBorders>
              <w:top w:val="nil"/>
              <w:left w:val="single" w:sz="8" w:space="0" w:color="E0E0E0"/>
              <w:bottom w:val="nil"/>
              <w:right w:val="single" w:sz="8" w:space="0" w:color="E0E0E0"/>
            </w:tcBorders>
            <w:shd w:val="clear" w:color="auto" w:fill="auto"/>
            <w:vAlign w:val="bottom"/>
          </w:tcPr>
          <w:p w14:paraId="5A334B0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2098" w:type="dxa"/>
            <w:vMerge w:val="restart"/>
            <w:tcBorders>
              <w:top w:val="nil"/>
              <w:left w:val="single" w:sz="8" w:space="0" w:color="E0E0E0"/>
              <w:bottom w:val="nil"/>
              <w:right w:val="single" w:sz="8" w:space="0" w:color="E0E0E0"/>
            </w:tcBorders>
            <w:shd w:val="clear" w:color="auto" w:fill="auto"/>
            <w:vAlign w:val="bottom"/>
          </w:tcPr>
          <w:p w14:paraId="7CD2EA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2942" w:type="dxa"/>
            <w:gridSpan w:val="3"/>
            <w:tcBorders>
              <w:top w:val="nil"/>
              <w:left w:val="single" w:sz="8" w:space="0" w:color="E0E0E0"/>
              <w:bottom w:val="nil"/>
              <w:right w:val="nil"/>
            </w:tcBorders>
            <w:shd w:val="clear" w:color="auto" w:fill="auto"/>
            <w:vAlign w:val="bottom"/>
          </w:tcPr>
          <w:p w14:paraId="42731E6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12F42924" w14:textId="77777777" w:rsidTr="003D7369">
        <w:trPr>
          <w:cantSplit/>
          <w:trHeight w:val="283"/>
        </w:trPr>
        <w:tc>
          <w:tcPr>
            <w:tcW w:w="581" w:type="dxa"/>
            <w:vMerge/>
            <w:tcBorders>
              <w:top w:val="nil"/>
              <w:left w:val="nil"/>
              <w:bottom w:val="nil"/>
              <w:right w:val="nil"/>
            </w:tcBorders>
            <w:shd w:val="clear" w:color="auto" w:fill="auto"/>
            <w:vAlign w:val="bottom"/>
          </w:tcPr>
          <w:p w14:paraId="36AF9B2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49" w:type="dxa"/>
            <w:vMerge/>
            <w:tcBorders>
              <w:top w:val="nil"/>
              <w:left w:val="nil"/>
              <w:bottom w:val="nil"/>
              <w:right w:val="single" w:sz="8" w:space="0" w:color="E0E0E0"/>
            </w:tcBorders>
            <w:shd w:val="clear" w:color="auto" w:fill="auto"/>
            <w:vAlign w:val="bottom"/>
          </w:tcPr>
          <w:p w14:paraId="09DEFB3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94" w:type="dxa"/>
            <w:vMerge/>
            <w:tcBorders>
              <w:top w:val="nil"/>
              <w:left w:val="single" w:sz="8" w:space="0" w:color="E0E0E0"/>
              <w:bottom w:val="nil"/>
              <w:right w:val="single" w:sz="8" w:space="0" w:color="E0E0E0"/>
            </w:tcBorders>
            <w:shd w:val="clear" w:color="auto" w:fill="auto"/>
            <w:vAlign w:val="bottom"/>
          </w:tcPr>
          <w:p w14:paraId="4A57FF4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566" w:type="dxa"/>
            <w:vMerge/>
            <w:tcBorders>
              <w:top w:val="nil"/>
              <w:left w:val="single" w:sz="8" w:space="0" w:color="E0E0E0"/>
              <w:bottom w:val="nil"/>
              <w:right w:val="single" w:sz="8" w:space="0" w:color="E0E0E0"/>
            </w:tcBorders>
            <w:shd w:val="clear" w:color="auto" w:fill="auto"/>
            <w:vAlign w:val="bottom"/>
          </w:tcPr>
          <w:p w14:paraId="2CE8937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098" w:type="dxa"/>
            <w:vMerge/>
            <w:tcBorders>
              <w:top w:val="nil"/>
              <w:left w:val="single" w:sz="8" w:space="0" w:color="E0E0E0"/>
              <w:bottom w:val="nil"/>
              <w:right w:val="single" w:sz="8" w:space="0" w:color="E0E0E0"/>
            </w:tcBorders>
            <w:shd w:val="clear" w:color="auto" w:fill="auto"/>
            <w:vAlign w:val="bottom"/>
          </w:tcPr>
          <w:p w14:paraId="716E2C2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510" w:type="dxa"/>
            <w:tcBorders>
              <w:top w:val="nil"/>
              <w:left w:val="single" w:sz="8" w:space="0" w:color="E0E0E0"/>
              <w:bottom w:val="single" w:sz="8" w:space="0" w:color="152935"/>
              <w:right w:val="single" w:sz="8" w:space="0" w:color="E0E0E0"/>
            </w:tcBorders>
            <w:shd w:val="clear" w:color="auto" w:fill="auto"/>
            <w:vAlign w:val="bottom"/>
          </w:tcPr>
          <w:p w14:paraId="2AA17C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923" w:type="dxa"/>
            <w:tcBorders>
              <w:top w:val="nil"/>
              <w:left w:val="single" w:sz="8" w:space="0" w:color="E0E0E0"/>
              <w:bottom w:val="single" w:sz="8" w:space="0" w:color="152935"/>
              <w:right w:val="single" w:sz="8" w:space="0" w:color="E0E0E0"/>
            </w:tcBorders>
            <w:shd w:val="clear" w:color="auto" w:fill="auto"/>
            <w:vAlign w:val="bottom"/>
          </w:tcPr>
          <w:p w14:paraId="102130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509" w:type="dxa"/>
            <w:tcBorders>
              <w:top w:val="nil"/>
              <w:left w:val="single" w:sz="8" w:space="0" w:color="E0E0E0"/>
              <w:bottom w:val="single" w:sz="8" w:space="0" w:color="152935"/>
              <w:right w:val="nil"/>
            </w:tcBorders>
            <w:shd w:val="clear" w:color="auto" w:fill="auto"/>
            <w:vAlign w:val="bottom"/>
          </w:tcPr>
          <w:p w14:paraId="645B05A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7E727FE7" w14:textId="77777777" w:rsidTr="003D7369">
        <w:trPr>
          <w:cantSplit/>
          <w:trHeight w:val="283"/>
        </w:trPr>
        <w:tc>
          <w:tcPr>
            <w:tcW w:w="581" w:type="dxa"/>
            <w:tcBorders>
              <w:top w:val="single" w:sz="8" w:space="0" w:color="152935"/>
              <w:left w:val="nil"/>
              <w:bottom w:val="single" w:sz="8" w:space="0" w:color="152935"/>
              <w:right w:val="nil"/>
            </w:tcBorders>
            <w:shd w:val="clear" w:color="auto" w:fill="auto"/>
          </w:tcPr>
          <w:p w14:paraId="3BDB054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49" w:type="dxa"/>
            <w:tcBorders>
              <w:top w:val="single" w:sz="8" w:space="0" w:color="152935"/>
              <w:left w:val="nil"/>
              <w:bottom w:val="single" w:sz="8" w:space="0" w:color="152935"/>
              <w:right w:val="single" w:sz="8" w:space="0" w:color="E0E0E0"/>
            </w:tcBorders>
            <w:shd w:val="clear" w:color="auto" w:fill="auto"/>
          </w:tcPr>
          <w:p w14:paraId="5C6614F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.692</w:t>
            </w:r>
            <w:r w:rsidRPr="00400193">
              <w:rPr>
                <w:rFonts w:asciiTheme="minorHAnsi" w:hAnsiTheme="minorHAnsi" w:cstheme="minorHAnsi"/>
                <w:sz w:val="20"/>
                <w:szCs w:val="18"/>
                <w:vertAlign w:val="superscript"/>
                <w:lang w:eastAsia="zh-CN" w:bidi="hi-IN"/>
              </w:rPr>
              <w:t>a</w:t>
            </w:r>
          </w:p>
        </w:tc>
        <w:tc>
          <w:tcPr>
            <w:tcW w:w="794" w:type="dxa"/>
            <w:tcBorders>
              <w:top w:val="single" w:sz="8" w:space="0" w:color="152935"/>
              <w:left w:val="single" w:sz="8" w:space="0" w:color="E0E0E0"/>
              <w:bottom w:val="single" w:sz="8" w:space="0" w:color="152935"/>
              <w:right w:val="single" w:sz="8" w:space="0" w:color="E0E0E0"/>
            </w:tcBorders>
            <w:shd w:val="clear" w:color="auto" w:fill="auto"/>
          </w:tcPr>
          <w:p w14:paraId="533E121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.479</w:t>
            </w:r>
          </w:p>
        </w:tc>
        <w:tc>
          <w:tcPr>
            <w:tcW w:w="1566" w:type="dxa"/>
            <w:tcBorders>
              <w:top w:val="single" w:sz="8" w:space="0" w:color="152935"/>
              <w:left w:val="single" w:sz="8" w:space="0" w:color="E0E0E0"/>
              <w:bottom w:val="single" w:sz="8" w:space="0" w:color="152935"/>
              <w:right w:val="single" w:sz="8" w:space="0" w:color="E0E0E0"/>
            </w:tcBorders>
            <w:shd w:val="clear" w:color="auto" w:fill="auto"/>
          </w:tcPr>
          <w:p w14:paraId="0F49644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.469</w:t>
            </w:r>
          </w:p>
        </w:tc>
        <w:tc>
          <w:tcPr>
            <w:tcW w:w="2098" w:type="dxa"/>
            <w:tcBorders>
              <w:top w:val="single" w:sz="8" w:space="0" w:color="152935"/>
              <w:left w:val="single" w:sz="8" w:space="0" w:color="E0E0E0"/>
              <w:bottom w:val="single" w:sz="8" w:space="0" w:color="152935"/>
              <w:right w:val="single" w:sz="8" w:space="0" w:color="E0E0E0"/>
            </w:tcBorders>
            <w:shd w:val="clear" w:color="auto" w:fill="auto"/>
          </w:tcPr>
          <w:p w14:paraId="0D9818A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.43287</w:t>
            </w:r>
          </w:p>
        </w:tc>
        <w:tc>
          <w:tcPr>
            <w:tcW w:w="1510" w:type="dxa"/>
            <w:tcBorders>
              <w:top w:val="single" w:sz="8" w:space="0" w:color="152935"/>
              <w:left w:val="single" w:sz="8" w:space="0" w:color="E0E0E0"/>
              <w:bottom w:val="single" w:sz="8" w:space="0" w:color="152935"/>
              <w:right w:val="single" w:sz="8" w:space="0" w:color="E0E0E0"/>
            </w:tcBorders>
            <w:shd w:val="clear" w:color="auto" w:fill="auto"/>
          </w:tcPr>
          <w:p w14:paraId="1EF5E4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.479</w:t>
            </w:r>
          </w:p>
        </w:tc>
        <w:tc>
          <w:tcPr>
            <w:tcW w:w="923" w:type="dxa"/>
            <w:tcBorders>
              <w:top w:val="single" w:sz="8" w:space="0" w:color="152935"/>
              <w:left w:val="single" w:sz="8" w:space="0" w:color="E0E0E0"/>
              <w:bottom w:val="single" w:sz="8" w:space="0" w:color="152935"/>
              <w:right w:val="single" w:sz="8" w:space="0" w:color="E0E0E0"/>
            </w:tcBorders>
            <w:shd w:val="clear" w:color="auto" w:fill="auto"/>
          </w:tcPr>
          <w:p w14:paraId="5A587B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46.410</w:t>
            </w:r>
          </w:p>
        </w:tc>
        <w:tc>
          <w:tcPr>
            <w:tcW w:w="509" w:type="dxa"/>
            <w:tcBorders>
              <w:top w:val="single" w:sz="8" w:space="0" w:color="152935"/>
              <w:left w:val="single" w:sz="8" w:space="0" w:color="E0E0E0"/>
              <w:bottom w:val="single" w:sz="8" w:space="0" w:color="152935"/>
              <w:right w:val="nil"/>
            </w:tcBorders>
            <w:shd w:val="clear" w:color="auto" w:fill="auto"/>
          </w:tcPr>
          <w:p w14:paraId="0F745F23"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r>
      <w:tr w:rsidR="003D7369" w:rsidRPr="00400193" w14:paraId="1A4D44E7" w14:textId="77777777" w:rsidTr="003D7369">
        <w:trPr>
          <w:cantSplit/>
          <w:trHeight w:val="283"/>
        </w:trPr>
        <w:tc>
          <w:tcPr>
            <w:tcW w:w="8730" w:type="dxa"/>
            <w:gridSpan w:val="8"/>
            <w:tcBorders>
              <w:top w:val="single" w:sz="8" w:space="0" w:color="152935"/>
              <w:left w:val="nil"/>
              <w:bottom w:val="single" w:sz="8" w:space="0" w:color="152935"/>
              <w:right w:val="nil"/>
            </w:tcBorders>
            <w:shd w:val="clear" w:color="auto" w:fill="auto"/>
          </w:tcPr>
          <w:p w14:paraId="19F99974" w14:textId="77777777" w:rsidR="003D7369" w:rsidRPr="00400193" w:rsidRDefault="003D7369"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264759D0" w14:textId="69D5656F" w:rsidR="003D7369" w:rsidRPr="00400193" w:rsidRDefault="003D7369"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Predictors: (Constant), RP, ERF</w:t>
            </w:r>
          </w:p>
        </w:tc>
      </w:tr>
    </w:tbl>
    <w:p w14:paraId="09A1B7FC" w14:textId="72DC9CB4" w:rsidR="006E3616" w:rsidRPr="00400193" w:rsidRDefault="006E3616" w:rsidP="006E3616">
      <w:pPr>
        <w:pStyle w:val="Caption"/>
        <w:spacing w:after="240"/>
      </w:pPr>
      <w:bookmarkStart w:id="667" w:name="_Ref52820986"/>
      <w:bookmarkStart w:id="668" w:name="_Toc5290162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75</w:t>
      </w:r>
      <w:r w:rsidRPr="00400193">
        <w:fldChar w:fldCharType="end"/>
      </w:r>
      <w:bookmarkEnd w:id="667"/>
      <w:r w:rsidRPr="00400193">
        <w:t>: Regression model summary for VW</w:t>
      </w:r>
      <w:bookmarkEnd w:id="668"/>
    </w:p>
    <w:tbl>
      <w:tblPr>
        <w:tblW w:w="8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9"/>
        <w:gridCol w:w="1402"/>
        <w:gridCol w:w="1603"/>
        <w:gridCol w:w="1119"/>
        <w:gridCol w:w="1536"/>
        <w:gridCol w:w="1119"/>
        <w:gridCol w:w="1121"/>
      </w:tblGrid>
      <w:tr w:rsidR="006E3616" w:rsidRPr="00400193" w14:paraId="74FE7A6C" w14:textId="77777777" w:rsidTr="00C9238D">
        <w:trPr>
          <w:cantSplit/>
          <w:trHeight w:val="283"/>
        </w:trPr>
        <w:tc>
          <w:tcPr>
            <w:tcW w:w="8699" w:type="dxa"/>
            <w:gridSpan w:val="7"/>
            <w:tcBorders>
              <w:top w:val="nil"/>
              <w:left w:val="nil"/>
              <w:bottom w:val="nil"/>
              <w:right w:val="nil"/>
            </w:tcBorders>
            <w:shd w:val="clear" w:color="auto" w:fill="auto"/>
            <w:vAlign w:val="center"/>
          </w:tcPr>
          <w:p w14:paraId="1C1BE3C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415CBF84" w14:textId="77777777" w:rsidTr="00C9238D">
        <w:trPr>
          <w:cantSplit/>
          <w:trHeight w:val="283"/>
        </w:trPr>
        <w:tc>
          <w:tcPr>
            <w:tcW w:w="2201" w:type="dxa"/>
            <w:gridSpan w:val="2"/>
            <w:tcBorders>
              <w:top w:val="nil"/>
              <w:left w:val="nil"/>
              <w:bottom w:val="single" w:sz="8" w:space="0" w:color="152935"/>
              <w:right w:val="nil"/>
            </w:tcBorders>
            <w:shd w:val="clear" w:color="auto" w:fill="auto"/>
            <w:vAlign w:val="bottom"/>
          </w:tcPr>
          <w:p w14:paraId="61AB6A5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603" w:type="dxa"/>
            <w:tcBorders>
              <w:top w:val="nil"/>
              <w:left w:val="nil"/>
              <w:bottom w:val="single" w:sz="8" w:space="0" w:color="152935"/>
              <w:right w:val="single" w:sz="8" w:space="0" w:color="E0E0E0"/>
            </w:tcBorders>
            <w:shd w:val="clear" w:color="auto" w:fill="auto"/>
            <w:vAlign w:val="bottom"/>
          </w:tcPr>
          <w:p w14:paraId="081C1F4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1119" w:type="dxa"/>
            <w:tcBorders>
              <w:top w:val="nil"/>
              <w:left w:val="single" w:sz="8" w:space="0" w:color="E0E0E0"/>
              <w:bottom w:val="single" w:sz="8" w:space="0" w:color="152935"/>
              <w:right w:val="single" w:sz="8" w:space="0" w:color="E0E0E0"/>
            </w:tcBorders>
            <w:shd w:val="clear" w:color="auto" w:fill="auto"/>
            <w:vAlign w:val="bottom"/>
          </w:tcPr>
          <w:p w14:paraId="39E8575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536" w:type="dxa"/>
            <w:tcBorders>
              <w:top w:val="nil"/>
              <w:left w:val="single" w:sz="8" w:space="0" w:color="E0E0E0"/>
              <w:bottom w:val="single" w:sz="8" w:space="0" w:color="152935"/>
              <w:right w:val="single" w:sz="8" w:space="0" w:color="E0E0E0"/>
            </w:tcBorders>
            <w:shd w:val="clear" w:color="auto" w:fill="auto"/>
            <w:vAlign w:val="bottom"/>
          </w:tcPr>
          <w:p w14:paraId="216C2E3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1119" w:type="dxa"/>
            <w:tcBorders>
              <w:top w:val="nil"/>
              <w:left w:val="single" w:sz="8" w:space="0" w:color="E0E0E0"/>
              <w:bottom w:val="single" w:sz="8" w:space="0" w:color="152935"/>
              <w:right w:val="single" w:sz="8" w:space="0" w:color="E0E0E0"/>
            </w:tcBorders>
            <w:shd w:val="clear" w:color="auto" w:fill="auto"/>
            <w:vAlign w:val="bottom"/>
          </w:tcPr>
          <w:p w14:paraId="4E363DB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1121" w:type="dxa"/>
            <w:tcBorders>
              <w:top w:val="nil"/>
              <w:left w:val="single" w:sz="8" w:space="0" w:color="E0E0E0"/>
              <w:bottom w:val="single" w:sz="8" w:space="0" w:color="152935"/>
              <w:right w:val="nil"/>
            </w:tcBorders>
            <w:shd w:val="clear" w:color="auto" w:fill="auto"/>
            <w:vAlign w:val="bottom"/>
          </w:tcPr>
          <w:p w14:paraId="11E961E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74392223" w14:textId="77777777" w:rsidTr="00C9238D">
        <w:trPr>
          <w:cantSplit/>
          <w:trHeight w:val="283"/>
        </w:trPr>
        <w:tc>
          <w:tcPr>
            <w:tcW w:w="799" w:type="dxa"/>
            <w:vMerge w:val="restart"/>
            <w:tcBorders>
              <w:top w:val="single" w:sz="8" w:space="0" w:color="152935"/>
              <w:left w:val="nil"/>
              <w:bottom w:val="single" w:sz="8" w:space="0" w:color="152935"/>
              <w:right w:val="nil"/>
            </w:tcBorders>
            <w:shd w:val="clear" w:color="auto" w:fill="auto"/>
          </w:tcPr>
          <w:p w14:paraId="1E2C0F6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402" w:type="dxa"/>
            <w:tcBorders>
              <w:top w:val="single" w:sz="8" w:space="0" w:color="152935"/>
              <w:left w:val="nil"/>
              <w:bottom w:val="single" w:sz="8" w:space="0" w:color="AEAEAE"/>
              <w:right w:val="nil"/>
            </w:tcBorders>
            <w:shd w:val="clear" w:color="auto" w:fill="auto"/>
          </w:tcPr>
          <w:p w14:paraId="1B58DF0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603" w:type="dxa"/>
            <w:tcBorders>
              <w:top w:val="single" w:sz="8" w:space="0" w:color="152935"/>
              <w:left w:val="nil"/>
              <w:bottom w:val="single" w:sz="8" w:space="0" w:color="AEAEAE"/>
              <w:right w:val="single" w:sz="8" w:space="0" w:color="E0E0E0"/>
            </w:tcBorders>
            <w:shd w:val="clear" w:color="auto" w:fill="auto"/>
          </w:tcPr>
          <w:p w14:paraId="3B71EBB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17.392</w:t>
            </w:r>
          </w:p>
        </w:tc>
        <w:tc>
          <w:tcPr>
            <w:tcW w:w="1119" w:type="dxa"/>
            <w:tcBorders>
              <w:top w:val="single" w:sz="8" w:space="0" w:color="152935"/>
              <w:left w:val="single" w:sz="8" w:space="0" w:color="E0E0E0"/>
              <w:bottom w:val="single" w:sz="8" w:space="0" w:color="AEAEAE"/>
              <w:right w:val="single" w:sz="8" w:space="0" w:color="E0E0E0"/>
            </w:tcBorders>
            <w:shd w:val="clear" w:color="auto" w:fill="auto"/>
          </w:tcPr>
          <w:p w14:paraId="1C6D685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536" w:type="dxa"/>
            <w:tcBorders>
              <w:top w:val="single" w:sz="8" w:space="0" w:color="152935"/>
              <w:left w:val="single" w:sz="8" w:space="0" w:color="E0E0E0"/>
              <w:bottom w:val="single" w:sz="8" w:space="0" w:color="AEAEAE"/>
              <w:right w:val="single" w:sz="8" w:space="0" w:color="E0E0E0"/>
            </w:tcBorders>
            <w:shd w:val="clear" w:color="auto" w:fill="auto"/>
          </w:tcPr>
          <w:p w14:paraId="2C495BD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8.696</w:t>
            </w:r>
          </w:p>
        </w:tc>
        <w:tc>
          <w:tcPr>
            <w:tcW w:w="1119" w:type="dxa"/>
            <w:tcBorders>
              <w:top w:val="single" w:sz="8" w:space="0" w:color="152935"/>
              <w:left w:val="single" w:sz="8" w:space="0" w:color="E0E0E0"/>
              <w:bottom w:val="single" w:sz="8" w:space="0" w:color="AEAEAE"/>
              <w:right w:val="single" w:sz="8" w:space="0" w:color="E0E0E0"/>
            </w:tcBorders>
            <w:shd w:val="clear" w:color="auto" w:fill="auto"/>
          </w:tcPr>
          <w:p w14:paraId="155495A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46.410</w:t>
            </w:r>
          </w:p>
        </w:tc>
        <w:tc>
          <w:tcPr>
            <w:tcW w:w="1121" w:type="dxa"/>
            <w:tcBorders>
              <w:top w:val="single" w:sz="8" w:space="0" w:color="152935"/>
              <w:left w:val="single" w:sz="8" w:space="0" w:color="E0E0E0"/>
              <w:bottom w:val="single" w:sz="8" w:space="0" w:color="AEAEAE"/>
              <w:right w:val="nil"/>
            </w:tcBorders>
            <w:shd w:val="clear" w:color="auto" w:fill="auto"/>
          </w:tcPr>
          <w:p w14:paraId="68FE06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49B8EDD5" w14:textId="77777777" w:rsidTr="00C9238D">
        <w:trPr>
          <w:cantSplit/>
          <w:trHeight w:val="283"/>
        </w:trPr>
        <w:tc>
          <w:tcPr>
            <w:tcW w:w="799" w:type="dxa"/>
            <w:vMerge/>
            <w:tcBorders>
              <w:top w:val="single" w:sz="8" w:space="0" w:color="152935"/>
              <w:left w:val="nil"/>
              <w:bottom w:val="single" w:sz="8" w:space="0" w:color="152935"/>
              <w:right w:val="nil"/>
            </w:tcBorders>
            <w:shd w:val="clear" w:color="auto" w:fill="auto"/>
          </w:tcPr>
          <w:p w14:paraId="4EDF876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02" w:type="dxa"/>
            <w:tcBorders>
              <w:top w:val="single" w:sz="8" w:space="0" w:color="AEAEAE"/>
              <w:left w:val="nil"/>
              <w:bottom w:val="single" w:sz="8" w:space="0" w:color="AEAEAE"/>
              <w:right w:val="nil"/>
            </w:tcBorders>
            <w:shd w:val="clear" w:color="auto" w:fill="auto"/>
          </w:tcPr>
          <w:p w14:paraId="70599F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603" w:type="dxa"/>
            <w:tcBorders>
              <w:top w:val="single" w:sz="8" w:space="0" w:color="AEAEAE"/>
              <w:left w:val="nil"/>
              <w:bottom w:val="single" w:sz="8" w:space="0" w:color="AEAEAE"/>
              <w:right w:val="single" w:sz="8" w:space="0" w:color="E0E0E0"/>
            </w:tcBorders>
            <w:shd w:val="clear" w:color="auto" w:fill="auto"/>
          </w:tcPr>
          <w:p w14:paraId="394431D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18.925</w:t>
            </w:r>
          </w:p>
        </w:tc>
        <w:tc>
          <w:tcPr>
            <w:tcW w:w="1119" w:type="dxa"/>
            <w:tcBorders>
              <w:top w:val="single" w:sz="8" w:space="0" w:color="AEAEAE"/>
              <w:left w:val="single" w:sz="8" w:space="0" w:color="E0E0E0"/>
              <w:bottom w:val="single" w:sz="8" w:space="0" w:color="AEAEAE"/>
              <w:right w:val="single" w:sz="8" w:space="0" w:color="E0E0E0"/>
            </w:tcBorders>
            <w:shd w:val="clear" w:color="auto" w:fill="auto"/>
          </w:tcPr>
          <w:p w14:paraId="0838EAA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101</w:t>
            </w:r>
          </w:p>
        </w:tc>
        <w:tc>
          <w:tcPr>
            <w:tcW w:w="1536" w:type="dxa"/>
            <w:tcBorders>
              <w:top w:val="single" w:sz="8" w:space="0" w:color="AEAEAE"/>
              <w:left w:val="single" w:sz="8" w:space="0" w:color="E0E0E0"/>
              <w:bottom w:val="single" w:sz="8" w:space="0" w:color="AEAEAE"/>
              <w:right w:val="single" w:sz="8" w:space="0" w:color="E0E0E0"/>
            </w:tcBorders>
            <w:shd w:val="clear" w:color="auto" w:fill="auto"/>
          </w:tcPr>
          <w:p w14:paraId="0A8E276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.187</w:t>
            </w:r>
          </w:p>
        </w:tc>
        <w:tc>
          <w:tcPr>
            <w:tcW w:w="1119"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A8AC9D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21" w:type="dxa"/>
            <w:tcBorders>
              <w:top w:val="single" w:sz="8" w:space="0" w:color="AEAEAE"/>
              <w:left w:val="single" w:sz="8" w:space="0" w:color="E0E0E0"/>
              <w:bottom w:val="single" w:sz="8" w:space="0" w:color="AEAEAE"/>
              <w:right w:val="nil"/>
            </w:tcBorders>
            <w:shd w:val="clear" w:color="auto" w:fill="auto"/>
            <w:vAlign w:val="center"/>
          </w:tcPr>
          <w:p w14:paraId="096D85F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30098CDE" w14:textId="77777777" w:rsidTr="00C9238D">
        <w:trPr>
          <w:cantSplit/>
          <w:trHeight w:val="283"/>
        </w:trPr>
        <w:tc>
          <w:tcPr>
            <w:tcW w:w="799" w:type="dxa"/>
            <w:vMerge/>
            <w:tcBorders>
              <w:top w:val="single" w:sz="8" w:space="0" w:color="152935"/>
              <w:left w:val="nil"/>
              <w:bottom w:val="single" w:sz="8" w:space="0" w:color="152935"/>
              <w:right w:val="nil"/>
            </w:tcBorders>
            <w:shd w:val="clear" w:color="auto" w:fill="auto"/>
          </w:tcPr>
          <w:p w14:paraId="5688D87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02" w:type="dxa"/>
            <w:tcBorders>
              <w:top w:val="single" w:sz="8" w:space="0" w:color="AEAEAE"/>
              <w:left w:val="nil"/>
              <w:bottom w:val="single" w:sz="8" w:space="0" w:color="152935"/>
              <w:right w:val="nil"/>
            </w:tcBorders>
            <w:shd w:val="clear" w:color="auto" w:fill="auto"/>
          </w:tcPr>
          <w:p w14:paraId="5AE485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603" w:type="dxa"/>
            <w:tcBorders>
              <w:top w:val="single" w:sz="8" w:space="0" w:color="AEAEAE"/>
              <w:left w:val="nil"/>
              <w:bottom w:val="single" w:sz="8" w:space="0" w:color="152935"/>
              <w:right w:val="single" w:sz="8" w:space="0" w:color="E0E0E0"/>
            </w:tcBorders>
            <w:shd w:val="clear" w:color="auto" w:fill="auto"/>
          </w:tcPr>
          <w:p w14:paraId="0BF485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1119" w:type="dxa"/>
            <w:tcBorders>
              <w:top w:val="single" w:sz="8" w:space="0" w:color="AEAEAE"/>
              <w:left w:val="single" w:sz="8" w:space="0" w:color="E0E0E0"/>
              <w:bottom w:val="single" w:sz="8" w:space="0" w:color="152935"/>
              <w:right w:val="single" w:sz="8" w:space="0" w:color="E0E0E0"/>
            </w:tcBorders>
            <w:shd w:val="clear" w:color="auto" w:fill="auto"/>
          </w:tcPr>
          <w:p w14:paraId="3EA9331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536" w:type="dxa"/>
            <w:tcBorders>
              <w:top w:val="single" w:sz="8" w:space="0" w:color="AEAEAE"/>
              <w:left w:val="single" w:sz="8" w:space="0" w:color="E0E0E0"/>
              <w:bottom w:val="single" w:sz="8" w:space="0" w:color="152935"/>
              <w:right w:val="single" w:sz="8" w:space="0" w:color="E0E0E0"/>
            </w:tcBorders>
            <w:shd w:val="clear" w:color="auto" w:fill="auto"/>
            <w:vAlign w:val="center"/>
          </w:tcPr>
          <w:p w14:paraId="7C197B0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19" w:type="dxa"/>
            <w:tcBorders>
              <w:top w:val="single" w:sz="8" w:space="0" w:color="AEAEAE"/>
              <w:left w:val="single" w:sz="8" w:space="0" w:color="E0E0E0"/>
              <w:bottom w:val="single" w:sz="8" w:space="0" w:color="152935"/>
              <w:right w:val="single" w:sz="8" w:space="0" w:color="E0E0E0"/>
            </w:tcBorders>
            <w:shd w:val="clear" w:color="auto" w:fill="auto"/>
            <w:vAlign w:val="center"/>
          </w:tcPr>
          <w:p w14:paraId="7890AF0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21" w:type="dxa"/>
            <w:tcBorders>
              <w:top w:val="single" w:sz="8" w:space="0" w:color="AEAEAE"/>
              <w:left w:val="single" w:sz="8" w:space="0" w:color="E0E0E0"/>
              <w:bottom w:val="single" w:sz="8" w:space="0" w:color="152935"/>
              <w:right w:val="nil"/>
            </w:tcBorders>
            <w:shd w:val="clear" w:color="auto" w:fill="auto"/>
            <w:vAlign w:val="center"/>
          </w:tcPr>
          <w:p w14:paraId="61986FE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09C24F83" w14:textId="77777777" w:rsidTr="00C9238D">
        <w:trPr>
          <w:cantSplit/>
          <w:trHeight w:val="283"/>
        </w:trPr>
        <w:tc>
          <w:tcPr>
            <w:tcW w:w="8699" w:type="dxa"/>
            <w:gridSpan w:val="7"/>
            <w:tcBorders>
              <w:top w:val="nil"/>
              <w:left w:val="nil"/>
              <w:bottom w:val="nil"/>
              <w:right w:val="nil"/>
            </w:tcBorders>
            <w:shd w:val="clear" w:color="auto" w:fill="auto"/>
          </w:tcPr>
          <w:p w14:paraId="796DF0F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4F32DE29" w14:textId="77777777" w:rsidTr="00C9238D">
        <w:trPr>
          <w:cantSplit/>
          <w:trHeight w:val="283"/>
        </w:trPr>
        <w:tc>
          <w:tcPr>
            <w:tcW w:w="8699" w:type="dxa"/>
            <w:gridSpan w:val="7"/>
            <w:tcBorders>
              <w:top w:val="nil"/>
              <w:left w:val="nil"/>
              <w:bottom w:val="nil"/>
              <w:right w:val="nil"/>
            </w:tcBorders>
            <w:shd w:val="clear" w:color="auto" w:fill="auto"/>
          </w:tcPr>
          <w:p w14:paraId="7E70F9FA" w14:textId="49DF0A31"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RP, </w:t>
            </w:r>
            <w:r w:rsidR="00DD07A5" w:rsidRPr="00400193">
              <w:rPr>
                <w:rFonts w:asciiTheme="minorHAnsi" w:hAnsiTheme="minorHAnsi" w:cstheme="minorHAnsi"/>
                <w:sz w:val="20"/>
                <w:szCs w:val="18"/>
                <w:lang w:eastAsia="zh-CN" w:bidi="hi-IN"/>
              </w:rPr>
              <w:t>ERF</w:t>
            </w:r>
          </w:p>
        </w:tc>
      </w:tr>
    </w:tbl>
    <w:p w14:paraId="6D81ABED" w14:textId="33DAB32F" w:rsidR="006E3616" w:rsidRPr="00400193" w:rsidRDefault="006E3616" w:rsidP="006E3616">
      <w:pPr>
        <w:pStyle w:val="Caption"/>
        <w:spacing w:after="240"/>
      </w:pPr>
      <w:bookmarkStart w:id="669" w:name="_Ref51433385"/>
      <w:bookmarkStart w:id="670" w:name="_Toc5290162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76</w:t>
      </w:r>
      <w:r w:rsidRPr="00400193">
        <w:fldChar w:fldCharType="end"/>
      </w:r>
      <w:bookmarkEnd w:id="669"/>
      <w:r w:rsidRPr="00400193">
        <w:t>: Analysis of variance of the model for VW</w:t>
      </w:r>
      <w:bookmarkEnd w:id="670"/>
    </w:p>
    <w:tbl>
      <w:tblPr>
        <w:tblW w:w="86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70"/>
        <w:gridCol w:w="942"/>
        <w:gridCol w:w="670"/>
        <w:gridCol w:w="1905"/>
        <w:gridCol w:w="2159"/>
        <w:gridCol w:w="581"/>
        <w:gridCol w:w="747"/>
        <w:gridCol w:w="1164"/>
      </w:tblGrid>
      <w:tr w:rsidR="006E3616" w:rsidRPr="00400193" w14:paraId="75E96622" w14:textId="77777777" w:rsidTr="00AF0766">
        <w:trPr>
          <w:cantSplit/>
          <w:trHeight w:val="283"/>
        </w:trPr>
        <w:tc>
          <w:tcPr>
            <w:tcW w:w="8638" w:type="dxa"/>
            <w:gridSpan w:val="8"/>
            <w:tcBorders>
              <w:top w:val="nil"/>
              <w:left w:val="nil"/>
              <w:bottom w:val="nil"/>
              <w:right w:val="nil"/>
            </w:tcBorders>
            <w:shd w:val="clear" w:color="auto" w:fill="auto"/>
            <w:vAlign w:val="center"/>
          </w:tcPr>
          <w:p w14:paraId="22AD858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36A7F1C6" w14:textId="77777777" w:rsidTr="00AF0766">
        <w:trPr>
          <w:cantSplit/>
          <w:trHeight w:val="283"/>
        </w:trPr>
        <w:tc>
          <w:tcPr>
            <w:tcW w:w="1412" w:type="dxa"/>
            <w:gridSpan w:val="2"/>
            <w:vMerge w:val="restart"/>
            <w:tcBorders>
              <w:top w:val="nil"/>
              <w:left w:val="nil"/>
              <w:bottom w:val="nil"/>
              <w:right w:val="nil"/>
            </w:tcBorders>
            <w:shd w:val="clear" w:color="auto" w:fill="auto"/>
            <w:vAlign w:val="bottom"/>
          </w:tcPr>
          <w:p w14:paraId="1600267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575" w:type="dxa"/>
            <w:gridSpan w:val="2"/>
            <w:tcBorders>
              <w:top w:val="nil"/>
              <w:left w:val="nil"/>
              <w:bottom w:val="nil"/>
              <w:right w:val="single" w:sz="8" w:space="0" w:color="E0E0E0"/>
            </w:tcBorders>
            <w:shd w:val="clear" w:color="auto" w:fill="auto"/>
            <w:vAlign w:val="bottom"/>
          </w:tcPr>
          <w:p w14:paraId="1ED1078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159" w:type="dxa"/>
            <w:tcBorders>
              <w:top w:val="nil"/>
              <w:left w:val="single" w:sz="8" w:space="0" w:color="E0E0E0"/>
              <w:bottom w:val="nil"/>
              <w:right w:val="single" w:sz="8" w:space="0" w:color="E0E0E0"/>
            </w:tcBorders>
            <w:shd w:val="clear" w:color="auto" w:fill="auto"/>
            <w:vAlign w:val="bottom"/>
          </w:tcPr>
          <w:p w14:paraId="541AFE3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581" w:type="dxa"/>
            <w:vMerge w:val="restart"/>
            <w:tcBorders>
              <w:top w:val="nil"/>
              <w:left w:val="single" w:sz="8" w:space="0" w:color="E0E0E0"/>
              <w:bottom w:val="nil"/>
              <w:right w:val="single" w:sz="8" w:space="0" w:color="E0E0E0"/>
            </w:tcBorders>
            <w:shd w:val="clear" w:color="auto" w:fill="auto"/>
            <w:vAlign w:val="bottom"/>
          </w:tcPr>
          <w:p w14:paraId="2A976F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747" w:type="dxa"/>
            <w:vMerge w:val="restart"/>
            <w:tcBorders>
              <w:top w:val="nil"/>
              <w:left w:val="single" w:sz="8" w:space="0" w:color="E0E0E0"/>
              <w:bottom w:val="nil"/>
              <w:right w:val="single" w:sz="8" w:space="0" w:color="E0E0E0"/>
            </w:tcBorders>
            <w:shd w:val="clear" w:color="auto" w:fill="auto"/>
            <w:vAlign w:val="bottom"/>
          </w:tcPr>
          <w:p w14:paraId="0EAEB3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c>
          <w:tcPr>
            <w:tcW w:w="1164" w:type="dxa"/>
            <w:tcBorders>
              <w:top w:val="nil"/>
              <w:left w:val="single" w:sz="8" w:space="0" w:color="E0E0E0"/>
              <w:bottom w:val="nil"/>
              <w:right w:val="nil"/>
            </w:tcBorders>
            <w:shd w:val="clear" w:color="auto" w:fill="auto"/>
            <w:vAlign w:val="bottom"/>
          </w:tcPr>
          <w:p w14:paraId="5F2F5A4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Correlations</w:t>
            </w:r>
          </w:p>
        </w:tc>
      </w:tr>
      <w:tr w:rsidR="006E3616" w:rsidRPr="00400193" w14:paraId="258D25DB" w14:textId="77777777" w:rsidTr="00AF0766">
        <w:trPr>
          <w:cantSplit/>
          <w:trHeight w:val="283"/>
        </w:trPr>
        <w:tc>
          <w:tcPr>
            <w:tcW w:w="1412" w:type="dxa"/>
            <w:gridSpan w:val="2"/>
            <w:vMerge/>
            <w:tcBorders>
              <w:top w:val="nil"/>
              <w:left w:val="nil"/>
              <w:bottom w:val="nil"/>
              <w:right w:val="nil"/>
            </w:tcBorders>
            <w:shd w:val="clear" w:color="auto" w:fill="auto"/>
            <w:vAlign w:val="bottom"/>
          </w:tcPr>
          <w:p w14:paraId="63F2FC7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70" w:type="dxa"/>
            <w:tcBorders>
              <w:top w:val="nil"/>
              <w:left w:val="nil"/>
              <w:bottom w:val="single" w:sz="8" w:space="0" w:color="152935"/>
              <w:right w:val="single" w:sz="8" w:space="0" w:color="E0E0E0"/>
            </w:tcBorders>
            <w:shd w:val="clear" w:color="auto" w:fill="auto"/>
            <w:vAlign w:val="bottom"/>
          </w:tcPr>
          <w:p w14:paraId="7BCB47C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905" w:type="dxa"/>
            <w:tcBorders>
              <w:top w:val="nil"/>
              <w:left w:val="single" w:sz="8" w:space="0" w:color="E0E0E0"/>
              <w:bottom w:val="single" w:sz="8" w:space="0" w:color="152935"/>
              <w:right w:val="single" w:sz="8" w:space="0" w:color="E0E0E0"/>
            </w:tcBorders>
            <w:shd w:val="clear" w:color="auto" w:fill="auto"/>
            <w:vAlign w:val="bottom"/>
          </w:tcPr>
          <w:p w14:paraId="408D77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159" w:type="dxa"/>
            <w:tcBorders>
              <w:top w:val="nil"/>
              <w:left w:val="single" w:sz="8" w:space="0" w:color="E0E0E0"/>
              <w:bottom w:val="single" w:sz="8" w:space="0" w:color="152935"/>
              <w:right w:val="single" w:sz="8" w:space="0" w:color="E0E0E0"/>
            </w:tcBorders>
            <w:shd w:val="clear" w:color="auto" w:fill="auto"/>
            <w:vAlign w:val="bottom"/>
          </w:tcPr>
          <w:p w14:paraId="0E20251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581" w:type="dxa"/>
            <w:vMerge/>
            <w:tcBorders>
              <w:top w:val="nil"/>
              <w:left w:val="single" w:sz="8" w:space="0" w:color="E0E0E0"/>
              <w:bottom w:val="nil"/>
              <w:right w:val="single" w:sz="8" w:space="0" w:color="E0E0E0"/>
            </w:tcBorders>
            <w:shd w:val="clear" w:color="auto" w:fill="auto"/>
            <w:vAlign w:val="bottom"/>
          </w:tcPr>
          <w:p w14:paraId="023C107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47" w:type="dxa"/>
            <w:vMerge/>
            <w:tcBorders>
              <w:top w:val="nil"/>
              <w:left w:val="single" w:sz="8" w:space="0" w:color="E0E0E0"/>
              <w:bottom w:val="nil"/>
              <w:right w:val="single" w:sz="8" w:space="0" w:color="E0E0E0"/>
            </w:tcBorders>
            <w:shd w:val="clear" w:color="auto" w:fill="auto"/>
            <w:vAlign w:val="bottom"/>
          </w:tcPr>
          <w:p w14:paraId="554F892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64" w:type="dxa"/>
            <w:tcBorders>
              <w:top w:val="nil"/>
              <w:left w:val="single" w:sz="8" w:space="0" w:color="E0E0E0"/>
              <w:bottom w:val="single" w:sz="8" w:space="0" w:color="152935"/>
              <w:right w:val="nil"/>
            </w:tcBorders>
            <w:shd w:val="clear" w:color="auto" w:fill="auto"/>
            <w:vAlign w:val="bottom"/>
          </w:tcPr>
          <w:p w14:paraId="674D8FA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Zero-order</w:t>
            </w:r>
          </w:p>
        </w:tc>
      </w:tr>
      <w:tr w:rsidR="006E3616" w:rsidRPr="00400193" w14:paraId="3C2399A1" w14:textId="77777777" w:rsidTr="00AF0766">
        <w:trPr>
          <w:cantSplit/>
          <w:trHeight w:val="283"/>
        </w:trPr>
        <w:tc>
          <w:tcPr>
            <w:tcW w:w="470" w:type="dxa"/>
            <w:vMerge w:val="restart"/>
            <w:tcBorders>
              <w:top w:val="single" w:sz="8" w:space="0" w:color="152935"/>
              <w:left w:val="nil"/>
              <w:bottom w:val="single" w:sz="8" w:space="0" w:color="152935"/>
              <w:right w:val="nil"/>
            </w:tcBorders>
            <w:shd w:val="clear" w:color="auto" w:fill="auto"/>
          </w:tcPr>
          <w:p w14:paraId="32F205C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942" w:type="dxa"/>
            <w:tcBorders>
              <w:top w:val="single" w:sz="8" w:space="0" w:color="152935"/>
              <w:left w:val="nil"/>
              <w:bottom w:val="single" w:sz="8" w:space="0" w:color="AEAEAE"/>
              <w:right w:val="nil"/>
            </w:tcBorders>
            <w:shd w:val="clear" w:color="auto" w:fill="auto"/>
          </w:tcPr>
          <w:p w14:paraId="09D42DC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670" w:type="dxa"/>
            <w:tcBorders>
              <w:top w:val="single" w:sz="8" w:space="0" w:color="152935"/>
              <w:left w:val="nil"/>
              <w:bottom w:val="single" w:sz="8" w:space="0" w:color="AEAEAE"/>
              <w:right w:val="single" w:sz="8" w:space="0" w:color="E0E0E0"/>
            </w:tcBorders>
            <w:shd w:val="clear" w:color="auto" w:fill="auto"/>
          </w:tcPr>
          <w:p w14:paraId="2BED3B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1.002</w:t>
            </w:r>
          </w:p>
        </w:tc>
        <w:tc>
          <w:tcPr>
            <w:tcW w:w="1905" w:type="dxa"/>
            <w:tcBorders>
              <w:top w:val="single" w:sz="8" w:space="0" w:color="152935"/>
              <w:left w:val="single" w:sz="8" w:space="0" w:color="E0E0E0"/>
              <w:bottom w:val="single" w:sz="8" w:space="0" w:color="AEAEAE"/>
              <w:right w:val="single" w:sz="8" w:space="0" w:color="E0E0E0"/>
            </w:tcBorders>
            <w:shd w:val="clear" w:color="auto" w:fill="auto"/>
          </w:tcPr>
          <w:p w14:paraId="4722DC5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.272</w:t>
            </w:r>
          </w:p>
        </w:tc>
        <w:tc>
          <w:tcPr>
            <w:tcW w:w="2159" w:type="dxa"/>
            <w:tcBorders>
              <w:top w:val="single" w:sz="8" w:space="0" w:color="152935"/>
              <w:left w:val="single" w:sz="8" w:space="0" w:color="E0E0E0"/>
              <w:bottom w:val="single" w:sz="8" w:space="0" w:color="AEAEAE"/>
              <w:right w:val="single" w:sz="8" w:space="0" w:color="E0E0E0"/>
            </w:tcBorders>
            <w:shd w:val="clear" w:color="auto" w:fill="auto"/>
            <w:vAlign w:val="center"/>
          </w:tcPr>
          <w:p w14:paraId="1F6C768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581" w:type="dxa"/>
            <w:tcBorders>
              <w:top w:val="single" w:sz="8" w:space="0" w:color="152935"/>
              <w:left w:val="single" w:sz="8" w:space="0" w:color="E0E0E0"/>
              <w:bottom w:val="single" w:sz="8" w:space="0" w:color="AEAEAE"/>
              <w:right w:val="single" w:sz="8" w:space="0" w:color="E0E0E0"/>
            </w:tcBorders>
            <w:shd w:val="clear" w:color="auto" w:fill="auto"/>
          </w:tcPr>
          <w:p w14:paraId="1F0C39B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3.685</w:t>
            </w:r>
          </w:p>
        </w:tc>
        <w:tc>
          <w:tcPr>
            <w:tcW w:w="747" w:type="dxa"/>
            <w:tcBorders>
              <w:top w:val="single" w:sz="8" w:space="0" w:color="152935"/>
              <w:left w:val="single" w:sz="8" w:space="0" w:color="E0E0E0"/>
              <w:bottom w:val="single" w:sz="8" w:space="0" w:color="AEAEAE"/>
              <w:right w:val="single" w:sz="8" w:space="0" w:color="E0E0E0"/>
            </w:tcBorders>
            <w:shd w:val="clear" w:color="auto" w:fill="auto"/>
          </w:tcPr>
          <w:p w14:paraId="330DFF9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164" w:type="dxa"/>
            <w:tcBorders>
              <w:top w:val="single" w:sz="8" w:space="0" w:color="152935"/>
              <w:left w:val="single" w:sz="8" w:space="0" w:color="E0E0E0"/>
              <w:bottom w:val="single" w:sz="8" w:space="0" w:color="AEAEAE"/>
              <w:right w:val="nil"/>
            </w:tcBorders>
            <w:shd w:val="clear" w:color="auto" w:fill="auto"/>
            <w:vAlign w:val="center"/>
          </w:tcPr>
          <w:p w14:paraId="3B11FCF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1C87D22F" w14:textId="77777777" w:rsidTr="00AF0766">
        <w:trPr>
          <w:cantSplit/>
          <w:trHeight w:val="283"/>
        </w:trPr>
        <w:tc>
          <w:tcPr>
            <w:tcW w:w="470" w:type="dxa"/>
            <w:vMerge/>
            <w:tcBorders>
              <w:top w:val="single" w:sz="8" w:space="0" w:color="152935"/>
              <w:left w:val="nil"/>
              <w:bottom w:val="single" w:sz="8" w:space="0" w:color="152935"/>
              <w:right w:val="nil"/>
            </w:tcBorders>
            <w:shd w:val="clear" w:color="auto" w:fill="auto"/>
          </w:tcPr>
          <w:p w14:paraId="3CC98AE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42" w:type="dxa"/>
            <w:tcBorders>
              <w:top w:val="single" w:sz="8" w:space="0" w:color="AEAEAE"/>
              <w:left w:val="nil"/>
              <w:bottom w:val="single" w:sz="8" w:space="0" w:color="AEAEAE"/>
              <w:right w:val="nil"/>
            </w:tcBorders>
            <w:shd w:val="clear" w:color="auto" w:fill="auto"/>
          </w:tcPr>
          <w:p w14:paraId="1AE2C2D2" w14:textId="101CD972"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670" w:type="dxa"/>
            <w:tcBorders>
              <w:top w:val="single" w:sz="8" w:space="0" w:color="AEAEAE"/>
              <w:left w:val="nil"/>
              <w:bottom w:val="single" w:sz="8" w:space="0" w:color="AEAEAE"/>
              <w:right w:val="single" w:sz="8" w:space="0" w:color="E0E0E0"/>
            </w:tcBorders>
            <w:shd w:val="clear" w:color="auto" w:fill="auto"/>
          </w:tcPr>
          <w:p w14:paraId="0858B2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.467</w:t>
            </w:r>
          </w:p>
        </w:tc>
        <w:tc>
          <w:tcPr>
            <w:tcW w:w="1905" w:type="dxa"/>
            <w:tcBorders>
              <w:top w:val="single" w:sz="8" w:space="0" w:color="AEAEAE"/>
              <w:left w:val="single" w:sz="8" w:space="0" w:color="E0E0E0"/>
              <w:bottom w:val="single" w:sz="8" w:space="0" w:color="AEAEAE"/>
              <w:right w:val="single" w:sz="8" w:space="0" w:color="E0E0E0"/>
            </w:tcBorders>
            <w:shd w:val="clear" w:color="auto" w:fill="auto"/>
          </w:tcPr>
          <w:p w14:paraId="4DBC2C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.056</w:t>
            </w:r>
          </w:p>
        </w:tc>
        <w:tc>
          <w:tcPr>
            <w:tcW w:w="2159" w:type="dxa"/>
            <w:tcBorders>
              <w:top w:val="single" w:sz="8" w:space="0" w:color="AEAEAE"/>
              <w:left w:val="single" w:sz="8" w:space="0" w:color="E0E0E0"/>
              <w:bottom w:val="single" w:sz="8" w:space="0" w:color="AEAEAE"/>
              <w:right w:val="single" w:sz="8" w:space="0" w:color="E0E0E0"/>
            </w:tcBorders>
            <w:shd w:val="clear" w:color="auto" w:fill="auto"/>
          </w:tcPr>
          <w:p w14:paraId="46FB7B8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.612</w:t>
            </w:r>
          </w:p>
        </w:tc>
        <w:tc>
          <w:tcPr>
            <w:tcW w:w="581" w:type="dxa"/>
            <w:tcBorders>
              <w:top w:val="single" w:sz="8" w:space="0" w:color="AEAEAE"/>
              <w:left w:val="single" w:sz="8" w:space="0" w:color="E0E0E0"/>
              <w:bottom w:val="single" w:sz="8" w:space="0" w:color="AEAEAE"/>
              <w:right w:val="single" w:sz="8" w:space="0" w:color="E0E0E0"/>
            </w:tcBorders>
            <w:shd w:val="clear" w:color="auto" w:fill="auto"/>
          </w:tcPr>
          <w:p w14:paraId="38BDEA4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8.329</w:t>
            </w:r>
          </w:p>
        </w:tc>
        <w:tc>
          <w:tcPr>
            <w:tcW w:w="747" w:type="dxa"/>
            <w:tcBorders>
              <w:top w:val="single" w:sz="8" w:space="0" w:color="AEAEAE"/>
              <w:left w:val="single" w:sz="8" w:space="0" w:color="E0E0E0"/>
              <w:bottom w:val="single" w:sz="8" w:space="0" w:color="AEAEAE"/>
              <w:right w:val="single" w:sz="8" w:space="0" w:color="E0E0E0"/>
            </w:tcBorders>
            <w:shd w:val="clear" w:color="auto" w:fill="auto"/>
          </w:tcPr>
          <w:p w14:paraId="68D1FE5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164" w:type="dxa"/>
            <w:tcBorders>
              <w:top w:val="single" w:sz="8" w:space="0" w:color="AEAEAE"/>
              <w:left w:val="single" w:sz="8" w:space="0" w:color="E0E0E0"/>
              <w:bottom w:val="single" w:sz="8" w:space="0" w:color="AEAEAE"/>
              <w:right w:val="nil"/>
            </w:tcBorders>
            <w:shd w:val="clear" w:color="auto" w:fill="auto"/>
          </w:tcPr>
          <w:p w14:paraId="5B1700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.659</w:t>
            </w:r>
          </w:p>
        </w:tc>
      </w:tr>
      <w:tr w:rsidR="006E3616" w:rsidRPr="00400193" w14:paraId="50740F44" w14:textId="77777777" w:rsidTr="00AF0766">
        <w:trPr>
          <w:cantSplit/>
          <w:trHeight w:val="283"/>
        </w:trPr>
        <w:tc>
          <w:tcPr>
            <w:tcW w:w="470" w:type="dxa"/>
            <w:vMerge/>
            <w:tcBorders>
              <w:top w:val="single" w:sz="8" w:space="0" w:color="152935"/>
              <w:left w:val="nil"/>
              <w:bottom w:val="single" w:sz="8" w:space="0" w:color="152935"/>
              <w:right w:val="nil"/>
            </w:tcBorders>
            <w:shd w:val="clear" w:color="auto" w:fill="auto"/>
          </w:tcPr>
          <w:p w14:paraId="219710A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42" w:type="dxa"/>
            <w:tcBorders>
              <w:top w:val="single" w:sz="8" w:space="0" w:color="AEAEAE"/>
              <w:left w:val="nil"/>
              <w:bottom w:val="single" w:sz="8" w:space="0" w:color="AEAEAE"/>
              <w:right w:val="nil"/>
            </w:tcBorders>
            <w:shd w:val="clear" w:color="auto" w:fill="auto"/>
          </w:tcPr>
          <w:p w14:paraId="3B664CE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c>
          <w:tcPr>
            <w:tcW w:w="670" w:type="dxa"/>
            <w:tcBorders>
              <w:top w:val="single" w:sz="8" w:space="0" w:color="AEAEAE"/>
              <w:left w:val="nil"/>
              <w:bottom w:val="single" w:sz="8" w:space="0" w:color="AEAEAE"/>
              <w:right w:val="single" w:sz="8" w:space="0" w:color="E0E0E0"/>
            </w:tcBorders>
            <w:shd w:val="clear" w:color="auto" w:fill="auto"/>
          </w:tcPr>
          <w:p w14:paraId="5EA208C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.194</w:t>
            </w:r>
          </w:p>
        </w:tc>
        <w:tc>
          <w:tcPr>
            <w:tcW w:w="1905" w:type="dxa"/>
            <w:tcBorders>
              <w:top w:val="single" w:sz="8" w:space="0" w:color="AEAEAE"/>
              <w:left w:val="single" w:sz="8" w:space="0" w:color="E0E0E0"/>
              <w:bottom w:val="single" w:sz="8" w:space="0" w:color="AEAEAE"/>
              <w:right w:val="single" w:sz="8" w:space="0" w:color="E0E0E0"/>
            </w:tcBorders>
            <w:shd w:val="clear" w:color="auto" w:fill="auto"/>
          </w:tcPr>
          <w:p w14:paraId="0937644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.066</w:t>
            </w:r>
          </w:p>
        </w:tc>
        <w:tc>
          <w:tcPr>
            <w:tcW w:w="2159" w:type="dxa"/>
            <w:tcBorders>
              <w:top w:val="single" w:sz="8" w:space="0" w:color="AEAEAE"/>
              <w:left w:val="single" w:sz="8" w:space="0" w:color="E0E0E0"/>
              <w:bottom w:val="single" w:sz="8" w:space="0" w:color="AEAEAE"/>
              <w:right w:val="single" w:sz="8" w:space="0" w:color="E0E0E0"/>
            </w:tcBorders>
            <w:shd w:val="clear" w:color="auto" w:fill="auto"/>
          </w:tcPr>
          <w:p w14:paraId="2D0DE0A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.217</w:t>
            </w:r>
          </w:p>
        </w:tc>
        <w:tc>
          <w:tcPr>
            <w:tcW w:w="581" w:type="dxa"/>
            <w:tcBorders>
              <w:top w:val="single" w:sz="8" w:space="0" w:color="AEAEAE"/>
              <w:left w:val="single" w:sz="8" w:space="0" w:color="E0E0E0"/>
              <w:bottom w:val="single" w:sz="8" w:space="0" w:color="AEAEAE"/>
              <w:right w:val="single" w:sz="8" w:space="0" w:color="E0E0E0"/>
            </w:tcBorders>
            <w:shd w:val="clear" w:color="auto" w:fill="auto"/>
          </w:tcPr>
          <w:p w14:paraId="0870A5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2.952</w:t>
            </w:r>
          </w:p>
        </w:tc>
        <w:tc>
          <w:tcPr>
            <w:tcW w:w="747" w:type="dxa"/>
            <w:tcBorders>
              <w:top w:val="single" w:sz="8" w:space="0" w:color="AEAEAE"/>
              <w:left w:val="single" w:sz="8" w:space="0" w:color="E0E0E0"/>
              <w:bottom w:val="single" w:sz="8" w:space="0" w:color="AEAEAE"/>
              <w:right w:val="single" w:sz="8" w:space="0" w:color="E0E0E0"/>
            </w:tcBorders>
            <w:shd w:val="clear" w:color="auto" w:fill="auto"/>
          </w:tcPr>
          <w:p w14:paraId="64877EB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.004</w:t>
            </w:r>
          </w:p>
        </w:tc>
        <w:tc>
          <w:tcPr>
            <w:tcW w:w="1164" w:type="dxa"/>
            <w:tcBorders>
              <w:top w:val="single" w:sz="8" w:space="0" w:color="AEAEAE"/>
              <w:left w:val="single" w:sz="8" w:space="0" w:color="E0E0E0"/>
              <w:bottom w:val="single" w:sz="8" w:space="0" w:color="AEAEAE"/>
              <w:right w:val="nil"/>
            </w:tcBorders>
            <w:shd w:val="clear" w:color="auto" w:fill="auto"/>
          </w:tcPr>
          <w:p w14:paraId="3D1457A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.348</w:t>
            </w:r>
          </w:p>
        </w:tc>
      </w:tr>
      <w:tr w:rsidR="00AF0766" w:rsidRPr="00400193" w14:paraId="618865BD" w14:textId="77777777" w:rsidTr="00AF0766">
        <w:trPr>
          <w:cantSplit/>
          <w:trHeight w:val="283"/>
        </w:trPr>
        <w:tc>
          <w:tcPr>
            <w:tcW w:w="8638" w:type="dxa"/>
            <w:gridSpan w:val="8"/>
            <w:tcBorders>
              <w:top w:val="single" w:sz="8" w:space="0" w:color="152935"/>
              <w:left w:val="nil"/>
              <w:bottom w:val="single" w:sz="4" w:space="0" w:color="FFFFFF" w:themeColor="background1"/>
              <w:right w:val="nil"/>
            </w:tcBorders>
            <w:shd w:val="clear" w:color="auto" w:fill="auto"/>
          </w:tcPr>
          <w:p w14:paraId="49D7E969" w14:textId="77777777" w:rsidR="00AF0766" w:rsidRPr="00400193" w:rsidRDefault="00AF076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7B78BA1A" w14:textId="11D5C1DD" w:rsidR="00AF0766" w:rsidRPr="00400193" w:rsidRDefault="00AF076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Predictors: (Constant), RP, ERF</w:t>
            </w:r>
          </w:p>
        </w:tc>
      </w:tr>
    </w:tbl>
    <w:p w14:paraId="0F7A7CDF" w14:textId="5A517EC7" w:rsidR="006E3616" w:rsidRPr="00400193" w:rsidRDefault="006E3616" w:rsidP="006E3616">
      <w:pPr>
        <w:pStyle w:val="Caption"/>
      </w:pPr>
      <w:bookmarkStart w:id="671" w:name="_Ref51433635"/>
      <w:bookmarkStart w:id="672" w:name="_Toc5290162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77</w:t>
      </w:r>
      <w:r w:rsidRPr="00400193">
        <w:fldChar w:fldCharType="end"/>
      </w:r>
      <w:bookmarkEnd w:id="671"/>
      <w:r w:rsidRPr="00400193">
        <w:t>: Coefficients of the regression model VW</w:t>
      </w:r>
      <w:bookmarkEnd w:id="672"/>
    </w:p>
    <w:p w14:paraId="69153054" w14:textId="77777777" w:rsidR="006E3616" w:rsidRPr="00400193" w:rsidRDefault="006E3616" w:rsidP="006E3616">
      <w:pPr>
        <w:spacing w:line="240" w:lineRule="auto"/>
        <w:rPr>
          <w:lang w:eastAsia="zh-CN" w:bidi="hi-IN"/>
        </w:rPr>
      </w:pPr>
    </w:p>
    <w:p w14:paraId="6CEC04FE" w14:textId="77777777" w:rsidR="006E3616" w:rsidRPr="00400193" w:rsidRDefault="006E3616" w:rsidP="008F2086">
      <w:pPr>
        <w:pStyle w:val="Heading4"/>
        <w:rPr>
          <w:lang w:eastAsia="zh-CN" w:bidi="hi-IN"/>
        </w:rPr>
      </w:pPr>
      <w:bookmarkStart w:id="673" w:name="_Toc61894780"/>
      <w:r w:rsidRPr="00400193">
        <w:rPr>
          <w:lang w:eastAsia="zh-CN" w:bidi="hi-IN"/>
        </w:rPr>
        <w:t>Testing for Collinearity of the Independent Variables</w:t>
      </w:r>
      <w:bookmarkEnd w:id="673"/>
    </w:p>
    <w:p w14:paraId="3588757E" w14:textId="73A4F413" w:rsidR="006E3616" w:rsidRPr="00400193" w:rsidRDefault="006E3616" w:rsidP="006E3616">
      <w:pPr>
        <w:rPr>
          <w:lang w:eastAsia="zh-CN" w:bidi="hi-IN"/>
        </w:rPr>
      </w:pPr>
      <w:r w:rsidRPr="00400193">
        <w:rPr>
          <w:lang w:eastAsia="zh-CN" w:bidi="hi-IN"/>
        </w:rPr>
        <w:t xml:space="preserve">The collinearity results for the independent variables are in </w:t>
      </w:r>
      <w:r w:rsidR="00F319CB" w:rsidRPr="00400193">
        <w:rPr>
          <w:lang w:eastAsia="zh-CN" w:bidi="hi-IN"/>
        </w:rPr>
        <w:fldChar w:fldCharType="begin"/>
      </w:r>
      <w:r w:rsidR="00F319CB" w:rsidRPr="00400193">
        <w:rPr>
          <w:lang w:eastAsia="zh-CN" w:bidi="hi-IN"/>
        </w:rPr>
        <w:instrText xml:space="preserve"> REF _Ref52821015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78</w:t>
      </w:r>
      <w:r w:rsidR="00F319CB" w:rsidRPr="00400193">
        <w:rPr>
          <w:lang w:eastAsia="zh-CN" w:bidi="hi-IN"/>
        </w:rPr>
        <w:fldChar w:fldCharType="end"/>
      </w:r>
      <w:r w:rsidRPr="00400193">
        <w:rPr>
          <w:lang w:eastAsia="zh-CN" w:bidi="hi-IN"/>
        </w:rPr>
        <w:t>.</w:t>
      </w:r>
    </w:p>
    <w:tbl>
      <w:tblPr>
        <w:tblW w:w="90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4"/>
        <w:gridCol w:w="1191"/>
        <w:gridCol w:w="1192"/>
        <w:gridCol w:w="1431"/>
        <w:gridCol w:w="1147"/>
        <w:gridCol w:w="998"/>
        <w:gridCol w:w="2281"/>
      </w:tblGrid>
      <w:tr w:rsidR="006E3616" w:rsidRPr="00400193" w14:paraId="39D8C867" w14:textId="77777777" w:rsidTr="000F3E4F">
        <w:trPr>
          <w:cantSplit/>
          <w:trHeight w:val="283"/>
        </w:trPr>
        <w:tc>
          <w:tcPr>
            <w:tcW w:w="9014" w:type="dxa"/>
            <w:gridSpan w:val="7"/>
            <w:tcBorders>
              <w:top w:val="nil"/>
              <w:left w:val="nil"/>
              <w:bottom w:val="nil"/>
              <w:right w:val="nil"/>
            </w:tcBorders>
            <w:shd w:val="clear" w:color="auto" w:fill="auto"/>
            <w:vAlign w:val="center"/>
          </w:tcPr>
          <w:p w14:paraId="4F1027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5F932A95" w14:textId="77777777" w:rsidTr="000F3E4F">
        <w:trPr>
          <w:cantSplit/>
          <w:trHeight w:val="283"/>
        </w:trPr>
        <w:tc>
          <w:tcPr>
            <w:tcW w:w="774" w:type="dxa"/>
            <w:vMerge w:val="restart"/>
            <w:tcBorders>
              <w:top w:val="nil"/>
              <w:left w:val="nil"/>
              <w:bottom w:val="nil"/>
              <w:right w:val="nil"/>
            </w:tcBorders>
            <w:shd w:val="clear" w:color="auto" w:fill="auto"/>
            <w:vAlign w:val="bottom"/>
          </w:tcPr>
          <w:p w14:paraId="4C8CE35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91" w:type="dxa"/>
            <w:vMerge w:val="restart"/>
            <w:tcBorders>
              <w:top w:val="nil"/>
              <w:left w:val="nil"/>
              <w:bottom w:val="nil"/>
              <w:right w:val="nil"/>
            </w:tcBorders>
            <w:shd w:val="clear" w:color="auto" w:fill="auto"/>
            <w:vAlign w:val="bottom"/>
          </w:tcPr>
          <w:p w14:paraId="53F99A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92" w:type="dxa"/>
            <w:vMerge w:val="restart"/>
            <w:tcBorders>
              <w:top w:val="nil"/>
              <w:left w:val="nil"/>
              <w:bottom w:val="nil"/>
              <w:right w:val="single" w:sz="8" w:space="0" w:color="E0E0E0"/>
            </w:tcBorders>
            <w:shd w:val="clear" w:color="auto" w:fill="auto"/>
            <w:vAlign w:val="bottom"/>
          </w:tcPr>
          <w:p w14:paraId="29B0C40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31" w:type="dxa"/>
            <w:vMerge w:val="restart"/>
            <w:tcBorders>
              <w:top w:val="nil"/>
              <w:left w:val="single" w:sz="8" w:space="0" w:color="E0E0E0"/>
              <w:bottom w:val="nil"/>
              <w:right w:val="single" w:sz="8" w:space="0" w:color="E0E0E0"/>
            </w:tcBorders>
            <w:shd w:val="clear" w:color="auto" w:fill="auto"/>
            <w:vAlign w:val="bottom"/>
          </w:tcPr>
          <w:p w14:paraId="7D5D3C2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426" w:type="dxa"/>
            <w:gridSpan w:val="3"/>
            <w:tcBorders>
              <w:top w:val="nil"/>
              <w:left w:val="single" w:sz="8" w:space="0" w:color="E0E0E0"/>
              <w:bottom w:val="nil"/>
              <w:right w:val="nil"/>
            </w:tcBorders>
            <w:shd w:val="clear" w:color="auto" w:fill="auto"/>
            <w:vAlign w:val="bottom"/>
          </w:tcPr>
          <w:p w14:paraId="7CDA58F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52F08386" w14:textId="77777777" w:rsidTr="000F3E4F">
        <w:trPr>
          <w:cantSplit/>
          <w:trHeight w:val="283"/>
        </w:trPr>
        <w:tc>
          <w:tcPr>
            <w:tcW w:w="774" w:type="dxa"/>
            <w:vMerge/>
            <w:tcBorders>
              <w:top w:val="nil"/>
              <w:left w:val="nil"/>
              <w:bottom w:val="nil"/>
              <w:right w:val="nil"/>
            </w:tcBorders>
            <w:shd w:val="clear" w:color="auto" w:fill="auto"/>
            <w:vAlign w:val="bottom"/>
          </w:tcPr>
          <w:p w14:paraId="2BD57AE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91" w:type="dxa"/>
            <w:vMerge/>
            <w:tcBorders>
              <w:top w:val="nil"/>
              <w:left w:val="nil"/>
              <w:bottom w:val="nil"/>
              <w:right w:val="nil"/>
            </w:tcBorders>
            <w:shd w:val="clear" w:color="auto" w:fill="auto"/>
            <w:vAlign w:val="bottom"/>
          </w:tcPr>
          <w:p w14:paraId="37D8FBE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92" w:type="dxa"/>
            <w:vMerge/>
            <w:tcBorders>
              <w:top w:val="nil"/>
              <w:left w:val="nil"/>
              <w:bottom w:val="nil"/>
              <w:right w:val="single" w:sz="8" w:space="0" w:color="E0E0E0"/>
            </w:tcBorders>
            <w:shd w:val="clear" w:color="auto" w:fill="auto"/>
            <w:vAlign w:val="bottom"/>
          </w:tcPr>
          <w:p w14:paraId="1A43F2A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31" w:type="dxa"/>
            <w:vMerge/>
            <w:tcBorders>
              <w:top w:val="nil"/>
              <w:left w:val="single" w:sz="8" w:space="0" w:color="E0E0E0"/>
              <w:bottom w:val="nil"/>
              <w:right w:val="single" w:sz="8" w:space="0" w:color="E0E0E0"/>
            </w:tcBorders>
            <w:shd w:val="clear" w:color="auto" w:fill="auto"/>
            <w:vAlign w:val="bottom"/>
          </w:tcPr>
          <w:p w14:paraId="3BBFE90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7" w:type="dxa"/>
            <w:tcBorders>
              <w:top w:val="nil"/>
              <w:left w:val="single" w:sz="8" w:space="0" w:color="E0E0E0"/>
              <w:bottom w:val="single" w:sz="8" w:space="0" w:color="152935"/>
              <w:right w:val="single" w:sz="8" w:space="0" w:color="E0E0E0"/>
            </w:tcBorders>
            <w:shd w:val="clear" w:color="auto" w:fill="auto"/>
            <w:vAlign w:val="bottom"/>
          </w:tcPr>
          <w:p w14:paraId="4C5C54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998" w:type="dxa"/>
            <w:tcBorders>
              <w:top w:val="nil"/>
              <w:left w:val="single" w:sz="8" w:space="0" w:color="E0E0E0"/>
              <w:bottom w:val="single" w:sz="8" w:space="0" w:color="152935"/>
              <w:right w:val="single" w:sz="8" w:space="0" w:color="E0E0E0"/>
            </w:tcBorders>
            <w:shd w:val="clear" w:color="auto" w:fill="auto"/>
            <w:vAlign w:val="bottom"/>
          </w:tcPr>
          <w:p w14:paraId="0D10E5F1" w14:textId="3A3B891F"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2281" w:type="dxa"/>
            <w:tcBorders>
              <w:top w:val="nil"/>
              <w:left w:val="single" w:sz="8" w:space="0" w:color="E0E0E0"/>
              <w:bottom w:val="single" w:sz="8" w:space="0" w:color="152935"/>
              <w:right w:val="nil"/>
            </w:tcBorders>
            <w:shd w:val="clear" w:color="auto" w:fill="auto"/>
            <w:vAlign w:val="bottom"/>
          </w:tcPr>
          <w:p w14:paraId="5C520E0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r>
      <w:tr w:rsidR="006E3616" w:rsidRPr="00400193" w14:paraId="7590B00C" w14:textId="77777777" w:rsidTr="000F3E4F">
        <w:trPr>
          <w:cantSplit/>
          <w:trHeight w:val="283"/>
        </w:trPr>
        <w:tc>
          <w:tcPr>
            <w:tcW w:w="774" w:type="dxa"/>
            <w:vMerge w:val="restart"/>
            <w:tcBorders>
              <w:top w:val="single" w:sz="8" w:space="0" w:color="152935"/>
              <w:left w:val="nil"/>
              <w:bottom w:val="single" w:sz="8" w:space="0" w:color="152935"/>
              <w:right w:val="nil"/>
            </w:tcBorders>
            <w:shd w:val="clear" w:color="auto" w:fill="auto"/>
          </w:tcPr>
          <w:p w14:paraId="6FF27D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91" w:type="dxa"/>
            <w:tcBorders>
              <w:top w:val="single" w:sz="8" w:space="0" w:color="152935"/>
              <w:left w:val="nil"/>
              <w:bottom w:val="single" w:sz="8" w:space="0" w:color="AEAEAE"/>
              <w:right w:val="nil"/>
            </w:tcBorders>
            <w:shd w:val="clear" w:color="auto" w:fill="auto"/>
          </w:tcPr>
          <w:p w14:paraId="44D3DE2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92" w:type="dxa"/>
            <w:tcBorders>
              <w:top w:val="single" w:sz="8" w:space="0" w:color="152935"/>
              <w:left w:val="nil"/>
              <w:bottom w:val="single" w:sz="8" w:space="0" w:color="AEAEAE"/>
              <w:right w:val="single" w:sz="8" w:space="0" w:color="E0E0E0"/>
            </w:tcBorders>
            <w:shd w:val="clear" w:color="auto" w:fill="auto"/>
          </w:tcPr>
          <w:p w14:paraId="0EFF62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2.947</w:t>
            </w:r>
          </w:p>
        </w:tc>
        <w:tc>
          <w:tcPr>
            <w:tcW w:w="1431" w:type="dxa"/>
            <w:tcBorders>
              <w:top w:val="single" w:sz="8" w:space="0" w:color="152935"/>
              <w:left w:val="single" w:sz="8" w:space="0" w:color="E0E0E0"/>
              <w:bottom w:val="single" w:sz="8" w:space="0" w:color="AEAEAE"/>
              <w:right w:val="single" w:sz="8" w:space="0" w:color="E0E0E0"/>
            </w:tcBorders>
            <w:shd w:val="clear" w:color="auto" w:fill="auto"/>
          </w:tcPr>
          <w:p w14:paraId="7670CA8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147" w:type="dxa"/>
            <w:tcBorders>
              <w:top w:val="single" w:sz="8" w:space="0" w:color="152935"/>
              <w:left w:val="single" w:sz="8" w:space="0" w:color="E0E0E0"/>
              <w:bottom w:val="single" w:sz="8" w:space="0" w:color="AEAEAE"/>
              <w:right w:val="single" w:sz="8" w:space="0" w:color="E0E0E0"/>
            </w:tcBorders>
            <w:shd w:val="clear" w:color="auto" w:fill="auto"/>
          </w:tcPr>
          <w:p w14:paraId="601603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c>
          <w:tcPr>
            <w:tcW w:w="998" w:type="dxa"/>
            <w:tcBorders>
              <w:top w:val="single" w:sz="8" w:space="0" w:color="152935"/>
              <w:left w:val="single" w:sz="8" w:space="0" w:color="E0E0E0"/>
              <w:bottom w:val="single" w:sz="8" w:space="0" w:color="AEAEAE"/>
              <w:right w:val="single" w:sz="8" w:space="0" w:color="E0E0E0"/>
            </w:tcBorders>
            <w:shd w:val="clear" w:color="auto" w:fill="auto"/>
          </w:tcPr>
          <w:p w14:paraId="479694C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281" w:type="dxa"/>
            <w:tcBorders>
              <w:top w:val="single" w:sz="8" w:space="0" w:color="152935"/>
              <w:left w:val="single" w:sz="8" w:space="0" w:color="E0E0E0"/>
              <w:bottom w:val="single" w:sz="8" w:space="0" w:color="AEAEAE"/>
              <w:right w:val="nil"/>
            </w:tcBorders>
            <w:shd w:val="clear" w:color="auto" w:fill="auto"/>
          </w:tcPr>
          <w:p w14:paraId="76D572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r>
      <w:tr w:rsidR="006E3616" w:rsidRPr="00400193" w14:paraId="60C3B46A" w14:textId="77777777" w:rsidTr="000F3E4F">
        <w:trPr>
          <w:cantSplit/>
          <w:trHeight w:val="283"/>
        </w:trPr>
        <w:tc>
          <w:tcPr>
            <w:tcW w:w="774" w:type="dxa"/>
            <w:vMerge/>
            <w:tcBorders>
              <w:top w:val="single" w:sz="8" w:space="0" w:color="152935"/>
              <w:left w:val="nil"/>
              <w:bottom w:val="single" w:sz="8" w:space="0" w:color="152935"/>
              <w:right w:val="nil"/>
            </w:tcBorders>
            <w:shd w:val="clear" w:color="auto" w:fill="auto"/>
          </w:tcPr>
          <w:p w14:paraId="4ABEB5F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91" w:type="dxa"/>
            <w:tcBorders>
              <w:top w:val="single" w:sz="8" w:space="0" w:color="AEAEAE"/>
              <w:left w:val="nil"/>
              <w:bottom w:val="single" w:sz="8" w:space="0" w:color="AEAEAE"/>
              <w:right w:val="nil"/>
            </w:tcBorders>
            <w:shd w:val="clear" w:color="auto" w:fill="auto"/>
          </w:tcPr>
          <w:p w14:paraId="1157BD7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92" w:type="dxa"/>
            <w:tcBorders>
              <w:top w:val="single" w:sz="8" w:space="0" w:color="AEAEAE"/>
              <w:left w:val="nil"/>
              <w:bottom w:val="single" w:sz="8" w:space="0" w:color="AEAEAE"/>
              <w:right w:val="single" w:sz="8" w:space="0" w:color="E0E0E0"/>
            </w:tcBorders>
            <w:shd w:val="clear" w:color="auto" w:fill="auto"/>
          </w:tcPr>
          <w:p w14:paraId="6E0B63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.038</w:t>
            </w:r>
          </w:p>
        </w:tc>
        <w:tc>
          <w:tcPr>
            <w:tcW w:w="1431" w:type="dxa"/>
            <w:tcBorders>
              <w:top w:val="single" w:sz="8" w:space="0" w:color="AEAEAE"/>
              <w:left w:val="single" w:sz="8" w:space="0" w:color="E0E0E0"/>
              <w:bottom w:val="single" w:sz="8" w:space="0" w:color="AEAEAE"/>
              <w:right w:val="single" w:sz="8" w:space="0" w:color="E0E0E0"/>
            </w:tcBorders>
            <w:shd w:val="clear" w:color="auto" w:fill="auto"/>
          </w:tcPr>
          <w:p w14:paraId="45F2427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8.860</w:t>
            </w:r>
          </w:p>
        </w:tc>
        <w:tc>
          <w:tcPr>
            <w:tcW w:w="1147" w:type="dxa"/>
            <w:tcBorders>
              <w:top w:val="single" w:sz="8" w:space="0" w:color="AEAEAE"/>
              <w:left w:val="single" w:sz="8" w:space="0" w:color="E0E0E0"/>
              <w:bottom w:val="single" w:sz="8" w:space="0" w:color="AEAEAE"/>
              <w:right w:val="single" w:sz="8" w:space="0" w:color="E0E0E0"/>
            </w:tcBorders>
            <w:shd w:val="clear" w:color="auto" w:fill="auto"/>
          </w:tcPr>
          <w:p w14:paraId="79EC78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w:t>
            </w:r>
          </w:p>
        </w:tc>
        <w:tc>
          <w:tcPr>
            <w:tcW w:w="998" w:type="dxa"/>
            <w:tcBorders>
              <w:top w:val="single" w:sz="8" w:space="0" w:color="AEAEAE"/>
              <w:left w:val="single" w:sz="8" w:space="0" w:color="E0E0E0"/>
              <w:bottom w:val="single" w:sz="8" w:space="0" w:color="AEAEAE"/>
              <w:right w:val="single" w:sz="8" w:space="0" w:color="E0E0E0"/>
            </w:tcBorders>
            <w:shd w:val="clear" w:color="auto" w:fill="auto"/>
          </w:tcPr>
          <w:p w14:paraId="7FC6FDC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.93</w:t>
            </w:r>
          </w:p>
        </w:tc>
        <w:tc>
          <w:tcPr>
            <w:tcW w:w="2281" w:type="dxa"/>
            <w:tcBorders>
              <w:top w:val="single" w:sz="8" w:space="0" w:color="AEAEAE"/>
              <w:left w:val="single" w:sz="8" w:space="0" w:color="E0E0E0"/>
              <w:bottom w:val="single" w:sz="8" w:space="0" w:color="AEAEAE"/>
              <w:right w:val="nil"/>
            </w:tcBorders>
            <w:shd w:val="clear" w:color="auto" w:fill="auto"/>
          </w:tcPr>
          <w:p w14:paraId="1003118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w:t>
            </w:r>
          </w:p>
        </w:tc>
      </w:tr>
      <w:tr w:rsidR="006E3616" w:rsidRPr="00400193" w14:paraId="79822141" w14:textId="77777777" w:rsidTr="000F3E4F">
        <w:trPr>
          <w:cantSplit/>
          <w:trHeight w:val="283"/>
        </w:trPr>
        <w:tc>
          <w:tcPr>
            <w:tcW w:w="774" w:type="dxa"/>
            <w:vMerge/>
            <w:tcBorders>
              <w:top w:val="single" w:sz="8" w:space="0" w:color="152935"/>
              <w:left w:val="nil"/>
              <w:bottom w:val="single" w:sz="8" w:space="0" w:color="152935"/>
              <w:right w:val="nil"/>
            </w:tcBorders>
            <w:shd w:val="clear" w:color="auto" w:fill="auto"/>
          </w:tcPr>
          <w:p w14:paraId="4EED40F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91" w:type="dxa"/>
            <w:tcBorders>
              <w:top w:val="single" w:sz="8" w:space="0" w:color="AEAEAE"/>
              <w:left w:val="nil"/>
              <w:bottom w:val="single" w:sz="8" w:space="0" w:color="152935"/>
              <w:right w:val="nil"/>
            </w:tcBorders>
            <w:shd w:val="clear" w:color="auto" w:fill="auto"/>
          </w:tcPr>
          <w:p w14:paraId="7EE12F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192" w:type="dxa"/>
            <w:tcBorders>
              <w:top w:val="single" w:sz="8" w:space="0" w:color="AEAEAE"/>
              <w:left w:val="nil"/>
              <w:bottom w:val="single" w:sz="8" w:space="0" w:color="152935"/>
              <w:right w:val="single" w:sz="8" w:space="0" w:color="E0E0E0"/>
            </w:tcBorders>
            <w:shd w:val="clear" w:color="auto" w:fill="auto"/>
          </w:tcPr>
          <w:p w14:paraId="1FF1963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.015</w:t>
            </w:r>
          </w:p>
        </w:tc>
        <w:tc>
          <w:tcPr>
            <w:tcW w:w="1431" w:type="dxa"/>
            <w:tcBorders>
              <w:top w:val="single" w:sz="8" w:space="0" w:color="AEAEAE"/>
              <w:left w:val="single" w:sz="8" w:space="0" w:color="E0E0E0"/>
              <w:bottom w:val="single" w:sz="8" w:space="0" w:color="152935"/>
              <w:right w:val="single" w:sz="8" w:space="0" w:color="E0E0E0"/>
            </w:tcBorders>
            <w:shd w:val="clear" w:color="auto" w:fill="auto"/>
          </w:tcPr>
          <w:p w14:paraId="121BAD8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14.002</w:t>
            </w:r>
          </w:p>
        </w:tc>
        <w:tc>
          <w:tcPr>
            <w:tcW w:w="1147" w:type="dxa"/>
            <w:tcBorders>
              <w:top w:val="single" w:sz="8" w:space="0" w:color="AEAEAE"/>
              <w:left w:val="single" w:sz="8" w:space="0" w:color="E0E0E0"/>
              <w:bottom w:val="single" w:sz="8" w:space="0" w:color="152935"/>
              <w:right w:val="single" w:sz="8" w:space="0" w:color="E0E0E0"/>
            </w:tcBorders>
            <w:shd w:val="clear" w:color="auto" w:fill="auto"/>
          </w:tcPr>
          <w:p w14:paraId="4ADD7BD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.94</w:t>
            </w:r>
          </w:p>
        </w:tc>
        <w:tc>
          <w:tcPr>
            <w:tcW w:w="998" w:type="dxa"/>
            <w:tcBorders>
              <w:top w:val="single" w:sz="8" w:space="0" w:color="AEAEAE"/>
              <w:left w:val="single" w:sz="8" w:space="0" w:color="E0E0E0"/>
              <w:bottom w:val="single" w:sz="8" w:space="0" w:color="152935"/>
              <w:right w:val="single" w:sz="8" w:space="0" w:color="E0E0E0"/>
            </w:tcBorders>
            <w:shd w:val="clear" w:color="auto" w:fill="auto"/>
          </w:tcPr>
          <w:p w14:paraId="2DE5F3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w:t>
            </w:r>
          </w:p>
        </w:tc>
        <w:tc>
          <w:tcPr>
            <w:tcW w:w="2281" w:type="dxa"/>
            <w:tcBorders>
              <w:top w:val="single" w:sz="8" w:space="0" w:color="AEAEAE"/>
              <w:left w:val="single" w:sz="8" w:space="0" w:color="E0E0E0"/>
              <w:bottom w:val="single" w:sz="8" w:space="0" w:color="152935"/>
              <w:right w:val="nil"/>
            </w:tcBorders>
            <w:shd w:val="clear" w:color="auto" w:fill="auto"/>
          </w:tcPr>
          <w:p w14:paraId="69C304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.79</w:t>
            </w:r>
          </w:p>
        </w:tc>
      </w:tr>
      <w:tr w:rsidR="006E3616" w:rsidRPr="00400193" w14:paraId="692B6B16" w14:textId="77777777" w:rsidTr="000F3E4F">
        <w:trPr>
          <w:cantSplit/>
          <w:trHeight w:val="283"/>
        </w:trPr>
        <w:tc>
          <w:tcPr>
            <w:tcW w:w="9014" w:type="dxa"/>
            <w:gridSpan w:val="7"/>
            <w:tcBorders>
              <w:top w:val="nil"/>
              <w:left w:val="nil"/>
              <w:bottom w:val="nil"/>
              <w:right w:val="nil"/>
            </w:tcBorders>
            <w:shd w:val="clear" w:color="auto" w:fill="auto"/>
          </w:tcPr>
          <w:p w14:paraId="1042AE75"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41B807C1" w14:textId="7B7F8C43" w:rsidR="006E3616" w:rsidRPr="00400193" w:rsidRDefault="006E3616" w:rsidP="006E3616">
      <w:pPr>
        <w:pStyle w:val="Caption"/>
        <w:spacing w:after="160" w:line="360" w:lineRule="auto"/>
      </w:pPr>
      <w:bookmarkStart w:id="674" w:name="_Ref52821015"/>
      <w:bookmarkStart w:id="675" w:name="_Toc5290162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78</w:t>
      </w:r>
      <w:r w:rsidRPr="00400193">
        <w:fldChar w:fldCharType="end"/>
      </w:r>
      <w:bookmarkEnd w:id="674"/>
      <w:r w:rsidRPr="00400193">
        <w:t>: Testing the collinearity between variables for VW</w:t>
      </w:r>
      <w:bookmarkEnd w:id="675"/>
    </w:p>
    <w:p w14:paraId="4C0E4C02" w14:textId="77777777" w:rsidR="006E3616" w:rsidRPr="00400193" w:rsidRDefault="006E3616" w:rsidP="006E3616">
      <w:pPr>
        <w:rPr>
          <w:lang w:eastAsia="zh-CN" w:bidi="hi-IN"/>
        </w:rPr>
      </w:pPr>
      <w:r w:rsidRPr="00400193">
        <w:rPr>
          <w:lang w:eastAsia="zh-CN" w:bidi="hi-IN"/>
        </w:rPr>
        <w:t>The condition index for all variables but one was less than 10. The remaining variable had a condition index greater than 10 and less than 30, showing moderate collinearity.</w:t>
      </w:r>
    </w:p>
    <w:p w14:paraId="5B86BAD9" w14:textId="77777777" w:rsidR="006E3616" w:rsidRPr="00400193" w:rsidRDefault="006E3616" w:rsidP="003C3496">
      <w:pPr>
        <w:pStyle w:val="Heading4"/>
        <w:rPr>
          <w:lang w:eastAsia="zh-CN" w:bidi="hi-IN"/>
        </w:rPr>
      </w:pPr>
      <w:bookmarkStart w:id="676" w:name="_Toc61894781"/>
      <w:r w:rsidRPr="00400193">
        <w:rPr>
          <w:lang w:eastAsia="zh-CN" w:bidi="hi-IN"/>
        </w:rPr>
        <w:t>Examining Residuals using Scatter Plots</w:t>
      </w:r>
      <w:bookmarkEnd w:id="676"/>
      <w:r w:rsidRPr="00400193">
        <w:rPr>
          <w:lang w:eastAsia="zh-CN" w:bidi="hi-IN"/>
        </w:rPr>
        <w:t xml:space="preserve"> </w:t>
      </w:r>
    </w:p>
    <w:p w14:paraId="5ABAF3AB" w14:textId="605BEF04"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F319CB" w:rsidRPr="00400193">
        <w:rPr>
          <w:lang w:eastAsia="zh-CN" w:bidi="hi-IN"/>
        </w:rPr>
        <w:fldChar w:fldCharType="begin"/>
      </w:r>
      <w:r w:rsidR="00F319CB" w:rsidRPr="00400193">
        <w:rPr>
          <w:lang w:eastAsia="zh-CN" w:bidi="hi-IN"/>
        </w:rPr>
        <w:instrText xml:space="preserve"> REF _Ref52821035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79</w:t>
      </w:r>
      <w:r w:rsidR="00F319CB"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_Ref43495263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23</w:t>
      </w:r>
      <w:r w:rsidRPr="00400193">
        <w:rPr>
          <w:lang w:eastAsia="zh-CN" w:bidi="hi-IN"/>
        </w:rPr>
        <w:fldChar w:fldCharType="end"/>
      </w:r>
      <w:r w:rsidRPr="00400193">
        <w:rPr>
          <w:lang w:eastAsia="zh-CN" w:bidi="hi-IN"/>
        </w:rPr>
        <w:t xml:space="preserve"> and </w:t>
      </w:r>
      <w:r w:rsidR="00EA3CB5" w:rsidRPr="00400193">
        <w:rPr>
          <w:lang w:eastAsia="zh-CN" w:bidi="hi-IN"/>
        </w:rPr>
        <w:fldChar w:fldCharType="begin"/>
      </w:r>
      <w:r w:rsidR="00EA3CB5" w:rsidRPr="00400193">
        <w:rPr>
          <w:lang w:eastAsia="zh-CN" w:bidi="hi-IN"/>
        </w:rPr>
        <w:instrText xml:space="preserve"> REF _Ref51337820 \h </w:instrText>
      </w:r>
      <w:r w:rsidR="00EA3CB5" w:rsidRPr="00400193">
        <w:rPr>
          <w:lang w:eastAsia="zh-CN" w:bidi="hi-IN"/>
        </w:rPr>
      </w:r>
      <w:r w:rsidR="00EA3CB5"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24</w:t>
      </w:r>
      <w:r w:rsidR="00EA3CB5" w:rsidRPr="00400193">
        <w:rPr>
          <w:lang w:eastAsia="zh-CN" w:bidi="hi-IN"/>
        </w:rPr>
        <w:fldChar w:fldCharType="end"/>
      </w:r>
      <w:r w:rsidRPr="00400193">
        <w:rPr>
          <w:lang w:eastAsia="zh-CN" w:bidi="hi-IN"/>
        </w:rPr>
        <w:t xml:space="preserve"> also show that there is no pattern of behaviour of the residuals </w:t>
      </w:r>
      <w:r w:rsidRPr="00400193">
        <w:rPr>
          <w:lang w:eastAsia="zh-CN" w:bidi="hi-IN"/>
        </w:rPr>
        <w:lastRenderedPageBreak/>
        <w:t xml:space="preserve">with respect to Y. These variables were </w:t>
      </w:r>
      <w:r w:rsidR="006E7BA9" w:rsidRPr="00400193">
        <w:rPr>
          <w:lang w:eastAsia="zh-CN" w:bidi="hi-IN"/>
        </w:rPr>
        <w:t>systematic,</w:t>
      </w:r>
      <w:r w:rsidRPr="00400193">
        <w:rPr>
          <w:lang w:eastAsia="zh-CN" w:bidi="hi-IN"/>
        </w:rPr>
        <w:t xml:space="preserve"> and the assumption of error term independence is not violated.</w:t>
      </w:r>
    </w:p>
    <w:tbl>
      <w:tblPr>
        <w:tblW w:w="8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15"/>
        <w:gridCol w:w="1037"/>
        <w:gridCol w:w="1067"/>
        <w:gridCol w:w="1498"/>
        <w:gridCol w:w="1983"/>
        <w:gridCol w:w="1469"/>
      </w:tblGrid>
      <w:tr w:rsidR="006E3616" w:rsidRPr="00400193" w14:paraId="3D9F0B8C" w14:textId="77777777" w:rsidTr="000F3E4F">
        <w:trPr>
          <w:cantSplit/>
          <w:trHeight w:val="283"/>
        </w:trPr>
        <w:tc>
          <w:tcPr>
            <w:tcW w:w="8969" w:type="dxa"/>
            <w:gridSpan w:val="6"/>
            <w:tcBorders>
              <w:top w:val="nil"/>
              <w:left w:val="nil"/>
              <w:bottom w:val="nil"/>
              <w:right w:val="nil"/>
            </w:tcBorders>
            <w:shd w:val="clear" w:color="auto" w:fill="auto"/>
            <w:vAlign w:val="center"/>
          </w:tcPr>
          <w:p w14:paraId="5122C2F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3FA08C15" w14:textId="77777777" w:rsidTr="000F3E4F">
        <w:trPr>
          <w:cantSplit/>
          <w:trHeight w:val="283"/>
        </w:trPr>
        <w:tc>
          <w:tcPr>
            <w:tcW w:w="1915" w:type="dxa"/>
            <w:tcBorders>
              <w:top w:val="nil"/>
              <w:left w:val="nil"/>
              <w:bottom w:val="single" w:sz="8" w:space="0" w:color="152935"/>
              <w:right w:val="nil"/>
            </w:tcBorders>
            <w:shd w:val="clear" w:color="auto" w:fill="auto"/>
            <w:vAlign w:val="bottom"/>
          </w:tcPr>
          <w:p w14:paraId="198AD71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7" w:type="dxa"/>
            <w:tcBorders>
              <w:top w:val="nil"/>
              <w:left w:val="nil"/>
              <w:bottom w:val="single" w:sz="8" w:space="0" w:color="152935"/>
              <w:right w:val="single" w:sz="8" w:space="0" w:color="E0E0E0"/>
            </w:tcBorders>
            <w:shd w:val="clear" w:color="auto" w:fill="auto"/>
            <w:vAlign w:val="bottom"/>
          </w:tcPr>
          <w:p w14:paraId="7E69A5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7" w:type="dxa"/>
            <w:tcBorders>
              <w:top w:val="nil"/>
              <w:left w:val="single" w:sz="8" w:space="0" w:color="E0E0E0"/>
              <w:bottom w:val="single" w:sz="8" w:space="0" w:color="152935"/>
              <w:right w:val="single" w:sz="8" w:space="0" w:color="E0E0E0"/>
            </w:tcBorders>
            <w:shd w:val="clear" w:color="auto" w:fill="auto"/>
            <w:vAlign w:val="bottom"/>
          </w:tcPr>
          <w:p w14:paraId="360D887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1498" w:type="dxa"/>
            <w:tcBorders>
              <w:top w:val="nil"/>
              <w:left w:val="single" w:sz="8" w:space="0" w:color="E0E0E0"/>
              <w:bottom w:val="single" w:sz="8" w:space="0" w:color="152935"/>
              <w:right w:val="single" w:sz="8" w:space="0" w:color="E0E0E0"/>
            </w:tcBorders>
            <w:shd w:val="clear" w:color="auto" w:fill="auto"/>
            <w:vAlign w:val="bottom"/>
          </w:tcPr>
          <w:p w14:paraId="403A4F5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983" w:type="dxa"/>
            <w:tcBorders>
              <w:top w:val="nil"/>
              <w:left w:val="single" w:sz="8" w:space="0" w:color="E0E0E0"/>
              <w:bottom w:val="single" w:sz="8" w:space="0" w:color="152935"/>
              <w:right w:val="single" w:sz="8" w:space="0" w:color="E0E0E0"/>
            </w:tcBorders>
            <w:shd w:val="clear" w:color="auto" w:fill="auto"/>
            <w:vAlign w:val="bottom"/>
          </w:tcPr>
          <w:p w14:paraId="1803C42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1466" w:type="dxa"/>
            <w:tcBorders>
              <w:top w:val="nil"/>
              <w:left w:val="single" w:sz="8" w:space="0" w:color="E0E0E0"/>
              <w:bottom w:val="single" w:sz="8" w:space="0" w:color="152935"/>
              <w:right w:val="nil"/>
            </w:tcBorders>
            <w:shd w:val="clear" w:color="auto" w:fill="auto"/>
            <w:vAlign w:val="bottom"/>
          </w:tcPr>
          <w:p w14:paraId="6389FC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31A4F8D2" w14:textId="77777777" w:rsidTr="000F3E4F">
        <w:trPr>
          <w:cantSplit/>
          <w:trHeight w:val="283"/>
        </w:trPr>
        <w:tc>
          <w:tcPr>
            <w:tcW w:w="1915" w:type="dxa"/>
            <w:tcBorders>
              <w:top w:val="single" w:sz="8" w:space="0" w:color="152935"/>
              <w:left w:val="nil"/>
              <w:bottom w:val="single" w:sz="8" w:space="0" w:color="AEAEAE"/>
              <w:right w:val="nil"/>
            </w:tcBorders>
            <w:shd w:val="clear" w:color="auto" w:fill="auto"/>
          </w:tcPr>
          <w:p w14:paraId="0D2ADC5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7" w:type="dxa"/>
            <w:tcBorders>
              <w:top w:val="single" w:sz="8" w:space="0" w:color="152935"/>
              <w:left w:val="nil"/>
              <w:bottom w:val="single" w:sz="8" w:space="0" w:color="AEAEAE"/>
              <w:right w:val="single" w:sz="8" w:space="0" w:color="E0E0E0"/>
            </w:tcBorders>
            <w:shd w:val="clear" w:color="auto" w:fill="auto"/>
          </w:tcPr>
          <w:p w14:paraId="4054DAB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2.0211</w:t>
            </w:r>
          </w:p>
        </w:tc>
        <w:tc>
          <w:tcPr>
            <w:tcW w:w="1067" w:type="dxa"/>
            <w:tcBorders>
              <w:top w:val="single" w:sz="8" w:space="0" w:color="152935"/>
              <w:left w:val="single" w:sz="8" w:space="0" w:color="E0E0E0"/>
              <w:bottom w:val="single" w:sz="8" w:space="0" w:color="AEAEAE"/>
              <w:right w:val="single" w:sz="8" w:space="0" w:color="E0E0E0"/>
            </w:tcBorders>
            <w:shd w:val="clear" w:color="auto" w:fill="auto"/>
          </w:tcPr>
          <w:p w14:paraId="12576CC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4.1754</w:t>
            </w:r>
          </w:p>
        </w:tc>
        <w:tc>
          <w:tcPr>
            <w:tcW w:w="1498" w:type="dxa"/>
            <w:tcBorders>
              <w:top w:val="single" w:sz="8" w:space="0" w:color="152935"/>
              <w:left w:val="single" w:sz="8" w:space="0" w:color="E0E0E0"/>
              <w:bottom w:val="single" w:sz="8" w:space="0" w:color="AEAEAE"/>
              <w:right w:val="single" w:sz="8" w:space="0" w:color="E0E0E0"/>
            </w:tcBorders>
            <w:shd w:val="clear" w:color="auto" w:fill="auto"/>
          </w:tcPr>
          <w:p w14:paraId="3EF507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983" w:type="dxa"/>
            <w:tcBorders>
              <w:top w:val="single" w:sz="8" w:space="0" w:color="152935"/>
              <w:left w:val="single" w:sz="8" w:space="0" w:color="E0E0E0"/>
              <w:bottom w:val="single" w:sz="8" w:space="0" w:color="AEAEAE"/>
              <w:right w:val="single" w:sz="8" w:space="0" w:color="E0E0E0"/>
            </w:tcBorders>
            <w:shd w:val="clear" w:color="auto" w:fill="auto"/>
          </w:tcPr>
          <w:p w14:paraId="5928DC1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.41092</w:t>
            </w:r>
          </w:p>
        </w:tc>
        <w:tc>
          <w:tcPr>
            <w:tcW w:w="1466" w:type="dxa"/>
            <w:tcBorders>
              <w:top w:val="single" w:sz="8" w:space="0" w:color="152935"/>
              <w:left w:val="single" w:sz="8" w:space="0" w:color="E0E0E0"/>
              <w:bottom w:val="single" w:sz="8" w:space="0" w:color="AEAEAE"/>
              <w:right w:val="nil"/>
            </w:tcBorders>
            <w:shd w:val="clear" w:color="auto" w:fill="auto"/>
          </w:tcPr>
          <w:p w14:paraId="0F9065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2892C3D" w14:textId="77777777" w:rsidTr="000F3E4F">
        <w:trPr>
          <w:cantSplit/>
          <w:trHeight w:val="283"/>
        </w:trPr>
        <w:tc>
          <w:tcPr>
            <w:tcW w:w="1915" w:type="dxa"/>
            <w:tcBorders>
              <w:top w:val="single" w:sz="8" w:space="0" w:color="AEAEAE"/>
              <w:left w:val="nil"/>
              <w:bottom w:val="single" w:sz="8" w:space="0" w:color="AEAEAE"/>
              <w:right w:val="nil"/>
            </w:tcBorders>
            <w:shd w:val="clear" w:color="auto" w:fill="auto"/>
          </w:tcPr>
          <w:p w14:paraId="20EA51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7" w:type="dxa"/>
            <w:tcBorders>
              <w:top w:val="single" w:sz="8" w:space="0" w:color="AEAEAE"/>
              <w:left w:val="nil"/>
              <w:bottom w:val="single" w:sz="8" w:space="0" w:color="AEAEAE"/>
              <w:right w:val="single" w:sz="8" w:space="0" w:color="E0E0E0"/>
            </w:tcBorders>
            <w:shd w:val="clear" w:color="auto" w:fill="auto"/>
          </w:tcPr>
          <w:p w14:paraId="583ED07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−1.52584</w:t>
            </w:r>
          </w:p>
        </w:tc>
        <w:tc>
          <w:tcPr>
            <w:tcW w:w="1067" w:type="dxa"/>
            <w:tcBorders>
              <w:top w:val="single" w:sz="8" w:space="0" w:color="AEAEAE"/>
              <w:left w:val="single" w:sz="8" w:space="0" w:color="E0E0E0"/>
              <w:bottom w:val="single" w:sz="8" w:space="0" w:color="AEAEAE"/>
              <w:right w:val="single" w:sz="8" w:space="0" w:color="E0E0E0"/>
            </w:tcBorders>
            <w:shd w:val="clear" w:color="auto" w:fill="auto"/>
          </w:tcPr>
          <w:p w14:paraId="7CD053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1.20461</w:t>
            </w:r>
          </w:p>
        </w:tc>
        <w:tc>
          <w:tcPr>
            <w:tcW w:w="1498" w:type="dxa"/>
            <w:tcBorders>
              <w:top w:val="single" w:sz="8" w:space="0" w:color="AEAEAE"/>
              <w:left w:val="single" w:sz="8" w:space="0" w:color="E0E0E0"/>
              <w:bottom w:val="single" w:sz="8" w:space="0" w:color="AEAEAE"/>
              <w:right w:val="single" w:sz="8" w:space="0" w:color="E0E0E0"/>
            </w:tcBorders>
            <w:shd w:val="clear" w:color="auto" w:fill="auto"/>
          </w:tcPr>
          <w:p w14:paraId="5F32632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983" w:type="dxa"/>
            <w:tcBorders>
              <w:top w:val="single" w:sz="8" w:space="0" w:color="AEAEAE"/>
              <w:left w:val="single" w:sz="8" w:space="0" w:color="E0E0E0"/>
              <w:bottom w:val="single" w:sz="8" w:space="0" w:color="AEAEAE"/>
              <w:right w:val="single" w:sz="8" w:space="0" w:color="E0E0E0"/>
            </w:tcBorders>
            <w:shd w:val="clear" w:color="auto" w:fill="auto"/>
          </w:tcPr>
          <w:p w14:paraId="2B11C39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.42864</w:t>
            </w:r>
          </w:p>
        </w:tc>
        <w:tc>
          <w:tcPr>
            <w:tcW w:w="1466" w:type="dxa"/>
            <w:tcBorders>
              <w:top w:val="single" w:sz="8" w:space="0" w:color="AEAEAE"/>
              <w:left w:val="single" w:sz="8" w:space="0" w:color="E0E0E0"/>
              <w:bottom w:val="single" w:sz="8" w:space="0" w:color="AEAEAE"/>
              <w:right w:val="nil"/>
            </w:tcBorders>
            <w:shd w:val="clear" w:color="auto" w:fill="auto"/>
          </w:tcPr>
          <w:p w14:paraId="6388CF6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5A2A52F2" w14:textId="77777777" w:rsidTr="000F3E4F">
        <w:trPr>
          <w:cantSplit/>
          <w:trHeight w:val="283"/>
        </w:trPr>
        <w:tc>
          <w:tcPr>
            <w:tcW w:w="1915" w:type="dxa"/>
            <w:tcBorders>
              <w:top w:val="single" w:sz="8" w:space="0" w:color="AEAEAE"/>
              <w:left w:val="nil"/>
              <w:bottom w:val="single" w:sz="8" w:space="0" w:color="AEAEAE"/>
              <w:right w:val="nil"/>
            </w:tcBorders>
            <w:shd w:val="clear" w:color="auto" w:fill="auto"/>
          </w:tcPr>
          <w:p w14:paraId="3372CBC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7" w:type="dxa"/>
            <w:tcBorders>
              <w:top w:val="single" w:sz="8" w:space="0" w:color="AEAEAE"/>
              <w:left w:val="nil"/>
              <w:bottom w:val="single" w:sz="8" w:space="0" w:color="AEAEAE"/>
              <w:right w:val="single" w:sz="8" w:space="0" w:color="E0E0E0"/>
            </w:tcBorders>
            <w:shd w:val="clear" w:color="auto" w:fill="auto"/>
          </w:tcPr>
          <w:p w14:paraId="5600137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−2.875</w:t>
            </w:r>
          </w:p>
        </w:tc>
        <w:tc>
          <w:tcPr>
            <w:tcW w:w="1067" w:type="dxa"/>
            <w:tcBorders>
              <w:top w:val="single" w:sz="8" w:space="0" w:color="AEAEAE"/>
              <w:left w:val="single" w:sz="8" w:space="0" w:color="E0E0E0"/>
              <w:bottom w:val="single" w:sz="8" w:space="0" w:color="AEAEAE"/>
              <w:right w:val="single" w:sz="8" w:space="0" w:color="E0E0E0"/>
            </w:tcBorders>
            <w:shd w:val="clear" w:color="auto" w:fill="auto"/>
          </w:tcPr>
          <w:p w14:paraId="5BF7A05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2.368</w:t>
            </w:r>
          </w:p>
        </w:tc>
        <w:tc>
          <w:tcPr>
            <w:tcW w:w="1498" w:type="dxa"/>
            <w:tcBorders>
              <w:top w:val="single" w:sz="8" w:space="0" w:color="AEAEAE"/>
              <w:left w:val="single" w:sz="8" w:space="0" w:color="E0E0E0"/>
              <w:bottom w:val="single" w:sz="8" w:space="0" w:color="AEAEAE"/>
              <w:right w:val="single" w:sz="8" w:space="0" w:color="E0E0E0"/>
            </w:tcBorders>
            <w:shd w:val="clear" w:color="auto" w:fill="auto"/>
          </w:tcPr>
          <w:p w14:paraId="45CED0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83" w:type="dxa"/>
            <w:tcBorders>
              <w:top w:val="single" w:sz="8" w:space="0" w:color="AEAEAE"/>
              <w:left w:val="single" w:sz="8" w:space="0" w:color="E0E0E0"/>
              <w:bottom w:val="single" w:sz="8" w:space="0" w:color="AEAEAE"/>
              <w:right w:val="single" w:sz="8" w:space="0" w:color="E0E0E0"/>
            </w:tcBorders>
            <w:shd w:val="clear" w:color="auto" w:fill="auto"/>
          </w:tcPr>
          <w:p w14:paraId="2A21560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466" w:type="dxa"/>
            <w:tcBorders>
              <w:top w:val="single" w:sz="8" w:space="0" w:color="AEAEAE"/>
              <w:left w:val="single" w:sz="8" w:space="0" w:color="E0E0E0"/>
              <w:bottom w:val="single" w:sz="8" w:space="0" w:color="AEAEAE"/>
              <w:right w:val="nil"/>
            </w:tcBorders>
            <w:shd w:val="clear" w:color="auto" w:fill="auto"/>
          </w:tcPr>
          <w:p w14:paraId="5BEE25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6B68CE9E" w14:textId="77777777" w:rsidTr="000F3E4F">
        <w:trPr>
          <w:cantSplit/>
          <w:trHeight w:val="283"/>
        </w:trPr>
        <w:tc>
          <w:tcPr>
            <w:tcW w:w="1915" w:type="dxa"/>
            <w:tcBorders>
              <w:top w:val="single" w:sz="8" w:space="0" w:color="AEAEAE"/>
              <w:left w:val="nil"/>
              <w:bottom w:val="single" w:sz="8" w:space="0" w:color="152935"/>
              <w:right w:val="nil"/>
            </w:tcBorders>
            <w:shd w:val="clear" w:color="auto" w:fill="auto"/>
          </w:tcPr>
          <w:p w14:paraId="24BCE9D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7" w:type="dxa"/>
            <w:tcBorders>
              <w:top w:val="single" w:sz="8" w:space="0" w:color="AEAEAE"/>
              <w:left w:val="nil"/>
              <w:bottom w:val="single" w:sz="8" w:space="0" w:color="152935"/>
              <w:right w:val="single" w:sz="8" w:space="0" w:color="E0E0E0"/>
            </w:tcBorders>
            <w:shd w:val="clear" w:color="auto" w:fill="auto"/>
          </w:tcPr>
          <w:p w14:paraId="7E6425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−3.525</w:t>
            </w:r>
          </w:p>
        </w:tc>
        <w:tc>
          <w:tcPr>
            <w:tcW w:w="1067" w:type="dxa"/>
            <w:tcBorders>
              <w:top w:val="single" w:sz="8" w:space="0" w:color="AEAEAE"/>
              <w:left w:val="single" w:sz="8" w:space="0" w:color="E0E0E0"/>
              <w:bottom w:val="single" w:sz="8" w:space="0" w:color="152935"/>
              <w:right w:val="single" w:sz="8" w:space="0" w:color="E0E0E0"/>
            </w:tcBorders>
            <w:shd w:val="clear" w:color="auto" w:fill="auto"/>
          </w:tcPr>
          <w:p w14:paraId="62F295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2.783</w:t>
            </w:r>
          </w:p>
        </w:tc>
        <w:tc>
          <w:tcPr>
            <w:tcW w:w="1498" w:type="dxa"/>
            <w:tcBorders>
              <w:top w:val="single" w:sz="8" w:space="0" w:color="AEAEAE"/>
              <w:left w:val="single" w:sz="8" w:space="0" w:color="E0E0E0"/>
              <w:bottom w:val="single" w:sz="8" w:space="0" w:color="152935"/>
              <w:right w:val="single" w:sz="8" w:space="0" w:color="E0E0E0"/>
            </w:tcBorders>
            <w:shd w:val="clear" w:color="auto" w:fill="auto"/>
          </w:tcPr>
          <w:p w14:paraId="0F5850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983" w:type="dxa"/>
            <w:tcBorders>
              <w:top w:val="single" w:sz="8" w:space="0" w:color="AEAEAE"/>
              <w:left w:val="single" w:sz="8" w:space="0" w:color="E0E0E0"/>
              <w:bottom w:val="single" w:sz="8" w:space="0" w:color="152935"/>
              <w:right w:val="single" w:sz="8" w:space="0" w:color="E0E0E0"/>
            </w:tcBorders>
            <w:shd w:val="clear" w:color="auto" w:fill="auto"/>
          </w:tcPr>
          <w:p w14:paraId="4A06987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.990</w:t>
            </w:r>
          </w:p>
        </w:tc>
        <w:tc>
          <w:tcPr>
            <w:tcW w:w="1466" w:type="dxa"/>
            <w:tcBorders>
              <w:top w:val="single" w:sz="8" w:space="0" w:color="AEAEAE"/>
              <w:left w:val="single" w:sz="8" w:space="0" w:color="E0E0E0"/>
              <w:bottom w:val="single" w:sz="8" w:space="0" w:color="152935"/>
              <w:right w:val="nil"/>
            </w:tcBorders>
            <w:shd w:val="clear" w:color="auto" w:fill="auto"/>
          </w:tcPr>
          <w:p w14:paraId="7A13F9F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501181DD" w14:textId="77777777" w:rsidTr="000F3E4F">
        <w:trPr>
          <w:cantSplit/>
          <w:trHeight w:val="283"/>
        </w:trPr>
        <w:tc>
          <w:tcPr>
            <w:tcW w:w="8969" w:type="dxa"/>
            <w:gridSpan w:val="6"/>
            <w:tcBorders>
              <w:top w:val="nil"/>
              <w:left w:val="nil"/>
              <w:bottom w:val="nil"/>
              <w:right w:val="nil"/>
            </w:tcBorders>
            <w:shd w:val="clear" w:color="auto" w:fill="auto"/>
          </w:tcPr>
          <w:p w14:paraId="2ECB809B"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4AAFE708" w14:textId="1560FD7E" w:rsidR="006E3616" w:rsidRPr="00400193" w:rsidRDefault="006E3616" w:rsidP="006E3616">
      <w:pPr>
        <w:pStyle w:val="Caption"/>
        <w:spacing w:after="160" w:line="360" w:lineRule="auto"/>
      </w:pPr>
      <w:bookmarkStart w:id="677" w:name="_Ref52821035"/>
      <w:bookmarkStart w:id="678" w:name="_Toc5290162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79</w:t>
      </w:r>
      <w:r w:rsidRPr="00400193">
        <w:fldChar w:fldCharType="end"/>
      </w:r>
      <w:bookmarkEnd w:id="677"/>
      <w:r w:rsidRPr="00400193">
        <w:t xml:space="preserve">: Residual statistics </w:t>
      </w:r>
      <w:r w:rsidRPr="00400193">
        <w:rPr>
          <w:vertAlign w:val="superscript"/>
        </w:rPr>
        <w:t>a</w:t>
      </w:r>
      <w:r w:rsidRPr="00400193">
        <w:t xml:space="preserve"> of the model regression for VW</w:t>
      </w:r>
      <w:bookmarkEnd w:id="678"/>
    </w:p>
    <w:p w14:paraId="593EFF63" w14:textId="50AC6B37" w:rsidR="006E3616" w:rsidRPr="00400193" w:rsidRDefault="00F319CB" w:rsidP="006E3616">
      <w:pPr>
        <w:rPr>
          <w:lang w:eastAsia="zh-CN" w:bidi="hi-IN"/>
        </w:rPr>
      </w:pPr>
      <w:r w:rsidRPr="00400193">
        <w:rPr>
          <w:lang w:eastAsia="zh-CN" w:bidi="hi-IN"/>
        </w:rPr>
        <w:fldChar w:fldCharType="begin"/>
      </w:r>
      <w:r w:rsidRPr="00400193">
        <w:rPr>
          <w:lang w:eastAsia="zh-CN" w:bidi="hi-IN"/>
        </w:rPr>
        <w:instrText xml:space="preserve"> REF _Ref52821531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25</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 </w:t>
      </w:r>
    </w:p>
    <w:p w14:paraId="60D85EDE" w14:textId="77777777" w:rsidR="006E3616" w:rsidRPr="00400193" w:rsidRDefault="006E3616" w:rsidP="006E3616">
      <w:pPr>
        <w:keepNext/>
        <w:spacing w:after="0" w:line="240" w:lineRule="auto"/>
        <w:jc w:val="center"/>
      </w:pPr>
      <w:r w:rsidRPr="00400193">
        <w:rPr>
          <w:noProof/>
          <w:lang w:val="en-US"/>
        </w:rPr>
        <w:drawing>
          <wp:inline distT="0" distB="0" distL="0" distR="0" wp14:anchorId="0615D8C4" wp14:editId="3273224D">
            <wp:extent cx="5760000" cy="3240000"/>
            <wp:effectExtent l="19050" t="19050" r="12700" b="17780"/>
            <wp:docPr id="14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7BC45AF" w14:textId="5B3E382E" w:rsidR="006E3616" w:rsidRPr="00400193" w:rsidRDefault="006E3616" w:rsidP="006E3616">
      <w:pPr>
        <w:pStyle w:val="Caption"/>
        <w:rPr>
          <w:lang w:eastAsia="zh-CN" w:bidi="hi-IN"/>
        </w:rPr>
      </w:pPr>
      <w:bookmarkStart w:id="679" w:name="_Ref43495263"/>
      <w:bookmarkStart w:id="680" w:name="_Toc5538760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23</w:t>
      </w:r>
      <w:r w:rsidR="00E35E8C" w:rsidRPr="00400193">
        <w:fldChar w:fldCharType="end"/>
      </w:r>
      <w:bookmarkEnd w:id="679"/>
      <w:r w:rsidRPr="00400193">
        <w:t>: Scatter plot for residual results from the model for VW</w:t>
      </w:r>
      <w:bookmarkEnd w:id="680"/>
    </w:p>
    <w:p w14:paraId="3CCA3F03"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456421C8" wp14:editId="0FD5D059">
            <wp:extent cx="5760000" cy="3240000"/>
            <wp:effectExtent l="19050" t="19050" r="12700" b="17780"/>
            <wp:docPr id="14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35E03A45" w14:textId="6FFB67F2" w:rsidR="006E3616" w:rsidRPr="00400193" w:rsidRDefault="006E3616" w:rsidP="006E3616">
      <w:pPr>
        <w:pStyle w:val="Caption"/>
      </w:pPr>
      <w:bookmarkStart w:id="681" w:name="_Ref51337820"/>
      <w:bookmarkStart w:id="682" w:name="_Toc5538760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24</w:t>
      </w:r>
      <w:r w:rsidR="00E35E8C" w:rsidRPr="00400193">
        <w:fldChar w:fldCharType="end"/>
      </w:r>
      <w:bookmarkEnd w:id="681"/>
      <w:r w:rsidRPr="00400193">
        <w:t>: Scatter plot for residual results from the model for VW</w:t>
      </w:r>
      <w:bookmarkEnd w:id="682"/>
    </w:p>
    <w:p w14:paraId="76283D48" w14:textId="77777777" w:rsidR="006E3616" w:rsidRPr="00400193" w:rsidRDefault="006E3616" w:rsidP="006E3616">
      <w:pPr>
        <w:spacing w:line="240" w:lineRule="auto"/>
        <w:rPr>
          <w:lang w:eastAsia="zh-CN" w:bidi="hi-IN"/>
        </w:rPr>
      </w:pPr>
    </w:p>
    <w:p w14:paraId="00C3F9A8"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DBDB6D2" wp14:editId="148B35E2">
            <wp:extent cx="5760000" cy="3240000"/>
            <wp:effectExtent l="19050" t="19050" r="12700" b="17780"/>
            <wp:docPr id="148"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94D574D" w14:textId="798B01DE" w:rsidR="006E3616" w:rsidRPr="00400193" w:rsidRDefault="006E3616" w:rsidP="006E3616">
      <w:pPr>
        <w:pStyle w:val="Caption"/>
        <w:rPr>
          <w:lang w:eastAsia="zh-CN" w:bidi="hi-IN"/>
        </w:rPr>
      </w:pPr>
      <w:bookmarkStart w:id="683" w:name="_Ref52821531"/>
      <w:bookmarkStart w:id="684" w:name="_Toc5538760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25</w:t>
      </w:r>
      <w:r w:rsidR="00E35E8C" w:rsidRPr="00400193">
        <w:fldChar w:fldCharType="end"/>
      </w:r>
      <w:bookmarkEnd w:id="683"/>
      <w:r w:rsidRPr="00400193">
        <w:t>: Histogram of the frequency of the standardised residuals for VW</w:t>
      </w:r>
      <w:bookmarkEnd w:id="684"/>
    </w:p>
    <w:p w14:paraId="271B2ACC" w14:textId="77777777" w:rsidR="006E3616" w:rsidRPr="00400193" w:rsidRDefault="006E3616" w:rsidP="006E3616">
      <w:pPr>
        <w:rPr>
          <w:lang w:eastAsia="zh-CN" w:bidi="hi-IN"/>
        </w:rPr>
      </w:pPr>
    </w:p>
    <w:p w14:paraId="5845A2DC" w14:textId="01ECA8EA"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_Ref52821549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26</w:t>
      </w:r>
      <w:r w:rsidR="00F319CB" w:rsidRPr="00400193">
        <w:rPr>
          <w:lang w:eastAsia="zh-CN" w:bidi="hi-IN"/>
        </w:rPr>
        <w:fldChar w:fldCharType="end"/>
      </w:r>
      <w:r w:rsidRPr="00400193">
        <w:rPr>
          <w:lang w:eastAsia="zh-CN" w:bidi="hi-IN"/>
        </w:rPr>
        <w:t>) shows that there is a normal distribution.</w:t>
      </w:r>
    </w:p>
    <w:p w14:paraId="0285A818"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05D6C38E" wp14:editId="3DEF3064">
            <wp:extent cx="5760000" cy="3240000"/>
            <wp:effectExtent l="19050" t="19050" r="12700" b="17780"/>
            <wp:docPr id="149"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C8E4FD9" w14:textId="7CCF3223" w:rsidR="006E3616" w:rsidRPr="00400193" w:rsidRDefault="006E3616" w:rsidP="006E3616">
      <w:pPr>
        <w:pStyle w:val="Caption"/>
      </w:pPr>
      <w:bookmarkStart w:id="685" w:name="_Ref52821549"/>
      <w:bookmarkStart w:id="686" w:name="_Toc5538760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26</w:t>
      </w:r>
      <w:r w:rsidR="00E35E8C" w:rsidRPr="00400193">
        <w:fldChar w:fldCharType="end"/>
      </w:r>
      <w:bookmarkEnd w:id="685"/>
      <w:r w:rsidRPr="00400193">
        <w:t>: Normal P–P plot of regression standardised residual for the dependent variable</w:t>
      </w:r>
      <w:bookmarkEnd w:id="686"/>
    </w:p>
    <w:p w14:paraId="5A9A1B56" w14:textId="77777777" w:rsidR="006E3616" w:rsidRPr="00400193" w:rsidRDefault="006E3616" w:rsidP="006E3616"/>
    <w:p w14:paraId="6517AB79" w14:textId="77777777" w:rsidR="006E3616" w:rsidRPr="00400193" w:rsidRDefault="006E3616" w:rsidP="003C3496">
      <w:pPr>
        <w:pStyle w:val="Heading4"/>
        <w:rPr>
          <w:lang w:eastAsia="zh-CN" w:bidi="hi-IN"/>
        </w:rPr>
      </w:pPr>
      <w:bookmarkStart w:id="687" w:name="_Toc61894782"/>
      <w:bookmarkStart w:id="688" w:name="_Hlk29942086"/>
      <w:r w:rsidRPr="00400193">
        <w:rPr>
          <w:lang w:eastAsia="zh-CN" w:bidi="hi-IN"/>
        </w:rPr>
        <w:t>The relationship between vulnerabilities and weaknesses and external threats, moderated by organisation resilience</w:t>
      </w:r>
      <w:bookmarkEnd w:id="687"/>
    </w:p>
    <w:p w14:paraId="581A3D1D" w14:textId="77777777" w:rsidR="006E3616" w:rsidRPr="00400193" w:rsidRDefault="006E3616" w:rsidP="006E3616">
      <w:pPr>
        <w:spacing w:line="240" w:lineRule="auto"/>
        <w:rPr>
          <w:lang w:eastAsia="zh-CN" w:bidi="hi-IN"/>
        </w:rPr>
      </w:pPr>
      <w:r w:rsidRPr="00400193">
        <w:rPr>
          <w:b/>
          <w:bCs/>
          <w:lang w:eastAsia="zh-CN" w:bidi="hi-IN"/>
        </w:rPr>
        <w:t>Regression</w:t>
      </w:r>
      <w:r w:rsidRPr="00400193">
        <w:rPr>
          <w:lang w:eastAsia="zh-CN" w:bidi="hi-IN"/>
        </w:rPr>
        <w:t xml:space="preserve"> </w:t>
      </w:r>
    </w:p>
    <w:p w14:paraId="01A75A8E" w14:textId="6B5C4D6F" w:rsidR="006E3616" w:rsidRPr="00400193" w:rsidRDefault="006E3616" w:rsidP="006E3616">
      <w:pPr>
        <w:spacing w:line="240" w:lineRule="auto"/>
        <w:rPr>
          <w:b/>
          <w:bCs/>
          <w:i/>
          <w:iCs/>
          <w:lang w:eastAsia="zh-CN" w:bidi="hi-IN"/>
        </w:rPr>
      </w:pPr>
      <w:r w:rsidRPr="00400193">
        <w:rPr>
          <w:lang w:eastAsia="zh-CN" w:bidi="hi-IN"/>
        </w:rPr>
        <w:fldChar w:fldCharType="begin"/>
      </w:r>
      <w:r w:rsidRPr="00400193">
        <w:rPr>
          <w:i/>
          <w:iCs/>
          <w:lang w:eastAsia="zh-CN" w:bidi="hi-IN"/>
        </w:rPr>
        <w:instrText xml:space="preserve"> REF _Ref43827559 \h </w:instrText>
      </w:r>
      <w:r w:rsidRPr="00400193">
        <w:rPr>
          <w:lang w:eastAsia="zh-CN" w:bidi="hi-IN"/>
        </w:rPr>
      </w:r>
      <w:r w:rsidRPr="00400193">
        <w:rPr>
          <w:lang w:eastAsia="zh-CN" w:bidi="hi-IN"/>
        </w:rPr>
        <w:fldChar w:fldCharType="separate"/>
      </w:r>
      <w:r w:rsidR="00BB7C18" w:rsidRPr="00400193">
        <w:t>6 – (External + Organisational Resilience)</w:t>
      </w:r>
      <w:r w:rsidRPr="00400193">
        <w:rPr>
          <w:lang w:eastAsia="zh-CN" w:bidi="hi-IN"/>
        </w:rPr>
        <w:fldChar w:fldCharType="end"/>
      </w:r>
      <w:r w:rsidRPr="00400193">
        <w:rPr>
          <w:i/>
          <w:iCs/>
          <w:lang w:eastAsia="zh-CN" w:bidi="hi-IN"/>
        </w:rPr>
        <w:t xml:space="preserve"> VW = </w:t>
      </w:r>
      <w:r w:rsidR="00DD07A5" w:rsidRPr="00400193">
        <w:rPr>
          <w:i/>
          <w:iCs/>
          <w:lang w:eastAsia="zh-CN" w:bidi="hi-IN"/>
        </w:rPr>
        <w:t>ERF</w:t>
      </w:r>
      <w:r w:rsidRPr="00400193">
        <w:rPr>
          <w:i/>
          <w:iCs/>
          <w:lang w:eastAsia="zh-CN" w:bidi="hi-IN"/>
        </w:rPr>
        <w:t xml:space="preserve"> + OR</w:t>
      </w:r>
      <w:r w:rsidR="000F3E4F" w:rsidRPr="00400193">
        <w:rPr>
          <w:i/>
          <w:iCs/>
          <w:lang w:eastAsia="zh-CN" w:bidi="hi-IN"/>
        </w:rPr>
        <w:t>e</w:t>
      </w:r>
      <w:r w:rsidRPr="00400193">
        <w:rPr>
          <w:b/>
          <w:bCs/>
          <w:i/>
          <w:iCs/>
          <w:lang w:eastAsia="zh-CN" w:bidi="hi-IN"/>
        </w:rPr>
        <w:t xml:space="preserve"> </w:t>
      </w:r>
    </w:p>
    <w:p w14:paraId="0C49A4F9" w14:textId="3379488A" w:rsidR="006E3616" w:rsidRPr="00400193" w:rsidRDefault="006E3616" w:rsidP="006E3616">
      <w:pPr>
        <w:rPr>
          <w:lang w:eastAsia="zh-CN" w:bidi="hi-IN"/>
        </w:rPr>
      </w:pPr>
      <w:r w:rsidRPr="00400193">
        <w:rPr>
          <w:lang w:eastAsia="zh-CN" w:bidi="hi-IN"/>
        </w:rPr>
        <w:t>This section considers the effect of organisational resilience on the relationship between vulnerabilities and weaknesses and external threats (</w:t>
      </w:r>
      <w:r w:rsidR="00DD07A5" w:rsidRPr="00400193">
        <w:rPr>
          <w:i/>
          <w:iCs/>
          <w:lang w:eastAsia="zh-CN" w:bidi="hi-IN"/>
        </w:rPr>
        <w:t>ERF</w:t>
      </w:r>
      <w:r w:rsidRPr="00400193">
        <w:rPr>
          <w:i/>
          <w:iCs/>
          <w:lang w:eastAsia="zh-CN" w:bidi="hi-IN"/>
        </w:rPr>
        <w:t>)</w:t>
      </w:r>
      <w:r w:rsidRPr="00400193">
        <w:rPr>
          <w:lang w:eastAsia="zh-CN" w:bidi="hi-IN"/>
        </w:rPr>
        <w:t xml:space="preserve">. A regression model was developed to assess this association. The regression output in </w:t>
      </w:r>
      <w:r w:rsidR="00F319CB" w:rsidRPr="00400193">
        <w:rPr>
          <w:lang w:eastAsia="zh-CN" w:bidi="hi-IN"/>
        </w:rPr>
        <w:fldChar w:fldCharType="begin"/>
      </w:r>
      <w:r w:rsidR="00F319CB" w:rsidRPr="00400193">
        <w:rPr>
          <w:lang w:eastAsia="zh-CN" w:bidi="hi-IN"/>
        </w:rPr>
        <w:instrText xml:space="preserve"> REF _Ref52821078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80</w:t>
      </w:r>
      <w:r w:rsidR="00F319CB" w:rsidRPr="00400193">
        <w:rPr>
          <w:lang w:eastAsia="zh-CN" w:bidi="hi-IN"/>
        </w:rPr>
        <w:fldChar w:fldCharType="end"/>
      </w:r>
      <w:r w:rsidRPr="00400193">
        <w:rPr>
          <w:lang w:eastAsia="zh-CN" w:bidi="hi-IN"/>
        </w:rPr>
        <w:t xml:space="preserve"> shows that together, external threats and organisational resilience explained 44.8% of the variance in vulnerabilities and weaknesses. This variance is statistically significant because the F-value is 41.051, with two degrees of freedom and p-value of 0.000 (</w:t>
      </w:r>
      <w:r w:rsidR="00F319CB" w:rsidRPr="00400193">
        <w:rPr>
          <w:lang w:eastAsia="zh-CN" w:bidi="hi-IN"/>
        </w:rPr>
        <w:fldChar w:fldCharType="begin"/>
      </w:r>
      <w:r w:rsidR="00F319CB" w:rsidRPr="00400193">
        <w:rPr>
          <w:lang w:eastAsia="zh-CN" w:bidi="hi-IN"/>
        </w:rPr>
        <w:instrText xml:space="preserve"> REF _Ref52821078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80</w:t>
      </w:r>
      <w:r w:rsidR="00F319CB" w:rsidRPr="00400193">
        <w:rPr>
          <w:lang w:eastAsia="zh-CN" w:bidi="hi-IN"/>
        </w:rPr>
        <w:fldChar w:fldCharType="end"/>
      </w:r>
      <w:r w:rsidRPr="00400193">
        <w:rPr>
          <w:lang w:eastAsia="zh-CN" w:bidi="hi-IN"/>
        </w:rPr>
        <w:t xml:space="preserve">). </w:t>
      </w:r>
    </w:p>
    <w:tbl>
      <w:tblPr>
        <w:tblW w:w="8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0"/>
        <w:gridCol w:w="748"/>
        <w:gridCol w:w="793"/>
        <w:gridCol w:w="1071"/>
        <w:gridCol w:w="1070"/>
        <w:gridCol w:w="2019"/>
        <w:gridCol w:w="1089"/>
        <w:gridCol w:w="1345"/>
      </w:tblGrid>
      <w:tr w:rsidR="006E3616" w:rsidRPr="00400193" w14:paraId="49AD9DBF" w14:textId="77777777" w:rsidTr="000F3E4F">
        <w:trPr>
          <w:cantSplit/>
          <w:trHeight w:val="283"/>
        </w:trPr>
        <w:tc>
          <w:tcPr>
            <w:tcW w:w="8715" w:type="dxa"/>
            <w:gridSpan w:val="8"/>
            <w:tcBorders>
              <w:top w:val="nil"/>
              <w:left w:val="nil"/>
              <w:bottom w:val="nil"/>
              <w:right w:val="nil"/>
            </w:tcBorders>
            <w:shd w:val="clear" w:color="auto" w:fill="auto"/>
            <w:vAlign w:val="center"/>
          </w:tcPr>
          <w:p w14:paraId="004A9E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02372E4C" w14:textId="77777777" w:rsidTr="000F3E4F">
        <w:trPr>
          <w:cantSplit/>
          <w:trHeight w:val="283"/>
        </w:trPr>
        <w:tc>
          <w:tcPr>
            <w:tcW w:w="580" w:type="dxa"/>
            <w:vMerge w:val="restart"/>
            <w:tcBorders>
              <w:top w:val="nil"/>
              <w:left w:val="nil"/>
              <w:bottom w:val="nil"/>
              <w:right w:val="nil"/>
            </w:tcBorders>
            <w:shd w:val="clear" w:color="auto" w:fill="auto"/>
            <w:vAlign w:val="bottom"/>
          </w:tcPr>
          <w:p w14:paraId="2489832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48" w:type="dxa"/>
            <w:vMerge w:val="restart"/>
            <w:tcBorders>
              <w:top w:val="nil"/>
              <w:left w:val="nil"/>
              <w:bottom w:val="nil"/>
              <w:right w:val="single" w:sz="8" w:space="0" w:color="E0E0E0"/>
            </w:tcBorders>
            <w:shd w:val="clear" w:color="auto" w:fill="auto"/>
            <w:vAlign w:val="bottom"/>
          </w:tcPr>
          <w:p w14:paraId="4A79B97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793" w:type="dxa"/>
            <w:vMerge w:val="restart"/>
            <w:tcBorders>
              <w:top w:val="nil"/>
              <w:left w:val="single" w:sz="8" w:space="0" w:color="E0E0E0"/>
              <w:bottom w:val="nil"/>
              <w:right w:val="single" w:sz="8" w:space="0" w:color="E0E0E0"/>
            </w:tcBorders>
            <w:shd w:val="clear" w:color="auto" w:fill="auto"/>
            <w:vAlign w:val="bottom"/>
          </w:tcPr>
          <w:p w14:paraId="3ACD41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071" w:type="dxa"/>
            <w:vMerge w:val="restart"/>
            <w:tcBorders>
              <w:top w:val="nil"/>
              <w:left w:val="single" w:sz="8" w:space="0" w:color="E0E0E0"/>
              <w:bottom w:val="nil"/>
              <w:right w:val="single" w:sz="8" w:space="0" w:color="E0E0E0"/>
            </w:tcBorders>
            <w:shd w:val="clear" w:color="auto" w:fill="auto"/>
            <w:vAlign w:val="bottom"/>
          </w:tcPr>
          <w:p w14:paraId="6F4E37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070" w:type="dxa"/>
            <w:vMerge w:val="restart"/>
            <w:tcBorders>
              <w:top w:val="nil"/>
              <w:left w:val="single" w:sz="8" w:space="0" w:color="E0E0E0"/>
              <w:bottom w:val="nil"/>
              <w:right w:val="single" w:sz="8" w:space="0" w:color="E0E0E0"/>
            </w:tcBorders>
            <w:shd w:val="clear" w:color="auto" w:fill="auto"/>
            <w:vAlign w:val="bottom"/>
          </w:tcPr>
          <w:p w14:paraId="26AD78FE" w14:textId="77777777" w:rsidR="006E3616" w:rsidRPr="00400193" w:rsidRDefault="006E3616" w:rsidP="00215A28">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453" w:type="dxa"/>
            <w:gridSpan w:val="3"/>
            <w:tcBorders>
              <w:top w:val="nil"/>
              <w:left w:val="single" w:sz="8" w:space="0" w:color="E0E0E0"/>
              <w:bottom w:val="nil"/>
              <w:right w:val="nil"/>
            </w:tcBorders>
            <w:shd w:val="clear" w:color="auto" w:fill="auto"/>
            <w:vAlign w:val="bottom"/>
          </w:tcPr>
          <w:p w14:paraId="68077C44" w14:textId="77777777" w:rsidR="006E3616" w:rsidRPr="00400193" w:rsidRDefault="006E3616" w:rsidP="00215A28">
            <w:pPr>
              <w:spacing w:after="0" w:line="240" w:lineRule="auto"/>
              <w:jc w:val="center"/>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534CE0E4" w14:textId="77777777" w:rsidTr="000F3E4F">
        <w:trPr>
          <w:cantSplit/>
          <w:trHeight w:val="283"/>
        </w:trPr>
        <w:tc>
          <w:tcPr>
            <w:tcW w:w="580" w:type="dxa"/>
            <w:vMerge/>
            <w:tcBorders>
              <w:top w:val="nil"/>
              <w:left w:val="nil"/>
              <w:bottom w:val="nil"/>
              <w:right w:val="nil"/>
            </w:tcBorders>
            <w:shd w:val="clear" w:color="auto" w:fill="auto"/>
            <w:vAlign w:val="bottom"/>
          </w:tcPr>
          <w:p w14:paraId="19F7DB2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48" w:type="dxa"/>
            <w:vMerge/>
            <w:tcBorders>
              <w:top w:val="nil"/>
              <w:left w:val="nil"/>
              <w:bottom w:val="nil"/>
              <w:right w:val="single" w:sz="8" w:space="0" w:color="E0E0E0"/>
            </w:tcBorders>
            <w:shd w:val="clear" w:color="auto" w:fill="auto"/>
            <w:vAlign w:val="bottom"/>
          </w:tcPr>
          <w:p w14:paraId="549FFE5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93" w:type="dxa"/>
            <w:vMerge/>
            <w:tcBorders>
              <w:top w:val="nil"/>
              <w:left w:val="single" w:sz="8" w:space="0" w:color="E0E0E0"/>
              <w:bottom w:val="nil"/>
              <w:right w:val="single" w:sz="8" w:space="0" w:color="E0E0E0"/>
            </w:tcBorders>
            <w:shd w:val="clear" w:color="auto" w:fill="auto"/>
            <w:vAlign w:val="bottom"/>
          </w:tcPr>
          <w:p w14:paraId="18EDAB9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71" w:type="dxa"/>
            <w:vMerge/>
            <w:tcBorders>
              <w:top w:val="nil"/>
              <w:left w:val="single" w:sz="8" w:space="0" w:color="E0E0E0"/>
              <w:bottom w:val="nil"/>
              <w:right w:val="single" w:sz="8" w:space="0" w:color="E0E0E0"/>
            </w:tcBorders>
            <w:shd w:val="clear" w:color="auto" w:fill="auto"/>
            <w:vAlign w:val="bottom"/>
          </w:tcPr>
          <w:p w14:paraId="70DCCB7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70" w:type="dxa"/>
            <w:vMerge/>
            <w:tcBorders>
              <w:top w:val="nil"/>
              <w:left w:val="single" w:sz="8" w:space="0" w:color="E0E0E0"/>
              <w:bottom w:val="nil"/>
              <w:right w:val="single" w:sz="8" w:space="0" w:color="E0E0E0"/>
            </w:tcBorders>
            <w:shd w:val="clear" w:color="auto" w:fill="auto"/>
            <w:vAlign w:val="bottom"/>
          </w:tcPr>
          <w:p w14:paraId="6175BD7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019" w:type="dxa"/>
            <w:tcBorders>
              <w:top w:val="nil"/>
              <w:left w:val="single" w:sz="8" w:space="0" w:color="E0E0E0"/>
              <w:bottom w:val="single" w:sz="8" w:space="0" w:color="152935"/>
              <w:right w:val="single" w:sz="8" w:space="0" w:color="E0E0E0"/>
            </w:tcBorders>
            <w:shd w:val="clear" w:color="auto" w:fill="auto"/>
            <w:vAlign w:val="bottom"/>
          </w:tcPr>
          <w:p w14:paraId="7CF24B2E" w14:textId="77777777" w:rsidR="006E3616" w:rsidRPr="00400193" w:rsidRDefault="006E3616" w:rsidP="00215A28">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1089" w:type="dxa"/>
            <w:tcBorders>
              <w:top w:val="nil"/>
              <w:left w:val="single" w:sz="8" w:space="0" w:color="E0E0E0"/>
              <w:bottom w:val="single" w:sz="8" w:space="0" w:color="152935"/>
              <w:right w:val="single" w:sz="8" w:space="0" w:color="E0E0E0"/>
            </w:tcBorders>
            <w:shd w:val="clear" w:color="auto" w:fill="auto"/>
            <w:vAlign w:val="bottom"/>
          </w:tcPr>
          <w:p w14:paraId="763B127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1345" w:type="dxa"/>
            <w:tcBorders>
              <w:top w:val="nil"/>
              <w:left w:val="single" w:sz="8" w:space="0" w:color="E0E0E0"/>
              <w:bottom w:val="single" w:sz="8" w:space="0" w:color="152935"/>
              <w:right w:val="nil"/>
            </w:tcBorders>
            <w:shd w:val="clear" w:color="auto" w:fill="auto"/>
            <w:vAlign w:val="bottom"/>
          </w:tcPr>
          <w:p w14:paraId="533FD7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6F589E37" w14:textId="77777777" w:rsidTr="000F3E4F">
        <w:trPr>
          <w:cantSplit/>
          <w:trHeight w:val="283"/>
        </w:trPr>
        <w:tc>
          <w:tcPr>
            <w:tcW w:w="580" w:type="dxa"/>
            <w:tcBorders>
              <w:top w:val="single" w:sz="8" w:space="0" w:color="152935"/>
              <w:left w:val="nil"/>
              <w:bottom w:val="single" w:sz="8" w:space="0" w:color="152935"/>
              <w:right w:val="nil"/>
            </w:tcBorders>
            <w:shd w:val="clear" w:color="auto" w:fill="auto"/>
          </w:tcPr>
          <w:p w14:paraId="475C739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48" w:type="dxa"/>
            <w:tcBorders>
              <w:top w:val="single" w:sz="8" w:space="0" w:color="152935"/>
              <w:left w:val="nil"/>
              <w:bottom w:val="single" w:sz="8" w:space="0" w:color="152935"/>
              <w:right w:val="single" w:sz="8" w:space="0" w:color="E0E0E0"/>
            </w:tcBorders>
            <w:shd w:val="clear" w:color="auto" w:fill="auto"/>
          </w:tcPr>
          <w:p w14:paraId="40CACC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.670</w:t>
            </w:r>
            <w:r w:rsidRPr="00400193">
              <w:rPr>
                <w:rFonts w:asciiTheme="minorHAnsi" w:hAnsiTheme="minorHAnsi" w:cstheme="minorHAnsi"/>
                <w:sz w:val="20"/>
                <w:szCs w:val="18"/>
                <w:vertAlign w:val="superscript"/>
                <w:lang w:eastAsia="zh-CN" w:bidi="hi-IN"/>
              </w:rPr>
              <w:t>a</w:t>
            </w:r>
          </w:p>
        </w:tc>
        <w:tc>
          <w:tcPr>
            <w:tcW w:w="793" w:type="dxa"/>
            <w:tcBorders>
              <w:top w:val="single" w:sz="8" w:space="0" w:color="152935"/>
              <w:left w:val="single" w:sz="8" w:space="0" w:color="E0E0E0"/>
              <w:bottom w:val="single" w:sz="8" w:space="0" w:color="152935"/>
              <w:right w:val="single" w:sz="8" w:space="0" w:color="E0E0E0"/>
            </w:tcBorders>
            <w:shd w:val="clear" w:color="auto" w:fill="auto"/>
          </w:tcPr>
          <w:p w14:paraId="3F0326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.448</w:t>
            </w:r>
          </w:p>
        </w:tc>
        <w:tc>
          <w:tcPr>
            <w:tcW w:w="1071" w:type="dxa"/>
            <w:tcBorders>
              <w:top w:val="single" w:sz="8" w:space="0" w:color="152935"/>
              <w:left w:val="single" w:sz="8" w:space="0" w:color="E0E0E0"/>
              <w:bottom w:val="single" w:sz="8" w:space="0" w:color="152935"/>
              <w:right w:val="single" w:sz="8" w:space="0" w:color="E0E0E0"/>
            </w:tcBorders>
            <w:shd w:val="clear" w:color="auto" w:fill="auto"/>
          </w:tcPr>
          <w:p w14:paraId="76E423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.437</w:t>
            </w:r>
          </w:p>
        </w:tc>
        <w:tc>
          <w:tcPr>
            <w:tcW w:w="1070" w:type="dxa"/>
            <w:tcBorders>
              <w:top w:val="single" w:sz="8" w:space="0" w:color="152935"/>
              <w:left w:val="single" w:sz="8" w:space="0" w:color="E0E0E0"/>
              <w:bottom w:val="single" w:sz="8" w:space="0" w:color="152935"/>
              <w:right w:val="single" w:sz="8" w:space="0" w:color="E0E0E0"/>
            </w:tcBorders>
            <w:shd w:val="clear" w:color="auto" w:fill="auto"/>
          </w:tcPr>
          <w:p w14:paraId="292AB5B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.44536</w:t>
            </w:r>
          </w:p>
        </w:tc>
        <w:tc>
          <w:tcPr>
            <w:tcW w:w="2019" w:type="dxa"/>
            <w:tcBorders>
              <w:top w:val="single" w:sz="8" w:space="0" w:color="152935"/>
              <w:left w:val="single" w:sz="8" w:space="0" w:color="E0E0E0"/>
              <w:bottom w:val="single" w:sz="8" w:space="0" w:color="152935"/>
              <w:right w:val="single" w:sz="8" w:space="0" w:color="E0E0E0"/>
            </w:tcBorders>
            <w:shd w:val="clear" w:color="auto" w:fill="auto"/>
          </w:tcPr>
          <w:p w14:paraId="668ABD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.448</w:t>
            </w:r>
          </w:p>
        </w:tc>
        <w:tc>
          <w:tcPr>
            <w:tcW w:w="1089" w:type="dxa"/>
            <w:tcBorders>
              <w:top w:val="single" w:sz="8" w:space="0" w:color="152935"/>
              <w:left w:val="single" w:sz="8" w:space="0" w:color="E0E0E0"/>
              <w:bottom w:val="single" w:sz="8" w:space="0" w:color="152935"/>
              <w:right w:val="single" w:sz="8" w:space="0" w:color="E0E0E0"/>
            </w:tcBorders>
            <w:shd w:val="clear" w:color="auto" w:fill="auto"/>
          </w:tcPr>
          <w:p w14:paraId="73A1EB6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41.051</w:t>
            </w:r>
          </w:p>
        </w:tc>
        <w:tc>
          <w:tcPr>
            <w:tcW w:w="1345" w:type="dxa"/>
            <w:tcBorders>
              <w:top w:val="single" w:sz="8" w:space="0" w:color="152935"/>
              <w:left w:val="single" w:sz="8" w:space="0" w:color="E0E0E0"/>
              <w:bottom w:val="single" w:sz="8" w:space="0" w:color="152935"/>
              <w:right w:val="nil"/>
            </w:tcBorders>
            <w:shd w:val="clear" w:color="auto" w:fill="auto"/>
          </w:tcPr>
          <w:p w14:paraId="25D173EA"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r>
      <w:tr w:rsidR="000F3E4F" w:rsidRPr="00400193" w14:paraId="79AEF956" w14:textId="77777777" w:rsidTr="000F3E4F">
        <w:trPr>
          <w:cantSplit/>
          <w:trHeight w:val="283"/>
        </w:trPr>
        <w:tc>
          <w:tcPr>
            <w:tcW w:w="8715" w:type="dxa"/>
            <w:gridSpan w:val="8"/>
            <w:tcBorders>
              <w:top w:val="single" w:sz="8" w:space="0" w:color="152935"/>
              <w:left w:val="nil"/>
              <w:bottom w:val="single" w:sz="4" w:space="0" w:color="FFFFFF" w:themeColor="background1"/>
              <w:right w:val="nil"/>
            </w:tcBorders>
            <w:shd w:val="clear" w:color="auto" w:fill="auto"/>
          </w:tcPr>
          <w:p w14:paraId="61103B19" w14:textId="77777777" w:rsidR="000F3E4F" w:rsidRPr="00400193" w:rsidRDefault="000F3E4F" w:rsidP="000F3E4F">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p w14:paraId="1125FEDC" w14:textId="70532BDC" w:rsidR="000F3E4F" w:rsidRPr="00400193" w:rsidRDefault="000F3E4F" w:rsidP="000F3E4F">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ORe, ERF</w:t>
            </w:r>
          </w:p>
        </w:tc>
      </w:tr>
    </w:tbl>
    <w:p w14:paraId="35BA8563" w14:textId="05F5BF05" w:rsidR="006E3616" w:rsidRPr="00400193" w:rsidRDefault="006E3616" w:rsidP="004F67F9">
      <w:pPr>
        <w:pStyle w:val="Caption"/>
        <w:spacing w:after="240"/>
      </w:pPr>
      <w:bookmarkStart w:id="689" w:name="_Ref52821078"/>
      <w:bookmarkStart w:id="690" w:name="_Toc5290162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80</w:t>
      </w:r>
      <w:r w:rsidRPr="00400193">
        <w:fldChar w:fldCharType="end"/>
      </w:r>
      <w:bookmarkEnd w:id="689"/>
      <w:r w:rsidRPr="00400193">
        <w:t>: Regression model summary for VW</w:t>
      </w:r>
      <w:bookmarkEnd w:id="690"/>
    </w:p>
    <w:p w14:paraId="544B66B8" w14:textId="4EA367EF" w:rsidR="000F3E4F" w:rsidRPr="00400193" w:rsidRDefault="004F67F9" w:rsidP="000F3E4F">
      <w:r w:rsidRPr="00400193">
        <w:t xml:space="preserve">The ANOVA results and the coefficients are displayed in </w:t>
      </w:r>
      <w:r w:rsidRPr="00400193">
        <w:fldChar w:fldCharType="begin"/>
      </w:r>
      <w:r w:rsidRPr="00400193">
        <w:instrText xml:space="preserve"> REF _Ref51442620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81</w:t>
      </w:r>
      <w:r w:rsidRPr="00400193">
        <w:fldChar w:fldCharType="end"/>
      </w:r>
      <w:r w:rsidRPr="00400193">
        <w:t xml:space="preserve"> and </w:t>
      </w:r>
      <w:r w:rsidRPr="00400193">
        <w:fldChar w:fldCharType="begin"/>
      </w:r>
      <w:r w:rsidRPr="00400193">
        <w:instrText xml:space="preserve"> REF _Ref51442648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82</w:t>
      </w:r>
      <w:r w:rsidRPr="00400193">
        <w:fldChar w:fldCharType="end"/>
      </w:r>
      <w:r w:rsidRPr="00400193">
        <w:t>.</w:t>
      </w:r>
    </w:p>
    <w:tbl>
      <w:tblPr>
        <w:tblW w:w="86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6"/>
        <w:gridCol w:w="1205"/>
        <w:gridCol w:w="1378"/>
        <w:gridCol w:w="961"/>
        <w:gridCol w:w="1320"/>
        <w:gridCol w:w="961"/>
        <w:gridCol w:w="2172"/>
      </w:tblGrid>
      <w:tr w:rsidR="006E3616" w:rsidRPr="00400193" w14:paraId="76E97D69" w14:textId="77777777" w:rsidTr="004F67F9">
        <w:trPr>
          <w:cantSplit/>
          <w:trHeight w:val="283"/>
        </w:trPr>
        <w:tc>
          <w:tcPr>
            <w:tcW w:w="8683" w:type="dxa"/>
            <w:gridSpan w:val="7"/>
            <w:tcBorders>
              <w:top w:val="nil"/>
              <w:left w:val="nil"/>
              <w:bottom w:val="nil"/>
              <w:right w:val="nil"/>
            </w:tcBorders>
            <w:shd w:val="clear" w:color="auto" w:fill="auto"/>
            <w:vAlign w:val="center"/>
          </w:tcPr>
          <w:p w14:paraId="6E4F652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69EABBCD" w14:textId="77777777" w:rsidTr="004F67F9">
        <w:trPr>
          <w:cantSplit/>
          <w:trHeight w:val="283"/>
        </w:trPr>
        <w:tc>
          <w:tcPr>
            <w:tcW w:w="1891" w:type="dxa"/>
            <w:gridSpan w:val="2"/>
            <w:tcBorders>
              <w:top w:val="nil"/>
              <w:left w:val="nil"/>
              <w:bottom w:val="single" w:sz="8" w:space="0" w:color="152935"/>
              <w:right w:val="nil"/>
            </w:tcBorders>
            <w:shd w:val="clear" w:color="auto" w:fill="auto"/>
            <w:vAlign w:val="bottom"/>
          </w:tcPr>
          <w:p w14:paraId="767D0DF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378" w:type="dxa"/>
            <w:tcBorders>
              <w:top w:val="nil"/>
              <w:left w:val="nil"/>
              <w:bottom w:val="single" w:sz="8" w:space="0" w:color="152935"/>
              <w:right w:val="single" w:sz="8" w:space="0" w:color="E0E0E0"/>
            </w:tcBorders>
            <w:shd w:val="clear" w:color="auto" w:fill="auto"/>
            <w:vAlign w:val="bottom"/>
          </w:tcPr>
          <w:p w14:paraId="368DC16E" w14:textId="77777777" w:rsidR="006E3616" w:rsidRPr="00400193" w:rsidRDefault="006E3616" w:rsidP="00215A28">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61" w:type="dxa"/>
            <w:tcBorders>
              <w:top w:val="nil"/>
              <w:left w:val="single" w:sz="8" w:space="0" w:color="E0E0E0"/>
              <w:bottom w:val="single" w:sz="8" w:space="0" w:color="152935"/>
              <w:right w:val="single" w:sz="8" w:space="0" w:color="E0E0E0"/>
            </w:tcBorders>
            <w:shd w:val="clear" w:color="auto" w:fill="auto"/>
            <w:vAlign w:val="bottom"/>
          </w:tcPr>
          <w:p w14:paraId="774266C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20" w:type="dxa"/>
            <w:tcBorders>
              <w:top w:val="nil"/>
              <w:left w:val="single" w:sz="8" w:space="0" w:color="E0E0E0"/>
              <w:bottom w:val="single" w:sz="8" w:space="0" w:color="152935"/>
              <w:right w:val="single" w:sz="8" w:space="0" w:color="E0E0E0"/>
            </w:tcBorders>
            <w:shd w:val="clear" w:color="auto" w:fill="auto"/>
            <w:vAlign w:val="bottom"/>
          </w:tcPr>
          <w:p w14:paraId="496F08D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61" w:type="dxa"/>
            <w:tcBorders>
              <w:top w:val="nil"/>
              <w:left w:val="single" w:sz="8" w:space="0" w:color="E0E0E0"/>
              <w:bottom w:val="single" w:sz="8" w:space="0" w:color="152935"/>
              <w:right w:val="single" w:sz="8" w:space="0" w:color="E0E0E0"/>
            </w:tcBorders>
            <w:shd w:val="clear" w:color="auto" w:fill="auto"/>
            <w:vAlign w:val="bottom"/>
          </w:tcPr>
          <w:p w14:paraId="43B2DA7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172" w:type="dxa"/>
            <w:tcBorders>
              <w:top w:val="nil"/>
              <w:left w:val="single" w:sz="8" w:space="0" w:color="E0E0E0"/>
              <w:bottom w:val="single" w:sz="8" w:space="0" w:color="152935"/>
              <w:right w:val="nil"/>
            </w:tcBorders>
            <w:shd w:val="clear" w:color="auto" w:fill="auto"/>
            <w:vAlign w:val="bottom"/>
          </w:tcPr>
          <w:p w14:paraId="3F7440E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45526C92" w14:textId="77777777" w:rsidTr="004F67F9">
        <w:trPr>
          <w:cantSplit/>
          <w:trHeight w:val="283"/>
        </w:trPr>
        <w:tc>
          <w:tcPr>
            <w:tcW w:w="686" w:type="dxa"/>
            <w:vMerge w:val="restart"/>
            <w:tcBorders>
              <w:top w:val="single" w:sz="8" w:space="0" w:color="152935"/>
              <w:left w:val="nil"/>
              <w:bottom w:val="single" w:sz="8" w:space="0" w:color="152935"/>
              <w:right w:val="nil"/>
            </w:tcBorders>
            <w:shd w:val="clear" w:color="auto" w:fill="auto"/>
          </w:tcPr>
          <w:p w14:paraId="6D33982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05" w:type="dxa"/>
            <w:tcBorders>
              <w:top w:val="single" w:sz="8" w:space="0" w:color="152935"/>
              <w:left w:val="nil"/>
              <w:bottom w:val="single" w:sz="8" w:space="0" w:color="AEAEAE"/>
              <w:right w:val="nil"/>
            </w:tcBorders>
            <w:shd w:val="clear" w:color="auto" w:fill="auto"/>
          </w:tcPr>
          <w:p w14:paraId="6F6164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378" w:type="dxa"/>
            <w:tcBorders>
              <w:top w:val="single" w:sz="8" w:space="0" w:color="152935"/>
              <w:left w:val="nil"/>
              <w:bottom w:val="single" w:sz="8" w:space="0" w:color="AEAEAE"/>
              <w:right w:val="single" w:sz="8" w:space="0" w:color="E0E0E0"/>
            </w:tcBorders>
            <w:shd w:val="clear" w:color="auto" w:fill="auto"/>
          </w:tcPr>
          <w:p w14:paraId="06514D6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16.284</w:t>
            </w:r>
          </w:p>
        </w:tc>
        <w:tc>
          <w:tcPr>
            <w:tcW w:w="961" w:type="dxa"/>
            <w:tcBorders>
              <w:top w:val="single" w:sz="8" w:space="0" w:color="152935"/>
              <w:left w:val="single" w:sz="8" w:space="0" w:color="E0E0E0"/>
              <w:bottom w:val="single" w:sz="8" w:space="0" w:color="AEAEAE"/>
              <w:right w:val="single" w:sz="8" w:space="0" w:color="E0E0E0"/>
            </w:tcBorders>
            <w:shd w:val="clear" w:color="auto" w:fill="auto"/>
          </w:tcPr>
          <w:p w14:paraId="7813AFF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320" w:type="dxa"/>
            <w:tcBorders>
              <w:top w:val="single" w:sz="8" w:space="0" w:color="152935"/>
              <w:left w:val="single" w:sz="8" w:space="0" w:color="E0E0E0"/>
              <w:bottom w:val="single" w:sz="8" w:space="0" w:color="AEAEAE"/>
              <w:right w:val="single" w:sz="8" w:space="0" w:color="E0E0E0"/>
            </w:tcBorders>
            <w:shd w:val="clear" w:color="auto" w:fill="auto"/>
          </w:tcPr>
          <w:p w14:paraId="2651F25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8.142</w:t>
            </w:r>
          </w:p>
        </w:tc>
        <w:tc>
          <w:tcPr>
            <w:tcW w:w="961" w:type="dxa"/>
            <w:tcBorders>
              <w:top w:val="single" w:sz="8" w:space="0" w:color="152935"/>
              <w:left w:val="single" w:sz="8" w:space="0" w:color="E0E0E0"/>
              <w:bottom w:val="single" w:sz="8" w:space="0" w:color="AEAEAE"/>
              <w:right w:val="single" w:sz="8" w:space="0" w:color="E0E0E0"/>
            </w:tcBorders>
            <w:shd w:val="clear" w:color="auto" w:fill="auto"/>
          </w:tcPr>
          <w:p w14:paraId="30C9DCC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41.051</w:t>
            </w:r>
          </w:p>
        </w:tc>
        <w:tc>
          <w:tcPr>
            <w:tcW w:w="2172" w:type="dxa"/>
            <w:tcBorders>
              <w:top w:val="single" w:sz="8" w:space="0" w:color="152935"/>
              <w:left w:val="single" w:sz="8" w:space="0" w:color="E0E0E0"/>
              <w:bottom w:val="single" w:sz="8" w:space="0" w:color="AEAEAE"/>
              <w:right w:val="nil"/>
            </w:tcBorders>
            <w:shd w:val="clear" w:color="auto" w:fill="auto"/>
          </w:tcPr>
          <w:p w14:paraId="4B277F7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12F82BE8" w14:textId="77777777" w:rsidTr="004F67F9">
        <w:trPr>
          <w:cantSplit/>
          <w:trHeight w:val="283"/>
        </w:trPr>
        <w:tc>
          <w:tcPr>
            <w:tcW w:w="686" w:type="dxa"/>
            <w:vMerge/>
            <w:tcBorders>
              <w:top w:val="single" w:sz="8" w:space="0" w:color="152935"/>
              <w:left w:val="nil"/>
              <w:bottom w:val="single" w:sz="8" w:space="0" w:color="152935"/>
              <w:right w:val="nil"/>
            </w:tcBorders>
            <w:shd w:val="clear" w:color="auto" w:fill="auto"/>
          </w:tcPr>
          <w:p w14:paraId="061C038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05" w:type="dxa"/>
            <w:tcBorders>
              <w:top w:val="single" w:sz="8" w:space="0" w:color="AEAEAE"/>
              <w:left w:val="nil"/>
              <w:bottom w:val="single" w:sz="8" w:space="0" w:color="AEAEAE"/>
              <w:right w:val="nil"/>
            </w:tcBorders>
            <w:shd w:val="clear" w:color="auto" w:fill="auto"/>
          </w:tcPr>
          <w:p w14:paraId="7BC0B18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378" w:type="dxa"/>
            <w:tcBorders>
              <w:top w:val="single" w:sz="8" w:space="0" w:color="AEAEAE"/>
              <w:left w:val="nil"/>
              <w:bottom w:val="single" w:sz="8" w:space="0" w:color="AEAEAE"/>
              <w:right w:val="single" w:sz="8" w:space="0" w:color="E0E0E0"/>
            </w:tcBorders>
            <w:shd w:val="clear" w:color="auto" w:fill="auto"/>
          </w:tcPr>
          <w:p w14:paraId="2A6868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20.033</w:t>
            </w:r>
          </w:p>
        </w:tc>
        <w:tc>
          <w:tcPr>
            <w:tcW w:w="961" w:type="dxa"/>
            <w:tcBorders>
              <w:top w:val="single" w:sz="8" w:space="0" w:color="AEAEAE"/>
              <w:left w:val="single" w:sz="8" w:space="0" w:color="E0E0E0"/>
              <w:bottom w:val="single" w:sz="8" w:space="0" w:color="AEAEAE"/>
              <w:right w:val="single" w:sz="8" w:space="0" w:color="E0E0E0"/>
            </w:tcBorders>
            <w:shd w:val="clear" w:color="auto" w:fill="auto"/>
          </w:tcPr>
          <w:p w14:paraId="026CC86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101</w:t>
            </w:r>
          </w:p>
        </w:tc>
        <w:tc>
          <w:tcPr>
            <w:tcW w:w="1320" w:type="dxa"/>
            <w:tcBorders>
              <w:top w:val="single" w:sz="8" w:space="0" w:color="AEAEAE"/>
              <w:left w:val="single" w:sz="8" w:space="0" w:color="E0E0E0"/>
              <w:bottom w:val="single" w:sz="8" w:space="0" w:color="AEAEAE"/>
              <w:right w:val="single" w:sz="8" w:space="0" w:color="E0E0E0"/>
            </w:tcBorders>
            <w:shd w:val="clear" w:color="auto" w:fill="auto"/>
          </w:tcPr>
          <w:p w14:paraId="225150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.198</w:t>
            </w:r>
          </w:p>
        </w:tc>
        <w:tc>
          <w:tcPr>
            <w:tcW w:w="961" w:type="dxa"/>
            <w:tcBorders>
              <w:top w:val="single" w:sz="8" w:space="0" w:color="AEAEAE"/>
              <w:left w:val="single" w:sz="8" w:space="0" w:color="E0E0E0"/>
              <w:bottom w:val="single" w:sz="8" w:space="0" w:color="AEAEAE"/>
              <w:right w:val="single" w:sz="8" w:space="0" w:color="E0E0E0"/>
            </w:tcBorders>
            <w:shd w:val="clear" w:color="auto" w:fill="auto"/>
            <w:vAlign w:val="center"/>
          </w:tcPr>
          <w:p w14:paraId="2489BE4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72" w:type="dxa"/>
            <w:tcBorders>
              <w:top w:val="single" w:sz="8" w:space="0" w:color="AEAEAE"/>
              <w:left w:val="single" w:sz="8" w:space="0" w:color="E0E0E0"/>
              <w:bottom w:val="single" w:sz="8" w:space="0" w:color="AEAEAE"/>
              <w:right w:val="nil"/>
            </w:tcBorders>
            <w:shd w:val="clear" w:color="auto" w:fill="auto"/>
            <w:vAlign w:val="center"/>
          </w:tcPr>
          <w:p w14:paraId="535585B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04882818" w14:textId="77777777" w:rsidTr="004F67F9">
        <w:trPr>
          <w:cantSplit/>
          <w:trHeight w:val="283"/>
        </w:trPr>
        <w:tc>
          <w:tcPr>
            <w:tcW w:w="686" w:type="dxa"/>
            <w:vMerge/>
            <w:tcBorders>
              <w:top w:val="single" w:sz="8" w:space="0" w:color="152935"/>
              <w:left w:val="nil"/>
              <w:bottom w:val="single" w:sz="8" w:space="0" w:color="152935"/>
              <w:right w:val="nil"/>
            </w:tcBorders>
            <w:shd w:val="clear" w:color="auto" w:fill="auto"/>
          </w:tcPr>
          <w:p w14:paraId="55B9160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05" w:type="dxa"/>
            <w:tcBorders>
              <w:top w:val="single" w:sz="8" w:space="0" w:color="AEAEAE"/>
              <w:left w:val="nil"/>
              <w:bottom w:val="single" w:sz="8" w:space="0" w:color="152935"/>
              <w:right w:val="nil"/>
            </w:tcBorders>
            <w:shd w:val="clear" w:color="auto" w:fill="auto"/>
          </w:tcPr>
          <w:p w14:paraId="388E237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378" w:type="dxa"/>
            <w:tcBorders>
              <w:top w:val="single" w:sz="8" w:space="0" w:color="AEAEAE"/>
              <w:left w:val="nil"/>
              <w:bottom w:val="single" w:sz="8" w:space="0" w:color="152935"/>
              <w:right w:val="single" w:sz="8" w:space="0" w:color="E0E0E0"/>
            </w:tcBorders>
            <w:shd w:val="clear" w:color="auto" w:fill="auto"/>
          </w:tcPr>
          <w:p w14:paraId="3FF282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61" w:type="dxa"/>
            <w:tcBorders>
              <w:top w:val="single" w:sz="8" w:space="0" w:color="AEAEAE"/>
              <w:left w:val="single" w:sz="8" w:space="0" w:color="E0E0E0"/>
              <w:bottom w:val="single" w:sz="8" w:space="0" w:color="152935"/>
              <w:right w:val="single" w:sz="8" w:space="0" w:color="E0E0E0"/>
            </w:tcBorders>
            <w:shd w:val="clear" w:color="auto" w:fill="auto"/>
          </w:tcPr>
          <w:p w14:paraId="557D1B5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20" w:type="dxa"/>
            <w:tcBorders>
              <w:top w:val="single" w:sz="8" w:space="0" w:color="AEAEAE"/>
              <w:left w:val="single" w:sz="8" w:space="0" w:color="E0E0E0"/>
              <w:bottom w:val="single" w:sz="8" w:space="0" w:color="152935"/>
              <w:right w:val="single" w:sz="8" w:space="0" w:color="E0E0E0"/>
            </w:tcBorders>
            <w:shd w:val="clear" w:color="auto" w:fill="auto"/>
            <w:vAlign w:val="center"/>
          </w:tcPr>
          <w:p w14:paraId="3B8F876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61"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C49E18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72" w:type="dxa"/>
            <w:tcBorders>
              <w:top w:val="single" w:sz="8" w:space="0" w:color="AEAEAE"/>
              <w:left w:val="single" w:sz="8" w:space="0" w:color="E0E0E0"/>
              <w:bottom w:val="single" w:sz="8" w:space="0" w:color="152935"/>
              <w:right w:val="nil"/>
            </w:tcBorders>
            <w:shd w:val="clear" w:color="auto" w:fill="auto"/>
            <w:vAlign w:val="center"/>
          </w:tcPr>
          <w:p w14:paraId="095E5FA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4641A4A6" w14:textId="77777777" w:rsidTr="004F67F9">
        <w:trPr>
          <w:cantSplit/>
          <w:trHeight w:val="283"/>
        </w:trPr>
        <w:tc>
          <w:tcPr>
            <w:tcW w:w="8683" w:type="dxa"/>
            <w:gridSpan w:val="7"/>
            <w:tcBorders>
              <w:top w:val="nil"/>
              <w:left w:val="nil"/>
              <w:bottom w:val="nil"/>
              <w:right w:val="nil"/>
            </w:tcBorders>
            <w:shd w:val="clear" w:color="auto" w:fill="auto"/>
          </w:tcPr>
          <w:p w14:paraId="7676CA7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 Dependent Variable: VW</w:t>
            </w:r>
          </w:p>
        </w:tc>
      </w:tr>
      <w:tr w:rsidR="006E3616" w:rsidRPr="00400193" w14:paraId="0CBBB638" w14:textId="77777777" w:rsidTr="004F67F9">
        <w:trPr>
          <w:cantSplit/>
          <w:trHeight w:val="283"/>
        </w:trPr>
        <w:tc>
          <w:tcPr>
            <w:tcW w:w="8683" w:type="dxa"/>
            <w:gridSpan w:val="7"/>
            <w:tcBorders>
              <w:top w:val="nil"/>
              <w:left w:val="nil"/>
              <w:bottom w:val="nil"/>
              <w:right w:val="nil"/>
            </w:tcBorders>
            <w:shd w:val="clear" w:color="auto" w:fill="auto"/>
          </w:tcPr>
          <w:p w14:paraId="5F564C58" w14:textId="47C6053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 Predictors: (Constant), OR</w:t>
            </w:r>
            <w:r w:rsidR="004F67F9" w:rsidRPr="00400193">
              <w:rPr>
                <w:rFonts w:asciiTheme="minorHAnsi" w:hAnsiTheme="minorHAnsi" w:cstheme="minorHAnsi"/>
                <w:sz w:val="20"/>
                <w:szCs w:val="18"/>
                <w:lang w:eastAsia="zh-CN" w:bidi="hi-IN"/>
              </w:rPr>
              <w:t>e</w:t>
            </w:r>
            <w:r w:rsidRPr="00400193">
              <w:rPr>
                <w:rFonts w:asciiTheme="minorHAnsi" w:hAnsiTheme="minorHAnsi" w:cstheme="minorHAnsi"/>
                <w:sz w:val="20"/>
                <w:szCs w:val="18"/>
                <w:lang w:eastAsia="zh-CN" w:bidi="hi-IN"/>
              </w:rPr>
              <w:t xml:space="preserve">, </w:t>
            </w:r>
            <w:r w:rsidR="00DD07A5" w:rsidRPr="00400193">
              <w:rPr>
                <w:rFonts w:asciiTheme="minorHAnsi" w:hAnsiTheme="minorHAnsi" w:cstheme="minorHAnsi"/>
                <w:sz w:val="20"/>
                <w:szCs w:val="18"/>
                <w:lang w:eastAsia="zh-CN" w:bidi="hi-IN"/>
              </w:rPr>
              <w:t>ERF</w:t>
            </w:r>
          </w:p>
        </w:tc>
      </w:tr>
    </w:tbl>
    <w:p w14:paraId="184A4B8D" w14:textId="33352E6D" w:rsidR="006E3616" w:rsidRPr="00400193" w:rsidRDefault="006E3616" w:rsidP="006E3616">
      <w:pPr>
        <w:pStyle w:val="Caption"/>
      </w:pPr>
      <w:bookmarkStart w:id="691" w:name="_Ref51442620"/>
      <w:bookmarkStart w:id="692" w:name="_Toc5290162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81</w:t>
      </w:r>
      <w:r w:rsidRPr="00400193">
        <w:fldChar w:fldCharType="end"/>
      </w:r>
      <w:bookmarkEnd w:id="691"/>
      <w:r w:rsidRPr="00400193">
        <w:t>: Analysis of variance of the model for VW</w:t>
      </w:r>
      <w:bookmarkEnd w:id="692"/>
    </w:p>
    <w:p w14:paraId="75412574" w14:textId="77777777" w:rsidR="006E3616" w:rsidRPr="00400193" w:rsidRDefault="006E3616" w:rsidP="006E3616"/>
    <w:tbl>
      <w:tblPr>
        <w:tblW w:w="88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0"/>
        <w:gridCol w:w="964"/>
        <w:gridCol w:w="680"/>
        <w:gridCol w:w="1613"/>
        <w:gridCol w:w="2023"/>
        <w:gridCol w:w="694"/>
        <w:gridCol w:w="934"/>
        <w:gridCol w:w="1448"/>
      </w:tblGrid>
      <w:tr w:rsidR="006E3616" w:rsidRPr="00400193" w14:paraId="3A353394" w14:textId="77777777" w:rsidTr="004F67F9">
        <w:trPr>
          <w:cantSplit/>
          <w:trHeight w:val="283"/>
        </w:trPr>
        <w:tc>
          <w:tcPr>
            <w:tcW w:w="8836" w:type="dxa"/>
            <w:gridSpan w:val="8"/>
            <w:tcBorders>
              <w:top w:val="nil"/>
              <w:left w:val="nil"/>
              <w:bottom w:val="nil"/>
              <w:right w:val="nil"/>
            </w:tcBorders>
            <w:shd w:val="clear" w:color="auto" w:fill="auto"/>
            <w:vAlign w:val="center"/>
          </w:tcPr>
          <w:p w14:paraId="5F46CD0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0A1434AD" w14:textId="77777777" w:rsidTr="004F67F9">
        <w:trPr>
          <w:cantSplit/>
          <w:trHeight w:val="283"/>
        </w:trPr>
        <w:tc>
          <w:tcPr>
            <w:tcW w:w="1444" w:type="dxa"/>
            <w:gridSpan w:val="2"/>
            <w:vMerge w:val="restart"/>
            <w:tcBorders>
              <w:top w:val="nil"/>
              <w:left w:val="nil"/>
              <w:bottom w:val="nil"/>
              <w:right w:val="nil"/>
            </w:tcBorders>
            <w:shd w:val="clear" w:color="auto" w:fill="auto"/>
            <w:vAlign w:val="bottom"/>
          </w:tcPr>
          <w:p w14:paraId="2608960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293" w:type="dxa"/>
            <w:gridSpan w:val="2"/>
            <w:tcBorders>
              <w:top w:val="nil"/>
              <w:left w:val="nil"/>
              <w:bottom w:val="nil"/>
              <w:right w:val="single" w:sz="8" w:space="0" w:color="E0E0E0"/>
            </w:tcBorders>
            <w:shd w:val="clear" w:color="auto" w:fill="auto"/>
            <w:vAlign w:val="bottom"/>
          </w:tcPr>
          <w:p w14:paraId="3270352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023" w:type="dxa"/>
            <w:tcBorders>
              <w:top w:val="nil"/>
              <w:left w:val="single" w:sz="8" w:space="0" w:color="E0E0E0"/>
              <w:bottom w:val="nil"/>
              <w:right w:val="single" w:sz="8" w:space="0" w:color="E0E0E0"/>
            </w:tcBorders>
            <w:shd w:val="clear" w:color="auto" w:fill="auto"/>
            <w:vAlign w:val="bottom"/>
          </w:tcPr>
          <w:p w14:paraId="15B4E6C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694" w:type="dxa"/>
            <w:vMerge w:val="restart"/>
            <w:tcBorders>
              <w:top w:val="nil"/>
              <w:left w:val="single" w:sz="8" w:space="0" w:color="E0E0E0"/>
              <w:bottom w:val="nil"/>
              <w:right w:val="single" w:sz="8" w:space="0" w:color="E0E0E0"/>
            </w:tcBorders>
            <w:shd w:val="clear" w:color="auto" w:fill="auto"/>
            <w:vAlign w:val="bottom"/>
          </w:tcPr>
          <w:p w14:paraId="580520B3" w14:textId="191C12E3" w:rsidR="006E3616" w:rsidRPr="00400193" w:rsidRDefault="00215A28"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934" w:type="dxa"/>
            <w:vMerge w:val="restart"/>
            <w:tcBorders>
              <w:top w:val="nil"/>
              <w:left w:val="single" w:sz="8" w:space="0" w:color="E0E0E0"/>
              <w:bottom w:val="nil"/>
              <w:right w:val="single" w:sz="8" w:space="0" w:color="E0E0E0"/>
            </w:tcBorders>
            <w:shd w:val="clear" w:color="auto" w:fill="auto"/>
            <w:vAlign w:val="bottom"/>
          </w:tcPr>
          <w:p w14:paraId="57C461C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c>
          <w:tcPr>
            <w:tcW w:w="1448" w:type="dxa"/>
            <w:tcBorders>
              <w:top w:val="nil"/>
              <w:left w:val="single" w:sz="8" w:space="0" w:color="E0E0E0"/>
              <w:bottom w:val="nil"/>
              <w:right w:val="nil"/>
            </w:tcBorders>
            <w:shd w:val="clear" w:color="auto" w:fill="auto"/>
            <w:vAlign w:val="bottom"/>
          </w:tcPr>
          <w:p w14:paraId="23E7AE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Correlations</w:t>
            </w:r>
          </w:p>
        </w:tc>
      </w:tr>
      <w:tr w:rsidR="006E3616" w:rsidRPr="00400193" w14:paraId="3FE94C59" w14:textId="77777777" w:rsidTr="004F67F9">
        <w:trPr>
          <w:cantSplit/>
          <w:trHeight w:val="283"/>
        </w:trPr>
        <w:tc>
          <w:tcPr>
            <w:tcW w:w="1444" w:type="dxa"/>
            <w:gridSpan w:val="2"/>
            <w:vMerge/>
            <w:tcBorders>
              <w:top w:val="nil"/>
              <w:left w:val="nil"/>
              <w:bottom w:val="nil"/>
              <w:right w:val="nil"/>
            </w:tcBorders>
            <w:shd w:val="clear" w:color="auto" w:fill="auto"/>
            <w:vAlign w:val="bottom"/>
          </w:tcPr>
          <w:p w14:paraId="4435948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80" w:type="dxa"/>
            <w:tcBorders>
              <w:top w:val="nil"/>
              <w:left w:val="nil"/>
              <w:bottom w:val="single" w:sz="8" w:space="0" w:color="152935"/>
              <w:right w:val="single" w:sz="8" w:space="0" w:color="E0E0E0"/>
            </w:tcBorders>
            <w:shd w:val="clear" w:color="auto" w:fill="auto"/>
            <w:vAlign w:val="bottom"/>
          </w:tcPr>
          <w:p w14:paraId="568F19E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613" w:type="dxa"/>
            <w:tcBorders>
              <w:top w:val="nil"/>
              <w:left w:val="single" w:sz="8" w:space="0" w:color="E0E0E0"/>
              <w:bottom w:val="single" w:sz="8" w:space="0" w:color="152935"/>
              <w:right w:val="single" w:sz="8" w:space="0" w:color="E0E0E0"/>
            </w:tcBorders>
            <w:shd w:val="clear" w:color="auto" w:fill="auto"/>
            <w:vAlign w:val="bottom"/>
          </w:tcPr>
          <w:p w14:paraId="4AE111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023" w:type="dxa"/>
            <w:tcBorders>
              <w:top w:val="nil"/>
              <w:left w:val="single" w:sz="8" w:space="0" w:color="E0E0E0"/>
              <w:bottom w:val="single" w:sz="8" w:space="0" w:color="152935"/>
              <w:right w:val="single" w:sz="8" w:space="0" w:color="E0E0E0"/>
            </w:tcBorders>
            <w:shd w:val="clear" w:color="auto" w:fill="auto"/>
            <w:vAlign w:val="bottom"/>
          </w:tcPr>
          <w:p w14:paraId="376655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694" w:type="dxa"/>
            <w:vMerge/>
            <w:tcBorders>
              <w:top w:val="nil"/>
              <w:left w:val="single" w:sz="8" w:space="0" w:color="E0E0E0"/>
              <w:bottom w:val="nil"/>
              <w:right w:val="single" w:sz="8" w:space="0" w:color="E0E0E0"/>
            </w:tcBorders>
            <w:shd w:val="clear" w:color="auto" w:fill="auto"/>
            <w:vAlign w:val="bottom"/>
          </w:tcPr>
          <w:p w14:paraId="6BD8732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34" w:type="dxa"/>
            <w:vMerge/>
            <w:tcBorders>
              <w:top w:val="nil"/>
              <w:left w:val="single" w:sz="8" w:space="0" w:color="E0E0E0"/>
              <w:bottom w:val="nil"/>
              <w:right w:val="single" w:sz="8" w:space="0" w:color="E0E0E0"/>
            </w:tcBorders>
            <w:shd w:val="clear" w:color="auto" w:fill="auto"/>
            <w:vAlign w:val="bottom"/>
          </w:tcPr>
          <w:p w14:paraId="69C6DDA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48" w:type="dxa"/>
            <w:tcBorders>
              <w:top w:val="nil"/>
              <w:left w:val="single" w:sz="8" w:space="0" w:color="E0E0E0"/>
              <w:bottom w:val="single" w:sz="8" w:space="0" w:color="152935"/>
              <w:right w:val="nil"/>
            </w:tcBorders>
            <w:shd w:val="clear" w:color="auto" w:fill="auto"/>
            <w:vAlign w:val="bottom"/>
          </w:tcPr>
          <w:p w14:paraId="0D3185D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Zero-order</w:t>
            </w:r>
          </w:p>
        </w:tc>
      </w:tr>
      <w:tr w:rsidR="006E3616" w:rsidRPr="00400193" w14:paraId="57BC450E" w14:textId="77777777" w:rsidTr="004F67F9">
        <w:trPr>
          <w:cantSplit/>
          <w:trHeight w:val="283"/>
        </w:trPr>
        <w:tc>
          <w:tcPr>
            <w:tcW w:w="480" w:type="dxa"/>
            <w:vMerge w:val="restart"/>
            <w:tcBorders>
              <w:top w:val="single" w:sz="8" w:space="0" w:color="152935"/>
              <w:left w:val="nil"/>
              <w:bottom w:val="single" w:sz="8" w:space="0" w:color="152935"/>
              <w:right w:val="nil"/>
            </w:tcBorders>
            <w:shd w:val="clear" w:color="auto" w:fill="auto"/>
          </w:tcPr>
          <w:p w14:paraId="7422BCB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964" w:type="dxa"/>
            <w:tcBorders>
              <w:top w:val="single" w:sz="8" w:space="0" w:color="152935"/>
              <w:left w:val="nil"/>
              <w:bottom w:val="single" w:sz="8" w:space="0" w:color="AEAEAE"/>
              <w:right w:val="nil"/>
            </w:tcBorders>
            <w:shd w:val="clear" w:color="auto" w:fill="auto"/>
          </w:tcPr>
          <w:p w14:paraId="73AF604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680" w:type="dxa"/>
            <w:tcBorders>
              <w:top w:val="single" w:sz="8" w:space="0" w:color="152935"/>
              <w:left w:val="nil"/>
              <w:bottom w:val="single" w:sz="8" w:space="0" w:color="AEAEAE"/>
              <w:right w:val="single" w:sz="8" w:space="0" w:color="E0E0E0"/>
            </w:tcBorders>
            <w:shd w:val="clear" w:color="auto" w:fill="auto"/>
          </w:tcPr>
          <w:p w14:paraId="2A0E21F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1.263</w:t>
            </w:r>
          </w:p>
        </w:tc>
        <w:tc>
          <w:tcPr>
            <w:tcW w:w="1613" w:type="dxa"/>
            <w:tcBorders>
              <w:top w:val="single" w:sz="8" w:space="0" w:color="152935"/>
              <w:left w:val="single" w:sz="8" w:space="0" w:color="E0E0E0"/>
              <w:bottom w:val="single" w:sz="8" w:space="0" w:color="AEAEAE"/>
              <w:right w:val="single" w:sz="8" w:space="0" w:color="E0E0E0"/>
            </w:tcBorders>
            <w:shd w:val="clear" w:color="auto" w:fill="auto"/>
          </w:tcPr>
          <w:p w14:paraId="7B390EC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.280</w:t>
            </w:r>
          </w:p>
        </w:tc>
        <w:tc>
          <w:tcPr>
            <w:tcW w:w="2023" w:type="dxa"/>
            <w:tcBorders>
              <w:top w:val="single" w:sz="8" w:space="0" w:color="152935"/>
              <w:left w:val="single" w:sz="8" w:space="0" w:color="E0E0E0"/>
              <w:bottom w:val="single" w:sz="8" w:space="0" w:color="AEAEAE"/>
              <w:right w:val="single" w:sz="8" w:space="0" w:color="E0E0E0"/>
            </w:tcBorders>
            <w:shd w:val="clear" w:color="auto" w:fill="auto"/>
            <w:vAlign w:val="center"/>
          </w:tcPr>
          <w:p w14:paraId="56F8447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94" w:type="dxa"/>
            <w:tcBorders>
              <w:top w:val="single" w:sz="8" w:space="0" w:color="152935"/>
              <w:left w:val="single" w:sz="8" w:space="0" w:color="E0E0E0"/>
              <w:bottom w:val="single" w:sz="8" w:space="0" w:color="AEAEAE"/>
              <w:right w:val="single" w:sz="8" w:space="0" w:color="E0E0E0"/>
            </w:tcBorders>
            <w:shd w:val="clear" w:color="auto" w:fill="auto"/>
          </w:tcPr>
          <w:p w14:paraId="0D67DD0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4.504</w:t>
            </w:r>
          </w:p>
        </w:tc>
        <w:tc>
          <w:tcPr>
            <w:tcW w:w="934" w:type="dxa"/>
            <w:tcBorders>
              <w:top w:val="single" w:sz="8" w:space="0" w:color="152935"/>
              <w:left w:val="single" w:sz="8" w:space="0" w:color="E0E0E0"/>
              <w:bottom w:val="single" w:sz="8" w:space="0" w:color="AEAEAE"/>
              <w:right w:val="single" w:sz="8" w:space="0" w:color="E0E0E0"/>
            </w:tcBorders>
            <w:shd w:val="clear" w:color="auto" w:fill="auto"/>
          </w:tcPr>
          <w:p w14:paraId="649828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448" w:type="dxa"/>
            <w:tcBorders>
              <w:top w:val="single" w:sz="8" w:space="0" w:color="152935"/>
              <w:left w:val="single" w:sz="8" w:space="0" w:color="E0E0E0"/>
              <w:bottom w:val="single" w:sz="8" w:space="0" w:color="AEAEAE"/>
              <w:right w:val="nil"/>
            </w:tcBorders>
            <w:shd w:val="clear" w:color="auto" w:fill="auto"/>
            <w:vAlign w:val="center"/>
          </w:tcPr>
          <w:p w14:paraId="3C5D060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2A2659AD" w14:textId="77777777" w:rsidTr="004F67F9">
        <w:trPr>
          <w:cantSplit/>
          <w:trHeight w:val="283"/>
        </w:trPr>
        <w:tc>
          <w:tcPr>
            <w:tcW w:w="480" w:type="dxa"/>
            <w:vMerge/>
            <w:tcBorders>
              <w:top w:val="single" w:sz="8" w:space="0" w:color="152935"/>
              <w:left w:val="nil"/>
              <w:bottom w:val="single" w:sz="8" w:space="0" w:color="152935"/>
              <w:right w:val="nil"/>
            </w:tcBorders>
            <w:shd w:val="clear" w:color="auto" w:fill="auto"/>
          </w:tcPr>
          <w:p w14:paraId="6CB20B1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64" w:type="dxa"/>
            <w:tcBorders>
              <w:top w:val="single" w:sz="8" w:space="0" w:color="AEAEAE"/>
              <w:left w:val="nil"/>
              <w:bottom w:val="single" w:sz="8" w:space="0" w:color="AEAEAE"/>
              <w:right w:val="nil"/>
            </w:tcBorders>
            <w:shd w:val="clear" w:color="auto" w:fill="auto"/>
          </w:tcPr>
          <w:p w14:paraId="0561605C" w14:textId="1C234710"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680" w:type="dxa"/>
            <w:tcBorders>
              <w:top w:val="single" w:sz="8" w:space="0" w:color="AEAEAE"/>
              <w:left w:val="nil"/>
              <w:bottom w:val="single" w:sz="8" w:space="0" w:color="AEAEAE"/>
              <w:right w:val="single" w:sz="8" w:space="0" w:color="E0E0E0"/>
            </w:tcBorders>
            <w:shd w:val="clear" w:color="auto" w:fill="auto"/>
          </w:tcPr>
          <w:p w14:paraId="03BA509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.499</w:t>
            </w:r>
          </w:p>
        </w:tc>
        <w:tc>
          <w:tcPr>
            <w:tcW w:w="1613" w:type="dxa"/>
            <w:tcBorders>
              <w:top w:val="single" w:sz="8" w:space="0" w:color="AEAEAE"/>
              <w:left w:val="single" w:sz="8" w:space="0" w:color="E0E0E0"/>
              <w:bottom w:val="single" w:sz="8" w:space="0" w:color="AEAEAE"/>
              <w:right w:val="single" w:sz="8" w:space="0" w:color="E0E0E0"/>
            </w:tcBorders>
            <w:shd w:val="clear" w:color="auto" w:fill="auto"/>
          </w:tcPr>
          <w:p w14:paraId="1DB34A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.056</w:t>
            </w:r>
          </w:p>
        </w:tc>
        <w:tc>
          <w:tcPr>
            <w:tcW w:w="2023" w:type="dxa"/>
            <w:tcBorders>
              <w:top w:val="single" w:sz="8" w:space="0" w:color="AEAEAE"/>
              <w:left w:val="single" w:sz="8" w:space="0" w:color="E0E0E0"/>
              <w:bottom w:val="single" w:sz="8" w:space="0" w:color="AEAEAE"/>
              <w:right w:val="single" w:sz="8" w:space="0" w:color="E0E0E0"/>
            </w:tcBorders>
            <w:shd w:val="clear" w:color="auto" w:fill="auto"/>
          </w:tcPr>
          <w:p w14:paraId="023B756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.655</w:t>
            </w:r>
          </w:p>
        </w:tc>
        <w:tc>
          <w:tcPr>
            <w:tcW w:w="694" w:type="dxa"/>
            <w:tcBorders>
              <w:top w:val="single" w:sz="8" w:space="0" w:color="AEAEAE"/>
              <w:left w:val="single" w:sz="8" w:space="0" w:color="E0E0E0"/>
              <w:bottom w:val="single" w:sz="8" w:space="0" w:color="AEAEAE"/>
              <w:right w:val="single" w:sz="8" w:space="0" w:color="E0E0E0"/>
            </w:tcBorders>
            <w:shd w:val="clear" w:color="auto" w:fill="auto"/>
          </w:tcPr>
          <w:p w14:paraId="3E135AD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8.854</w:t>
            </w:r>
          </w:p>
        </w:tc>
        <w:tc>
          <w:tcPr>
            <w:tcW w:w="934" w:type="dxa"/>
            <w:tcBorders>
              <w:top w:val="single" w:sz="8" w:space="0" w:color="AEAEAE"/>
              <w:left w:val="single" w:sz="8" w:space="0" w:color="E0E0E0"/>
              <w:bottom w:val="single" w:sz="8" w:space="0" w:color="AEAEAE"/>
              <w:right w:val="single" w:sz="8" w:space="0" w:color="E0E0E0"/>
            </w:tcBorders>
            <w:shd w:val="clear" w:color="auto" w:fill="auto"/>
          </w:tcPr>
          <w:p w14:paraId="0790B7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448" w:type="dxa"/>
            <w:tcBorders>
              <w:top w:val="single" w:sz="8" w:space="0" w:color="AEAEAE"/>
              <w:left w:val="single" w:sz="8" w:space="0" w:color="E0E0E0"/>
              <w:bottom w:val="single" w:sz="8" w:space="0" w:color="AEAEAE"/>
              <w:right w:val="nil"/>
            </w:tcBorders>
            <w:shd w:val="clear" w:color="auto" w:fill="auto"/>
          </w:tcPr>
          <w:p w14:paraId="55EE18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.659</w:t>
            </w:r>
          </w:p>
        </w:tc>
      </w:tr>
      <w:tr w:rsidR="006E3616" w:rsidRPr="00400193" w14:paraId="609413B3" w14:textId="77777777" w:rsidTr="004F67F9">
        <w:trPr>
          <w:cantSplit/>
          <w:trHeight w:val="283"/>
        </w:trPr>
        <w:tc>
          <w:tcPr>
            <w:tcW w:w="480" w:type="dxa"/>
            <w:vMerge/>
            <w:tcBorders>
              <w:top w:val="single" w:sz="8" w:space="0" w:color="152935"/>
              <w:left w:val="nil"/>
              <w:bottom w:val="single" w:sz="8" w:space="0" w:color="152935"/>
              <w:right w:val="nil"/>
            </w:tcBorders>
            <w:shd w:val="clear" w:color="auto" w:fill="auto"/>
          </w:tcPr>
          <w:p w14:paraId="1C4AFB5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64" w:type="dxa"/>
            <w:tcBorders>
              <w:top w:val="single" w:sz="8" w:space="0" w:color="AEAEAE"/>
              <w:left w:val="nil"/>
              <w:bottom w:val="single" w:sz="8" w:space="0" w:color="AEAEAE"/>
              <w:right w:val="nil"/>
            </w:tcBorders>
            <w:shd w:val="clear" w:color="auto" w:fill="auto"/>
          </w:tcPr>
          <w:p w14:paraId="0398387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c>
          <w:tcPr>
            <w:tcW w:w="680" w:type="dxa"/>
            <w:tcBorders>
              <w:top w:val="single" w:sz="8" w:space="0" w:color="AEAEAE"/>
              <w:left w:val="nil"/>
              <w:bottom w:val="single" w:sz="8" w:space="0" w:color="AEAEAE"/>
              <w:right w:val="single" w:sz="8" w:space="0" w:color="E0E0E0"/>
            </w:tcBorders>
            <w:shd w:val="clear" w:color="auto" w:fill="auto"/>
          </w:tcPr>
          <w:p w14:paraId="01BB894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.095</w:t>
            </w:r>
          </w:p>
        </w:tc>
        <w:tc>
          <w:tcPr>
            <w:tcW w:w="1613" w:type="dxa"/>
            <w:tcBorders>
              <w:top w:val="single" w:sz="8" w:space="0" w:color="AEAEAE"/>
              <w:left w:val="single" w:sz="8" w:space="0" w:color="E0E0E0"/>
              <w:bottom w:val="single" w:sz="8" w:space="0" w:color="AEAEAE"/>
              <w:right w:val="single" w:sz="8" w:space="0" w:color="E0E0E0"/>
            </w:tcBorders>
            <w:shd w:val="clear" w:color="auto" w:fill="auto"/>
          </w:tcPr>
          <w:p w14:paraId="128EEE7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.058</w:t>
            </w:r>
          </w:p>
        </w:tc>
        <w:tc>
          <w:tcPr>
            <w:tcW w:w="2023" w:type="dxa"/>
            <w:tcBorders>
              <w:top w:val="single" w:sz="8" w:space="0" w:color="AEAEAE"/>
              <w:left w:val="single" w:sz="8" w:space="0" w:color="E0E0E0"/>
              <w:bottom w:val="single" w:sz="8" w:space="0" w:color="AEAEAE"/>
              <w:right w:val="single" w:sz="8" w:space="0" w:color="E0E0E0"/>
            </w:tcBorders>
            <w:shd w:val="clear" w:color="auto" w:fill="auto"/>
          </w:tcPr>
          <w:p w14:paraId="105E49F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.120</w:t>
            </w:r>
          </w:p>
        </w:tc>
        <w:tc>
          <w:tcPr>
            <w:tcW w:w="694" w:type="dxa"/>
            <w:tcBorders>
              <w:top w:val="single" w:sz="8" w:space="0" w:color="AEAEAE"/>
              <w:left w:val="single" w:sz="8" w:space="0" w:color="E0E0E0"/>
              <w:bottom w:val="single" w:sz="8" w:space="0" w:color="AEAEAE"/>
              <w:right w:val="single" w:sz="8" w:space="0" w:color="E0E0E0"/>
            </w:tcBorders>
            <w:shd w:val="clear" w:color="auto" w:fill="auto"/>
          </w:tcPr>
          <w:p w14:paraId="0C49065E" w14:textId="39C896F6" w:rsidR="006E3616" w:rsidRPr="00400193" w:rsidRDefault="00F662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6E3616" w:rsidRPr="00400193">
              <w:rPr>
                <w:rFonts w:asciiTheme="minorHAnsi" w:hAnsiTheme="minorHAnsi" w:cstheme="minorHAnsi"/>
                <w:sz w:val="20"/>
                <w:szCs w:val="18"/>
                <w:lang w:eastAsia="zh-CN" w:bidi="hi-IN"/>
              </w:rPr>
              <w:t>1.627</w:t>
            </w:r>
          </w:p>
        </w:tc>
        <w:tc>
          <w:tcPr>
            <w:tcW w:w="934" w:type="dxa"/>
            <w:tcBorders>
              <w:top w:val="single" w:sz="8" w:space="0" w:color="AEAEAE"/>
              <w:left w:val="single" w:sz="8" w:space="0" w:color="E0E0E0"/>
              <w:bottom w:val="single" w:sz="8" w:space="0" w:color="AEAEAE"/>
              <w:right w:val="single" w:sz="8" w:space="0" w:color="E0E0E0"/>
            </w:tcBorders>
            <w:shd w:val="clear" w:color="auto" w:fill="auto"/>
          </w:tcPr>
          <w:p w14:paraId="6885F201" w14:textId="79AE964A"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w:t>
            </w:r>
            <w:r w:rsidR="00F66216"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lang w:eastAsia="zh-CN" w:bidi="hi-IN"/>
              </w:rPr>
              <w:t>107</w:t>
            </w:r>
          </w:p>
        </w:tc>
        <w:tc>
          <w:tcPr>
            <w:tcW w:w="1448" w:type="dxa"/>
            <w:tcBorders>
              <w:top w:val="single" w:sz="8" w:space="0" w:color="AEAEAE"/>
              <w:left w:val="single" w:sz="8" w:space="0" w:color="E0E0E0"/>
              <w:bottom w:val="single" w:sz="8" w:space="0" w:color="AEAEAE"/>
              <w:right w:val="nil"/>
            </w:tcBorders>
            <w:shd w:val="clear" w:color="auto" w:fill="auto"/>
          </w:tcPr>
          <w:p w14:paraId="75A1F07E"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.142</w:t>
            </w:r>
          </w:p>
        </w:tc>
      </w:tr>
      <w:tr w:rsidR="004F67F9" w:rsidRPr="00400193" w14:paraId="271A0A49" w14:textId="77777777" w:rsidTr="004F67F9">
        <w:trPr>
          <w:cantSplit/>
          <w:trHeight w:val="283"/>
        </w:trPr>
        <w:tc>
          <w:tcPr>
            <w:tcW w:w="8836" w:type="dxa"/>
            <w:gridSpan w:val="8"/>
            <w:tcBorders>
              <w:top w:val="single" w:sz="8" w:space="0" w:color="152935"/>
              <w:left w:val="nil"/>
              <w:bottom w:val="single" w:sz="4" w:space="0" w:color="FFFFFF" w:themeColor="background1"/>
              <w:right w:val="nil"/>
            </w:tcBorders>
            <w:shd w:val="clear" w:color="auto" w:fill="auto"/>
          </w:tcPr>
          <w:p w14:paraId="39B92B02" w14:textId="77777777" w:rsidR="004F67F9" w:rsidRPr="00400193" w:rsidRDefault="004F67F9"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2B278B5C" w14:textId="5BD53F43" w:rsidR="004F67F9" w:rsidRPr="00400193" w:rsidRDefault="004F67F9"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ORe, ERF</w:t>
            </w:r>
          </w:p>
        </w:tc>
      </w:tr>
    </w:tbl>
    <w:p w14:paraId="2BC492AB" w14:textId="489CB70F" w:rsidR="006E3616" w:rsidRPr="00400193" w:rsidRDefault="006E3616" w:rsidP="006E3616">
      <w:pPr>
        <w:pStyle w:val="Caption"/>
      </w:pPr>
      <w:bookmarkStart w:id="693" w:name="_Ref51442648"/>
      <w:bookmarkStart w:id="694" w:name="_Toc5290162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82</w:t>
      </w:r>
      <w:r w:rsidRPr="00400193">
        <w:fldChar w:fldCharType="end"/>
      </w:r>
      <w:bookmarkEnd w:id="693"/>
      <w:r w:rsidRPr="00400193">
        <w:t xml:space="preserve">: Coefficients </w:t>
      </w:r>
      <w:r w:rsidRPr="00400193">
        <w:rPr>
          <w:vertAlign w:val="superscript"/>
        </w:rPr>
        <w:t>a</w:t>
      </w:r>
      <w:r w:rsidRPr="00400193">
        <w:t xml:space="preserve"> of the regression model VW</w:t>
      </w:r>
      <w:bookmarkEnd w:id="694"/>
    </w:p>
    <w:p w14:paraId="2F3B7F64" w14:textId="77777777" w:rsidR="006E3616" w:rsidRPr="00400193" w:rsidRDefault="006E3616" w:rsidP="006E3616"/>
    <w:p w14:paraId="1892EDEE" w14:textId="77777777" w:rsidR="006E3616" w:rsidRPr="00400193" w:rsidRDefault="006E3616" w:rsidP="003C3496">
      <w:pPr>
        <w:pStyle w:val="Heading4"/>
        <w:rPr>
          <w:lang w:eastAsia="zh-CN" w:bidi="hi-IN"/>
        </w:rPr>
      </w:pPr>
      <w:bookmarkStart w:id="695" w:name="_Toc61894783"/>
      <w:r w:rsidRPr="00400193">
        <w:rPr>
          <w:lang w:eastAsia="zh-CN" w:bidi="hi-IN"/>
        </w:rPr>
        <w:t>Testing for Collinearity of the Independent Variables</w:t>
      </w:r>
      <w:bookmarkEnd w:id="695"/>
    </w:p>
    <w:p w14:paraId="57BE8BB1" w14:textId="6352740E" w:rsidR="006E3616" w:rsidRPr="00400193" w:rsidRDefault="006E3616" w:rsidP="006E3616">
      <w:pPr>
        <w:rPr>
          <w:lang w:eastAsia="zh-CN" w:bidi="hi-IN"/>
        </w:rPr>
      </w:pPr>
      <w:r w:rsidRPr="00400193">
        <w:rPr>
          <w:lang w:eastAsia="zh-CN" w:bidi="hi-IN"/>
        </w:rPr>
        <w:t xml:space="preserve">The collinearity results for the independent variables are in </w:t>
      </w:r>
      <w:r w:rsidR="00F319CB" w:rsidRPr="00400193">
        <w:rPr>
          <w:lang w:eastAsia="zh-CN" w:bidi="hi-IN"/>
        </w:rPr>
        <w:fldChar w:fldCharType="begin"/>
      </w:r>
      <w:r w:rsidR="00F319CB" w:rsidRPr="00400193">
        <w:rPr>
          <w:lang w:eastAsia="zh-CN" w:bidi="hi-IN"/>
        </w:rPr>
        <w:instrText xml:space="preserve"> REF _Ref52821130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83</w:t>
      </w:r>
      <w:r w:rsidR="00F319CB" w:rsidRPr="00400193">
        <w:rPr>
          <w:lang w:eastAsia="zh-CN" w:bidi="hi-IN"/>
        </w:rPr>
        <w:fldChar w:fldCharType="end"/>
      </w:r>
      <w:r w:rsidRPr="00400193">
        <w:rPr>
          <w:lang w:eastAsia="zh-CN" w:bidi="hi-IN"/>
        </w:rPr>
        <w:t>.</w:t>
      </w:r>
    </w:p>
    <w:tbl>
      <w:tblPr>
        <w:tblW w:w="89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6"/>
        <w:gridCol w:w="1179"/>
        <w:gridCol w:w="1181"/>
        <w:gridCol w:w="1418"/>
        <w:gridCol w:w="1137"/>
        <w:gridCol w:w="989"/>
        <w:gridCol w:w="2262"/>
        <w:gridCol w:w="6"/>
      </w:tblGrid>
      <w:tr w:rsidR="006E3616" w:rsidRPr="00400193" w14:paraId="176FB307" w14:textId="77777777" w:rsidTr="004F67F9">
        <w:trPr>
          <w:cantSplit/>
          <w:trHeight w:val="283"/>
        </w:trPr>
        <w:tc>
          <w:tcPr>
            <w:tcW w:w="8938" w:type="dxa"/>
            <w:gridSpan w:val="8"/>
            <w:tcBorders>
              <w:top w:val="nil"/>
              <w:left w:val="nil"/>
              <w:bottom w:val="nil"/>
              <w:right w:val="nil"/>
            </w:tcBorders>
            <w:shd w:val="clear" w:color="auto" w:fill="auto"/>
            <w:vAlign w:val="center"/>
          </w:tcPr>
          <w:p w14:paraId="4401E30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1722B75D" w14:textId="77777777" w:rsidTr="004F67F9">
        <w:trPr>
          <w:gridAfter w:val="1"/>
          <w:wAfter w:w="6" w:type="dxa"/>
          <w:cantSplit/>
          <w:trHeight w:val="283"/>
        </w:trPr>
        <w:tc>
          <w:tcPr>
            <w:tcW w:w="766" w:type="dxa"/>
            <w:vMerge w:val="restart"/>
            <w:tcBorders>
              <w:top w:val="nil"/>
              <w:left w:val="nil"/>
              <w:bottom w:val="nil"/>
              <w:right w:val="nil"/>
            </w:tcBorders>
            <w:shd w:val="clear" w:color="auto" w:fill="auto"/>
            <w:vAlign w:val="bottom"/>
          </w:tcPr>
          <w:p w14:paraId="3333D67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79" w:type="dxa"/>
            <w:vMerge w:val="restart"/>
            <w:tcBorders>
              <w:top w:val="nil"/>
              <w:left w:val="nil"/>
              <w:bottom w:val="nil"/>
              <w:right w:val="nil"/>
            </w:tcBorders>
            <w:shd w:val="clear" w:color="auto" w:fill="auto"/>
            <w:vAlign w:val="bottom"/>
          </w:tcPr>
          <w:p w14:paraId="66B701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81" w:type="dxa"/>
            <w:vMerge w:val="restart"/>
            <w:tcBorders>
              <w:top w:val="nil"/>
              <w:left w:val="nil"/>
              <w:bottom w:val="nil"/>
              <w:right w:val="single" w:sz="8" w:space="0" w:color="E0E0E0"/>
            </w:tcBorders>
            <w:shd w:val="clear" w:color="auto" w:fill="auto"/>
            <w:vAlign w:val="bottom"/>
          </w:tcPr>
          <w:p w14:paraId="15CEB6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18" w:type="dxa"/>
            <w:vMerge w:val="restart"/>
            <w:tcBorders>
              <w:top w:val="nil"/>
              <w:left w:val="single" w:sz="8" w:space="0" w:color="E0E0E0"/>
              <w:bottom w:val="nil"/>
              <w:right w:val="single" w:sz="8" w:space="0" w:color="E0E0E0"/>
            </w:tcBorders>
            <w:shd w:val="clear" w:color="auto" w:fill="auto"/>
            <w:vAlign w:val="bottom"/>
          </w:tcPr>
          <w:p w14:paraId="3633907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388" w:type="dxa"/>
            <w:gridSpan w:val="3"/>
            <w:tcBorders>
              <w:top w:val="nil"/>
              <w:left w:val="single" w:sz="8" w:space="0" w:color="E0E0E0"/>
              <w:bottom w:val="nil"/>
              <w:right w:val="nil"/>
            </w:tcBorders>
            <w:shd w:val="clear" w:color="auto" w:fill="auto"/>
            <w:vAlign w:val="bottom"/>
          </w:tcPr>
          <w:p w14:paraId="733A1AC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79D6185D" w14:textId="77777777" w:rsidTr="004F67F9">
        <w:trPr>
          <w:gridAfter w:val="1"/>
          <w:wAfter w:w="6" w:type="dxa"/>
          <w:cantSplit/>
          <w:trHeight w:val="283"/>
        </w:trPr>
        <w:tc>
          <w:tcPr>
            <w:tcW w:w="766" w:type="dxa"/>
            <w:vMerge/>
            <w:tcBorders>
              <w:top w:val="nil"/>
              <w:left w:val="nil"/>
              <w:bottom w:val="nil"/>
              <w:right w:val="nil"/>
            </w:tcBorders>
            <w:shd w:val="clear" w:color="auto" w:fill="auto"/>
            <w:vAlign w:val="bottom"/>
          </w:tcPr>
          <w:p w14:paraId="29E1278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9" w:type="dxa"/>
            <w:vMerge/>
            <w:tcBorders>
              <w:top w:val="nil"/>
              <w:left w:val="nil"/>
              <w:bottom w:val="nil"/>
              <w:right w:val="nil"/>
            </w:tcBorders>
            <w:shd w:val="clear" w:color="auto" w:fill="auto"/>
            <w:vAlign w:val="bottom"/>
          </w:tcPr>
          <w:p w14:paraId="3DB731F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81" w:type="dxa"/>
            <w:vMerge/>
            <w:tcBorders>
              <w:top w:val="nil"/>
              <w:left w:val="nil"/>
              <w:bottom w:val="nil"/>
              <w:right w:val="single" w:sz="8" w:space="0" w:color="E0E0E0"/>
            </w:tcBorders>
            <w:shd w:val="clear" w:color="auto" w:fill="auto"/>
            <w:vAlign w:val="bottom"/>
          </w:tcPr>
          <w:p w14:paraId="380510E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18" w:type="dxa"/>
            <w:vMerge/>
            <w:tcBorders>
              <w:top w:val="nil"/>
              <w:left w:val="single" w:sz="8" w:space="0" w:color="E0E0E0"/>
              <w:bottom w:val="nil"/>
              <w:right w:val="single" w:sz="8" w:space="0" w:color="E0E0E0"/>
            </w:tcBorders>
            <w:shd w:val="clear" w:color="auto" w:fill="auto"/>
            <w:vAlign w:val="bottom"/>
          </w:tcPr>
          <w:p w14:paraId="3567040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37" w:type="dxa"/>
            <w:tcBorders>
              <w:top w:val="nil"/>
              <w:left w:val="single" w:sz="8" w:space="0" w:color="E0E0E0"/>
              <w:bottom w:val="single" w:sz="8" w:space="0" w:color="152935"/>
              <w:right w:val="single" w:sz="8" w:space="0" w:color="E0E0E0"/>
            </w:tcBorders>
            <w:shd w:val="clear" w:color="auto" w:fill="auto"/>
            <w:vAlign w:val="bottom"/>
          </w:tcPr>
          <w:p w14:paraId="4C134A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989" w:type="dxa"/>
            <w:tcBorders>
              <w:top w:val="nil"/>
              <w:left w:val="single" w:sz="8" w:space="0" w:color="E0E0E0"/>
              <w:bottom w:val="single" w:sz="8" w:space="0" w:color="152935"/>
              <w:right w:val="single" w:sz="8" w:space="0" w:color="E0E0E0"/>
            </w:tcBorders>
            <w:shd w:val="clear" w:color="auto" w:fill="auto"/>
            <w:vAlign w:val="bottom"/>
          </w:tcPr>
          <w:p w14:paraId="1B10956F" w14:textId="4D950C72"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2262" w:type="dxa"/>
            <w:tcBorders>
              <w:top w:val="nil"/>
              <w:left w:val="single" w:sz="8" w:space="0" w:color="E0E0E0"/>
              <w:bottom w:val="single" w:sz="8" w:space="0" w:color="152935"/>
              <w:right w:val="nil"/>
            </w:tcBorders>
            <w:shd w:val="clear" w:color="auto" w:fill="auto"/>
            <w:vAlign w:val="bottom"/>
          </w:tcPr>
          <w:p w14:paraId="66417FF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r>
      <w:tr w:rsidR="006E3616" w:rsidRPr="00400193" w14:paraId="66024113" w14:textId="77777777" w:rsidTr="004F67F9">
        <w:trPr>
          <w:gridAfter w:val="1"/>
          <w:wAfter w:w="6" w:type="dxa"/>
          <w:cantSplit/>
          <w:trHeight w:val="283"/>
        </w:trPr>
        <w:tc>
          <w:tcPr>
            <w:tcW w:w="766" w:type="dxa"/>
            <w:vMerge w:val="restart"/>
            <w:tcBorders>
              <w:top w:val="single" w:sz="8" w:space="0" w:color="152935"/>
              <w:left w:val="nil"/>
              <w:bottom w:val="single" w:sz="8" w:space="0" w:color="152935"/>
              <w:right w:val="nil"/>
            </w:tcBorders>
            <w:shd w:val="clear" w:color="auto" w:fill="auto"/>
          </w:tcPr>
          <w:p w14:paraId="2571A3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79" w:type="dxa"/>
            <w:tcBorders>
              <w:top w:val="single" w:sz="8" w:space="0" w:color="152935"/>
              <w:left w:val="nil"/>
              <w:bottom w:val="single" w:sz="8" w:space="0" w:color="AEAEAE"/>
              <w:right w:val="nil"/>
            </w:tcBorders>
            <w:shd w:val="clear" w:color="auto" w:fill="auto"/>
          </w:tcPr>
          <w:p w14:paraId="1399EE6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81" w:type="dxa"/>
            <w:tcBorders>
              <w:top w:val="single" w:sz="8" w:space="0" w:color="152935"/>
              <w:left w:val="nil"/>
              <w:bottom w:val="single" w:sz="8" w:space="0" w:color="AEAEAE"/>
              <w:right w:val="single" w:sz="8" w:space="0" w:color="E0E0E0"/>
            </w:tcBorders>
            <w:shd w:val="clear" w:color="auto" w:fill="auto"/>
          </w:tcPr>
          <w:p w14:paraId="135C49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2.937</w:t>
            </w:r>
          </w:p>
        </w:tc>
        <w:tc>
          <w:tcPr>
            <w:tcW w:w="1418" w:type="dxa"/>
            <w:tcBorders>
              <w:top w:val="single" w:sz="8" w:space="0" w:color="152935"/>
              <w:left w:val="single" w:sz="8" w:space="0" w:color="E0E0E0"/>
              <w:bottom w:val="single" w:sz="8" w:space="0" w:color="AEAEAE"/>
              <w:right w:val="single" w:sz="8" w:space="0" w:color="E0E0E0"/>
            </w:tcBorders>
            <w:shd w:val="clear" w:color="auto" w:fill="auto"/>
          </w:tcPr>
          <w:p w14:paraId="568DC9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137" w:type="dxa"/>
            <w:tcBorders>
              <w:top w:val="single" w:sz="8" w:space="0" w:color="152935"/>
              <w:left w:val="single" w:sz="8" w:space="0" w:color="E0E0E0"/>
              <w:bottom w:val="single" w:sz="8" w:space="0" w:color="AEAEAE"/>
              <w:right w:val="single" w:sz="8" w:space="0" w:color="E0E0E0"/>
            </w:tcBorders>
            <w:shd w:val="clear" w:color="auto" w:fill="auto"/>
          </w:tcPr>
          <w:p w14:paraId="186F155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c>
          <w:tcPr>
            <w:tcW w:w="989" w:type="dxa"/>
            <w:tcBorders>
              <w:top w:val="single" w:sz="8" w:space="0" w:color="152935"/>
              <w:left w:val="single" w:sz="8" w:space="0" w:color="E0E0E0"/>
              <w:bottom w:val="single" w:sz="8" w:space="0" w:color="AEAEAE"/>
              <w:right w:val="single" w:sz="8" w:space="0" w:color="E0E0E0"/>
            </w:tcBorders>
            <w:shd w:val="clear" w:color="auto" w:fill="auto"/>
          </w:tcPr>
          <w:p w14:paraId="78916F3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262" w:type="dxa"/>
            <w:tcBorders>
              <w:top w:val="single" w:sz="8" w:space="0" w:color="152935"/>
              <w:left w:val="single" w:sz="8" w:space="0" w:color="E0E0E0"/>
              <w:bottom w:val="single" w:sz="8" w:space="0" w:color="AEAEAE"/>
              <w:right w:val="nil"/>
            </w:tcBorders>
            <w:shd w:val="clear" w:color="auto" w:fill="auto"/>
          </w:tcPr>
          <w:p w14:paraId="7E64399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r>
      <w:tr w:rsidR="006E3616" w:rsidRPr="00400193" w14:paraId="00976735" w14:textId="77777777" w:rsidTr="004F67F9">
        <w:trPr>
          <w:gridAfter w:val="1"/>
          <w:wAfter w:w="6" w:type="dxa"/>
          <w:cantSplit/>
          <w:trHeight w:val="283"/>
        </w:trPr>
        <w:tc>
          <w:tcPr>
            <w:tcW w:w="766" w:type="dxa"/>
            <w:vMerge/>
            <w:tcBorders>
              <w:top w:val="single" w:sz="8" w:space="0" w:color="152935"/>
              <w:left w:val="nil"/>
              <w:bottom w:val="single" w:sz="8" w:space="0" w:color="152935"/>
              <w:right w:val="nil"/>
            </w:tcBorders>
            <w:shd w:val="clear" w:color="auto" w:fill="auto"/>
          </w:tcPr>
          <w:p w14:paraId="7F87736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9" w:type="dxa"/>
            <w:tcBorders>
              <w:top w:val="single" w:sz="8" w:space="0" w:color="AEAEAE"/>
              <w:left w:val="nil"/>
              <w:bottom w:val="single" w:sz="8" w:space="0" w:color="AEAEAE"/>
              <w:right w:val="nil"/>
            </w:tcBorders>
            <w:shd w:val="clear" w:color="auto" w:fill="auto"/>
          </w:tcPr>
          <w:p w14:paraId="0A63402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81" w:type="dxa"/>
            <w:tcBorders>
              <w:top w:val="single" w:sz="8" w:space="0" w:color="AEAEAE"/>
              <w:left w:val="nil"/>
              <w:bottom w:val="single" w:sz="8" w:space="0" w:color="AEAEAE"/>
              <w:right w:val="single" w:sz="8" w:space="0" w:color="E0E0E0"/>
            </w:tcBorders>
            <w:shd w:val="clear" w:color="auto" w:fill="auto"/>
          </w:tcPr>
          <w:p w14:paraId="1CA053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.047</w:t>
            </w:r>
          </w:p>
        </w:tc>
        <w:tc>
          <w:tcPr>
            <w:tcW w:w="1418" w:type="dxa"/>
            <w:tcBorders>
              <w:top w:val="single" w:sz="8" w:space="0" w:color="AEAEAE"/>
              <w:left w:val="single" w:sz="8" w:space="0" w:color="E0E0E0"/>
              <w:bottom w:val="single" w:sz="8" w:space="0" w:color="AEAEAE"/>
              <w:right w:val="single" w:sz="8" w:space="0" w:color="E0E0E0"/>
            </w:tcBorders>
            <w:shd w:val="clear" w:color="auto" w:fill="auto"/>
          </w:tcPr>
          <w:p w14:paraId="4DA31A9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7.918</w:t>
            </w:r>
          </w:p>
        </w:tc>
        <w:tc>
          <w:tcPr>
            <w:tcW w:w="1137" w:type="dxa"/>
            <w:tcBorders>
              <w:top w:val="single" w:sz="8" w:space="0" w:color="AEAEAE"/>
              <w:left w:val="single" w:sz="8" w:space="0" w:color="E0E0E0"/>
              <w:bottom w:val="single" w:sz="8" w:space="0" w:color="AEAEAE"/>
              <w:right w:val="single" w:sz="8" w:space="0" w:color="E0E0E0"/>
            </w:tcBorders>
            <w:shd w:val="clear" w:color="auto" w:fill="auto"/>
          </w:tcPr>
          <w:p w14:paraId="053F22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989" w:type="dxa"/>
            <w:tcBorders>
              <w:top w:val="single" w:sz="8" w:space="0" w:color="AEAEAE"/>
              <w:left w:val="single" w:sz="8" w:space="0" w:color="E0E0E0"/>
              <w:bottom w:val="single" w:sz="8" w:space="0" w:color="AEAEAE"/>
              <w:right w:val="single" w:sz="8" w:space="0" w:color="E0E0E0"/>
            </w:tcBorders>
            <w:shd w:val="clear" w:color="auto" w:fill="auto"/>
          </w:tcPr>
          <w:p w14:paraId="621157C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.70</w:t>
            </w:r>
          </w:p>
        </w:tc>
        <w:tc>
          <w:tcPr>
            <w:tcW w:w="2262" w:type="dxa"/>
            <w:tcBorders>
              <w:top w:val="single" w:sz="8" w:space="0" w:color="AEAEAE"/>
              <w:left w:val="single" w:sz="8" w:space="0" w:color="E0E0E0"/>
              <w:bottom w:val="single" w:sz="8" w:space="0" w:color="AEAEAE"/>
              <w:right w:val="nil"/>
            </w:tcBorders>
            <w:shd w:val="clear" w:color="auto" w:fill="auto"/>
          </w:tcPr>
          <w:p w14:paraId="4E612A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.33</w:t>
            </w:r>
          </w:p>
        </w:tc>
      </w:tr>
      <w:tr w:rsidR="006E3616" w:rsidRPr="00400193" w14:paraId="1BCC5482" w14:textId="77777777" w:rsidTr="004F67F9">
        <w:trPr>
          <w:gridAfter w:val="1"/>
          <w:wAfter w:w="6" w:type="dxa"/>
          <w:cantSplit/>
          <w:trHeight w:val="283"/>
        </w:trPr>
        <w:tc>
          <w:tcPr>
            <w:tcW w:w="766" w:type="dxa"/>
            <w:vMerge/>
            <w:tcBorders>
              <w:top w:val="single" w:sz="8" w:space="0" w:color="152935"/>
              <w:left w:val="nil"/>
              <w:bottom w:val="single" w:sz="8" w:space="0" w:color="152935"/>
              <w:right w:val="nil"/>
            </w:tcBorders>
            <w:shd w:val="clear" w:color="auto" w:fill="auto"/>
          </w:tcPr>
          <w:p w14:paraId="4B5F02F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79" w:type="dxa"/>
            <w:tcBorders>
              <w:top w:val="single" w:sz="8" w:space="0" w:color="AEAEAE"/>
              <w:left w:val="nil"/>
              <w:bottom w:val="single" w:sz="8" w:space="0" w:color="152935"/>
              <w:right w:val="nil"/>
            </w:tcBorders>
            <w:shd w:val="clear" w:color="auto" w:fill="auto"/>
          </w:tcPr>
          <w:p w14:paraId="1702A09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181" w:type="dxa"/>
            <w:tcBorders>
              <w:top w:val="single" w:sz="8" w:space="0" w:color="AEAEAE"/>
              <w:left w:val="nil"/>
              <w:bottom w:val="single" w:sz="8" w:space="0" w:color="152935"/>
              <w:right w:val="single" w:sz="8" w:space="0" w:color="E0E0E0"/>
            </w:tcBorders>
            <w:shd w:val="clear" w:color="auto" w:fill="auto"/>
          </w:tcPr>
          <w:p w14:paraId="5AD7AF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.016</w:t>
            </w:r>
          </w:p>
        </w:tc>
        <w:tc>
          <w:tcPr>
            <w:tcW w:w="1418" w:type="dxa"/>
            <w:tcBorders>
              <w:top w:val="single" w:sz="8" w:space="0" w:color="AEAEAE"/>
              <w:left w:val="single" w:sz="8" w:space="0" w:color="E0E0E0"/>
              <w:bottom w:val="single" w:sz="8" w:space="0" w:color="152935"/>
              <w:right w:val="single" w:sz="8" w:space="0" w:color="E0E0E0"/>
            </w:tcBorders>
            <w:shd w:val="clear" w:color="auto" w:fill="auto"/>
          </w:tcPr>
          <w:p w14:paraId="1F7E2B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13.618</w:t>
            </w:r>
          </w:p>
        </w:tc>
        <w:tc>
          <w:tcPr>
            <w:tcW w:w="1137" w:type="dxa"/>
            <w:tcBorders>
              <w:top w:val="single" w:sz="8" w:space="0" w:color="AEAEAE"/>
              <w:left w:val="single" w:sz="8" w:space="0" w:color="E0E0E0"/>
              <w:bottom w:val="single" w:sz="8" w:space="0" w:color="152935"/>
              <w:right w:val="single" w:sz="8" w:space="0" w:color="E0E0E0"/>
            </w:tcBorders>
            <w:shd w:val="clear" w:color="auto" w:fill="auto"/>
          </w:tcPr>
          <w:p w14:paraId="466AA7E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c>
          <w:tcPr>
            <w:tcW w:w="989" w:type="dxa"/>
            <w:tcBorders>
              <w:top w:val="single" w:sz="8" w:space="0" w:color="AEAEAE"/>
              <w:left w:val="single" w:sz="8" w:space="0" w:color="E0E0E0"/>
              <w:bottom w:val="single" w:sz="8" w:space="0" w:color="152935"/>
              <w:right w:val="single" w:sz="8" w:space="0" w:color="E0E0E0"/>
            </w:tcBorders>
            <w:shd w:val="clear" w:color="auto" w:fill="auto"/>
          </w:tcPr>
          <w:p w14:paraId="04B85A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w:t>
            </w:r>
          </w:p>
        </w:tc>
        <w:tc>
          <w:tcPr>
            <w:tcW w:w="2262" w:type="dxa"/>
            <w:tcBorders>
              <w:top w:val="single" w:sz="8" w:space="0" w:color="AEAEAE"/>
              <w:left w:val="single" w:sz="8" w:space="0" w:color="E0E0E0"/>
              <w:bottom w:val="single" w:sz="8" w:space="0" w:color="152935"/>
              <w:right w:val="nil"/>
            </w:tcBorders>
            <w:shd w:val="clear" w:color="auto" w:fill="auto"/>
          </w:tcPr>
          <w:p w14:paraId="2F639E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.67</w:t>
            </w:r>
          </w:p>
        </w:tc>
      </w:tr>
      <w:tr w:rsidR="006E3616" w:rsidRPr="00400193" w14:paraId="15919B67" w14:textId="77777777" w:rsidTr="004F67F9">
        <w:trPr>
          <w:cantSplit/>
          <w:trHeight w:val="283"/>
        </w:trPr>
        <w:tc>
          <w:tcPr>
            <w:tcW w:w="8938" w:type="dxa"/>
            <w:gridSpan w:val="8"/>
            <w:tcBorders>
              <w:top w:val="nil"/>
              <w:left w:val="nil"/>
              <w:bottom w:val="nil"/>
              <w:right w:val="nil"/>
            </w:tcBorders>
            <w:shd w:val="clear" w:color="auto" w:fill="auto"/>
          </w:tcPr>
          <w:p w14:paraId="08D2AF09"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 Dependent Variable: VW</w:t>
            </w:r>
          </w:p>
        </w:tc>
      </w:tr>
    </w:tbl>
    <w:p w14:paraId="0E037B90" w14:textId="4E328FEE" w:rsidR="006E3616" w:rsidRPr="00400193" w:rsidRDefault="006E3616" w:rsidP="006E3616">
      <w:pPr>
        <w:pStyle w:val="Caption"/>
        <w:spacing w:after="240"/>
      </w:pPr>
      <w:bookmarkStart w:id="696" w:name="_Ref52821130"/>
      <w:bookmarkStart w:id="697" w:name="_Toc5290162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83</w:t>
      </w:r>
      <w:r w:rsidRPr="00400193">
        <w:fldChar w:fldCharType="end"/>
      </w:r>
      <w:bookmarkEnd w:id="696"/>
      <w:r w:rsidRPr="00400193">
        <w:t>: Testing the collinearity between variables for VW</w:t>
      </w:r>
      <w:bookmarkEnd w:id="697"/>
    </w:p>
    <w:p w14:paraId="36A7FF2E" w14:textId="77777777" w:rsidR="006E3616" w:rsidRPr="00400193" w:rsidRDefault="006E3616" w:rsidP="006E3616">
      <w:pPr>
        <w:rPr>
          <w:lang w:eastAsia="zh-CN" w:bidi="hi-IN"/>
        </w:rPr>
      </w:pPr>
      <w:r w:rsidRPr="00400193">
        <w:rPr>
          <w:lang w:eastAsia="zh-CN" w:bidi="hi-IN"/>
        </w:rPr>
        <w:t>The condition index for all variables but one was less than 10. The remaining variable had a condition index greater than 10 and less than 30, indicating moderate collinearity.</w:t>
      </w:r>
    </w:p>
    <w:p w14:paraId="65F56691" w14:textId="77777777" w:rsidR="006E3616" w:rsidRPr="00400193" w:rsidRDefault="006E3616" w:rsidP="003C3496">
      <w:pPr>
        <w:pStyle w:val="Heading4"/>
        <w:rPr>
          <w:lang w:eastAsia="zh-CN" w:bidi="hi-IN"/>
        </w:rPr>
      </w:pPr>
      <w:bookmarkStart w:id="698" w:name="_Toc61894784"/>
      <w:r w:rsidRPr="00400193">
        <w:rPr>
          <w:lang w:eastAsia="zh-CN" w:bidi="hi-IN"/>
        </w:rPr>
        <w:t>Examining Residuals using Scatter Plots</w:t>
      </w:r>
      <w:bookmarkEnd w:id="698"/>
      <w:r w:rsidRPr="00400193">
        <w:rPr>
          <w:lang w:eastAsia="zh-CN" w:bidi="hi-IN"/>
        </w:rPr>
        <w:t xml:space="preserve"> </w:t>
      </w:r>
    </w:p>
    <w:p w14:paraId="126CC73C" w14:textId="30EEEF0D" w:rsidR="006E3616" w:rsidRPr="00400193" w:rsidRDefault="006E3616" w:rsidP="006E3616">
      <w:pPr>
        <w:rPr>
          <w:lang w:eastAsia="zh-CN" w:bidi="hi-IN"/>
        </w:rPr>
      </w:pPr>
      <w:r w:rsidRPr="00400193">
        <w:rPr>
          <w:lang w:eastAsia="zh-CN" w:bidi="hi-IN"/>
        </w:rPr>
        <w:t xml:space="preserve">The residual statistics obtained from the regression analysis are shows in </w:t>
      </w:r>
      <w:r w:rsidR="00F319CB" w:rsidRPr="00400193">
        <w:rPr>
          <w:lang w:eastAsia="zh-CN" w:bidi="hi-IN"/>
        </w:rPr>
        <w:fldChar w:fldCharType="begin"/>
      </w:r>
      <w:r w:rsidR="00F319CB" w:rsidRPr="00400193">
        <w:rPr>
          <w:lang w:eastAsia="zh-CN" w:bidi="hi-IN"/>
        </w:rPr>
        <w:instrText xml:space="preserve"> REF _Ref52821150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84</w:t>
      </w:r>
      <w:r w:rsidR="00F319CB"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_Ref43495323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27</w:t>
      </w:r>
      <w:r w:rsidRPr="00400193">
        <w:rPr>
          <w:lang w:eastAsia="zh-CN" w:bidi="hi-IN"/>
        </w:rPr>
        <w:fldChar w:fldCharType="end"/>
      </w:r>
      <w:r w:rsidRPr="00400193">
        <w:rPr>
          <w:lang w:eastAsia="zh-CN" w:bidi="hi-IN"/>
        </w:rPr>
        <w:t xml:space="preserve"> and </w:t>
      </w:r>
      <w:r w:rsidR="00EA3CB5" w:rsidRPr="00400193">
        <w:rPr>
          <w:lang w:eastAsia="zh-CN" w:bidi="hi-IN"/>
        </w:rPr>
        <w:fldChar w:fldCharType="begin"/>
      </w:r>
      <w:r w:rsidR="00EA3CB5" w:rsidRPr="00400193">
        <w:rPr>
          <w:lang w:eastAsia="zh-CN" w:bidi="hi-IN"/>
        </w:rPr>
        <w:instrText xml:space="preserve"> REF _Ref51337877 \h </w:instrText>
      </w:r>
      <w:r w:rsidR="00EA3CB5" w:rsidRPr="00400193">
        <w:rPr>
          <w:lang w:eastAsia="zh-CN" w:bidi="hi-IN"/>
        </w:rPr>
      </w:r>
      <w:r w:rsidR="00EA3CB5"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28</w:t>
      </w:r>
      <w:r w:rsidR="00EA3CB5" w:rsidRPr="00400193">
        <w:rPr>
          <w:lang w:eastAsia="zh-CN" w:bidi="hi-IN"/>
        </w:rPr>
        <w:fldChar w:fldCharType="end"/>
      </w:r>
      <w:r w:rsidRPr="00400193">
        <w:rPr>
          <w:lang w:eastAsia="zh-CN" w:bidi="hi-IN"/>
        </w:rPr>
        <w:t xml:space="preserve"> show that there is no pattern of behaviour of the residuals with respect to Y. The assumption of error term independence is therefore not violated.</w:t>
      </w:r>
    </w:p>
    <w:p w14:paraId="0D5EE57F" w14:textId="550BF2B3" w:rsidR="004F67F9" w:rsidRPr="00400193" w:rsidRDefault="004F67F9" w:rsidP="006E3616">
      <w:pPr>
        <w:rPr>
          <w:lang w:eastAsia="zh-CN" w:bidi="hi-IN"/>
        </w:rPr>
      </w:pPr>
    </w:p>
    <w:p w14:paraId="466AA986" w14:textId="77777777" w:rsidR="004F67F9" w:rsidRPr="00400193" w:rsidRDefault="004F67F9" w:rsidP="006E3616">
      <w:pPr>
        <w:rPr>
          <w:lang w:eastAsia="zh-CN" w:bidi="hi-IN"/>
        </w:rPr>
      </w:pPr>
    </w:p>
    <w:tbl>
      <w:tblPr>
        <w:tblW w:w="8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14"/>
        <w:gridCol w:w="1037"/>
        <w:gridCol w:w="1067"/>
        <w:gridCol w:w="993"/>
        <w:gridCol w:w="1393"/>
        <w:gridCol w:w="2565"/>
      </w:tblGrid>
      <w:tr w:rsidR="006E3616" w:rsidRPr="00400193" w14:paraId="685E48F0" w14:textId="77777777" w:rsidTr="004F67F9">
        <w:trPr>
          <w:cantSplit/>
          <w:trHeight w:val="283"/>
        </w:trPr>
        <w:tc>
          <w:tcPr>
            <w:tcW w:w="8969" w:type="dxa"/>
            <w:gridSpan w:val="6"/>
            <w:tcBorders>
              <w:top w:val="nil"/>
              <w:left w:val="nil"/>
              <w:bottom w:val="nil"/>
              <w:right w:val="nil"/>
            </w:tcBorders>
            <w:shd w:val="clear" w:color="auto" w:fill="auto"/>
            <w:vAlign w:val="center"/>
          </w:tcPr>
          <w:p w14:paraId="7223F44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4C94EC7C" w14:textId="77777777" w:rsidTr="004F67F9">
        <w:trPr>
          <w:cantSplit/>
          <w:trHeight w:val="283"/>
        </w:trPr>
        <w:tc>
          <w:tcPr>
            <w:tcW w:w="1914" w:type="dxa"/>
            <w:tcBorders>
              <w:top w:val="nil"/>
              <w:left w:val="nil"/>
              <w:bottom w:val="single" w:sz="8" w:space="0" w:color="152935"/>
              <w:right w:val="nil"/>
            </w:tcBorders>
            <w:shd w:val="clear" w:color="auto" w:fill="auto"/>
            <w:vAlign w:val="bottom"/>
          </w:tcPr>
          <w:p w14:paraId="04210B9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7" w:type="dxa"/>
            <w:tcBorders>
              <w:top w:val="nil"/>
              <w:left w:val="nil"/>
              <w:bottom w:val="single" w:sz="8" w:space="0" w:color="152935"/>
              <w:right w:val="single" w:sz="8" w:space="0" w:color="E0E0E0"/>
            </w:tcBorders>
            <w:shd w:val="clear" w:color="auto" w:fill="auto"/>
            <w:vAlign w:val="bottom"/>
          </w:tcPr>
          <w:p w14:paraId="02C733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7" w:type="dxa"/>
            <w:tcBorders>
              <w:top w:val="nil"/>
              <w:left w:val="single" w:sz="8" w:space="0" w:color="E0E0E0"/>
              <w:bottom w:val="single" w:sz="8" w:space="0" w:color="152935"/>
              <w:right w:val="single" w:sz="8" w:space="0" w:color="E0E0E0"/>
            </w:tcBorders>
            <w:shd w:val="clear" w:color="auto" w:fill="auto"/>
            <w:vAlign w:val="bottom"/>
          </w:tcPr>
          <w:p w14:paraId="2F01D34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93" w:type="dxa"/>
            <w:tcBorders>
              <w:top w:val="nil"/>
              <w:left w:val="single" w:sz="8" w:space="0" w:color="E0E0E0"/>
              <w:bottom w:val="single" w:sz="8" w:space="0" w:color="152935"/>
              <w:right w:val="single" w:sz="8" w:space="0" w:color="E0E0E0"/>
            </w:tcBorders>
            <w:shd w:val="clear" w:color="auto" w:fill="auto"/>
            <w:vAlign w:val="bottom"/>
          </w:tcPr>
          <w:p w14:paraId="7412430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93" w:type="dxa"/>
            <w:tcBorders>
              <w:top w:val="nil"/>
              <w:left w:val="single" w:sz="8" w:space="0" w:color="E0E0E0"/>
              <w:bottom w:val="single" w:sz="8" w:space="0" w:color="152935"/>
              <w:right w:val="single" w:sz="8" w:space="0" w:color="E0E0E0"/>
            </w:tcBorders>
            <w:shd w:val="clear" w:color="auto" w:fill="auto"/>
            <w:vAlign w:val="bottom"/>
          </w:tcPr>
          <w:p w14:paraId="7BA228E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563" w:type="dxa"/>
            <w:tcBorders>
              <w:top w:val="nil"/>
              <w:left w:val="single" w:sz="8" w:space="0" w:color="E0E0E0"/>
              <w:bottom w:val="single" w:sz="8" w:space="0" w:color="152935"/>
              <w:right w:val="nil"/>
            </w:tcBorders>
            <w:shd w:val="clear" w:color="auto" w:fill="auto"/>
            <w:vAlign w:val="bottom"/>
          </w:tcPr>
          <w:p w14:paraId="1708ED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0C295227" w14:textId="77777777" w:rsidTr="004F67F9">
        <w:trPr>
          <w:cantSplit/>
          <w:trHeight w:val="283"/>
        </w:trPr>
        <w:tc>
          <w:tcPr>
            <w:tcW w:w="1914" w:type="dxa"/>
            <w:tcBorders>
              <w:top w:val="single" w:sz="8" w:space="0" w:color="152935"/>
              <w:left w:val="nil"/>
              <w:bottom w:val="single" w:sz="8" w:space="0" w:color="AEAEAE"/>
              <w:right w:val="nil"/>
            </w:tcBorders>
            <w:shd w:val="clear" w:color="auto" w:fill="auto"/>
          </w:tcPr>
          <w:p w14:paraId="08412AD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7" w:type="dxa"/>
            <w:tcBorders>
              <w:top w:val="single" w:sz="8" w:space="0" w:color="152935"/>
              <w:left w:val="nil"/>
              <w:bottom w:val="single" w:sz="8" w:space="0" w:color="AEAEAE"/>
              <w:right w:val="single" w:sz="8" w:space="0" w:color="E0E0E0"/>
            </w:tcBorders>
            <w:shd w:val="clear" w:color="auto" w:fill="auto"/>
          </w:tcPr>
          <w:p w14:paraId="471438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2.2058</w:t>
            </w:r>
          </w:p>
        </w:tc>
        <w:tc>
          <w:tcPr>
            <w:tcW w:w="1067" w:type="dxa"/>
            <w:tcBorders>
              <w:top w:val="single" w:sz="8" w:space="0" w:color="152935"/>
              <w:left w:val="single" w:sz="8" w:space="0" w:color="E0E0E0"/>
              <w:bottom w:val="single" w:sz="8" w:space="0" w:color="AEAEAE"/>
              <w:right w:val="single" w:sz="8" w:space="0" w:color="E0E0E0"/>
            </w:tcBorders>
            <w:shd w:val="clear" w:color="auto" w:fill="auto"/>
          </w:tcPr>
          <w:p w14:paraId="6DBF663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4.1197</w:t>
            </w:r>
          </w:p>
        </w:tc>
        <w:tc>
          <w:tcPr>
            <w:tcW w:w="993" w:type="dxa"/>
            <w:tcBorders>
              <w:top w:val="single" w:sz="8" w:space="0" w:color="152935"/>
              <w:left w:val="single" w:sz="8" w:space="0" w:color="E0E0E0"/>
              <w:bottom w:val="single" w:sz="8" w:space="0" w:color="AEAEAE"/>
              <w:right w:val="single" w:sz="8" w:space="0" w:color="E0E0E0"/>
            </w:tcBorders>
            <w:shd w:val="clear" w:color="auto" w:fill="auto"/>
          </w:tcPr>
          <w:p w14:paraId="62C119D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93" w:type="dxa"/>
            <w:tcBorders>
              <w:top w:val="single" w:sz="8" w:space="0" w:color="152935"/>
              <w:left w:val="single" w:sz="8" w:space="0" w:color="E0E0E0"/>
              <w:bottom w:val="single" w:sz="8" w:space="0" w:color="AEAEAE"/>
              <w:right w:val="single" w:sz="8" w:space="0" w:color="E0E0E0"/>
            </w:tcBorders>
            <w:shd w:val="clear" w:color="auto" w:fill="auto"/>
          </w:tcPr>
          <w:p w14:paraId="2508CF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.39762</w:t>
            </w:r>
          </w:p>
        </w:tc>
        <w:tc>
          <w:tcPr>
            <w:tcW w:w="2563" w:type="dxa"/>
            <w:tcBorders>
              <w:top w:val="single" w:sz="8" w:space="0" w:color="152935"/>
              <w:left w:val="single" w:sz="8" w:space="0" w:color="E0E0E0"/>
              <w:bottom w:val="single" w:sz="8" w:space="0" w:color="AEAEAE"/>
              <w:right w:val="nil"/>
            </w:tcBorders>
            <w:shd w:val="clear" w:color="auto" w:fill="auto"/>
          </w:tcPr>
          <w:p w14:paraId="5E15FA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1CEEFDD" w14:textId="77777777" w:rsidTr="004F67F9">
        <w:trPr>
          <w:cantSplit/>
          <w:trHeight w:val="283"/>
        </w:trPr>
        <w:tc>
          <w:tcPr>
            <w:tcW w:w="1914" w:type="dxa"/>
            <w:tcBorders>
              <w:top w:val="single" w:sz="8" w:space="0" w:color="AEAEAE"/>
              <w:left w:val="nil"/>
              <w:bottom w:val="single" w:sz="8" w:space="0" w:color="AEAEAE"/>
              <w:right w:val="nil"/>
            </w:tcBorders>
            <w:shd w:val="clear" w:color="auto" w:fill="auto"/>
          </w:tcPr>
          <w:p w14:paraId="2841624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7" w:type="dxa"/>
            <w:tcBorders>
              <w:top w:val="single" w:sz="8" w:space="0" w:color="AEAEAE"/>
              <w:left w:val="nil"/>
              <w:bottom w:val="single" w:sz="8" w:space="0" w:color="AEAEAE"/>
              <w:right w:val="single" w:sz="8" w:space="0" w:color="E0E0E0"/>
            </w:tcBorders>
            <w:shd w:val="clear" w:color="auto" w:fill="auto"/>
          </w:tcPr>
          <w:p w14:paraId="6F6536C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-1.73817</w:t>
            </w:r>
          </w:p>
        </w:tc>
        <w:tc>
          <w:tcPr>
            <w:tcW w:w="1067" w:type="dxa"/>
            <w:tcBorders>
              <w:top w:val="single" w:sz="8" w:space="0" w:color="AEAEAE"/>
              <w:left w:val="single" w:sz="8" w:space="0" w:color="E0E0E0"/>
              <w:bottom w:val="single" w:sz="8" w:space="0" w:color="AEAEAE"/>
              <w:right w:val="single" w:sz="8" w:space="0" w:color="E0E0E0"/>
            </w:tcBorders>
            <w:shd w:val="clear" w:color="auto" w:fill="auto"/>
          </w:tcPr>
          <w:p w14:paraId="18F283F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1.11834</w:t>
            </w:r>
          </w:p>
        </w:tc>
        <w:tc>
          <w:tcPr>
            <w:tcW w:w="993" w:type="dxa"/>
            <w:tcBorders>
              <w:top w:val="single" w:sz="8" w:space="0" w:color="AEAEAE"/>
              <w:left w:val="single" w:sz="8" w:space="0" w:color="E0E0E0"/>
              <w:bottom w:val="single" w:sz="8" w:space="0" w:color="AEAEAE"/>
              <w:right w:val="single" w:sz="8" w:space="0" w:color="E0E0E0"/>
            </w:tcBorders>
            <w:shd w:val="clear" w:color="auto" w:fill="auto"/>
          </w:tcPr>
          <w:p w14:paraId="2ABCC2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93" w:type="dxa"/>
            <w:tcBorders>
              <w:top w:val="single" w:sz="8" w:space="0" w:color="AEAEAE"/>
              <w:left w:val="single" w:sz="8" w:space="0" w:color="E0E0E0"/>
              <w:bottom w:val="single" w:sz="8" w:space="0" w:color="AEAEAE"/>
              <w:right w:val="single" w:sz="8" w:space="0" w:color="E0E0E0"/>
            </w:tcBorders>
            <w:shd w:val="clear" w:color="auto" w:fill="auto"/>
          </w:tcPr>
          <w:p w14:paraId="26748A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.44101</w:t>
            </w:r>
          </w:p>
        </w:tc>
        <w:tc>
          <w:tcPr>
            <w:tcW w:w="2563" w:type="dxa"/>
            <w:tcBorders>
              <w:top w:val="single" w:sz="8" w:space="0" w:color="AEAEAE"/>
              <w:left w:val="single" w:sz="8" w:space="0" w:color="E0E0E0"/>
              <w:bottom w:val="single" w:sz="8" w:space="0" w:color="AEAEAE"/>
              <w:right w:val="nil"/>
            </w:tcBorders>
            <w:shd w:val="clear" w:color="auto" w:fill="auto"/>
          </w:tcPr>
          <w:p w14:paraId="5FF269B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5B57903" w14:textId="77777777" w:rsidTr="004F67F9">
        <w:trPr>
          <w:cantSplit/>
          <w:trHeight w:val="283"/>
        </w:trPr>
        <w:tc>
          <w:tcPr>
            <w:tcW w:w="1914" w:type="dxa"/>
            <w:tcBorders>
              <w:top w:val="single" w:sz="8" w:space="0" w:color="AEAEAE"/>
              <w:left w:val="nil"/>
              <w:bottom w:val="single" w:sz="8" w:space="0" w:color="AEAEAE"/>
              <w:right w:val="nil"/>
            </w:tcBorders>
            <w:shd w:val="clear" w:color="auto" w:fill="auto"/>
          </w:tcPr>
          <w:p w14:paraId="2AD4F5A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7" w:type="dxa"/>
            <w:tcBorders>
              <w:top w:val="single" w:sz="8" w:space="0" w:color="AEAEAE"/>
              <w:left w:val="nil"/>
              <w:bottom w:val="single" w:sz="8" w:space="0" w:color="AEAEAE"/>
              <w:right w:val="single" w:sz="8" w:space="0" w:color="E0E0E0"/>
            </w:tcBorders>
            <w:shd w:val="clear" w:color="auto" w:fill="auto"/>
          </w:tcPr>
          <w:p w14:paraId="46E212E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-2.506</w:t>
            </w:r>
          </w:p>
        </w:tc>
        <w:tc>
          <w:tcPr>
            <w:tcW w:w="1067" w:type="dxa"/>
            <w:tcBorders>
              <w:top w:val="single" w:sz="8" w:space="0" w:color="AEAEAE"/>
              <w:left w:val="single" w:sz="8" w:space="0" w:color="E0E0E0"/>
              <w:bottom w:val="single" w:sz="8" w:space="0" w:color="AEAEAE"/>
              <w:right w:val="single" w:sz="8" w:space="0" w:color="E0E0E0"/>
            </w:tcBorders>
            <w:shd w:val="clear" w:color="auto" w:fill="auto"/>
          </w:tcPr>
          <w:p w14:paraId="69FC7AC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2.307</w:t>
            </w:r>
          </w:p>
        </w:tc>
        <w:tc>
          <w:tcPr>
            <w:tcW w:w="993" w:type="dxa"/>
            <w:tcBorders>
              <w:top w:val="single" w:sz="8" w:space="0" w:color="AEAEAE"/>
              <w:left w:val="single" w:sz="8" w:space="0" w:color="E0E0E0"/>
              <w:bottom w:val="single" w:sz="8" w:space="0" w:color="AEAEAE"/>
              <w:right w:val="single" w:sz="8" w:space="0" w:color="E0E0E0"/>
            </w:tcBorders>
            <w:shd w:val="clear" w:color="auto" w:fill="auto"/>
          </w:tcPr>
          <w:p w14:paraId="15FE90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93" w:type="dxa"/>
            <w:tcBorders>
              <w:top w:val="single" w:sz="8" w:space="0" w:color="AEAEAE"/>
              <w:left w:val="single" w:sz="8" w:space="0" w:color="E0E0E0"/>
              <w:bottom w:val="single" w:sz="8" w:space="0" w:color="AEAEAE"/>
              <w:right w:val="single" w:sz="8" w:space="0" w:color="E0E0E0"/>
            </w:tcBorders>
            <w:shd w:val="clear" w:color="auto" w:fill="auto"/>
          </w:tcPr>
          <w:p w14:paraId="61F22D9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563" w:type="dxa"/>
            <w:tcBorders>
              <w:top w:val="single" w:sz="8" w:space="0" w:color="AEAEAE"/>
              <w:left w:val="single" w:sz="8" w:space="0" w:color="E0E0E0"/>
              <w:bottom w:val="single" w:sz="8" w:space="0" w:color="AEAEAE"/>
              <w:right w:val="nil"/>
            </w:tcBorders>
            <w:shd w:val="clear" w:color="auto" w:fill="auto"/>
          </w:tcPr>
          <w:p w14:paraId="22CCCBD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39819C8" w14:textId="77777777" w:rsidTr="004F67F9">
        <w:trPr>
          <w:cantSplit/>
          <w:trHeight w:val="283"/>
        </w:trPr>
        <w:tc>
          <w:tcPr>
            <w:tcW w:w="1914" w:type="dxa"/>
            <w:tcBorders>
              <w:top w:val="single" w:sz="8" w:space="0" w:color="AEAEAE"/>
              <w:left w:val="nil"/>
              <w:bottom w:val="single" w:sz="8" w:space="0" w:color="152935"/>
              <w:right w:val="nil"/>
            </w:tcBorders>
            <w:shd w:val="clear" w:color="auto" w:fill="auto"/>
          </w:tcPr>
          <w:p w14:paraId="3DF023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7" w:type="dxa"/>
            <w:tcBorders>
              <w:top w:val="single" w:sz="8" w:space="0" w:color="AEAEAE"/>
              <w:left w:val="nil"/>
              <w:bottom w:val="single" w:sz="8" w:space="0" w:color="152935"/>
              <w:right w:val="single" w:sz="8" w:space="0" w:color="E0E0E0"/>
            </w:tcBorders>
            <w:shd w:val="clear" w:color="auto" w:fill="auto"/>
          </w:tcPr>
          <w:p w14:paraId="408F0D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-3.903</w:t>
            </w:r>
          </w:p>
        </w:tc>
        <w:tc>
          <w:tcPr>
            <w:tcW w:w="1067" w:type="dxa"/>
            <w:tcBorders>
              <w:top w:val="single" w:sz="8" w:space="0" w:color="AEAEAE"/>
              <w:left w:val="single" w:sz="8" w:space="0" w:color="E0E0E0"/>
              <w:bottom w:val="single" w:sz="8" w:space="0" w:color="152935"/>
              <w:right w:val="single" w:sz="8" w:space="0" w:color="E0E0E0"/>
            </w:tcBorders>
            <w:shd w:val="clear" w:color="auto" w:fill="auto"/>
          </w:tcPr>
          <w:p w14:paraId="4B0B17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2.511</w:t>
            </w:r>
          </w:p>
        </w:tc>
        <w:tc>
          <w:tcPr>
            <w:tcW w:w="993" w:type="dxa"/>
            <w:tcBorders>
              <w:top w:val="single" w:sz="8" w:space="0" w:color="AEAEAE"/>
              <w:left w:val="single" w:sz="8" w:space="0" w:color="E0E0E0"/>
              <w:bottom w:val="single" w:sz="8" w:space="0" w:color="152935"/>
              <w:right w:val="single" w:sz="8" w:space="0" w:color="E0E0E0"/>
            </w:tcBorders>
            <w:shd w:val="clear" w:color="auto" w:fill="auto"/>
          </w:tcPr>
          <w:p w14:paraId="038342E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93" w:type="dxa"/>
            <w:tcBorders>
              <w:top w:val="single" w:sz="8" w:space="0" w:color="AEAEAE"/>
              <w:left w:val="single" w:sz="8" w:space="0" w:color="E0E0E0"/>
              <w:bottom w:val="single" w:sz="8" w:space="0" w:color="152935"/>
              <w:right w:val="single" w:sz="8" w:space="0" w:color="E0E0E0"/>
            </w:tcBorders>
            <w:shd w:val="clear" w:color="auto" w:fill="auto"/>
          </w:tcPr>
          <w:p w14:paraId="5DAB54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.990</w:t>
            </w:r>
          </w:p>
        </w:tc>
        <w:tc>
          <w:tcPr>
            <w:tcW w:w="2563" w:type="dxa"/>
            <w:tcBorders>
              <w:top w:val="single" w:sz="8" w:space="0" w:color="AEAEAE"/>
              <w:left w:val="single" w:sz="8" w:space="0" w:color="E0E0E0"/>
              <w:bottom w:val="single" w:sz="8" w:space="0" w:color="152935"/>
              <w:right w:val="nil"/>
            </w:tcBorders>
            <w:shd w:val="clear" w:color="auto" w:fill="auto"/>
          </w:tcPr>
          <w:p w14:paraId="10C9AA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42E9930" w14:textId="77777777" w:rsidTr="004F67F9">
        <w:trPr>
          <w:cantSplit/>
          <w:trHeight w:val="283"/>
        </w:trPr>
        <w:tc>
          <w:tcPr>
            <w:tcW w:w="8969" w:type="dxa"/>
            <w:gridSpan w:val="6"/>
            <w:tcBorders>
              <w:top w:val="nil"/>
              <w:left w:val="nil"/>
              <w:bottom w:val="nil"/>
              <w:right w:val="nil"/>
            </w:tcBorders>
            <w:shd w:val="clear" w:color="auto" w:fill="auto"/>
          </w:tcPr>
          <w:p w14:paraId="1D21C927"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7AB78CDE" w14:textId="4F49CEBA" w:rsidR="006E3616" w:rsidRPr="00400193" w:rsidRDefault="006E3616" w:rsidP="006E3616">
      <w:pPr>
        <w:pStyle w:val="Caption"/>
        <w:spacing w:after="240"/>
      </w:pPr>
      <w:bookmarkStart w:id="699" w:name="_Ref52821150"/>
      <w:bookmarkStart w:id="700" w:name="_Toc5290162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84</w:t>
      </w:r>
      <w:r w:rsidRPr="00400193">
        <w:fldChar w:fldCharType="end"/>
      </w:r>
      <w:bookmarkEnd w:id="699"/>
      <w:r w:rsidRPr="00400193">
        <w:t>: Residual statistics of the model regression for VW</w:t>
      </w:r>
      <w:bookmarkEnd w:id="700"/>
    </w:p>
    <w:p w14:paraId="6EA416F5" w14:textId="229F2CEC" w:rsidR="006E3616" w:rsidRPr="00400193" w:rsidRDefault="00F319CB" w:rsidP="004F67F9">
      <w:pPr>
        <w:spacing w:after="0"/>
        <w:rPr>
          <w:lang w:eastAsia="zh-CN" w:bidi="hi-IN"/>
        </w:rPr>
      </w:pPr>
      <w:r w:rsidRPr="00400193">
        <w:rPr>
          <w:lang w:eastAsia="zh-CN" w:bidi="hi-IN"/>
        </w:rPr>
        <w:fldChar w:fldCharType="begin"/>
      </w:r>
      <w:r w:rsidRPr="00400193">
        <w:rPr>
          <w:lang w:eastAsia="zh-CN" w:bidi="hi-IN"/>
        </w:rPr>
        <w:instrText xml:space="preserve"> REF _Ref52821577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29</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 </w:t>
      </w:r>
    </w:p>
    <w:p w14:paraId="2811AE04"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2267BFAD" wp14:editId="05648523">
            <wp:extent cx="5760000" cy="3096000"/>
            <wp:effectExtent l="19050" t="19050" r="12700" b="28575"/>
            <wp:docPr id="150"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760000" cy="3096000"/>
                    </a:xfrm>
                    <a:prstGeom prst="rect">
                      <a:avLst/>
                    </a:prstGeom>
                    <a:noFill/>
                    <a:ln w="19050">
                      <a:solidFill>
                        <a:schemeClr val="tx1"/>
                      </a:solidFill>
                    </a:ln>
                  </pic:spPr>
                </pic:pic>
              </a:graphicData>
            </a:graphic>
          </wp:inline>
        </w:drawing>
      </w:r>
    </w:p>
    <w:p w14:paraId="494D906A" w14:textId="450F411D" w:rsidR="006E3616" w:rsidRPr="00400193" w:rsidRDefault="006E3616" w:rsidP="006E3616">
      <w:pPr>
        <w:pStyle w:val="Caption"/>
      </w:pPr>
      <w:bookmarkStart w:id="701" w:name="_Ref43495323"/>
      <w:bookmarkStart w:id="702" w:name="_Toc5538760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27</w:t>
      </w:r>
      <w:r w:rsidR="00E35E8C" w:rsidRPr="00400193">
        <w:fldChar w:fldCharType="end"/>
      </w:r>
      <w:bookmarkEnd w:id="701"/>
      <w:r w:rsidRPr="00400193">
        <w:t>: Scatter plot for residual results from the model for VW</w:t>
      </w:r>
      <w:bookmarkEnd w:id="702"/>
    </w:p>
    <w:p w14:paraId="7C6E840F"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32238C0" wp14:editId="70B96CC2">
            <wp:extent cx="5760000" cy="3096000"/>
            <wp:effectExtent l="19050" t="19050" r="12700" b="28575"/>
            <wp:docPr id="401"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760000" cy="3096000"/>
                    </a:xfrm>
                    <a:prstGeom prst="rect">
                      <a:avLst/>
                    </a:prstGeom>
                    <a:noFill/>
                    <a:ln w="19050">
                      <a:solidFill>
                        <a:schemeClr val="tx1"/>
                      </a:solidFill>
                    </a:ln>
                  </pic:spPr>
                </pic:pic>
              </a:graphicData>
            </a:graphic>
          </wp:inline>
        </w:drawing>
      </w:r>
    </w:p>
    <w:p w14:paraId="2E01CF4F" w14:textId="40C3758F" w:rsidR="00DE4CB6" w:rsidRPr="00400193" w:rsidRDefault="006E3616" w:rsidP="00DE4CB6">
      <w:pPr>
        <w:pStyle w:val="Caption"/>
      </w:pPr>
      <w:bookmarkStart w:id="703" w:name="_Ref51337877"/>
      <w:bookmarkStart w:id="704" w:name="_Toc5538760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28</w:t>
      </w:r>
      <w:r w:rsidR="00E35E8C" w:rsidRPr="00400193">
        <w:fldChar w:fldCharType="end"/>
      </w:r>
      <w:bookmarkEnd w:id="703"/>
      <w:r w:rsidRPr="00400193">
        <w:t>: Scatter plot for residual results from the model for VW</w:t>
      </w:r>
      <w:bookmarkEnd w:id="704"/>
    </w:p>
    <w:p w14:paraId="7621636B" w14:textId="77777777" w:rsidR="006E3616" w:rsidRPr="00400193" w:rsidRDefault="006E3616" w:rsidP="006E3616"/>
    <w:p w14:paraId="79EFFE7F" w14:textId="77777777" w:rsidR="006E3616" w:rsidRPr="00400193" w:rsidRDefault="006E3616" w:rsidP="006E3616">
      <w:pPr>
        <w:spacing w:line="240" w:lineRule="auto"/>
        <w:rPr>
          <w:lang w:eastAsia="zh-CN" w:bidi="hi-IN"/>
        </w:rPr>
      </w:pPr>
    </w:p>
    <w:p w14:paraId="07034D72"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7A11E1F8" wp14:editId="635D4816">
            <wp:extent cx="5760000" cy="3240000"/>
            <wp:effectExtent l="19050" t="19050" r="12700" b="17780"/>
            <wp:docPr id="152"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4BEB2E8" w14:textId="2CD0653E" w:rsidR="006E3616" w:rsidRPr="00400193" w:rsidRDefault="006E3616" w:rsidP="006E3616">
      <w:pPr>
        <w:pStyle w:val="Caption"/>
        <w:spacing w:after="240"/>
      </w:pPr>
      <w:bookmarkStart w:id="705" w:name="_Ref52821577"/>
      <w:bookmarkStart w:id="706" w:name="_Toc5538760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29</w:t>
      </w:r>
      <w:r w:rsidR="00E35E8C" w:rsidRPr="00400193">
        <w:fldChar w:fldCharType="end"/>
      </w:r>
      <w:bookmarkEnd w:id="705"/>
      <w:r w:rsidRPr="00400193">
        <w:t>: Histogram of the frequency of the standardised residuals for VW</w:t>
      </w:r>
      <w:bookmarkEnd w:id="706"/>
    </w:p>
    <w:p w14:paraId="42E2335E" w14:textId="69022640"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_Ref52821599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30</w:t>
      </w:r>
      <w:r w:rsidR="00F319CB" w:rsidRPr="00400193">
        <w:rPr>
          <w:lang w:eastAsia="zh-CN" w:bidi="hi-IN"/>
        </w:rPr>
        <w:fldChar w:fldCharType="end"/>
      </w:r>
      <w:r w:rsidRPr="00400193">
        <w:rPr>
          <w:lang w:eastAsia="zh-CN" w:bidi="hi-IN"/>
        </w:rPr>
        <w:t>) shows that there is a normal distribution.</w:t>
      </w:r>
    </w:p>
    <w:p w14:paraId="7AD962C1"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6BD16EA" wp14:editId="48AC4AC2">
            <wp:extent cx="5760000" cy="3240000"/>
            <wp:effectExtent l="19050" t="19050" r="12700" b="17780"/>
            <wp:docPr id="402"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00AE7C81" w14:textId="63674617" w:rsidR="006E3616" w:rsidRPr="00400193" w:rsidRDefault="006E3616" w:rsidP="006E3616">
      <w:pPr>
        <w:pStyle w:val="Caption"/>
        <w:spacing w:after="240"/>
        <w:rPr>
          <w:lang w:eastAsia="zh-CN" w:bidi="hi-IN"/>
        </w:rPr>
      </w:pPr>
      <w:bookmarkStart w:id="707" w:name="_Ref52821599"/>
      <w:bookmarkStart w:id="708" w:name="_Toc5538760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30</w:t>
      </w:r>
      <w:r w:rsidR="00E35E8C" w:rsidRPr="00400193">
        <w:fldChar w:fldCharType="end"/>
      </w:r>
      <w:bookmarkEnd w:id="707"/>
      <w:r w:rsidRPr="00400193">
        <w:t>: Normal P–P plot of regression standardised residual for the dependent variable</w:t>
      </w:r>
      <w:bookmarkEnd w:id="708"/>
    </w:p>
    <w:p w14:paraId="40EB140A" w14:textId="77777777" w:rsidR="006E3616" w:rsidRPr="00400193" w:rsidRDefault="006E3616" w:rsidP="006E3616">
      <w:pPr>
        <w:pStyle w:val="Heading3"/>
        <w:rPr>
          <w:lang w:eastAsia="zh-CN" w:bidi="hi-IN"/>
        </w:rPr>
      </w:pPr>
      <w:bookmarkStart w:id="709" w:name="_Toc61894785"/>
      <w:r w:rsidRPr="00400193">
        <w:rPr>
          <w:lang w:eastAsia="zh-CN" w:bidi="hi-IN"/>
        </w:rPr>
        <w:lastRenderedPageBreak/>
        <w:t>The Relationship Between Vulnerabilities and Internal Threats Moderated by Having a Response in Place</w:t>
      </w:r>
      <w:bookmarkEnd w:id="709"/>
      <w:r w:rsidRPr="00400193">
        <w:rPr>
          <w:lang w:eastAsia="zh-CN" w:bidi="hi-IN"/>
        </w:rPr>
        <w:t xml:space="preserve"> </w:t>
      </w:r>
    </w:p>
    <w:p w14:paraId="156C9FCC" w14:textId="15727672" w:rsidR="006E3616" w:rsidRPr="00400193" w:rsidRDefault="006E3616" w:rsidP="006E3616">
      <w:pPr>
        <w:spacing w:line="240" w:lineRule="auto"/>
        <w:rPr>
          <w:i/>
          <w:iCs/>
          <w:lang w:eastAsia="zh-CN" w:bidi="hi-IN"/>
        </w:rPr>
      </w:pPr>
      <w:r w:rsidRPr="00400193">
        <w:rPr>
          <w:lang w:eastAsia="zh-CN" w:bidi="hi-IN"/>
        </w:rPr>
        <w:fldChar w:fldCharType="begin"/>
      </w:r>
      <w:r w:rsidRPr="00400193">
        <w:rPr>
          <w:i/>
          <w:iCs/>
          <w:lang w:eastAsia="zh-CN" w:bidi="hi-IN"/>
        </w:rPr>
        <w:instrText xml:space="preserve"> REF _Ref43827680 \h </w:instrText>
      </w:r>
      <w:r w:rsidRPr="00400193">
        <w:rPr>
          <w:lang w:eastAsia="zh-CN" w:bidi="hi-IN"/>
        </w:rPr>
      </w:r>
      <w:r w:rsidRPr="00400193">
        <w:rPr>
          <w:lang w:eastAsia="zh-CN" w:bidi="hi-IN"/>
        </w:rPr>
        <w:fldChar w:fldCharType="separate"/>
      </w:r>
      <w:r w:rsidR="00BB7C18" w:rsidRPr="00400193">
        <w:t>7 – (Internal + Response in Place)</w:t>
      </w:r>
      <w:r w:rsidRPr="00400193">
        <w:rPr>
          <w:lang w:eastAsia="zh-CN" w:bidi="hi-IN"/>
        </w:rPr>
        <w:fldChar w:fldCharType="end"/>
      </w:r>
      <w:r w:rsidRPr="00400193">
        <w:rPr>
          <w:i/>
          <w:iCs/>
          <w:lang w:eastAsia="zh-CN" w:bidi="hi-IN"/>
        </w:rPr>
        <w:t xml:space="preserve"> VW = </w:t>
      </w:r>
      <w:r w:rsidR="00DD07A5" w:rsidRPr="00400193">
        <w:rPr>
          <w:i/>
          <w:iCs/>
          <w:lang w:eastAsia="zh-CN" w:bidi="hi-IN"/>
        </w:rPr>
        <w:t>IRF</w:t>
      </w:r>
      <w:r w:rsidRPr="00400193">
        <w:rPr>
          <w:i/>
          <w:iCs/>
          <w:lang w:eastAsia="zh-CN" w:bidi="hi-IN"/>
        </w:rPr>
        <w:t xml:space="preserve"> + RP</w:t>
      </w:r>
    </w:p>
    <w:p w14:paraId="033B2416" w14:textId="4CFFFD83" w:rsidR="006E3616" w:rsidRPr="00400193" w:rsidRDefault="006E3616" w:rsidP="006E3616">
      <w:pPr>
        <w:rPr>
          <w:lang w:eastAsia="zh-CN" w:bidi="hi-IN"/>
        </w:rPr>
      </w:pPr>
      <w:r w:rsidRPr="00400193">
        <w:rPr>
          <w:lang w:eastAsia="zh-CN" w:bidi="hi-IN"/>
        </w:rPr>
        <w:t>This section describes the effect of having a response in place on the relationship between vulnerabilities and weaknesses and internal threats (</w:t>
      </w:r>
      <w:r w:rsidR="00DD07A5" w:rsidRPr="00400193">
        <w:rPr>
          <w:lang w:eastAsia="zh-CN" w:bidi="hi-IN"/>
        </w:rPr>
        <w:t>IRF</w:t>
      </w:r>
      <w:r w:rsidRPr="00400193">
        <w:rPr>
          <w:lang w:eastAsia="zh-CN" w:bidi="hi-IN"/>
        </w:rPr>
        <w:t xml:space="preserve">). A regression model was developed to assess this association. </w:t>
      </w:r>
      <w:r w:rsidR="008C4317" w:rsidRPr="00400193">
        <w:rPr>
          <w:lang w:eastAsia="zh-CN" w:bidi="hi-IN"/>
        </w:rPr>
        <w:fldChar w:fldCharType="begin"/>
      </w:r>
      <w:r w:rsidR="008C4317" w:rsidRPr="00400193">
        <w:rPr>
          <w:lang w:eastAsia="zh-CN" w:bidi="hi-IN"/>
        </w:rPr>
        <w:instrText xml:space="preserve"> REF _Ref51587550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85</w:t>
      </w:r>
      <w:r w:rsidR="008C4317" w:rsidRPr="00400193">
        <w:rPr>
          <w:lang w:eastAsia="zh-CN" w:bidi="hi-IN"/>
        </w:rPr>
        <w:fldChar w:fldCharType="end"/>
      </w:r>
      <w:r w:rsidRPr="00400193">
        <w:rPr>
          <w:lang w:eastAsia="zh-CN" w:bidi="hi-IN"/>
        </w:rPr>
        <w:t xml:space="preserve"> shows that the R (multiple correlation coefficients) value of 0.803 shows a good level of prediction. The R-square (coefficient of determination) value of 0.644 shows that 64.4% of the variance in vulnerabilities and weaknesses in the UAE public sector organisations can be predicted from internal threats, including lack of awareness, risk culture and laziness, financial fraud, and criminal acts. There is a strong relationship between vulnerabilities and weaknesses in the UAE public sector organisation and the predictor variables (</w:t>
      </w:r>
      <w:r w:rsidR="00DD07A5" w:rsidRPr="00400193">
        <w:rPr>
          <w:lang w:eastAsia="zh-CN" w:bidi="hi-IN"/>
        </w:rPr>
        <w:t>IRF</w:t>
      </w:r>
      <w:r w:rsidRPr="00400193">
        <w:rPr>
          <w:lang w:eastAsia="zh-CN" w:bidi="hi-IN"/>
        </w:rPr>
        <w:t>) moderated by having a response in place (RP). The variance proportion is statistically significant because the F-value is 91.513, with two degrees of freedom and p-value of 0.000 (</w:t>
      </w:r>
      <w:r w:rsidR="008C4317" w:rsidRPr="00400193">
        <w:rPr>
          <w:lang w:eastAsia="zh-CN" w:bidi="hi-IN"/>
        </w:rPr>
        <w:fldChar w:fldCharType="begin"/>
      </w:r>
      <w:r w:rsidR="008C4317" w:rsidRPr="00400193">
        <w:rPr>
          <w:lang w:eastAsia="zh-CN" w:bidi="hi-IN"/>
        </w:rPr>
        <w:instrText xml:space="preserve"> REF _Ref51587520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86</w:t>
      </w:r>
      <w:r w:rsidR="008C4317" w:rsidRPr="00400193">
        <w:rPr>
          <w:lang w:eastAsia="zh-CN" w:bidi="hi-IN"/>
        </w:rPr>
        <w:fldChar w:fldCharType="end"/>
      </w:r>
      <w:r w:rsidRPr="00400193">
        <w:rPr>
          <w:lang w:eastAsia="zh-CN" w:bidi="hi-IN"/>
        </w:rPr>
        <w:t xml:space="preserve">). The relation between organisational vulnerabilities and weaknesses in the UAE public sector and </w:t>
      </w:r>
      <w:r w:rsidR="00DD07A5" w:rsidRPr="00400193">
        <w:rPr>
          <w:lang w:eastAsia="zh-CN" w:bidi="hi-IN"/>
        </w:rPr>
        <w:t>IRF</w:t>
      </w:r>
      <w:r w:rsidRPr="00400193">
        <w:rPr>
          <w:lang w:eastAsia="zh-CN" w:bidi="hi-IN"/>
        </w:rPr>
        <w:t xml:space="preserve"> is therefore moderated by the response in place in those organisations.</w:t>
      </w:r>
    </w:p>
    <w:tbl>
      <w:tblPr>
        <w:tblW w:w="89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2"/>
        <w:gridCol w:w="764"/>
        <w:gridCol w:w="810"/>
        <w:gridCol w:w="1095"/>
        <w:gridCol w:w="1094"/>
        <w:gridCol w:w="1721"/>
        <w:gridCol w:w="1027"/>
        <w:gridCol w:w="1802"/>
        <w:gridCol w:w="6"/>
      </w:tblGrid>
      <w:tr w:rsidR="006E3616" w:rsidRPr="00400193" w14:paraId="6160D685" w14:textId="77777777" w:rsidTr="008C4317">
        <w:trPr>
          <w:cantSplit/>
          <w:trHeight w:val="283"/>
        </w:trPr>
        <w:tc>
          <w:tcPr>
            <w:tcW w:w="8911" w:type="dxa"/>
            <w:gridSpan w:val="9"/>
            <w:tcBorders>
              <w:top w:val="nil"/>
              <w:left w:val="nil"/>
              <w:bottom w:val="nil"/>
              <w:right w:val="nil"/>
            </w:tcBorders>
            <w:shd w:val="clear" w:color="auto" w:fill="auto"/>
            <w:vAlign w:val="center"/>
          </w:tcPr>
          <w:p w14:paraId="0EE424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05F927D1" w14:textId="77777777" w:rsidTr="008C4317">
        <w:trPr>
          <w:gridAfter w:val="1"/>
          <w:wAfter w:w="6" w:type="dxa"/>
          <w:cantSplit/>
          <w:trHeight w:val="283"/>
        </w:trPr>
        <w:tc>
          <w:tcPr>
            <w:tcW w:w="592" w:type="dxa"/>
            <w:vMerge w:val="restart"/>
            <w:tcBorders>
              <w:top w:val="nil"/>
              <w:left w:val="nil"/>
              <w:bottom w:val="nil"/>
              <w:right w:val="nil"/>
            </w:tcBorders>
            <w:shd w:val="clear" w:color="auto" w:fill="auto"/>
            <w:vAlign w:val="bottom"/>
          </w:tcPr>
          <w:p w14:paraId="5B12A7F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64" w:type="dxa"/>
            <w:vMerge w:val="restart"/>
            <w:tcBorders>
              <w:top w:val="nil"/>
              <w:left w:val="nil"/>
              <w:bottom w:val="nil"/>
              <w:right w:val="single" w:sz="8" w:space="0" w:color="E0E0E0"/>
            </w:tcBorders>
            <w:shd w:val="clear" w:color="auto" w:fill="auto"/>
            <w:vAlign w:val="bottom"/>
          </w:tcPr>
          <w:p w14:paraId="75C1E3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10" w:type="dxa"/>
            <w:vMerge w:val="restart"/>
            <w:tcBorders>
              <w:top w:val="nil"/>
              <w:left w:val="single" w:sz="8" w:space="0" w:color="E0E0E0"/>
              <w:bottom w:val="nil"/>
              <w:right w:val="single" w:sz="8" w:space="0" w:color="E0E0E0"/>
            </w:tcBorders>
            <w:shd w:val="clear" w:color="auto" w:fill="auto"/>
            <w:vAlign w:val="bottom"/>
          </w:tcPr>
          <w:p w14:paraId="2A4FF6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095" w:type="dxa"/>
            <w:vMerge w:val="restart"/>
            <w:tcBorders>
              <w:top w:val="nil"/>
              <w:left w:val="single" w:sz="8" w:space="0" w:color="E0E0E0"/>
              <w:bottom w:val="nil"/>
              <w:right w:val="single" w:sz="8" w:space="0" w:color="E0E0E0"/>
            </w:tcBorders>
            <w:shd w:val="clear" w:color="auto" w:fill="auto"/>
            <w:vAlign w:val="bottom"/>
          </w:tcPr>
          <w:p w14:paraId="58C265D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094" w:type="dxa"/>
            <w:vMerge w:val="restart"/>
            <w:tcBorders>
              <w:top w:val="nil"/>
              <w:left w:val="single" w:sz="8" w:space="0" w:color="E0E0E0"/>
              <w:bottom w:val="nil"/>
              <w:right w:val="single" w:sz="8" w:space="0" w:color="E0E0E0"/>
            </w:tcBorders>
            <w:shd w:val="clear" w:color="auto" w:fill="auto"/>
            <w:vAlign w:val="bottom"/>
          </w:tcPr>
          <w:p w14:paraId="34C958C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50" w:type="dxa"/>
            <w:gridSpan w:val="3"/>
            <w:tcBorders>
              <w:top w:val="nil"/>
              <w:left w:val="single" w:sz="8" w:space="0" w:color="E0E0E0"/>
              <w:bottom w:val="nil"/>
              <w:right w:val="nil"/>
            </w:tcBorders>
            <w:shd w:val="clear" w:color="auto" w:fill="auto"/>
            <w:vAlign w:val="bottom"/>
          </w:tcPr>
          <w:p w14:paraId="2B5F66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6FC77BC1" w14:textId="77777777" w:rsidTr="008C4317">
        <w:trPr>
          <w:gridAfter w:val="1"/>
          <w:wAfter w:w="6" w:type="dxa"/>
          <w:cantSplit/>
          <w:trHeight w:val="283"/>
        </w:trPr>
        <w:tc>
          <w:tcPr>
            <w:tcW w:w="592" w:type="dxa"/>
            <w:vMerge/>
            <w:tcBorders>
              <w:top w:val="nil"/>
              <w:left w:val="nil"/>
              <w:bottom w:val="nil"/>
              <w:right w:val="nil"/>
            </w:tcBorders>
            <w:shd w:val="clear" w:color="auto" w:fill="auto"/>
            <w:vAlign w:val="bottom"/>
          </w:tcPr>
          <w:p w14:paraId="42792B0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64" w:type="dxa"/>
            <w:vMerge/>
            <w:tcBorders>
              <w:top w:val="nil"/>
              <w:left w:val="nil"/>
              <w:bottom w:val="nil"/>
              <w:right w:val="single" w:sz="8" w:space="0" w:color="E0E0E0"/>
            </w:tcBorders>
            <w:shd w:val="clear" w:color="auto" w:fill="auto"/>
            <w:vAlign w:val="bottom"/>
          </w:tcPr>
          <w:p w14:paraId="3D73BA6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10" w:type="dxa"/>
            <w:vMerge/>
            <w:tcBorders>
              <w:top w:val="nil"/>
              <w:left w:val="single" w:sz="8" w:space="0" w:color="E0E0E0"/>
              <w:bottom w:val="nil"/>
              <w:right w:val="single" w:sz="8" w:space="0" w:color="E0E0E0"/>
            </w:tcBorders>
            <w:shd w:val="clear" w:color="auto" w:fill="auto"/>
            <w:vAlign w:val="bottom"/>
          </w:tcPr>
          <w:p w14:paraId="1BC2D09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95" w:type="dxa"/>
            <w:vMerge/>
            <w:tcBorders>
              <w:top w:val="nil"/>
              <w:left w:val="single" w:sz="8" w:space="0" w:color="E0E0E0"/>
              <w:bottom w:val="nil"/>
              <w:right w:val="single" w:sz="8" w:space="0" w:color="E0E0E0"/>
            </w:tcBorders>
            <w:shd w:val="clear" w:color="auto" w:fill="auto"/>
            <w:vAlign w:val="bottom"/>
          </w:tcPr>
          <w:p w14:paraId="1BCA170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94" w:type="dxa"/>
            <w:vMerge/>
            <w:tcBorders>
              <w:top w:val="nil"/>
              <w:left w:val="single" w:sz="8" w:space="0" w:color="E0E0E0"/>
              <w:bottom w:val="nil"/>
              <w:right w:val="single" w:sz="8" w:space="0" w:color="E0E0E0"/>
            </w:tcBorders>
            <w:shd w:val="clear" w:color="auto" w:fill="auto"/>
            <w:vAlign w:val="bottom"/>
          </w:tcPr>
          <w:p w14:paraId="32E1B13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721" w:type="dxa"/>
            <w:tcBorders>
              <w:top w:val="nil"/>
              <w:left w:val="single" w:sz="8" w:space="0" w:color="E0E0E0"/>
              <w:bottom w:val="single" w:sz="8" w:space="0" w:color="152935"/>
              <w:right w:val="single" w:sz="8" w:space="0" w:color="E0E0E0"/>
            </w:tcBorders>
            <w:shd w:val="clear" w:color="auto" w:fill="auto"/>
            <w:vAlign w:val="bottom"/>
          </w:tcPr>
          <w:p w14:paraId="1758971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1027" w:type="dxa"/>
            <w:tcBorders>
              <w:top w:val="nil"/>
              <w:left w:val="single" w:sz="8" w:space="0" w:color="E0E0E0"/>
              <w:bottom w:val="single" w:sz="8" w:space="0" w:color="152935"/>
              <w:right w:val="single" w:sz="8" w:space="0" w:color="E0E0E0"/>
            </w:tcBorders>
            <w:shd w:val="clear" w:color="auto" w:fill="auto"/>
            <w:vAlign w:val="bottom"/>
          </w:tcPr>
          <w:p w14:paraId="3CA9672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1802" w:type="dxa"/>
            <w:tcBorders>
              <w:top w:val="nil"/>
              <w:left w:val="single" w:sz="8" w:space="0" w:color="E0E0E0"/>
              <w:bottom w:val="single" w:sz="8" w:space="0" w:color="152935"/>
              <w:right w:val="nil"/>
            </w:tcBorders>
            <w:shd w:val="clear" w:color="auto" w:fill="auto"/>
            <w:vAlign w:val="bottom"/>
          </w:tcPr>
          <w:p w14:paraId="49E84C6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46D8E593" w14:textId="77777777" w:rsidTr="008C4317">
        <w:trPr>
          <w:gridAfter w:val="1"/>
          <w:wAfter w:w="6" w:type="dxa"/>
          <w:cantSplit/>
          <w:trHeight w:val="283"/>
        </w:trPr>
        <w:tc>
          <w:tcPr>
            <w:tcW w:w="592" w:type="dxa"/>
            <w:tcBorders>
              <w:top w:val="single" w:sz="8" w:space="0" w:color="152935"/>
              <w:left w:val="nil"/>
              <w:bottom w:val="single" w:sz="8" w:space="0" w:color="152935"/>
              <w:right w:val="nil"/>
            </w:tcBorders>
            <w:shd w:val="clear" w:color="auto" w:fill="auto"/>
          </w:tcPr>
          <w:p w14:paraId="52E39CB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64" w:type="dxa"/>
            <w:tcBorders>
              <w:top w:val="single" w:sz="8" w:space="0" w:color="152935"/>
              <w:left w:val="nil"/>
              <w:bottom w:val="single" w:sz="8" w:space="0" w:color="152935"/>
              <w:right w:val="single" w:sz="8" w:space="0" w:color="E0E0E0"/>
            </w:tcBorders>
            <w:shd w:val="clear" w:color="auto" w:fill="auto"/>
          </w:tcPr>
          <w:p w14:paraId="0100E1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.803</w:t>
            </w:r>
            <w:r w:rsidRPr="00400193">
              <w:rPr>
                <w:rFonts w:asciiTheme="minorHAnsi" w:hAnsiTheme="minorHAnsi" w:cstheme="minorHAnsi"/>
                <w:sz w:val="20"/>
                <w:szCs w:val="18"/>
                <w:vertAlign w:val="superscript"/>
                <w:lang w:eastAsia="zh-CN" w:bidi="hi-IN"/>
              </w:rPr>
              <w:t>a</w:t>
            </w:r>
          </w:p>
        </w:tc>
        <w:tc>
          <w:tcPr>
            <w:tcW w:w="810" w:type="dxa"/>
            <w:tcBorders>
              <w:top w:val="single" w:sz="8" w:space="0" w:color="152935"/>
              <w:left w:val="single" w:sz="8" w:space="0" w:color="E0E0E0"/>
              <w:bottom w:val="single" w:sz="8" w:space="0" w:color="152935"/>
              <w:right w:val="single" w:sz="8" w:space="0" w:color="E0E0E0"/>
            </w:tcBorders>
            <w:shd w:val="clear" w:color="auto" w:fill="auto"/>
          </w:tcPr>
          <w:p w14:paraId="19E2E82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.644</w:t>
            </w:r>
          </w:p>
        </w:tc>
        <w:tc>
          <w:tcPr>
            <w:tcW w:w="1095" w:type="dxa"/>
            <w:tcBorders>
              <w:top w:val="single" w:sz="8" w:space="0" w:color="152935"/>
              <w:left w:val="single" w:sz="8" w:space="0" w:color="E0E0E0"/>
              <w:bottom w:val="single" w:sz="8" w:space="0" w:color="152935"/>
              <w:right w:val="single" w:sz="8" w:space="0" w:color="E0E0E0"/>
            </w:tcBorders>
            <w:shd w:val="clear" w:color="auto" w:fill="auto"/>
          </w:tcPr>
          <w:p w14:paraId="30F053D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.637</w:t>
            </w:r>
          </w:p>
        </w:tc>
        <w:tc>
          <w:tcPr>
            <w:tcW w:w="1094" w:type="dxa"/>
            <w:tcBorders>
              <w:top w:val="single" w:sz="8" w:space="0" w:color="152935"/>
              <w:left w:val="single" w:sz="8" w:space="0" w:color="E0E0E0"/>
              <w:bottom w:val="single" w:sz="8" w:space="0" w:color="152935"/>
              <w:right w:val="single" w:sz="8" w:space="0" w:color="E0E0E0"/>
            </w:tcBorders>
            <w:shd w:val="clear" w:color="auto" w:fill="auto"/>
          </w:tcPr>
          <w:p w14:paraId="0ECC5A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.35758</w:t>
            </w:r>
          </w:p>
        </w:tc>
        <w:tc>
          <w:tcPr>
            <w:tcW w:w="1721" w:type="dxa"/>
            <w:tcBorders>
              <w:top w:val="single" w:sz="8" w:space="0" w:color="152935"/>
              <w:left w:val="single" w:sz="8" w:space="0" w:color="E0E0E0"/>
              <w:bottom w:val="single" w:sz="8" w:space="0" w:color="152935"/>
              <w:right w:val="single" w:sz="8" w:space="0" w:color="E0E0E0"/>
            </w:tcBorders>
            <w:shd w:val="clear" w:color="auto" w:fill="auto"/>
          </w:tcPr>
          <w:p w14:paraId="50C21D1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.644</w:t>
            </w:r>
          </w:p>
        </w:tc>
        <w:tc>
          <w:tcPr>
            <w:tcW w:w="1027" w:type="dxa"/>
            <w:tcBorders>
              <w:top w:val="single" w:sz="8" w:space="0" w:color="152935"/>
              <w:left w:val="single" w:sz="8" w:space="0" w:color="E0E0E0"/>
              <w:bottom w:val="single" w:sz="8" w:space="0" w:color="152935"/>
              <w:right w:val="single" w:sz="8" w:space="0" w:color="E0E0E0"/>
            </w:tcBorders>
            <w:shd w:val="clear" w:color="auto" w:fill="auto"/>
          </w:tcPr>
          <w:p w14:paraId="41E34A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91.513</w:t>
            </w:r>
          </w:p>
        </w:tc>
        <w:tc>
          <w:tcPr>
            <w:tcW w:w="1802" w:type="dxa"/>
            <w:tcBorders>
              <w:top w:val="single" w:sz="8" w:space="0" w:color="152935"/>
              <w:left w:val="single" w:sz="8" w:space="0" w:color="E0E0E0"/>
              <w:bottom w:val="single" w:sz="8" w:space="0" w:color="152935"/>
              <w:right w:val="nil"/>
            </w:tcBorders>
            <w:shd w:val="clear" w:color="auto" w:fill="auto"/>
          </w:tcPr>
          <w:p w14:paraId="479F56FC"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r>
      <w:tr w:rsidR="008C4317" w:rsidRPr="00400193" w14:paraId="60CA9D92" w14:textId="77777777" w:rsidTr="008C4317">
        <w:trPr>
          <w:gridAfter w:val="1"/>
          <w:wAfter w:w="6" w:type="dxa"/>
          <w:cantSplit/>
          <w:trHeight w:val="283"/>
        </w:trPr>
        <w:tc>
          <w:tcPr>
            <w:tcW w:w="8905" w:type="dxa"/>
            <w:gridSpan w:val="8"/>
            <w:tcBorders>
              <w:top w:val="single" w:sz="8" w:space="0" w:color="152935"/>
              <w:left w:val="nil"/>
              <w:bottom w:val="single" w:sz="4" w:space="0" w:color="FFFFFF" w:themeColor="background1"/>
              <w:right w:val="nil"/>
            </w:tcBorders>
            <w:shd w:val="clear" w:color="auto" w:fill="auto"/>
            <w:vAlign w:val="center"/>
          </w:tcPr>
          <w:p w14:paraId="56504742" w14:textId="7DBEA36A" w:rsidR="008C4317" w:rsidRPr="00400193" w:rsidRDefault="008C4317" w:rsidP="008C4317">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Predictors: (Constant), RP, IRF</w:t>
            </w:r>
          </w:p>
        </w:tc>
      </w:tr>
    </w:tbl>
    <w:p w14:paraId="09EC250D" w14:textId="12770BD0" w:rsidR="006E3616" w:rsidRPr="00400193" w:rsidRDefault="006E3616" w:rsidP="006E3616">
      <w:pPr>
        <w:pStyle w:val="Caption"/>
      </w:pPr>
      <w:bookmarkStart w:id="710" w:name="_Ref51587550"/>
      <w:bookmarkStart w:id="711" w:name="_Toc5290163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85</w:t>
      </w:r>
      <w:r w:rsidRPr="00400193">
        <w:fldChar w:fldCharType="end"/>
      </w:r>
      <w:bookmarkEnd w:id="710"/>
      <w:r w:rsidRPr="00400193">
        <w:t>: Regression Model Summary for VW</w:t>
      </w:r>
      <w:bookmarkEnd w:id="711"/>
    </w:p>
    <w:p w14:paraId="435625BC" w14:textId="77777777" w:rsidR="006E3616" w:rsidRPr="00400193" w:rsidRDefault="006E3616" w:rsidP="006E3616"/>
    <w:tbl>
      <w:tblPr>
        <w:tblW w:w="88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9"/>
        <w:gridCol w:w="1226"/>
        <w:gridCol w:w="1402"/>
        <w:gridCol w:w="978"/>
        <w:gridCol w:w="1344"/>
        <w:gridCol w:w="1484"/>
        <w:gridCol w:w="1701"/>
      </w:tblGrid>
      <w:tr w:rsidR="006E3616" w:rsidRPr="00400193" w14:paraId="22F6A9B5" w14:textId="77777777" w:rsidTr="008C4317">
        <w:trPr>
          <w:cantSplit/>
          <w:trHeight w:val="283"/>
        </w:trPr>
        <w:tc>
          <w:tcPr>
            <w:tcW w:w="8834" w:type="dxa"/>
            <w:gridSpan w:val="7"/>
            <w:tcBorders>
              <w:top w:val="nil"/>
              <w:left w:val="nil"/>
              <w:bottom w:val="nil"/>
              <w:right w:val="nil"/>
            </w:tcBorders>
            <w:shd w:val="clear" w:color="auto" w:fill="auto"/>
            <w:vAlign w:val="center"/>
          </w:tcPr>
          <w:p w14:paraId="5AF2781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2403347A" w14:textId="77777777" w:rsidTr="008C4317">
        <w:trPr>
          <w:cantSplit/>
          <w:trHeight w:val="283"/>
        </w:trPr>
        <w:tc>
          <w:tcPr>
            <w:tcW w:w="1925" w:type="dxa"/>
            <w:gridSpan w:val="2"/>
            <w:tcBorders>
              <w:top w:val="nil"/>
              <w:left w:val="nil"/>
              <w:bottom w:val="single" w:sz="8" w:space="0" w:color="152935"/>
              <w:right w:val="nil"/>
            </w:tcBorders>
            <w:shd w:val="clear" w:color="auto" w:fill="auto"/>
            <w:vAlign w:val="bottom"/>
          </w:tcPr>
          <w:p w14:paraId="6BD94EE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02" w:type="dxa"/>
            <w:tcBorders>
              <w:top w:val="nil"/>
              <w:left w:val="nil"/>
              <w:bottom w:val="single" w:sz="8" w:space="0" w:color="152935"/>
              <w:right w:val="single" w:sz="8" w:space="0" w:color="E0E0E0"/>
            </w:tcBorders>
            <w:shd w:val="clear" w:color="auto" w:fill="auto"/>
            <w:vAlign w:val="bottom"/>
          </w:tcPr>
          <w:p w14:paraId="0AB5F9E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78" w:type="dxa"/>
            <w:tcBorders>
              <w:top w:val="nil"/>
              <w:left w:val="single" w:sz="8" w:space="0" w:color="E0E0E0"/>
              <w:bottom w:val="single" w:sz="8" w:space="0" w:color="152935"/>
              <w:right w:val="single" w:sz="8" w:space="0" w:color="E0E0E0"/>
            </w:tcBorders>
            <w:shd w:val="clear" w:color="auto" w:fill="auto"/>
            <w:vAlign w:val="bottom"/>
          </w:tcPr>
          <w:p w14:paraId="024197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44" w:type="dxa"/>
            <w:tcBorders>
              <w:top w:val="nil"/>
              <w:left w:val="single" w:sz="8" w:space="0" w:color="E0E0E0"/>
              <w:bottom w:val="single" w:sz="8" w:space="0" w:color="152935"/>
              <w:right w:val="single" w:sz="8" w:space="0" w:color="E0E0E0"/>
            </w:tcBorders>
            <w:shd w:val="clear" w:color="auto" w:fill="auto"/>
            <w:vAlign w:val="bottom"/>
          </w:tcPr>
          <w:p w14:paraId="29503A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1484" w:type="dxa"/>
            <w:tcBorders>
              <w:top w:val="nil"/>
              <w:left w:val="single" w:sz="8" w:space="0" w:color="E0E0E0"/>
              <w:bottom w:val="single" w:sz="8" w:space="0" w:color="152935"/>
              <w:right w:val="single" w:sz="8" w:space="0" w:color="E0E0E0"/>
            </w:tcBorders>
            <w:shd w:val="clear" w:color="auto" w:fill="auto"/>
            <w:vAlign w:val="bottom"/>
          </w:tcPr>
          <w:p w14:paraId="05D0469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1698" w:type="dxa"/>
            <w:tcBorders>
              <w:top w:val="nil"/>
              <w:left w:val="single" w:sz="8" w:space="0" w:color="E0E0E0"/>
              <w:bottom w:val="single" w:sz="8" w:space="0" w:color="152935"/>
              <w:right w:val="nil"/>
            </w:tcBorders>
            <w:shd w:val="clear" w:color="auto" w:fill="auto"/>
            <w:vAlign w:val="bottom"/>
          </w:tcPr>
          <w:p w14:paraId="222FEF7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28E1354F" w14:textId="77777777" w:rsidTr="008C4317">
        <w:trPr>
          <w:cantSplit/>
          <w:trHeight w:val="283"/>
        </w:trPr>
        <w:tc>
          <w:tcPr>
            <w:tcW w:w="699" w:type="dxa"/>
            <w:vMerge w:val="restart"/>
            <w:tcBorders>
              <w:top w:val="single" w:sz="8" w:space="0" w:color="152935"/>
              <w:left w:val="nil"/>
              <w:bottom w:val="single" w:sz="8" w:space="0" w:color="152935"/>
              <w:right w:val="nil"/>
            </w:tcBorders>
            <w:shd w:val="clear" w:color="auto" w:fill="auto"/>
          </w:tcPr>
          <w:p w14:paraId="2A00EA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26" w:type="dxa"/>
            <w:tcBorders>
              <w:top w:val="single" w:sz="8" w:space="0" w:color="152935"/>
              <w:left w:val="nil"/>
              <w:bottom w:val="single" w:sz="8" w:space="0" w:color="AEAEAE"/>
              <w:right w:val="nil"/>
            </w:tcBorders>
            <w:shd w:val="clear" w:color="auto" w:fill="auto"/>
          </w:tcPr>
          <w:p w14:paraId="0028D4A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02" w:type="dxa"/>
            <w:tcBorders>
              <w:top w:val="single" w:sz="8" w:space="0" w:color="152935"/>
              <w:left w:val="nil"/>
              <w:bottom w:val="single" w:sz="8" w:space="0" w:color="AEAEAE"/>
              <w:right w:val="single" w:sz="8" w:space="0" w:color="E0E0E0"/>
            </w:tcBorders>
            <w:shd w:val="clear" w:color="auto" w:fill="auto"/>
          </w:tcPr>
          <w:p w14:paraId="3973C8B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23.402</w:t>
            </w:r>
          </w:p>
        </w:tc>
        <w:tc>
          <w:tcPr>
            <w:tcW w:w="978" w:type="dxa"/>
            <w:tcBorders>
              <w:top w:val="single" w:sz="8" w:space="0" w:color="152935"/>
              <w:left w:val="single" w:sz="8" w:space="0" w:color="E0E0E0"/>
              <w:bottom w:val="single" w:sz="8" w:space="0" w:color="AEAEAE"/>
              <w:right w:val="single" w:sz="8" w:space="0" w:color="E0E0E0"/>
            </w:tcBorders>
            <w:shd w:val="clear" w:color="auto" w:fill="auto"/>
          </w:tcPr>
          <w:p w14:paraId="29E8D6F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344" w:type="dxa"/>
            <w:tcBorders>
              <w:top w:val="single" w:sz="8" w:space="0" w:color="152935"/>
              <w:left w:val="single" w:sz="8" w:space="0" w:color="E0E0E0"/>
              <w:bottom w:val="single" w:sz="8" w:space="0" w:color="AEAEAE"/>
              <w:right w:val="single" w:sz="8" w:space="0" w:color="E0E0E0"/>
            </w:tcBorders>
            <w:shd w:val="clear" w:color="auto" w:fill="auto"/>
          </w:tcPr>
          <w:p w14:paraId="648BEE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11.701</w:t>
            </w:r>
          </w:p>
        </w:tc>
        <w:tc>
          <w:tcPr>
            <w:tcW w:w="1484" w:type="dxa"/>
            <w:tcBorders>
              <w:top w:val="single" w:sz="8" w:space="0" w:color="152935"/>
              <w:left w:val="single" w:sz="8" w:space="0" w:color="E0E0E0"/>
              <w:bottom w:val="single" w:sz="8" w:space="0" w:color="AEAEAE"/>
              <w:right w:val="single" w:sz="8" w:space="0" w:color="E0E0E0"/>
            </w:tcBorders>
            <w:shd w:val="clear" w:color="auto" w:fill="auto"/>
          </w:tcPr>
          <w:p w14:paraId="674172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91.513</w:t>
            </w:r>
          </w:p>
        </w:tc>
        <w:tc>
          <w:tcPr>
            <w:tcW w:w="1698" w:type="dxa"/>
            <w:tcBorders>
              <w:top w:val="single" w:sz="8" w:space="0" w:color="152935"/>
              <w:left w:val="single" w:sz="8" w:space="0" w:color="E0E0E0"/>
              <w:bottom w:val="single" w:sz="8" w:space="0" w:color="AEAEAE"/>
              <w:right w:val="nil"/>
            </w:tcBorders>
            <w:shd w:val="clear" w:color="auto" w:fill="auto"/>
          </w:tcPr>
          <w:p w14:paraId="54E323C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761DA2BD" w14:textId="77777777" w:rsidTr="008C4317">
        <w:trPr>
          <w:cantSplit/>
          <w:trHeight w:val="283"/>
        </w:trPr>
        <w:tc>
          <w:tcPr>
            <w:tcW w:w="699" w:type="dxa"/>
            <w:vMerge/>
            <w:tcBorders>
              <w:top w:val="single" w:sz="8" w:space="0" w:color="152935"/>
              <w:left w:val="nil"/>
              <w:bottom w:val="single" w:sz="8" w:space="0" w:color="152935"/>
              <w:right w:val="nil"/>
            </w:tcBorders>
            <w:shd w:val="clear" w:color="auto" w:fill="auto"/>
          </w:tcPr>
          <w:p w14:paraId="62C6D64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26" w:type="dxa"/>
            <w:tcBorders>
              <w:top w:val="single" w:sz="8" w:space="0" w:color="AEAEAE"/>
              <w:left w:val="nil"/>
              <w:bottom w:val="single" w:sz="8" w:space="0" w:color="AEAEAE"/>
              <w:right w:val="nil"/>
            </w:tcBorders>
            <w:shd w:val="clear" w:color="auto" w:fill="auto"/>
          </w:tcPr>
          <w:p w14:paraId="0116BBE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02" w:type="dxa"/>
            <w:tcBorders>
              <w:top w:val="single" w:sz="8" w:space="0" w:color="AEAEAE"/>
              <w:left w:val="nil"/>
              <w:bottom w:val="single" w:sz="8" w:space="0" w:color="AEAEAE"/>
              <w:right w:val="single" w:sz="8" w:space="0" w:color="E0E0E0"/>
            </w:tcBorders>
            <w:shd w:val="clear" w:color="auto" w:fill="auto"/>
          </w:tcPr>
          <w:p w14:paraId="6032840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12.914</w:t>
            </w:r>
          </w:p>
        </w:tc>
        <w:tc>
          <w:tcPr>
            <w:tcW w:w="978" w:type="dxa"/>
            <w:tcBorders>
              <w:top w:val="single" w:sz="8" w:space="0" w:color="AEAEAE"/>
              <w:left w:val="single" w:sz="8" w:space="0" w:color="E0E0E0"/>
              <w:bottom w:val="single" w:sz="8" w:space="0" w:color="AEAEAE"/>
              <w:right w:val="single" w:sz="8" w:space="0" w:color="E0E0E0"/>
            </w:tcBorders>
            <w:shd w:val="clear" w:color="auto" w:fill="auto"/>
          </w:tcPr>
          <w:p w14:paraId="0CFFB97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101</w:t>
            </w:r>
          </w:p>
        </w:tc>
        <w:tc>
          <w:tcPr>
            <w:tcW w:w="1344" w:type="dxa"/>
            <w:tcBorders>
              <w:top w:val="single" w:sz="8" w:space="0" w:color="AEAEAE"/>
              <w:left w:val="single" w:sz="8" w:space="0" w:color="E0E0E0"/>
              <w:bottom w:val="single" w:sz="8" w:space="0" w:color="AEAEAE"/>
              <w:right w:val="single" w:sz="8" w:space="0" w:color="E0E0E0"/>
            </w:tcBorders>
            <w:shd w:val="clear" w:color="auto" w:fill="auto"/>
          </w:tcPr>
          <w:p w14:paraId="497BD78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.128</w:t>
            </w:r>
          </w:p>
        </w:tc>
        <w:tc>
          <w:tcPr>
            <w:tcW w:w="1484" w:type="dxa"/>
            <w:tcBorders>
              <w:top w:val="single" w:sz="8" w:space="0" w:color="AEAEAE"/>
              <w:left w:val="single" w:sz="8" w:space="0" w:color="E0E0E0"/>
              <w:bottom w:val="single" w:sz="8" w:space="0" w:color="AEAEAE"/>
              <w:right w:val="single" w:sz="8" w:space="0" w:color="E0E0E0"/>
            </w:tcBorders>
            <w:shd w:val="clear" w:color="auto" w:fill="auto"/>
            <w:vAlign w:val="center"/>
          </w:tcPr>
          <w:p w14:paraId="2F07940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698" w:type="dxa"/>
            <w:tcBorders>
              <w:top w:val="single" w:sz="8" w:space="0" w:color="AEAEAE"/>
              <w:left w:val="single" w:sz="8" w:space="0" w:color="E0E0E0"/>
              <w:bottom w:val="single" w:sz="8" w:space="0" w:color="AEAEAE"/>
              <w:right w:val="nil"/>
            </w:tcBorders>
            <w:shd w:val="clear" w:color="auto" w:fill="auto"/>
            <w:vAlign w:val="center"/>
          </w:tcPr>
          <w:p w14:paraId="50C6CFC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676F55B1" w14:textId="77777777" w:rsidTr="008C4317">
        <w:trPr>
          <w:cantSplit/>
          <w:trHeight w:val="283"/>
        </w:trPr>
        <w:tc>
          <w:tcPr>
            <w:tcW w:w="699" w:type="dxa"/>
            <w:vMerge/>
            <w:tcBorders>
              <w:top w:val="single" w:sz="8" w:space="0" w:color="152935"/>
              <w:left w:val="nil"/>
              <w:bottom w:val="single" w:sz="8" w:space="0" w:color="152935"/>
              <w:right w:val="nil"/>
            </w:tcBorders>
            <w:shd w:val="clear" w:color="auto" w:fill="auto"/>
          </w:tcPr>
          <w:p w14:paraId="69F9154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26" w:type="dxa"/>
            <w:tcBorders>
              <w:top w:val="single" w:sz="8" w:space="0" w:color="AEAEAE"/>
              <w:left w:val="nil"/>
              <w:bottom w:val="single" w:sz="8" w:space="0" w:color="152935"/>
              <w:right w:val="nil"/>
            </w:tcBorders>
            <w:shd w:val="clear" w:color="auto" w:fill="auto"/>
          </w:tcPr>
          <w:p w14:paraId="13B174B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02" w:type="dxa"/>
            <w:tcBorders>
              <w:top w:val="single" w:sz="8" w:space="0" w:color="AEAEAE"/>
              <w:left w:val="nil"/>
              <w:bottom w:val="single" w:sz="8" w:space="0" w:color="152935"/>
              <w:right w:val="single" w:sz="8" w:space="0" w:color="E0E0E0"/>
            </w:tcBorders>
            <w:shd w:val="clear" w:color="auto" w:fill="auto"/>
          </w:tcPr>
          <w:p w14:paraId="19D6A3D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78" w:type="dxa"/>
            <w:tcBorders>
              <w:top w:val="single" w:sz="8" w:space="0" w:color="AEAEAE"/>
              <w:left w:val="single" w:sz="8" w:space="0" w:color="E0E0E0"/>
              <w:bottom w:val="single" w:sz="8" w:space="0" w:color="152935"/>
              <w:right w:val="single" w:sz="8" w:space="0" w:color="E0E0E0"/>
            </w:tcBorders>
            <w:shd w:val="clear" w:color="auto" w:fill="auto"/>
          </w:tcPr>
          <w:p w14:paraId="5A58140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44" w:type="dxa"/>
            <w:tcBorders>
              <w:top w:val="single" w:sz="8" w:space="0" w:color="AEAEAE"/>
              <w:left w:val="single" w:sz="8" w:space="0" w:color="E0E0E0"/>
              <w:bottom w:val="single" w:sz="8" w:space="0" w:color="152935"/>
              <w:right w:val="single" w:sz="8" w:space="0" w:color="E0E0E0"/>
            </w:tcBorders>
            <w:shd w:val="clear" w:color="auto" w:fill="auto"/>
            <w:vAlign w:val="center"/>
          </w:tcPr>
          <w:p w14:paraId="0005D8E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84" w:type="dxa"/>
            <w:tcBorders>
              <w:top w:val="single" w:sz="8" w:space="0" w:color="AEAEAE"/>
              <w:left w:val="single" w:sz="8" w:space="0" w:color="E0E0E0"/>
              <w:bottom w:val="single" w:sz="8" w:space="0" w:color="152935"/>
              <w:right w:val="single" w:sz="8" w:space="0" w:color="E0E0E0"/>
            </w:tcBorders>
            <w:shd w:val="clear" w:color="auto" w:fill="auto"/>
            <w:vAlign w:val="center"/>
          </w:tcPr>
          <w:p w14:paraId="7B5E761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698" w:type="dxa"/>
            <w:tcBorders>
              <w:top w:val="single" w:sz="8" w:space="0" w:color="AEAEAE"/>
              <w:left w:val="single" w:sz="8" w:space="0" w:color="E0E0E0"/>
              <w:bottom w:val="single" w:sz="8" w:space="0" w:color="152935"/>
              <w:right w:val="nil"/>
            </w:tcBorders>
            <w:shd w:val="clear" w:color="auto" w:fill="auto"/>
            <w:vAlign w:val="center"/>
          </w:tcPr>
          <w:p w14:paraId="71E4892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2762AA5E" w14:textId="77777777" w:rsidTr="008C4317">
        <w:trPr>
          <w:cantSplit/>
          <w:trHeight w:val="283"/>
        </w:trPr>
        <w:tc>
          <w:tcPr>
            <w:tcW w:w="8834" w:type="dxa"/>
            <w:gridSpan w:val="7"/>
            <w:tcBorders>
              <w:top w:val="nil"/>
              <w:left w:val="nil"/>
              <w:bottom w:val="nil"/>
              <w:right w:val="nil"/>
            </w:tcBorders>
            <w:shd w:val="clear" w:color="auto" w:fill="auto"/>
          </w:tcPr>
          <w:p w14:paraId="3537591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0B35E231" w14:textId="77777777" w:rsidTr="008C4317">
        <w:trPr>
          <w:cantSplit/>
          <w:trHeight w:val="283"/>
        </w:trPr>
        <w:tc>
          <w:tcPr>
            <w:tcW w:w="8834" w:type="dxa"/>
            <w:gridSpan w:val="7"/>
            <w:tcBorders>
              <w:top w:val="nil"/>
              <w:left w:val="nil"/>
              <w:bottom w:val="nil"/>
              <w:right w:val="nil"/>
            </w:tcBorders>
            <w:shd w:val="clear" w:color="auto" w:fill="auto"/>
          </w:tcPr>
          <w:p w14:paraId="0F2EA328" w14:textId="7E583373"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RP, </w:t>
            </w:r>
            <w:r w:rsidR="00DD07A5" w:rsidRPr="00400193">
              <w:rPr>
                <w:rFonts w:asciiTheme="minorHAnsi" w:hAnsiTheme="minorHAnsi" w:cstheme="minorHAnsi"/>
                <w:sz w:val="20"/>
                <w:szCs w:val="18"/>
                <w:lang w:eastAsia="zh-CN" w:bidi="hi-IN"/>
              </w:rPr>
              <w:t>IRF</w:t>
            </w:r>
          </w:p>
        </w:tc>
      </w:tr>
    </w:tbl>
    <w:p w14:paraId="2D332F2B" w14:textId="0EC83329" w:rsidR="006E3616" w:rsidRPr="00400193" w:rsidRDefault="006E3616" w:rsidP="008C4317">
      <w:pPr>
        <w:pStyle w:val="Caption"/>
        <w:spacing w:after="240"/>
      </w:pPr>
      <w:bookmarkStart w:id="712" w:name="_Ref51587520"/>
      <w:bookmarkStart w:id="713" w:name="_Toc5290163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86</w:t>
      </w:r>
      <w:r w:rsidRPr="00400193">
        <w:fldChar w:fldCharType="end"/>
      </w:r>
      <w:bookmarkEnd w:id="712"/>
      <w:r w:rsidRPr="00400193">
        <w:t xml:space="preserve">: Analysis of Variance </w:t>
      </w:r>
      <w:r w:rsidRPr="00400193">
        <w:rPr>
          <w:vertAlign w:val="superscript"/>
        </w:rPr>
        <w:t>a</w:t>
      </w:r>
      <w:r w:rsidRPr="00400193">
        <w:t xml:space="preserve"> of the model for VW</w:t>
      </w:r>
      <w:bookmarkEnd w:id="713"/>
    </w:p>
    <w:p w14:paraId="04F72F02" w14:textId="77777777" w:rsidR="008C4317" w:rsidRPr="00400193" w:rsidRDefault="008C4317" w:rsidP="008C4317"/>
    <w:p w14:paraId="1FA55565" w14:textId="6E48704D" w:rsidR="006E3616" w:rsidRPr="00400193" w:rsidRDefault="008C4317" w:rsidP="006E3616">
      <w:r w:rsidRPr="00400193">
        <w:t>The Table below (</w:t>
      </w:r>
      <w:r w:rsidRPr="00400193">
        <w:fldChar w:fldCharType="begin"/>
      </w:r>
      <w:r w:rsidRPr="00400193">
        <w:instrText xml:space="preserve"> REF _Ref51587520 \h </w:instrText>
      </w:r>
      <w:r w:rsidRPr="00400193">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86</w:t>
      </w:r>
      <w:r w:rsidRPr="00400193">
        <w:fldChar w:fldCharType="end"/>
      </w:r>
      <w:r w:rsidRPr="00400193">
        <w:t>) shows the coefficients of the regression model used for the Tables above.</w:t>
      </w:r>
    </w:p>
    <w:p w14:paraId="642E2410" w14:textId="592A5CF1" w:rsidR="008C4317" w:rsidRPr="00400193" w:rsidRDefault="008C4317" w:rsidP="006E3616"/>
    <w:tbl>
      <w:tblPr>
        <w:tblW w:w="90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4"/>
        <w:gridCol w:w="991"/>
        <w:gridCol w:w="700"/>
        <w:gridCol w:w="1659"/>
        <w:gridCol w:w="2447"/>
        <w:gridCol w:w="699"/>
        <w:gridCol w:w="611"/>
        <w:gridCol w:w="1490"/>
      </w:tblGrid>
      <w:tr w:rsidR="006E3616" w:rsidRPr="00400193" w14:paraId="6E2AC8C0" w14:textId="77777777" w:rsidTr="008C4317">
        <w:trPr>
          <w:cantSplit/>
          <w:trHeight w:val="283"/>
        </w:trPr>
        <w:tc>
          <w:tcPr>
            <w:tcW w:w="9091" w:type="dxa"/>
            <w:gridSpan w:val="8"/>
            <w:tcBorders>
              <w:top w:val="nil"/>
              <w:left w:val="nil"/>
              <w:bottom w:val="nil"/>
              <w:right w:val="nil"/>
            </w:tcBorders>
            <w:shd w:val="clear" w:color="auto" w:fill="auto"/>
            <w:vAlign w:val="center"/>
          </w:tcPr>
          <w:p w14:paraId="24C9D6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5EFB08FD" w14:textId="77777777" w:rsidTr="008C4317">
        <w:trPr>
          <w:cantSplit/>
          <w:trHeight w:val="283"/>
        </w:trPr>
        <w:tc>
          <w:tcPr>
            <w:tcW w:w="1485" w:type="dxa"/>
            <w:gridSpan w:val="2"/>
            <w:vMerge w:val="restart"/>
            <w:tcBorders>
              <w:top w:val="nil"/>
              <w:left w:val="nil"/>
              <w:bottom w:val="nil"/>
              <w:right w:val="nil"/>
            </w:tcBorders>
            <w:shd w:val="clear" w:color="auto" w:fill="auto"/>
            <w:vAlign w:val="bottom"/>
          </w:tcPr>
          <w:p w14:paraId="7A645B5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359" w:type="dxa"/>
            <w:gridSpan w:val="2"/>
            <w:tcBorders>
              <w:top w:val="nil"/>
              <w:left w:val="nil"/>
              <w:bottom w:val="nil"/>
              <w:right w:val="single" w:sz="8" w:space="0" w:color="E0E0E0"/>
            </w:tcBorders>
            <w:shd w:val="clear" w:color="auto" w:fill="auto"/>
            <w:vAlign w:val="bottom"/>
          </w:tcPr>
          <w:p w14:paraId="77121B7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447" w:type="dxa"/>
            <w:tcBorders>
              <w:top w:val="nil"/>
              <w:left w:val="single" w:sz="8" w:space="0" w:color="E0E0E0"/>
              <w:bottom w:val="nil"/>
              <w:right w:val="single" w:sz="8" w:space="0" w:color="E0E0E0"/>
            </w:tcBorders>
            <w:shd w:val="clear" w:color="auto" w:fill="auto"/>
            <w:vAlign w:val="bottom"/>
          </w:tcPr>
          <w:p w14:paraId="0CB4508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699" w:type="dxa"/>
            <w:vMerge w:val="restart"/>
            <w:tcBorders>
              <w:top w:val="nil"/>
              <w:left w:val="single" w:sz="8" w:space="0" w:color="E0E0E0"/>
              <w:bottom w:val="nil"/>
              <w:right w:val="single" w:sz="8" w:space="0" w:color="E0E0E0"/>
            </w:tcBorders>
            <w:shd w:val="clear" w:color="auto" w:fill="auto"/>
            <w:vAlign w:val="bottom"/>
          </w:tcPr>
          <w:p w14:paraId="7C8198E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611" w:type="dxa"/>
            <w:vMerge w:val="restart"/>
            <w:tcBorders>
              <w:top w:val="nil"/>
              <w:left w:val="single" w:sz="8" w:space="0" w:color="E0E0E0"/>
              <w:bottom w:val="nil"/>
              <w:right w:val="single" w:sz="8" w:space="0" w:color="E0E0E0"/>
            </w:tcBorders>
            <w:shd w:val="clear" w:color="auto" w:fill="auto"/>
            <w:vAlign w:val="bottom"/>
          </w:tcPr>
          <w:p w14:paraId="12D4355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c>
          <w:tcPr>
            <w:tcW w:w="1490" w:type="dxa"/>
            <w:tcBorders>
              <w:top w:val="nil"/>
              <w:left w:val="single" w:sz="8" w:space="0" w:color="E0E0E0"/>
              <w:bottom w:val="nil"/>
              <w:right w:val="nil"/>
            </w:tcBorders>
            <w:shd w:val="clear" w:color="auto" w:fill="auto"/>
            <w:vAlign w:val="bottom"/>
          </w:tcPr>
          <w:p w14:paraId="720FB0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Correlations</w:t>
            </w:r>
          </w:p>
        </w:tc>
      </w:tr>
      <w:tr w:rsidR="006E3616" w:rsidRPr="00400193" w14:paraId="72F923E5" w14:textId="77777777" w:rsidTr="008C4317">
        <w:trPr>
          <w:cantSplit/>
          <w:trHeight w:val="283"/>
        </w:trPr>
        <w:tc>
          <w:tcPr>
            <w:tcW w:w="1485" w:type="dxa"/>
            <w:gridSpan w:val="2"/>
            <w:vMerge/>
            <w:tcBorders>
              <w:top w:val="nil"/>
              <w:left w:val="nil"/>
              <w:bottom w:val="nil"/>
              <w:right w:val="nil"/>
            </w:tcBorders>
            <w:shd w:val="clear" w:color="auto" w:fill="auto"/>
            <w:vAlign w:val="bottom"/>
          </w:tcPr>
          <w:p w14:paraId="5F94A7D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00" w:type="dxa"/>
            <w:tcBorders>
              <w:top w:val="nil"/>
              <w:left w:val="nil"/>
              <w:bottom w:val="single" w:sz="8" w:space="0" w:color="152935"/>
              <w:right w:val="single" w:sz="8" w:space="0" w:color="E0E0E0"/>
            </w:tcBorders>
            <w:shd w:val="clear" w:color="auto" w:fill="auto"/>
            <w:vAlign w:val="bottom"/>
          </w:tcPr>
          <w:p w14:paraId="64F83D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659" w:type="dxa"/>
            <w:tcBorders>
              <w:top w:val="nil"/>
              <w:left w:val="single" w:sz="8" w:space="0" w:color="E0E0E0"/>
              <w:bottom w:val="single" w:sz="8" w:space="0" w:color="152935"/>
              <w:right w:val="single" w:sz="8" w:space="0" w:color="E0E0E0"/>
            </w:tcBorders>
            <w:shd w:val="clear" w:color="auto" w:fill="auto"/>
            <w:vAlign w:val="bottom"/>
          </w:tcPr>
          <w:p w14:paraId="224EA45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447" w:type="dxa"/>
            <w:tcBorders>
              <w:top w:val="nil"/>
              <w:left w:val="single" w:sz="8" w:space="0" w:color="E0E0E0"/>
              <w:bottom w:val="single" w:sz="8" w:space="0" w:color="152935"/>
              <w:right w:val="single" w:sz="8" w:space="0" w:color="E0E0E0"/>
            </w:tcBorders>
            <w:shd w:val="clear" w:color="auto" w:fill="auto"/>
            <w:vAlign w:val="bottom"/>
          </w:tcPr>
          <w:p w14:paraId="3E024BC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699" w:type="dxa"/>
            <w:vMerge/>
            <w:tcBorders>
              <w:top w:val="nil"/>
              <w:left w:val="single" w:sz="8" w:space="0" w:color="E0E0E0"/>
              <w:bottom w:val="nil"/>
              <w:right w:val="single" w:sz="8" w:space="0" w:color="E0E0E0"/>
            </w:tcBorders>
            <w:shd w:val="clear" w:color="auto" w:fill="auto"/>
            <w:vAlign w:val="bottom"/>
          </w:tcPr>
          <w:p w14:paraId="79230742"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11" w:type="dxa"/>
            <w:vMerge/>
            <w:tcBorders>
              <w:top w:val="nil"/>
              <w:left w:val="single" w:sz="8" w:space="0" w:color="E0E0E0"/>
              <w:bottom w:val="nil"/>
              <w:right w:val="single" w:sz="8" w:space="0" w:color="E0E0E0"/>
            </w:tcBorders>
            <w:shd w:val="clear" w:color="auto" w:fill="auto"/>
            <w:vAlign w:val="bottom"/>
          </w:tcPr>
          <w:p w14:paraId="4FDA5E9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90" w:type="dxa"/>
            <w:tcBorders>
              <w:top w:val="nil"/>
              <w:left w:val="single" w:sz="8" w:space="0" w:color="E0E0E0"/>
              <w:bottom w:val="single" w:sz="8" w:space="0" w:color="152935"/>
              <w:right w:val="nil"/>
            </w:tcBorders>
            <w:shd w:val="clear" w:color="auto" w:fill="auto"/>
            <w:vAlign w:val="bottom"/>
          </w:tcPr>
          <w:p w14:paraId="076CC61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Zero-order</w:t>
            </w:r>
          </w:p>
        </w:tc>
      </w:tr>
      <w:tr w:rsidR="006E3616" w:rsidRPr="00400193" w14:paraId="093210C8" w14:textId="77777777" w:rsidTr="008C4317">
        <w:trPr>
          <w:cantSplit/>
          <w:trHeight w:val="283"/>
        </w:trPr>
        <w:tc>
          <w:tcPr>
            <w:tcW w:w="494" w:type="dxa"/>
            <w:vMerge w:val="restart"/>
            <w:tcBorders>
              <w:top w:val="single" w:sz="8" w:space="0" w:color="152935"/>
              <w:left w:val="nil"/>
              <w:bottom w:val="single" w:sz="8" w:space="0" w:color="152935"/>
              <w:right w:val="nil"/>
            </w:tcBorders>
            <w:shd w:val="clear" w:color="auto" w:fill="auto"/>
          </w:tcPr>
          <w:p w14:paraId="5AE2EE7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991" w:type="dxa"/>
            <w:tcBorders>
              <w:top w:val="single" w:sz="8" w:space="0" w:color="152935"/>
              <w:left w:val="nil"/>
              <w:bottom w:val="single" w:sz="8" w:space="0" w:color="AEAEAE"/>
              <w:right w:val="nil"/>
            </w:tcBorders>
            <w:shd w:val="clear" w:color="auto" w:fill="auto"/>
          </w:tcPr>
          <w:p w14:paraId="4EE3492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700" w:type="dxa"/>
            <w:tcBorders>
              <w:top w:val="single" w:sz="8" w:space="0" w:color="152935"/>
              <w:left w:val="nil"/>
              <w:bottom w:val="single" w:sz="8" w:space="0" w:color="AEAEAE"/>
              <w:right w:val="single" w:sz="8" w:space="0" w:color="E0E0E0"/>
            </w:tcBorders>
            <w:shd w:val="clear" w:color="auto" w:fill="auto"/>
          </w:tcPr>
          <w:p w14:paraId="007B76E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1.145</w:t>
            </w:r>
          </w:p>
        </w:tc>
        <w:tc>
          <w:tcPr>
            <w:tcW w:w="1659" w:type="dxa"/>
            <w:tcBorders>
              <w:top w:val="single" w:sz="8" w:space="0" w:color="152935"/>
              <w:left w:val="single" w:sz="8" w:space="0" w:color="E0E0E0"/>
              <w:bottom w:val="single" w:sz="8" w:space="0" w:color="AEAEAE"/>
              <w:right w:val="single" w:sz="8" w:space="0" w:color="E0E0E0"/>
            </w:tcBorders>
            <w:shd w:val="clear" w:color="auto" w:fill="auto"/>
          </w:tcPr>
          <w:p w14:paraId="1B8C514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.213</w:t>
            </w:r>
          </w:p>
        </w:tc>
        <w:tc>
          <w:tcPr>
            <w:tcW w:w="2447" w:type="dxa"/>
            <w:tcBorders>
              <w:top w:val="single" w:sz="8" w:space="0" w:color="152935"/>
              <w:left w:val="single" w:sz="8" w:space="0" w:color="E0E0E0"/>
              <w:bottom w:val="single" w:sz="8" w:space="0" w:color="AEAEAE"/>
              <w:right w:val="single" w:sz="8" w:space="0" w:color="E0E0E0"/>
            </w:tcBorders>
            <w:shd w:val="clear" w:color="auto" w:fill="auto"/>
            <w:vAlign w:val="center"/>
          </w:tcPr>
          <w:p w14:paraId="711806A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99" w:type="dxa"/>
            <w:tcBorders>
              <w:top w:val="single" w:sz="8" w:space="0" w:color="152935"/>
              <w:left w:val="single" w:sz="8" w:space="0" w:color="E0E0E0"/>
              <w:bottom w:val="single" w:sz="8" w:space="0" w:color="AEAEAE"/>
              <w:right w:val="single" w:sz="8" w:space="0" w:color="E0E0E0"/>
            </w:tcBorders>
            <w:shd w:val="clear" w:color="auto" w:fill="auto"/>
          </w:tcPr>
          <w:p w14:paraId="41C55BC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5.385</w:t>
            </w:r>
          </w:p>
        </w:tc>
        <w:tc>
          <w:tcPr>
            <w:tcW w:w="611" w:type="dxa"/>
            <w:tcBorders>
              <w:top w:val="single" w:sz="8" w:space="0" w:color="152935"/>
              <w:left w:val="single" w:sz="8" w:space="0" w:color="E0E0E0"/>
              <w:bottom w:val="single" w:sz="8" w:space="0" w:color="AEAEAE"/>
              <w:right w:val="single" w:sz="8" w:space="0" w:color="E0E0E0"/>
            </w:tcBorders>
            <w:shd w:val="clear" w:color="auto" w:fill="auto"/>
          </w:tcPr>
          <w:p w14:paraId="4B5DB3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490" w:type="dxa"/>
            <w:tcBorders>
              <w:top w:val="single" w:sz="8" w:space="0" w:color="152935"/>
              <w:left w:val="single" w:sz="8" w:space="0" w:color="E0E0E0"/>
              <w:bottom w:val="single" w:sz="8" w:space="0" w:color="AEAEAE"/>
              <w:right w:val="nil"/>
            </w:tcBorders>
            <w:shd w:val="clear" w:color="auto" w:fill="auto"/>
            <w:vAlign w:val="center"/>
          </w:tcPr>
          <w:p w14:paraId="64C8DF7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5EEAFA46" w14:textId="77777777" w:rsidTr="008C4317">
        <w:trPr>
          <w:cantSplit/>
          <w:trHeight w:val="283"/>
        </w:trPr>
        <w:tc>
          <w:tcPr>
            <w:tcW w:w="494" w:type="dxa"/>
            <w:vMerge/>
            <w:tcBorders>
              <w:top w:val="single" w:sz="8" w:space="0" w:color="152935"/>
              <w:left w:val="nil"/>
              <w:bottom w:val="single" w:sz="8" w:space="0" w:color="152935"/>
              <w:right w:val="nil"/>
            </w:tcBorders>
            <w:shd w:val="clear" w:color="auto" w:fill="auto"/>
          </w:tcPr>
          <w:p w14:paraId="60BA8AB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91" w:type="dxa"/>
            <w:tcBorders>
              <w:top w:val="single" w:sz="8" w:space="0" w:color="AEAEAE"/>
              <w:left w:val="nil"/>
              <w:bottom w:val="single" w:sz="8" w:space="0" w:color="AEAEAE"/>
              <w:right w:val="nil"/>
            </w:tcBorders>
            <w:shd w:val="clear" w:color="auto" w:fill="auto"/>
          </w:tcPr>
          <w:p w14:paraId="6F697CCD" w14:textId="4D10E8CC"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IRF</w:t>
            </w:r>
          </w:p>
        </w:tc>
        <w:tc>
          <w:tcPr>
            <w:tcW w:w="700" w:type="dxa"/>
            <w:tcBorders>
              <w:top w:val="single" w:sz="8" w:space="0" w:color="AEAEAE"/>
              <w:left w:val="nil"/>
              <w:bottom w:val="single" w:sz="8" w:space="0" w:color="AEAEAE"/>
              <w:right w:val="single" w:sz="8" w:space="0" w:color="E0E0E0"/>
            </w:tcBorders>
            <w:shd w:val="clear" w:color="auto" w:fill="auto"/>
          </w:tcPr>
          <w:p w14:paraId="3CE5C6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.516</w:t>
            </w:r>
          </w:p>
        </w:tc>
        <w:tc>
          <w:tcPr>
            <w:tcW w:w="1659" w:type="dxa"/>
            <w:tcBorders>
              <w:top w:val="single" w:sz="8" w:space="0" w:color="AEAEAE"/>
              <w:left w:val="single" w:sz="8" w:space="0" w:color="E0E0E0"/>
              <w:bottom w:val="single" w:sz="8" w:space="0" w:color="AEAEAE"/>
              <w:right w:val="single" w:sz="8" w:space="0" w:color="E0E0E0"/>
            </w:tcBorders>
            <w:shd w:val="clear" w:color="auto" w:fill="auto"/>
          </w:tcPr>
          <w:p w14:paraId="55F34FC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.042</w:t>
            </w:r>
          </w:p>
        </w:tc>
        <w:tc>
          <w:tcPr>
            <w:tcW w:w="2447" w:type="dxa"/>
            <w:tcBorders>
              <w:top w:val="single" w:sz="8" w:space="0" w:color="AEAEAE"/>
              <w:left w:val="single" w:sz="8" w:space="0" w:color="E0E0E0"/>
              <w:bottom w:val="single" w:sz="8" w:space="0" w:color="AEAEAE"/>
              <w:right w:val="single" w:sz="8" w:space="0" w:color="E0E0E0"/>
            </w:tcBorders>
            <w:shd w:val="clear" w:color="auto" w:fill="auto"/>
          </w:tcPr>
          <w:p w14:paraId="7249616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.754</w:t>
            </w:r>
          </w:p>
        </w:tc>
        <w:tc>
          <w:tcPr>
            <w:tcW w:w="699" w:type="dxa"/>
            <w:tcBorders>
              <w:top w:val="single" w:sz="8" w:space="0" w:color="AEAEAE"/>
              <w:left w:val="single" w:sz="8" w:space="0" w:color="E0E0E0"/>
              <w:bottom w:val="single" w:sz="8" w:space="0" w:color="AEAEAE"/>
              <w:right w:val="single" w:sz="8" w:space="0" w:color="E0E0E0"/>
            </w:tcBorders>
            <w:shd w:val="clear" w:color="auto" w:fill="auto"/>
          </w:tcPr>
          <w:p w14:paraId="042ACF3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12.193</w:t>
            </w:r>
          </w:p>
        </w:tc>
        <w:tc>
          <w:tcPr>
            <w:tcW w:w="611" w:type="dxa"/>
            <w:tcBorders>
              <w:top w:val="single" w:sz="8" w:space="0" w:color="AEAEAE"/>
              <w:left w:val="single" w:sz="8" w:space="0" w:color="E0E0E0"/>
              <w:bottom w:val="single" w:sz="8" w:space="0" w:color="AEAEAE"/>
              <w:right w:val="single" w:sz="8" w:space="0" w:color="E0E0E0"/>
            </w:tcBorders>
            <w:shd w:val="clear" w:color="auto" w:fill="auto"/>
          </w:tcPr>
          <w:p w14:paraId="795D25C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490" w:type="dxa"/>
            <w:tcBorders>
              <w:top w:val="single" w:sz="8" w:space="0" w:color="AEAEAE"/>
              <w:left w:val="single" w:sz="8" w:space="0" w:color="E0E0E0"/>
              <w:bottom w:val="single" w:sz="8" w:space="0" w:color="AEAEAE"/>
              <w:right w:val="nil"/>
            </w:tcBorders>
            <w:shd w:val="clear" w:color="auto" w:fill="auto"/>
          </w:tcPr>
          <w:p w14:paraId="057E721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.792</w:t>
            </w:r>
          </w:p>
        </w:tc>
      </w:tr>
      <w:tr w:rsidR="006E3616" w:rsidRPr="00400193" w14:paraId="0D2DC5D3" w14:textId="77777777" w:rsidTr="008C4317">
        <w:trPr>
          <w:cantSplit/>
          <w:trHeight w:val="283"/>
        </w:trPr>
        <w:tc>
          <w:tcPr>
            <w:tcW w:w="494" w:type="dxa"/>
            <w:vMerge/>
            <w:tcBorders>
              <w:top w:val="single" w:sz="8" w:space="0" w:color="152935"/>
              <w:left w:val="nil"/>
              <w:bottom w:val="single" w:sz="8" w:space="0" w:color="152935"/>
              <w:right w:val="nil"/>
            </w:tcBorders>
            <w:shd w:val="clear" w:color="auto" w:fill="auto"/>
          </w:tcPr>
          <w:p w14:paraId="7790322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91" w:type="dxa"/>
            <w:tcBorders>
              <w:top w:val="single" w:sz="8" w:space="0" w:color="AEAEAE"/>
              <w:left w:val="nil"/>
              <w:bottom w:val="single" w:sz="8" w:space="0" w:color="AEAEAE"/>
              <w:right w:val="nil"/>
            </w:tcBorders>
            <w:shd w:val="clear" w:color="auto" w:fill="auto"/>
          </w:tcPr>
          <w:p w14:paraId="71E21E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c>
          <w:tcPr>
            <w:tcW w:w="700" w:type="dxa"/>
            <w:tcBorders>
              <w:top w:val="single" w:sz="8" w:space="0" w:color="AEAEAE"/>
              <w:left w:val="nil"/>
              <w:bottom w:val="single" w:sz="8" w:space="0" w:color="AEAEAE"/>
              <w:right w:val="single" w:sz="8" w:space="0" w:color="E0E0E0"/>
            </w:tcBorders>
            <w:shd w:val="clear" w:color="auto" w:fill="auto"/>
          </w:tcPr>
          <w:p w14:paraId="0AB31E1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.121</w:t>
            </w:r>
          </w:p>
        </w:tc>
        <w:tc>
          <w:tcPr>
            <w:tcW w:w="1659" w:type="dxa"/>
            <w:tcBorders>
              <w:top w:val="single" w:sz="8" w:space="0" w:color="AEAEAE"/>
              <w:left w:val="single" w:sz="8" w:space="0" w:color="E0E0E0"/>
              <w:bottom w:val="single" w:sz="8" w:space="0" w:color="AEAEAE"/>
              <w:right w:val="single" w:sz="8" w:space="0" w:color="E0E0E0"/>
            </w:tcBorders>
            <w:shd w:val="clear" w:color="auto" w:fill="auto"/>
          </w:tcPr>
          <w:p w14:paraId="14971A0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.055</w:t>
            </w:r>
          </w:p>
        </w:tc>
        <w:tc>
          <w:tcPr>
            <w:tcW w:w="2447" w:type="dxa"/>
            <w:tcBorders>
              <w:top w:val="single" w:sz="8" w:space="0" w:color="AEAEAE"/>
              <w:left w:val="single" w:sz="8" w:space="0" w:color="E0E0E0"/>
              <w:bottom w:val="single" w:sz="8" w:space="0" w:color="AEAEAE"/>
              <w:right w:val="single" w:sz="8" w:space="0" w:color="E0E0E0"/>
            </w:tcBorders>
            <w:shd w:val="clear" w:color="auto" w:fill="auto"/>
          </w:tcPr>
          <w:p w14:paraId="03CE29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.136</w:t>
            </w:r>
          </w:p>
        </w:tc>
        <w:tc>
          <w:tcPr>
            <w:tcW w:w="699" w:type="dxa"/>
            <w:tcBorders>
              <w:top w:val="single" w:sz="8" w:space="0" w:color="AEAEAE"/>
              <w:left w:val="single" w:sz="8" w:space="0" w:color="E0E0E0"/>
              <w:bottom w:val="single" w:sz="8" w:space="0" w:color="AEAEAE"/>
              <w:right w:val="single" w:sz="8" w:space="0" w:color="E0E0E0"/>
            </w:tcBorders>
            <w:shd w:val="clear" w:color="auto" w:fill="auto"/>
          </w:tcPr>
          <w:p w14:paraId="1722A9D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2.193</w:t>
            </w:r>
          </w:p>
        </w:tc>
        <w:tc>
          <w:tcPr>
            <w:tcW w:w="611" w:type="dxa"/>
            <w:tcBorders>
              <w:top w:val="single" w:sz="8" w:space="0" w:color="AEAEAE"/>
              <w:left w:val="single" w:sz="8" w:space="0" w:color="E0E0E0"/>
              <w:bottom w:val="single" w:sz="8" w:space="0" w:color="AEAEAE"/>
              <w:right w:val="single" w:sz="8" w:space="0" w:color="E0E0E0"/>
            </w:tcBorders>
            <w:shd w:val="clear" w:color="auto" w:fill="auto"/>
          </w:tcPr>
          <w:p w14:paraId="27DA99F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.031</w:t>
            </w:r>
          </w:p>
        </w:tc>
        <w:tc>
          <w:tcPr>
            <w:tcW w:w="1490" w:type="dxa"/>
            <w:tcBorders>
              <w:top w:val="single" w:sz="8" w:space="0" w:color="AEAEAE"/>
              <w:left w:val="single" w:sz="8" w:space="0" w:color="E0E0E0"/>
              <w:bottom w:val="single" w:sz="8" w:space="0" w:color="AEAEAE"/>
              <w:right w:val="nil"/>
            </w:tcBorders>
            <w:shd w:val="clear" w:color="auto" w:fill="auto"/>
          </w:tcPr>
          <w:p w14:paraId="08505732"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.348</w:t>
            </w:r>
          </w:p>
        </w:tc>
      </w:tr>
      <w:tr w:rsidR="008C4317" w:rsidRPr="00400193" w14:paraId="4A088D06" w14:textId="77777777" w:rsidTr="008C4317">
        <w:trPr>
          <w:cantSplit/>
          <w:trHeight w:val="283"/>
        </w:trPr>
        <w:tc>
          <w:tcPr>
            <w:tcW w:w="9091" w:type="dxa"/>
            <w:gridSpan w:val="8"/>
            <w:tcBorders>
              <w:top w:val="single" w:sz="8" w:space="0" w:color="152935"/>
              <w:left w:val="nil"/>
              <w:bottom w:val="single" w:sz="4" w:space="0" w:color="FFFFFF" w:themeColor="background1"/>
              <w:right w:val="nil"/>
            </w:tcBorders>
            <w:shd w:val="clear" w:color="auto" w:fill="auto"/>
          </w:tcPr>
          <w:p w14:paraId="0231C2BD" w14:textId="1F17E18C" w:rsidR="008C4317" w:rsidRPr="00400193" w:rsidRDefault="008C4317"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tc>
      </w:tr>
    </w:tbl>
    <w:p w14:paraId="300AED05" w14:textId="4FC038AB" w:rsidR="006E3616" w:rsidRPr="00400193" w:rsidRDefault="006E3616" w:rsidP="006E3616">
      <w:pPr>
        <w:pStyle w:val="Caption"/>
      </w:pPr>
      <w:bookmarkStart w:id="714" w:name="_Toc5290163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87</w:t>
      </w:r>
      <w:r w:rsidRPr="00400193">
        <w:fldChar w:fldCharType="end"/>
      </w:r>
      <w:r w:rsidRPr="00400193">
        <w:t xml:space="preserve">: Coefficients </w:t>
      </w:r>
      <w:r w:rsidRPr="00400193">
        <w:rPr>
          <w:vertAlign w:val="superscript"/>
        </w:rPr>
        <w:t>a</w:t>
      </w:r>
      <w:r w:rsidRPr="00400193">
        <w:t xml:space="preserve"> of the regression model VW</w:t>
      </w:r>
      <w:bookmarkEnd w:id="714"/>
    </w:p>
    <w:p w14:paraId="2E33A997" w14:textId="77777777" w:rsidR="006E3616" w:rsidRPr="00400193" w:rsidRDefault="006E3616" w:rsidP="006E3616">
      <w:pPr>
        <w:spacing w:line="240" w:lineRule="auto"/>
        <w:rPr>
          <w:lang w:eastAsia="zh-CN" w:bidi="hi-IN"/>
        </w:rPr>
      </w:pPr>
      <w:r w:rsidRPr="00400193">
        <w:rPr>
          <w:lang w:eastAsia="zh-CN" w:bidi="hi-IN"/>
        </w:rPr>
        <w:tab/>
      </w:r>
    </w:p>
    <w:p w14:paraId="0EFDD85B" w14:textId="77777777" w:rsidR="006E3616" w:rsidRPr="00400193" w:rsidRDefault="006E3616" w:rsidP="003C3496">
      <w:pPr>
        <w:pStyle w:val="Heading4"/>
        <w:rPr>
          <w:lang w:eastAsia="zh-CN" w:bidi="hi-IN"/>
        </w:rPr>
      </w:pPr>
      <w:bookmarkStart w:id="715" w:name="_Toc61894786"/>
      <w:r w:rsidRPr="00400193">
        <w:rPr>
          <w:lang w:eastAsia="zh-CN" w:bidi="hi-IN"/>
        </w:rPr>
        <w:t>Testing for Collinearity of the Independent Variables</w:t>
      </w:r>
      <w:bookmarkEnd w:id="715"/>
    </w:p>
    <w:p w14:paraId="3B61CE03" w14:textId="5E900451" w:rsidR="006E3616" w:rsidRPr="00400193" w:rsidRDefault="006E3616" w:rsidP="006E3616">
      <w:pPr>
        <w:rPr>
          <w:lang w:eastAsia="zh-CN" w:bidi="hi-IN"/>
        </w:rPr>
      </w:pPr>
      <w:r w:rsidRPr="00400193">
        <w:rPr>
          <w:lang w:eastAsia="zh-CN" w:bidi="hi-IN"/>
        </w:rPr>
        <w:t xml:space="preserve">The collinearity results for the independent variables are in </w:t>
      </w:r>
      <w:r w:rsidR="008C4317" w:rsidRPr="00400193">
        <w:rPr>
          <w:lang w:eastAsia="zh-CN" w:bidi="hi-IN"/>
        </w:rPr>
        <w:fldChar w:fldCharType="begin"/>
      </w:r>
      <w:r w:rsidR="008C4317" w:rsidRPr="00400193">
        <w:rPr>
          <w:lang w:eastAsia="zh-CN" w:bidi="hi-IN"/>
        </w:rPr>
        <w:instrText xml:space="preserve"> REF _Ref51587947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88</w:t>
      </w:r>
      <w:r w:rsidR="008C4317" w:rsidRPr="00400193">
        <w:rPr>
          <w:lang w:eastAsia="zh-CN" w:bidi="hi-IN"/>
        </w:rPr>
        <w:fldChar w:fldCharType="end"/>
      </w:r>
      <w:r w:rsidRPr="00400193">
        <w:rPr>
          <w:lang w:eastAsia="zh-CN" w:bidi="hi-IN"/>
        </w:rPr>
        <w:t>.</w:t>
      </w:r>
    </w:p>
    <w:tbl>
      <w:tblPr>
        <w:tblW w:w="86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5"/>
        <w:gridCol w:w="1147"/>
        <w:gridCol w:w="1148"/>
        <w:gridCol w:w="1378"/>
        <w:gridCol w:w="1105"/>
        <w:gridCol w:w="962"/>
        <w:gridCol w:w="2198"/>
      </w:tblGrid>
      <w:tr w:rsidR="006E3616" w:rsidRPr="00400193" w14:paraId="6C64F634" w14:textId="77777777" w:rsidTr="008C4317">
        <w:trPr>
          <w:cantSplit/>
          <w:trHeight w:val="283"/>
        </w:trPr>
        <w:tc>
          <w:tcPr>
            <w:tcW w:w="8683" w:type="dxa"/>
            <w:gridSpan w:val="7"/>
            <w:tcBorders>
              <w:top w:val="nil"/>
              <w:left w:val="nil"/>
              <w:bottom w:val="nil"/>
              <w:right w:val="nil"/>
            </w:tcBorders>
            <w:shd w:val="clear" w:color="auto" w:fill="auto"/>
            <w:vAlign w:val="center"/>
          </w:tcPr>
          <w:p w14:paraId="322910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10D51FA6" w14:textId="77777777" w:rsidTr="008C4317">
        <w:trPr>
          <w:cantSplit/>
          <w:trHeight w:val="283"/>
        </w:trPr>
        <w:tc>
          <w:tcPr>
            <w:tcW w:w="745" w:type="dxa"/>
            <w:vMerge w:val="restart"/>
            <w:tcBorders>
              <w:top w:val="nil"/>
              <w:left w:val="nil"/>
              <w:bottom w:val="nil"/>
              <w:right w:val="nil"/>
            </w:tcBorders>
            <w:shd w:val="clear" w:color="auto" w:fill="auto"/>
            <w:vAlign w:val="bottom"/>
          </w:tcPr>
          <w:p w14:paraId="78461AD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47" w:type="dxa"/>
            <w:vMerge w:val="restart"/>
            <w:tcBorders>
              <w:top w:val="nil"/>
              <w:left w:val="nil"/>
              <w:bottom w:val="nil"/>
              <w:right w:val="nil"/>
            </w:tcBorders>
            <w:shd w:val="clear" w:color="auto" w:fill="auto"/>
            <w:vAlign w:val="bottom"/>
          </w:tcPr>
          <w:p w14:paraId="348128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48" w:type="dxa"/>
            <w:vMerge w:val="restart"/>
            <w:tcBorders>
              <w:top w:val="nil"/>
              <w:left w:val="nil"/>
              <w:bottom w:val="nil"/>
              <w:right w:val="single" w:sz="8" w:space="0" w:color="E0E0E0"/>
            </w:tcBorders>
            <w:shd w:val="clear" w:color="auto" w:fill="auto"/>
            <w:vAlign w:val="bottom"/>
          </w:tcPr>
          <w:p w14:paraId="59E9D17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378" w:type="dxa"/>
            <w:vMerge w:val="restart"/>
            <w:tcBorders>
              <w:top w:val="nil"/>
              <w:left w:val="single" w:sz="8" w:space="0" w:color="E0E0E0"/>
              <w:bottom w:val="nil"/>
              <w:right w:val="single" w:sz="8" w:space="0" w:color="E0E0E0"/>
            </w:tcBorders>
            <w:shd w:val="clear" w:color="auto" w:fill="auto"/>
            <w:vAlign w:val="bottom"/>
          </w:tcPr>
          <w:p w14:paraId="7A148C4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265" w:type="dxa"/>
            <w:gridSpan w:val="3"/>
            <w:tcBorders>
              <w:top w:val="nil"/>
              <w:left w:val="single" w:sz="8" w:space="0" w:color="E0E0E0"/>
              <w:bottom w:val="nil"/>
              <w:right w:val="nil"/>
            </w:tcBorders>
            <w:shd w:val="clear" w:color="auto" w:fill="auto"/>
            <w:vAlign w:val="bottom"/>
          </w:tcPr>
          <w:p w14:paraId="015765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7CE56DD5" w14:textId="77777777" w:rsidTr="008C4317">
        <w:trPr>
          <w:cantSplit/>
          <w:trHeight w:val="283"/>
        </w:trPr>
        <w:tc>
          <w:tcPr>
            <w:tcW w:w="745" w:type="dxa"/>
            <w:vMerge/>
            <w:tcBorders>
              <w:top w:val="nil"/>
              <w:left w:val="nil"/>
              <w:bottom w:val="nil"/>
              <w:right w:val="nil"/>
            </w:tcBorders>
            <w:shd w:val="clear" w:color="auto" w:fill="auto"/>
            <w:vAlign w:val="bottom"/>
          </w:tcPr>
          <w:p w14:paraId="5B2BE86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7" w:type="dxa"/>
            <w:vMerge/>
            <w:tcBorders>
              <w:top w:val="nil"/>
              <w:left w:val="nil"/>
              <w:bottom w:val="nil"/>
              <w:right w:val="nil"/>
            </w:tcBorders>
            <w:shd w:val="clear" w:color="auto" w:fill="auto"/>
            <w:vAlign w:val="bottom"/>
          </w:tcPr>
          <w:p w14:paraId="3E7F157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8" w:type="dxa"/>
            <w:vMerge/>
            <w:tcBorders>
              <w:top w:val="nil"/>
              <w:left w:val="nil"/>
              <w:bottom w:val="nil"/>
              <w:right w:val="single" w:sz="8" w:space="0" w:color="E0E0E0"/>
            </w:tcBorders>
            <w:shd w:val="clear" w:color="auto" w:fill="auto"/>
            <w:vAlign w:val="bottom"/>
          </w:tcPr>
          <w:p w14:paraId="2C66486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378" w:type="dxa"/>
            <w:vMerge/>
            <w:tcBorders>
              <w:top w:val="nil"/>
              <w:left w:val="single" w:sz="8" w:space="0" w:color="E0E0E0"/>
              <w:bottom w:val="nil"/>
              <w:right w:val="single" w:sz="8" w:space="0" w:color="E0E0E0"/>
            </w:tcBorders>
            <w:shd w:val="clear" w:color="auto" w:fill="auto"/>
            <w:vAlign w:val="bottom"/>
          </w:tcPr>
          <w:p w14:paraId="6AF43B4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5" w:type="dxa"/>
            <w:tcBorders>
              <w:top w:val="nil"/>
              <w:left w:val="single" w:sz="8" w:space="0" w:color="E0E0E0"/>
              <w:bottom w:val="single" w:sz="8" w:space="0" w:color="152935"/>
              <w:right w:val="single" w:sz="8" w:space="0" w:color="E0E0E0"/>
            </w:tcBorders>
            <w:shd w:val="clear" w:color="auto" w:fill="auto"/>
            <w:vAlign w:val="bottom"/>
          </w:tcPr>
          <w:p w14:paraId="36941FC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962" w:type="dxa"/>
            <w:tcBorders>
              <w:top w:val="nil"/>
              <w:left w:val="single" w:sz="8" w:space="0" w:color="E0E0E0"/>
              <w:bottom w:val="single" w:sz="8" w:space="0" w:color="152935"/>
              <w:right w:val="single" w:sz="8" w:space="0" w:color="E0E0E0"/>
            </w:tcBorders>
            <w:shd w:val="clear" w:color="auto" w:fill="auto"/>
            <w:vAlign w:val="bottom"/>
          </w:tcPr>
          <w:p w14:paraId="6B936290" w14:textId="0466C06C"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IRF</w:t>
            </w:r>
          </w:p>
        </w:tc>
        <w:tc>
          <w:tcPr>
            <w:tcW w:w="2198" w:type="dxa"/>
            <w:tcBorders>
              <w:top w:val="nil"/>
              <w:left w:val="single" w:sz="8" w:space="0" w:color="E0E0E0"/>
              <w:bottom w:val="single" w:sz="8" w:space="0" w:color="152935"/>
              <w:right w:val="nil"/>
            </w:tcBorders>
            <w:shd w:val="clear" w:color="auto" w:fill="auto"/>
            <w:vAlign w:val="bottom"/>
          </w:tcPr>
          <w:p w14:paraId="10392F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RP</w:t>
            </w:r>
          </w:p>
        </w:tc>
      </w:tr>
      <w:tr w:rsidR="006E3616" w:rsidRPr="00400193" w14:paraId="1518B22B" w14:textId="77777777" w:rsidTr="008C4317">
        <w:trPr>
          <w:cantSplit/>
          <w:trHeight w:val="283"/>
        </w:trPr>
        <w:tc>
          <w:tcPr>
            <w:tcW w:w="745" w:type="dxa"/>
            <w:vMerge w:val="restart"/>
            <w:tcBorders>
              <w:top w:val="single" w:sz="8" w:space="0" w:color="152935"/>
              <w:left w:val="nil"/>
              <w:bottom w:val="single" w:sz="8" w:space="0" w:color="152935"/>
              <w:right w:val="nil"/>
            </w:tcBorders>
            <w:shd w:val="clear" w:color="auto" w:fill="auto"/>
          </w:tcPr>
          <w:p w14:paraId="08B37A9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47" w:type="dxa"/>
            <w:tcBorders>
              <w:top w:val="single" w:sz="8" w:space="0" w:color="152935"/>
              <w:left w:val="nil"/>
              <w:bottom w:val="single" w:sz="8" w:space="0" w:color="AEAEAE"/>
              <w:right w:val="nil"/>
            </w:tcBorders>
            <w:shd w:val="clear" w:color="auto" w:fill="auto"/>
          </w:tcPr>
          <w:p w14:paraId="6873CB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48" w:type="dxa"/>
            <w:tcBorders>
              <w:top w:val="single" w:sz="8" w:space="0" w:color="152935"/>
              <w:left w:val="nil"/>
              <w:bottom w:val="single" w:sz="8" w:space="0" w:color="AEAEAE"/>
              <w:right w:val="single" w:sz="8" w:space="0" w:color="E0E0E0"/>
            </w:tcBorders>
            <w:shd w:val="clear" w:color="auto" w:fill="auto"/>
          </w:tcPr>
          <w:p w14:paraId="3D4563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2.940</w:t>
            </w:r>
          </w:p>
        </w:tc>
        <w:tc>
          <w:tcPr>
            <w:tcW w:w="1378" w:type="dxa"/>
            <w:tcBorders>
              <w:top w:val="single" w:sz="8" w:space="0" w:color="152935"/>
              <w:left w:val="single" w:sz="8" w:space="0" w:color="E0E0E0"/>
              <w:bottom w:val="single" w:sz="8" w:space="0" w:color="AEAEAE"/>
              <w:right w:val="single" w:sz="8" w:space="0" w:color="E0E0E0"/>
            </w:tcBorders>
            <w:shd w:val="clear" w:color="auto" w:fill="auto"/>
          </w:tcPr>
          <w:p w14:paraId="29F9635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105" w:type="dxa"/>
            <w:tcBorders>
              <w:top w:val="single" w:sz="8" w:space="0" w:color="152935"/>
              <w:left w:val="single" w:sz="8" w:space="0" w:color="E0E0E0"/>
              <w:bottom w:val="single" w:sz="8" w:space="0" w:color="AEAEAE"/>
              <w:right w:val="single" w:sz="8" w:space="0" w:color="E0E0E0"/>
            </w:tcBorders>
            <w:shd w:val="clear" w:color="auto" w:fill="auto"/>
          </w:tcPr>
          <w:p w14:paraId="5F643BA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c>
          <w:tcPr>
            <w:tcW w:w="962" w:type="dxa"/>
            <w:tcBorders>
              <w:top w:val="single" w:sz="8" w:space="0" w:color="152935"/>
              <w:left w:val="single" w:sz="8" w:space="0" w:color="E0E0E0"/>
              <w:bottom w:val="single" w:sz="8" w:space="0" w:color="AEAEAE"/>
              <w:right w:val="single" w:sz="8" w:space="0" w:color="E0E0E0"/>
            </w:tcBorders>
            <w:shd w:val="clear" w:color="auto" w:fill="auto"/>
          </w:tcPr>
          <w:p w14:paraId="23520B2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198" w:type="dxa"/>
            <w:tcBorders>
              <w:top w:val="single" w:sz="8" w:space="0" w:color="152935"/>
              <w:left w:val="single" w:sz="8" w:space="0" w:color="E0E0E0"/>
              <w:bottom w:val="single" w:sz="8" w:space="0" w:color="AEAEAE"/>
              <w:right w:val="nil"/>
            </w:tcBorders>
            <w:shd w:val="clear" w:color="auto" w:fill="auto"/>
          </w:tcPr>
          <w:p w14:paraId="1D81BC1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r>
      <w:tr w:rsidR="006E3616" w:rsidRPr="00400193" w14:paraId="562931E3" w14:textId="77777777" w:rsidTr="008C4317">
        <w:trPr>
          <w:cantSplit/>
          <w:trHeight w:val="283"/>
        </w:trPr>
        <w:tc>
          <w:tcPr>
            <w:tcW w:w="745" w:type="dxa"/>
            <w:vMerge/>
            <w:tcBorders>
              <w:top w:val="single" w:sz="8" w:space="0" w:color="152935"/>
              <w:left w:val="nil"/>
              <w:bottom w:val="single" w:sz="8" w:space="0" w:color="152935"/>
              <w:right w:val="nil"/>
            </w:tcBorders>
            <w:shd w:val="clear" w:color="auto" w:fill="auto"/>
          </w:tcPr>
          <w:p w14:paraId="6F77D4D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7" w:type="dxa"/>
            <w:tcBorders>
              <w:top w:val="single" w:sz="8" w:space="0" w:color="AEAEAE"/>
              <w:left w:val="nil"/>
              <w:bottom w:val="single" w:sz="8" w:space="0" w:color="AEAEAE"/>
              <w:right w:val="nil"/>
            </w:tcBorders>
            <w:shd w:val="clear" w:color="auto" w:fill="auto"/>
          </w:tcPr>
          <w:p w14:paraId="632E19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48" w:type="dxa"/>
            <w:tcBorders>
              <w:top w:val="single" w:sz="8" w:space="0" w:color="AEAEAE"/>
              <w:left w:val="nil"/>
              <w:bottom w:val="single" w:sz="8" w:space="0" w:color="AEAEAE"/>
              <w:right w:val="single" w:sz="8" w:space="0" w:color="E0E0E0"/>
            </w:tcBorders>
            <w:shd w:val="clear" w:color="auto" w:fill="auto"/>
          </w:tcPr>
          <w:p w14:paraId="7AA0762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.044</w:t>
            </w:r>
          </w:p>
        </w:tc>
        <w:tc>
          <w:tcPr>
            <w:tcW w:w="1378" w:type="dxa"/>
            <w:tcBorders>
              <w:top w:val="single" w:sz="8" w:space="0" w:color="AEAEAE"/>
              <w:left w:val="single" w:sz="8" w:space="0" w:color="E0E0E0"/>
              <w:bottom w:val="single" w:sz="8" w:space="0" w:color="AEAEAE"/>
              <w:right w:val="single" w:sz="8" w:space="0" w:color="E0E0E0"/>
            </w:tcBorders>
            <w:shd w:val="clear" w:color="auto" w:fill="auto"/>
          </w:tcPr>
          <w:p w14:paraId="78E1CE9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8.145</w:t>
            </w:r>
          </w:p>
        </w:tc>
        <w:tc>
          <w:tcPr>
            <w:tcW w:w="1105" w:type="dxa"/>
            <w:tcBorders>
              <w:top w:val="single" w:sz="8" w:space="0" w:color="AEAEAE"/>
              <w:left w:val="single" w:sz="8" w:space="0" w:color="E0E0E0"/>
              <w:bottom w:val="single" w:sz="8" w:space="0" w:color="AEAEAE"/>
              <w:right w:val="single" w:sz="8" w:space="0" w:color="E0E0E0"/>
            </w:tcBorders>
            <w:shd w:val="clear" w:color="auto" w:fill="auto"/>
          </w:tcPr>
          <w:p w14:paraId="09BEA29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.09</w:t>
            </w:r>
          </w:p>
        </w:tc>
        <w:tc>
          <w:tcPr>
            <w:tcW w:w="962" w:type="dxa"/>
            <w:tcBorders>
              <w:top w:val="single" w:sz="8" w:space="0" w:color="AEAEAE"/>
              <w:left w:val="single" w:sz="8" w:space="0" w:color="E0E0E0"/>
              <w:bottom w:val="single" w:sz="8" w:space="0" w:color="AEAEAE"/>
              <w:right w:val="single" w:sz="8" w:space="0" w:color="E0E0E0"/>
            </w:tcBorders>
            <w:shd w:val="clear" w:color="auto" w:fill="auto"/>
          </w:tcPr>
          <w:p w14:paraId="716F3A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w:t>
            </w:r>
          </w:p>
        </w:tc>
        <w:tc>
          <w:tcPr>
            <w:tcW w:w="2198" w:type="dxa"/>
            <w:tcBorders>
              <w:top w:val="single" w:sz="8" w:space="0" w:color="AEAEAE"/>
              <w:left w:val="single" w:sz="8" w:space="0" w:color="E0E0E0"/>
              <w:bottom w:val="single" w:sz="8" w:space="0" w:color="AEAEAE"/>
              <w:right w:val="nil"/>
            </w:tcBorders>
            <w:shd w:val="clear" w:color="auto" w:fill="auto"/>
          </w:tcPr>
          <w:p w14:paraId="5335E89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w:t>
            </w:r>
          </w:p>
        </w:tc>
      </w:tr>
      <w:tr w:rsidR="006E3616" w:rsidRPr="00400193" w14:paraId="7A598258" w14:textId="77777777" w:rsidTr="008C4317">
        <w:trPr>
          <w:cantSplit/>
          <w:trHeight w:val="283"/>
        </w:trPr>
        <w:tc>
          <w:tcPr>
            <w:tcW w:w="745" w:type="dxa"/>
            <w:vMerge/>
            <w:tcBorders>
              <w:top w:val="single" w:sz="8" w:space="0" w:color="152935"/>
              <w:left w:val="nil"/>
              <w:bottom w:val="single" w:sz="8" w:space="0" w:color="152935"/>
              <w:right w:val="nil"/>
            </w:tcBorders>
            <w:shd w:val="clear" w:color="auto" w:fill="auto"/>
          </w:tcPr>
          <w:p w14:paraId="056BB86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47" w:type="dxa"/>
            <w:tcBorders>
              <w:top w:val="single" w:sz="8" w:space="0" w:color="AEAEAE"/>
              <w:left w:val="nil"/>
              <w:bottom w:val="single" w:sz="8" w:space="0" w:color="152935"/>
              <w:right w:val="nil"/>
            </w:tcBorders>
            <w:shd w:val="clear" w:color="auto" w:fill="auto"/>
          </w:tcPr>
          <w:p w14:paraId="108EAA6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148" w:type="dxa"/>
            <w:tcBorders>
              <w:top w:val="single" w:sz="8" w:space="0" w:color="AEAEAE"/>
              <w:left w:val="nil"/>
              <w:bottom w:val="single" w:sz="8" w:space="0" w:color="152935"/>
              <w:right w:val="single" w:sz="8" w:space="0" w:color="E0E0E0"/>
            </w:tcBorders>
            <w:shd w:val="clear" w:color="auto" w:fill="auto"/>
          </w:tcPr>
          <w:p w14:paraId="4C2B05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.016</w:t>
            </w:r>
          </w:p>
        </w:tc>
        <w:tc>
          <w:tcPr>
            <w:tcW w:w="1378" w:type="dxa"/>
            <w:tcBorders>
              <w:top w:val="single" w:sz="8" w:space="0" w:color="AEAEAE"/>
              <w:left w:val="single" w:sz="8" w:space="0" w:color="E0E0E0"/>
              <w:bottom w:val="single" w:sz="8" w:space="0" w:color="152935"/>
              <w:right w:val="single" w:sz="8" w:space="0" w:color="E0E0E0"/>
            </w:tcBorders>
            <w:shd w:val="clear" w:color="auto" w:fill="auto"/>
          </w:tcPr>
          <w:p w14:paraId="2991579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13.729</w:t>
            </w:r>
          </w:p>
        </w:tc>
        <w:tc>
          <w:tcPr>
            <w:tcW w:w="1105" w:type="dxa"/>
            <w:tcBorders>
              <w:top w:val="single" w:sz="8" w:space="0" w:color="AEAEAE"/>
              <w:left w:val="single" w:sz="8" w:space="0" w:color="E0E0E0"/>
              <w:bottom w:val="single" w:sz="8" w:space="0" w:color="152935"/>
              <w:right w:val="single" w:sz="8" w:space="0" w:color="E0E0E0"/>
            </w:tcBorders>
            <w:shd w:val="clear" w:color="auto" w:fill="auto"/>
          </w:tcPr>
          <w:p w14:paraId="47DAC4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.91</w:t>
            </w:r>
          </w:p>
        </w:tc>
        <w:tc>
          <w:tcPr>
            <w:tcW w:w="962" w:type="dxa"/>
            <w:tcBorders>
              <w:top w:val="single" w:sz="8" w:space="0" w:color="AEAEAE"/>
              <w:left w:val="single" w:sz="8" w:space="0" w:color="E0E0E0"/>
              <w:bottom w:val="single" w:sz="8" w:space="0" w:color="152935"/>
              <w:right w:val="single" w:sz="8" w:space="0" w:color="E0E0E0"/>
            </w:tcBorders>
            <w:shd w:val="clear" w:color="auto" w:fill="auto"/>
          </w:tcPr>
          <w:p w14:paraId="2EC290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c>
          <w:tcPr>
            <w:tcW w:w="2198" w:type="dxa"/>
            <w:tcBorders>
              <w:top w:val="single" w:sz="8" w:space="0" w:color="AEAEAE"/>
              <w:left w:val="single" w:sz="8" w:space="0" w:color="E0E0E0"/>
              <w:bottom w:val="single" w:sz="8" w:space="0" w:color="152935"/>
              <w:right w:val="nil"/>
            </w:tcBorders>
            <w:shd w:val="clear" w:color="auto" w:fill="auto"/>
          </w:tcPr>
          <w:p w14:paraId="793B7DE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.88</w:t>
            </w:r>
          </w:p>
        </w:tc>
      </w:tr>
      <w:tr w:rsidR="006E3616" w:rsidRPr="00400193" w14:paraId="7984F0E7" w14:textId="77777777" w:rsidTr="008C4317">
        <w:trPr>
          <w:cantSplit/>
          <w:trHeight w:val="283"/>
        </w:trPr>
        <w:tc>
          <w:tcPr>
            <w:tcW w:w="8683" w:type="dxa"/>
            <w:gridSpan w:val="7"/>
            <w:tcBorders>
              <w:top w:val="nil"/>
              <w:left w:val="nil"/>
              <w:bottom w:val="nil"/>
              <w:right w:val="nil"/>
            </w:tcBorders>
            <w:shd w:val="clear" w:color="auto" w:fill="auto"/>
          </w:tcPr>
          <w:p w14:paraId="56EA672C"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7C1AB9A9" w14:textId="649D8FFA" w:rsidR="006E3616" w:rsidRPr="00400193" w:rsidRDefault="006E3616" w:rsidP="006E3616">
      <w:pPr>
        <w:pStyle w:val="Caption"/>
        <w:spacing w:after="240"/>
      </w:pPr>
      <w:bookmarkStart w:id="716" w:name="_Ref51587947"/>
      <w:bookmarkStart w:id="717" w:name="_Toc5290163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88</w:t>
      </w:r>
      <w:r w:rsidRPr="00400193">
        <w:fldChar w:fldCharType="end"/>
      </w:r>
      <w:bookmarkEnd w:id="716"/>
      <w:r w:rsidRPr="00400193">
        <w:t>: Testing the collinearity between variables for VW</w:t>
      </w:r>
      <w:bookmarkEnd w:id="717"/>
    </w:p>
    <w:p w14:paraId="28519064" w14:textId="77777777" w:rsidR="006E3616" w:rsidRPr="00400193" w:rsidRDefault="006E3616" w:rsidP="006E3616">
      <w:pPr>
        <w:rPr>
          <w:lang w:eastAsia="zh-CN" w:bidi="hi-IN"/>
        </w:rPr>
      </w:pPr>
      <w:r w:rsidRPr="00400193">
        <w:rPr>
          <w:lang w:eastAsia="zh-CN" w:bidi="hi-IN"/>
        </w:rPr>
        <w:t>The condition index for all variables but one was less than 10. The remaining variable had a condition index greater than 10 and less than 30. This indicates moderate collinearity.</w:t>
      </w:r>
    </w:p>
    <w:p w14:paraId="5C1D19E1" w14:textId="77777777" w:rsidR="006E3616" w:rsidRPr="00400193" w:rsidRDefault="006E3616" w:rsidP="003C3496">
      <w:pPr>
        <w:pStyle w:val="Heading4"/>
        <w:rPr>
          <w:lang w:eastAsia="zh-CN" w:bidi="hi-IN"/>
        </w:rPr>
      </w:pPr>
      <w:bookmarkStart w:id="718" w:name="_Toc61894787"/>
      <w:r w:rsidRPr="00400193">
        <w:rPr>
          <w:lang w:eastAsia="zh-CN" w:bidi="hi-IN"/>
        </w:rPr>
        <w:t>Examining Residuals using Scatter Plots</w:t>
      </w:r>
      <w:bookmarkEnd w:id="718"/>
      <w:r w:rsidRPr="00400193">
        <w:rPr>
          <w:lang w:eastAsia="zh-CN" w:bidi="hi-IN"/>
        </w:rPr>
        <w:t xml:space="preserve"> </w:t>
      </w:r>
    </w:p>
    <w:p w14:paraId="6376A680" w14:textId="3645F863"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8C4317" w:rsidRPr="00400193">
        <w:rPr>
          <w:lang w:eastAsia="zh-CN" w:bidi="hi-IN"/>
        </w:rPr>
        <w:fldChar w:fldCharType="begin"/>
      </w:r>
      <w:r w:rsidR="008C4317" w:rsidRPr="00400193">
        <w:rPr>
          <w:lang w:eastAsia="zh-CN" w:bidi="hi-IN"/>
        </w:rPr>
        <w:instrText xml:space="preserve"> REF _Ref51588077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89</w:t>
      </w:r>
      <w:r w:rsidR="008C4317" w:rsidRPr="00400193">
        <w:rPr>
          <w:lang w:eastAsia="zh-CN" w:bidi="hi-IN"/>
        </w:rPr>
        <w:fldChar w:fldCharType="end"/>
      </w:r>
      <w:r w:rsidRPr="00400193">
        <w:rPr>
          <w:lang w:eastAsia="zh-CN" w:bidi="hi-IN"/>
        </w:rPr>
        <w:t xml:space="preserve">. The results check the residual mean is zero. </w:t>
      </w:r>
      <w:r w:rsidR="008C4317" w:rsidRPr="00400193">
        <w:rPr>
          <w:lang w:eastAsia="zh-CN" w:bidi="hi-IN"/>
        </w:rPr>
        <w:fldChar w:fldCharType="begin"/>
      </w:r>
      <w:r w:rsidR="008C4317" w:rsidRPr="00400193">
        <w:rPr>
          <w:lang w:eastAsia="zh-CN" w:bidi="hi-IN"/>
        </w:rPr>
        <w:instrText xml:space="preserve"> REF _Ref51338003 \h </w:instrText>
      </w:r>
      <w:r w:rsidR="008C4317" w:rsidRPr="00400193">
        <w:rPr>
          <w:lang w:eastAsia="zh-CN" w:bidi="hi-IN"/>
        </w:rPr>
      </w:r>
      <w:r w:rsidR="008C4317"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31</w:t>
      </w:r>
      <w:r w:rsidR="008C4317" w:rsidRPr="00400193">
        <w:rPr>
          <w:lang w:eastAsia="zh-CN" w:bidi="hi-IN"/>
        </w:rPr>
        <w:fldChar w:fldCharType="end"/>
      </w:r>
      <w:r w:rsidRPr="00400193">
        <w:rPr>
          <w:lang w:eastAsia="zh-CN" w:bidi="hi-IN"/>
        </w:rPr>
        <w:t xml:space="preserve"> and </w:t>
      </w:r>
      <w:r w:rsidR="008C4317" w:rsidRPr="00400193">
        <w:rPr>
          <w:lang w:eastAsia="zh-CN" w:bidi="hi-IN"/>
        </w:rPr>
        <w:fldChar w:fldCharType="begin"/>
      </w:r>
      <w:r w:rsidR="008C4317" w:rsidRPr="00400193">
        <w:rPr>
          <w:lang w:eastAsia="zh-CN" w:bidi="hi-IN"/>
        </w:rPr>
        <w:instrText xml:space="preserve"> REF _Ref51338017 \h </w:instrText>
      </w:r>
      <w:r w:rsidR="008C4317" w:rsidRPr="00400193">
        <w:rPr>
          <w:lang w:eastAsia="zh-CN" w:bidi="hi-IN"/>
        </w:rPr>
      </w:r>
      <w:r w:rsidR="008C4317"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32</w:t>
      </w:r>
      <w:r w:rsidR="008C4317" w:rsidRPr="00400193">
        <w:rPr>
          <w:lang w:eastAsia="zh-CN" w:bidi="hi-IN"/>
        </w:rPr>
        <w:fldChar w:fldCharType="end"/>
      </w:r>
      <w:r w:rsidRPr="00400193">
        <w:rPr>
          <w:lang w:eastAsia="zh-CN" w:bidi="hi-IN"/>
        </w:rPr>
        <w:t xml:space="preserve"> show that there is no pattern of behaviour of the residuals with respect to Y. The assumption of error term independence is therefore not violated.</w:t>
      </w:r>
    </w:p>
    <w:tbl>
      <w:tblPr>
        <w:tblW w:w="88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6"/>
        <w:gridCol w:w="1027"/>
        <w:gridCol w:w="1056"/>
        <w:gridCol w:w="983"/>
        <w:gridCol w:w="1380"/>
        <w:gridCol w:w="2537"/>
      </w:tblGrid>
      <w:tr w:rsidR="006E3616" w:rsidRPr="00400193" w14:paraId="451E3130" w14:textId="77777777" w:rsidTr="008C4317">
        <w:trPr>
          <w:cantSplit/>
          <w:trHeight w:val="283"/>
        </w:trPr>
        <w:tc>
          <w:tcPr>
            <w:tcW w:w="8879" w:type="dxa"/>
            <w:gridSpan w:val="6"/>
            <w:tcBorders>
              <w:top w:val="nil"/>
              <w:left w:val="nil"/>
              <w:bottom w:val="nil"/>
              <w:right w:val="nil"/>
            </w:tcBorders>
            <w:shd w:val="clear" w:color="auto" w:fill="auto"/>
            <w:vAlign w:val="center"/>
          </w:tcPr>
          <w:p w14:paraId="59DE6D9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1975BE78" w14:textId="77777777" w:rsidTr="008C4317">
        <w:trPr>
          <w:cantSplit/>
          <w:trHeight w:val="283"/>
        </w:trPr>
        <w:tc>
          <w:tcPr>
            <w:tcW w:w="1896" w:type="dxa"/>
            <w:tcBorders>
              <w:top w:val="nil"/>
              <w:left w:val="nil"/>
              <w:bottom w:val="single" w:sz="8" w:space="0" w:color="152935"/>
              <w:right w:val="nil"/>
            </w:tcBorders>
            <w:shd w:val="clear" w:color="auto" w:fill="auto"/>
            <w:vAlign w:val="bottom"/>
          </w:tcPr>
          <w:p w14:paraId="3251CC4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27" w:type="dxa"/>
            <w:tcBorders>
              <w:top w:val="nil"/>
              <w:left w:val="nil"/>
              <w:bottom w:val="single" w:sz="8" w:space="0" w:color="152935"/>
              <w:right w:val="single" w:sz="8" w:space="0" w:color="E0E0E0"/>
            </w:tcBorders>
            <w:shd w:val="clear" w:color="auto" w:fill="auto"/>
            <w:vAlign w:val="bottom"/>
          </w:tcPr>
          <w:p w14:paraId="071702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56" w:type="dxa"/>
            <w:tcBorders>
              <w:top w:val="nil"/>
              <w:left w:val="single" w:sz="8" w:space="0" w:color="E0E0E0"/>
              <w:bottom w:val="single" w:sz="8" w:space="0" w:color="152935"/>
              <w:right w:val="single" w:sz="8" w:space="0" w:color="E0E0E0"/>
            </w:tcBorders>
            <w:shd w:val="clear" w:color="auto" w:fill="auto"/>
            <w:vAlign w:val="bottom"/>
          </w:tcPr>
          <w:p w14:paraId="18BA991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3" w:type="dxa"/>
            <w:tcBorders>
              <w:top w:val="nil"/>
              <w:left w:val="single" w:sz="8" w:space="0" w:color="E0E0E0"/>
              <w:bottom w:val="single" w:sz="8" w:space="0" w:color="152935"/>
              <w:right w:val="single" w:sz="8" w:space="0" w:color="E0E0E0"/>
            </w:tcBorders>
            <w:shd w:val="clear" w:color="auto" w:fill="auto"/>
            <w:vAlign w:val="bottom"/>
          </w:tcPr>
          <w:p w14:paraId="4990CC8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80" w:type="dxa"/>
            <w:tcBorders>
              <w:top w:val="nil"/>
              <w:left w:val="single" w:sz="8" w:space="0" w:color="E0E0E0"/>
              <w:bottom w:val="single" w:sz="8" w:space="0" w:color="152935"/>
              <w:right w:val="single" w:sz="8" w:space="0" w:color="E0E0E0"/>
            </w:tcBorders>
            <w:shd w:val="clear" w:color="auto" w:fill="auto"/>
            <w:vAlign w:val="bottom"/>
          </w:tcPr>
          <w:p w14:paraId="5303D69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534" w:type="dxa"/>
            <w:tcBorders>
              <w:top w:val="nil"/>
              <w:left w:val="single" w:sz="8" w:space="0" w:color="E0E0E0"/>
              <w:bottom w:val="single" w:sz="8" w:space="0" w:color="152935"/>
              <w:right w:val="nil"/>
            </w:tcBorders>
            <w:shd w:val="clear" w:color="auto" w:fill="auto"/>
            <w:vAlign w:val="bottom"/>
          </w:tcPr>
          <w:p w14:paraId="554D81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081C2EA4" w14:textId="77777777" w:rsidTr="008C4317">
        <w:trPr>
          <w:cantSplit/>
          <w:trHeight w:val="283"/>
        </w:trPr>
        <w:tc>
          <w:tcPr>
            <w:tcW w:w="1896" w:type="dxa"/>
            <w:tcBorders>
              <w:top w:val="single" w:sz="8" w:space="0" w:color="152935"/>
              <w:left w:val="nil"/>
              <w:bottom w:val="single" w:sz="8" w:space="0" w:color="AEAEAE"/>
              <w:right w:val="nil"/>
            </w:tcBorders>
            <w:shd w:val="clear" w:color="auto" w:fill="auto"/>
          </w:tcPr>
          <w:p w14:paraId="5518C08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27" w:type="dxa"/>
            <w:tcBorders>
              <w:top w:val="single" w:sz="8" w:space="0" w:color="152935"/>
              <w:left w:val="nil"/>
              <w:bottom w:val="single" w:sz="8" w:space="0" w:color="AEAEAE"/>
              <w:right w:val="single" w:sz="8" w:space="0" w:color="E0E0E0"/>
            </w:tcBorders>
            <w:shd w:val="clear" w:color="auto" w:fill="auto"/>
          </w:tcPr>
          <w:p w14:paraId="319F11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1.8162</w:t>
            </w:r>
          </w:p>
        </w:tc>
        <w:tc>
          <w:tcPr>
            <w:tcW w:w="1056" w:type="dxa"/>
            <w:tcBorders>
              <w:top w:val="single" w:sz="8" w:space="0" w:color="152935"/>
              <w:left w:val="single" w:sz="8" w:space="0" w:color="E0E0E0"/>
              <w:bottom w:val="single" w:sz="8" w:space="0" w:color="AEAEAE"/>
              <w:right w:val="single" w:sz="8" w:space="0" w:color="E0E0E0"/>
            </w:tcBorders>
            <w:shd w:val="clear" w:color="auto" w:fill="auto"/>
          </w:tcPr>
          <w:p w14:paraId="3E6C4B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4.3270</w:t>
            </w:r>
          </w:p>
        </w:tc>
        <w:tc>
          <w:tcPr>
            <w:tcW w:w="983" w:type="dxa"/>
            <w:tcBorders>
              <w:top w:val="single" w:sz="8" w:space="0" w:color="152935"/>
              <w:left w:val="single" w:sz="8" w:space="0" w:color="E0E0E0"/>
              <w:bottom w:val="single" w:sz="8" w:space="0" w:color="AEAEAE"/>
              <w:right w:val="single" w:sz="8" w:space="0" w:color="E0E0E0"/>
            </w:tcBorders>
            <w:shd w:val="clear" w:color="auto" w:fill="auto"/>
          </w:tcPr>
          <w:p w14:paraId="5B90C3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80" w:type="dxa"/>
            <w:tcBorders>
              <w:top w:val="single" w:sz="8" w:space="0" w:color="152935"/>
              <w:left w:val="single" w:sz="8" w:space="0" w:color="E0E0E0"/>
              <w:bottom w:val="single" w:sz="8" w:space="0" w:color="AEAEAE"/>
              <w:right w:val="single" w:sz="8" w:space="0" w:color="E0E0E0"/>
            </w:tcBorders>
            <w:shd w:val="clear" w:color="auto" w:fill="auto"/>
          </w:tcPr>
          <w:p w14:paraId="5BBB17D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.47666</w:t>
            </w:r>
          </w:p>
        </w:tc>
        <w:tc>
          <w:tcPr>
            <w:tcW w:w="2534" w:type="dxa"/>
            <w:tcBorders>
              <w:top w:val="single" w:sz="8" w:space="0" w:color="152935"/>
              <w:left w:val="single" w:sz="8" w:space="0" w:color="E0E0E0"/>
              <w:bottom w:val="single" w:sz="8" w:space="0" w:color="AEAEAE"/>
              <w:right w:val="nil"/>
            </w:tcBorders>
            <w:shd w:val="clear" w:color="auto" w:fill="auto"/>
          </w:tcPr>
          <w:p w14:paraId="338ECB5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F793BFB" w14:textId="77777777" w:rsidTr="008C4317">
        <w:trPr>
          <w:cantSplit/>
          <w:trHeight w:val="283"/>
        </w:trPr>
        <w:tc>
          <w:tcPr>
            <w:tcW w:w="1896" w:type="dxa"/>
            <w:tcBorders>
              <w:top w:val="single" w:sz="8" w:space="0" w:color="AEAEAE"/>
              <w:left w:val="nil"/>
              <w:bottom w:val="single" w:sz="8" w:space="0" w:color="AEAEAE"/>
              <w:right w:val="nil"/>
            </w:tcBorders>
            <w:shd w:val="clear" w:color="auto" w:fill="auto"/>
          </w:tcPr>
          <w:p w14:paraId="3C35EF1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27" w:type="dxa"/>
            <w:tcBorders>
              <w:top w:val="single" w:sz="8" w:space="0" w:color="AEAEAE"/>
              <w:left w:val="nil"/>
              <w:bottom w:val="single" w:sz="8" w:space="0" w:color="AEAEAE"/>
              <w:right w:val="single" w:sz="8" w:space="0" w:color="E0E0E0"/>
            </w:tcBorders>
            <w:shd w:val="clear" w:color="auto" w:fill="auto"/>
          </w:tcPr>
          <w:p w14:paraId="7C232BC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−.85228</w:t>
            </w:r>
          </w:p>
        </w:tc>
        <w:tc>
          <w:tcPr>
            <w:tcW w:w="1056" w:type="dxa"/>
            <w:tcBorders>
              <w:top w:val="single" w:sz="8" w:space="0" w:color="AEAEAE"/>
              <w:left w:val="single" w:sz="8" w:space="0" w:color="E0E0E0"/>
              <w:bottom w:val="single" w:sz="8" w:space="0" w:color="AEAEAE"/>
              <w:right w:val="single" w:sz="8" w:space="0" w:color="E0E0E0"/>
            </w:tcBorders>
            <w:shd w:val="clear" w:color="auto" w:fill="auto"/>
          </w:tcPr>
          <w:p w14:paraId="6C54A33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.67297</w:t>
            </w:r>
          </w:p>
        </w:tc>
        <w:tc>
          <w:tcPr>
            <w:tcW w:w="983" w:type="dxa"/>
            <w:tcBorders>
              <w:top w:val="single" w:sz="8" w:space="0" w:color="AEAEAE"/>
              <w:left w:val="single" w:sz="8" w:space="0" w:color="E0E0E0"/>
              <w:bottom w:val="single" w:sz="8" w:space="0" w:color="AEAEAE"/>
              <w:right w:val="single" w:sz="8" w:space="0" w:color="E0E0E0"/>
            </w:tcBorders>
            <w:shd w:val="clear" w:color="auto" w:fill="auto"/>
          </w:tcPr>
          <w:p w14:paraId="0605D7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80" w:type="dxa"/>
            <w:tcBorders>
              <w:top w:val="single" w:sz="8" w:space="0" w:color="AEAEAE"/>
              <w:left w:val="single" w:sz="8" w:space="0" w:color="E0E0E0"/>
              <w:bottom w:val="single" w:sz="8" w:space="0" w:color="AEAEAE"/>
              <w:right w:val="single" w:sz="8" w:space="0" w:color="E0E0E0"/>
            </w:tcBorders>
            <w:shd w:val="clear" w:color="auto" w:fill="auto"/>
          </w:tcPr>
          <w:p w14:paraId="291EEE7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.35409</w:t>
            </w:r>
          </w:p>
        </w:tc>
        <w:tc>
          <w:tcPr>
            <w:tcW w:w="2534" w:type="dxa"/>
            <w:tcBorders>
              <w:top w:val="single" w:sz="8" w:space="0" w:color="AEAEAE"/>
              <w:left w:val="single" w:sz="8" w:space="0" w:color="E0E0E0"/>
              <w:bottom w:val="single" w:sz="8" w:space="0" w:color="AEAEAE"/>
              <w:right w:val="nil"/>
            </w:tcBorders>
            <w:shd w:val="clear" w:color="auto" w:fill="auto"/>
          </w:tcPr>
          <w:p w14:paraId="22AE30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7C77DBA4" w14:textId="77777777" w:rsidTr="008C4317">
        <w:trPr>
          <w:cantSplit/>
          <w:trHeight w:val="283"/>
        </w:trPr>
        <w:tc>
          <w:tcPr>
            <w:tcW w:w="1896" w:type="dxa"/>
            <w:tcBorders>
              <w:top w:val="single" w:sz="8" w:space="0" w:color="AEAEAE"/>
              <w:left w:val="nil"/>
              <w:bottom w:val="single" w:sz="8" w:space="0" w:color="AEAEAE"/>
              <w:right w:val="nil"/>
            </w:tcBorders>
            <w:shd w:val="clear" w:color="auto" w:fill="auto"/>
          </w:tcPr>
          <w:p w14:paraId="38FEC56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27" w:type="dxa"/>
            <w:tcBorders>
              <w:top w:val="single" w:sz="8" w:space="0" w:color="AEAEAE"/>
              <w:left w:val="nil"/>
              <w:bottom w:val="single" w:sz="8" w:space="0" w:color="AEAEAE"/>
              <w:right w:val="single" w:sz="8" w:space="0" w:color="E0E0E0"/>
            </w:tcBorders>
            <w:shd w:val="clear" w:color="auto" w:fill="auto"/>
          </w:tcPr>
          <w:p w14:paraId="20E8DE1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−2.908</w:t>
            </w:r>
          </w:p>
        </w:tc>
        <w:tc>
          <w:tcPr>
            <w:tcW w:w="1056" w:type="dxa"/>
            <w:tcBorders>
              <w:top w:val="single" w:sz="8" w:space="0" w:color="AEAEAE"/>
              <w:left w:val="single" w:sz="8" w:space="0" w:color="E0E0E0"/>
              <w:bottom w:val="single" w:sz="8" w:space="0" w:color="AEAEAE"/>
              <w:right w:val="single" w:sz="8" w:space="0" w:color="E0E0E0"/>
            </w:tcBorders>
            <w:shd w:val="clear" w:color="auto" w:fill="auto"/>
          </w:tcPr>
          <w:p w14:paraId="209DA72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2.359</w:t>
            </w:r>
          </w:p>
        </w:tc>
        <w:tc>
          <w:tcPr>
            <w:tcW w:w="983" w:type="dxa"/>
            <w:tcBorders>
              <w:top w:val="single" w:sz="8" w:space="0" w:color="AEAEAE"/>
              <w:left w:val="single" w:sz="8" w:space="0" w:color="E0E0E0"/>
              <w:bottom w:val="single" w:sz="8" w:space="0" w:color="AEAEAE"/>
              <w:right w:val="single" w:sz="8" w:space="0" w:color="E0E0E0"/>
            </w:tcBorders>
            <w:shd w:val="clear" w:color="auto" w:fill="auto"/>
          </w:tcPr>
          <w:p w14:paraId="5B22218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0" w:type="dxa"/>
            <w:tcBorders>
              <w:top w:val="single" w:sz="8" w:space="0" w:color="AEAEAE"/>
              <w:left w:val="single" w:sz="8" w:space="0" w:color="E0E0E0"/>
              <w:bottom w:val="single" w:sz="8" w:space="0" w:color="AEAEAE"/>
              <w:right w:val="single" w:sz="8" w:space="0" w:color="E0E0E0"/>
            </w:tcBorders>
            <w:shd w:val="clear" w:color="auto" w:fill="auto"/>
          </w:tcPr>
          <w:p w14:paraId="476C8E1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534" w:type="dxa"/>
            <w:tcBorders>
              <w:top w:val="single" w:sz="8" w:space="0" w:color="AEAEAE"/>
              <w:left w:val="single" w:sz="8" w:space="0" w:color="E0E0E0"/>
              <w:bottom w:val="single" w:sz="8" w:space="0" w:color="AEAEAE"/>
              <w:right w:val="nil"/>
            </w:tcBorders>
            <w:shd w:val="clear" w:color="auto" w:fill="auto"/>
          </w:tcPr>
          <w:p w14:paraId="2A93A04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6588AB0" w14:textId="77777777" w:rsidTr="008C4317">
        <w:trPr>
          <w:cantSplit/>
          <w:trHeight w:val="283"/>
        </w:trPr>
        <w:tc>
          <w:tcPr>
            <w:tcW w:w="1896" w:type="dxa"/>
            <w:tcBorders>
              <w:top w:val="single" w:sz="8" w:space="0" w:color="AEAEAE"/>
              <w:left w:val="nil"/>
              <w:bottom w:val="single" w:sz="8" w:space="0" w:color="152935"/>
              <w:right w:val="nil"/>
            </w:tcBorders>
            <w:shd w:val="clear" w:color="auto" w:fill="auto"/>
          </w:tcPr>
          <w:p w14:paraId="1D32105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27" w:type="dxa"/>
            <w:tcBorders>
              <w:top w:val="single" w:sz="8" w:space="0" w:color="AEAEAE"/>
              <w:left w:val="nil"/>
              <w:bottom w:val="single" w:sz="8" w:space="0" w:color="152935"/>
              <w:right w:val="single" w:sz="8" w:space="0" w:color="E0E0E0"/>
            </w:tcBorders>
            <w:shd w:val="clear" w:color="auto" w:fill="auto"/>
          </w:tcPr>
          <w:p w14:paraId="24AA043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−2.383</w:t>
            </w:r>
          </w:p>
        </w:tc>
        <w:tc>
          <w:tcPr>
            <w:tcW w:w="1056" w:type="dxa"/>
            <w:tcBorders>
              <w:top w:val="single" w:sz="8" w:space="0" w:color="AEAEAE"/>
              <w:left w:val="single" w:sz="8" w:space="0" w:color="E0E0E0"/>
              <w:bottom w:val="single" w:sz="8" w:space="0" w:color="152935"/>
              <w:right w:val="single" w:sz="8" w:space="0" w:color="E0E0E0"/>
            </w:tcBorders>
            <w:shd w:val="clear" w:color="auto" w:fill="auto"/>
          </w:tcPr>
          <w:p w14:paraId="2970A2A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1.882</w:t>
            </w:r>
          </w:p>
        </w:tc>
        <w:tc>
          <w:tcPr>
            <w:tcW w:w="983" w:type="dxa"/>
            <w:tcBorders>
              <w:top w:val="single" w:sz="8" w:space="0" w:color="AEAEAE"/>
              <w:left w:val="single" w:sz="8" w:space="0" w:color="E0E0E0"/>
              <w:bottom w:val="single" w:sz="8" w:space="0" w:color="152935"/>
              <w:right w:val="single" w:sz="8" w:space="0" w:color="E0E0E0"/>
            </w:tcBorders>
            <w:shd w:val="clear" w:color="auto" w:fill="auto"/>
          </w:tcPr>
          <w:p w14:paraId="611D818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0" w:type="dxa"/>
            <w:tcBorders>
              <w:top w:val="single" w:sz="8" w:space="0" w:color="AEAEAE"/>
              <w:left w:val="single" w:sz="8" w:space="0" w:color="E0E0E0"/>
              <w:bottom w:val="single" w:sz="8" w:space="0" w:color="152935"/>
              <w:right w:val="single" w:sz="8" w:space="0" w:color="E0E0E0"/>
            </w:tcBorders>
            <w:shd w:val="clear" w:color="auto" w:fill="auto"/>
          </w:tcPr>
          <w:p w14:paraId="43FE876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.990</w:t>
            </w:r>
          </w:p>
        </w:tc>
        <w:tc>
          <w:tcPr>
            <w:tcW w:w="2534" w:type="dxa"/>
            <w:tcBorders>
              <w:top w:val="single" w:sz="8" w:space="0" w:color="AEAEAE"/>
              <w:left w:val="single" w:sz="8" w:space="0" w:color="E0E0E0"/>
              <w:bottom w:val="single" w:sz="8" w:space="0" w:color="152935"/>
              <w:right w:val="nil"/>
            </w:tcBorders>
            <w:shd w:val="clear" w:color="auto" w:fill="auto"/>
          </w:tcPr>
          <w:p w14:paraId="169D948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493E3EDD" w14:textId="77777777" w:rsidTr="008C4317">
        <w:trPr>
          <w:cantSplit/>
          <w:trHeight w:val="283"/>
        </w:trPr>
        <w:tc>
          <w:tcPr>
            <w:tcW w:w="8879" w:type="dxa"/>
            <w:gridSpan w:val="6"/>
            <w:tcBorders>
              <w:top w:val="nil"/>
              <w:left w:val="nil"/>
              <w:bottom w:val="nil"/>
              <w:right w:val="nil"/>
            </w:tcBorders>
            <w:shd w:val="clear" w:color="auto" w:fill="auto"/>
          </w:tcPr>
          <w:p w14:paraId="7DCD54E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73FE7953" w14:textId="106C9460" w:rsidR="006E3616" w:rsidRPr="00400193" w:rsidRDefault="006E3616" w:rsidP="006E3616">
      <w:pPr>
        <w:pStyle w:val="Caption"/>
        <w:spacing w:after="240"/>
      </w:pPr>
      <w:bookmarkStart w:id="719" w:name="_Ref51588077"/>
      <w:bookmarkStart w:id="720" w:name="_Toc5290163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89</w:t>
      </w:r>
      <w:r w:rsidRPr="00400193">
        <w:fldChar w:fldCharType="end"/>
      </w:r>
      <w:bookmarkEnd w:id="719"/>
      <w:r w:rsidRPr="00400193">
        <w:t>: Residual statistics of the model regression for VW</w:t>
      </w:r>
      <w:bookmarkEnd w:id="720"/>
    </w:p>
    <w:p w14:paraId="04816B94" w14:textId="0713E7D1" w:rsidR="006E3616" w:rsidRPr="00400193" w:rsidRDefault="00EA3CB5" w:rsidP="006E3616">
      <w:pPr>
        <w:rPr>
          <w:lang w:eastAsia="zh-CN" w:bidi="hi-IN"/>
        </w:rPr>
      </w:pPr>
      <w:r w:rsidRPr="00400193">
        <w:rPr>
          <w:lang w:eastAsia="zh-CN" w:bidi="hi-IN"/>
        </w:rPr>
        <w:fldChar w:fldCharType="begin"/>
      </w:r>
      <w:r w:rsidRPr="00400193">
        <w:rPr>
          <w:lang w:eastAsia="zh-CN" w:bidi="hi-IN"/>
        </w:rPr>
        <w:instrText xml:space="preserve"> REF _Ref51338003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31</w:t>
      </w:r>
      <w:r w:rsidRPr="00400193">
        <w:rPr>
          <w:lang w:eastAsia="zh-CN" w:bidi="hi-IN"/>
        </w:rPr>
        <w:fldChar w:fldCharType="end"/>
      </w:r>
      <w:r w:rsidR="00817E92" w:rsidRPr="00400193">
        <w:rPr>
          <w:lang w:eastAsia="zh-CN" w:bidi="hi-IN"/>
        </w:rPr>
        <w:t xml:space="preserve">, </w:t>
      </w:r>
      <w:r w:rsidRPr="00400193">
        <w:rPr>
          <w:lang w:eastAsia="zh-CN" w:bidi="hi-IN"/>
        </w:rPr>
        <w:fldChar w:fldCharType="begin"/>
      </w:r>
      <w:r w:rsidRPr="00400193">
        <w:rPr>
          <w:lang w:eastAsia="zh-CN" w:bidi="hi-IN"/>
        </w:rPr>
        <w:instrText xml:space="preserve"> REF _Ref51338017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32</w:t>
      </w:r>
      <w:r w:rsidRPr="00400193">
        <w:rPr>
          <w:lang w:eastAsia="zh-CN" w:bidi="hi-IN"/>
        </w:rPr>
        <w:fldChar w:fldCharType="end"/>
      </w:r>
      <w:r w:rsidR="00817E92" w:rsidRPr="00400193">
        <w:rPr>
          <w:lang w:eastAsia="zh-CN" w:bidi="hi-IN"/>
        </w:rPr>
        <w:t xml:space="preserve">, and </w:t>
      </w:r>
      <w:r w:rsidR="00817E92" w:rsidRPr="00400193">
        <w:rPr>
          <w:lang w:eastAsia="zh-CN" w:bidi="hi-IN"/>
        </w:rPr>
        <w:fldChar w:fldCharType="begin"/>
      </w:r>
      <w:r w:rsidR="00817E92" w:rsidRPr="00400193">
        <w:rPr>
          <w:lang w:eastAsia="zh-CN" w:bidi="hi-IN"/>
        </w:rPr>
        <w:instrText xml:space="preserve"> REF _Ref51338295 \h </w:instrText>
      </w:r>
      <w:r w:rsidR="00817E92" w:rsidRPr="00400193">
        <w:rPr>
          <w:lang w:eastAsia="zh-CN" w:bidi="hi-IN"/>
        </w:rPr>
      </w:r>
      <w:r w:rsidR="00817E92"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33</w:t>
      </w:r>
      <w:r w:rsidR="00817E92" w:rsidRPr="00400193">
        <w:rPr>
          <w:lang w:eastAsia="zh-CN" w:bidi="hi-IN"/>
        </w:rPr>
        <w:fldChar w:fldCharType="end"/>
      </w:r>
      <w:r w:rsidR="006E3616" w:rsidRPr="00400193">
        <w:rPr>
          <w:lang w:eastAsia="zh-CN" w:bidi="hi-IN"/>
        </w:rPr>
        <w:t xml:space="preserve"> show that the distribution is bell-shaped and has less gap in the centre that may in part be a consequence of the defined intervals. </w:t>
      </w:r>
    </w:p>
    <w:p w14:paraId="7408BB25"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34CC4C9A" wp14:editId="53DA34EA">
            <wp:extent cx="5760000" cy="3240000"/>
            <wp:effectExtent l="19050" t="19050" r="12700" b="17780"/>
            <wp:docPr id="403"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3C5E3F8" w14:textId="0A8A819C" w:rsidR="00DE4CB6" w:rsidRPr="00400193" w:rsidRDefault="006E3616" w:rsidP="00DE4CB6">
      <w:pPr>
        <w:pStyle w:val="Caption"/>
      </w:pPr>
      <w:bookmarkStart w:id="721" w:name="_Ref51338003"/>
      <w:bookmarkStart w:id="722" w:name="_Toc5538760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31</w:t>
      </w:r>
      <w:r w:rsidR="00E35E8C" w:rsidRPr="00400193">
        <w:fldChar w:fldCharType="end"/>
      </w:r>
      <w:bookmarkEnd w:id="721"/>
      <w:r w:rsidRPr="00400193">
        <w:t>: Scatter plot for residual results from the model for VW</w:t>
      </w:r>
      <w:bookmarkEnd w:id="722"/>
    </w:p>
    <w:p w14:paraId="402F2323" w14:textId="77777777" w:rsidR="006E3616" w:rsidRPr="00400193" w:rsidRDefault="006E3616" w:rsidP="006E3616">
      <w:pPr>
        <w:spacing w:line="240" w:lineRule="auto"/>
        <w:rPr>
          <w:lang w:eastAsia="zh-CN" w:bidi="hi-IN"/>
        </w:rPr>
      </w:pPr>
      <w:r w:rsidRPr="00400193">
        <w:rPr>
          <w:lang w:eastAsia="zh-CN" w:bidi="hi-IN"/>
        </w:rPr>
        <w:t xml:space="preserve"> </w:t>
      </w:r>
    </w:p>
    <w:p w14:paraId="6B63DEC3"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472C29BD" wp14:editId="6E783768">
            <wp:extent cx="5760000" cy="3240000"/>
            <wp:effectExtent l="19050" t="19050" r="12700" b="17780"/>
            <wp:docPr id="404"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165D200" w14:textId="4D45AD96" w:rsidR="006E3616" w:rsidRPr="00400193" w:rsidRDefault="006E3616" w:rsidP="006E3616">
      <w:pPr>
        <w:pStyle w:val="Caption"/>
      </w:pPr>
      <w:bookmarkStart w:id="723" w:name="_Ref51338017"/>
      <w:bookmarkStart w:id="724" w:name="_Toc5538761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32</w:t>
      </w:r>
      <w:r w:rsidR="00E35E8C" w:rsidRPr="00400193">
        <w:fldChar w:fldCharType="end"/>
      </w:r>
      <w:bookmarkEnd w:id="723"/>
      <w:r w:rsidRPr="00400193">
        <w:t>: Scatter plot for residual results from the model for VW</w:t>
      </w:r>
      <w:bookmarkEnd w:id="724"/>
    </w:p>
    <w:p w14:paraId="6A36513E" w14:textId="77777777" w:rsidR="006E3616" w:rsidRPr="00400193" w:rsidRDefault="006E3616" w:rsidP="006E3616">
      <w:pPr>
        <w:spacing w:line="240" w:lineRule="auto"/>
        <w:rPr>
          <w:lang w:eastAsia="zh-CN" w:bidi="hi-IN"/>
        </w:rPr>
      </w:pPr>
    </w:p>
    <w:p w14:paraId="40D7B27B"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267A6519" wp14:editId="0441ED4B">
            <wp:extent cx="5760000" cy="3240000"/>
            <wp:effectExtent l="19050" t="19050" r="12700" b="17780"/>
            <wp:docPr id="405"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DE6F54C" w14:textId="39996DF5" w:rsidR="006E3616" w:rsidRPr="00400193" w:rsidRDefault="006E3616" w:rsidP="006E3616">
      <w:pPr>
        <w:pStyle w:val="Caption"/>
        <w:spacing w:after="240"/>
        <w:rPr>
          <w:lang w:eastAsia="zh-CN" w:bidi="hi-IN"/>
        </w:rPr>
      </w:pPr>
      <w:bookmarkStart w:id="725" w:name="_Ref51338295"/>
      <w:bookmarkStart w:id="726" w:name="_Toc5538761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33</w:t>
      </w:r>
      <w:r w:rsidR="00E35E8C" w:rsidRPr="00400193">
        <w:fldChar w:fldCharType="end"/>
      </w:r>
      <w:bookmarkEnd w:id="725"/>
      <w:r w:rsidRPr="00400193">
        <w:t>: Histogram of the frequency of the standardised residuals for VW</w:t>
      </w:r>
      <w:bookmarkEnd w:id="726"/>
    </w:p>
    <w:p w14:paraId="105D2B92" w14:textId="59290F1F"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_Ref52821634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34</w:t>
      </w:r>
      <w:r w:rsidR="00F319CB" w:rsidRPr="00400193">
        <w:rPr>
          <w:lang w:eastAsia="zh-CN" w:bidi="hi-IN"/>
        </w:rPr>
        <w:fldChar w:fldCharType="end"/>
      </w:r>
      <w:r w:rsidRPr="00400193">
        <w:rPr>
          <w:lang w:eastAsia="zh-CN" w:bidi="hi-IN"/>
        </w:rPr>
        <w:t>) shows that there is a normal distribution.</w:t>
      </w:r>
    </w:p>
    <w:p w14:paraId="615D340A"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3A59D96" wp14:editId="19420C19">
            <wp:extent cx="5760000" cy="3240000"/>
            <wp:effectExtent l="19050" t="19050" r="12700" b="17780"/>
            <wp:docPr id="406"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4FA23FB8" w14:textId="53D6A8F1" w:rsidR="006E3616" w:rsidRPr="00400193" w:rsidRDefault="006E3616" w:rsidP="006E3616">
      <w:pPr>
        <w:pStyle w:val="Caption"/>
      </w:pPr>
      <w:bookmarkStart w:id="727" w:name="_Ref52821634"/>
      <w:bookmarkStart w:id="728" w:name="_Toc5538761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34</w:t>
      </w:r>
      <w:r w:rsidR="00E35E8C" w:rsidRPr="00400193">
        <w:fldChar w:fldCharType="end"/>
      </w:r>
      <w:bookmarkEnd w:id="727"/>
      <w:r w:rsidRPr="00400193">
        <w:t>: Normal P–P plot of regression standardised residual for the dependent variable</w:t>
      </w:r>
      <w:bookmarkEnd w:id="728"/>
    </w:p>
    <w:p w14:paraId="1E7358C0" w14:textId="77777777" w:rsidR="006E3616" w:rsidRPr="00400193" w:rsidRDefault="006E3616" w:rsidP="006E3616">
      <w:pPr>
        <w:spacing w:line="240" w:lineRule="auto"/>
        <w:rPr>
          <w:b/>
          <w:bCs/>
          <w:lang w:eastAsia="zh-CN" w:bidi="hi-IN"/>
        </w:rPr>
      </w:pPr>
    </w:p>
    <w:p w14:paraId="4A208E99" w14:textId="77777777" w:rsidR="006E3616" w:rsidRPr="00400193" w:rsidRDefault="006E3616" w:rsidP="006E3616">
      <w:pPr>
        <w:pStyle w:val="Heading3"/>
        <w:rPr>
          <w:lang w:eastAsia="zh-CN" w:bidi="hi-IN"/>
        </w:rPr>
      </w:pPr>
      <w:bookmarkStart w:id="729" w:name="_Toc61894788"/>
      <w:r w:rsidRPr="00400193">
        <w:rPr>
          <w:lang w:eastAsia="zh-CN" w:bidi="hi-IN"/>
        </w:rPr>
        <w:t>The Relationship Between Vulnerabilities and Weaknesses and Internal Threats Moderated by Organisation Resilience</w:t>
      </w:r>
      <w:bookmarkEnd w:id="729"/>
    </w:p>
    <w:bookmarkStart w:id="730" w:name="_Hlk25185172"/>
    <w:p w14:paraId="5E0B5D0B" w14:textId="7ABBF2A8" w:rsidR="006E3616" w:rsidRPr="00400193" w:rsidRDefault="006E3616" w:rsidP="006E3616">
      <w:pPr>
        <w:spacing w:line="240" w:lineRule="auto"/>
        <w:rPr>
          <w:i/>
          <w:iCs/>
          <w:lang w:eastAsia="zh-CN" w:bidi="hi-IN"/>
        </w:rPr>
      </w:pPr>
      <w:r w:rsidRPr="00400193">
        <w:rPr>
          <w:lang w:eastAsia="zh-CN" w:bidi="hi-IN"/>
        </w:rPr>
        <w:fldChar w:fldCharType="begin"/>
      </w:r>
      <w:r w:rsidRPr="00400193">
        <w:rPr>
          <w:i/>
          <w:iCs/>
          <w:lang w:eastAsia="zh-CN" w:bidi="hi-IN"/>
        </w:rPr>
        <w:instrText xml:space="preserve"> REF _Ref43827862 \h </w:instrText>
      </w:r>
      <w:r w:rsidRPr="00400193">
        <w:rPr>
          <w:lang w:eastAsia="zh-CN" w:bidi="hi-IN"/>
        </w:rPr>
      </w:r>
      <w:r w:rsidRPr="00400193">
        <w:rPr>
          <w:lang w:eastAsia="zh-CN" w:bidi="hi-IN"/>
        </w:rPr>
        <w:fldChar w:fldCharType="separate"/>
      </w:r>
      <w:r w:rsidR="00BB7C18" w:rsidRPr="00400193">
        <w:t>5 – (Internal + Organisational Resilience)</w:t>
      </w:r>
      <w:r w:rsidRPr="00400193">
        <w:rPr>
          <w:lang w:eastAsia="zh-CN" w:bidi="hi-IN"/>
        </w:rPr>
        <w:fldChar w:fldCharType="end"/>
      </w:r>
      <w:r w:rsidRPr="00400193">
        <w:rPr>
          <w:i/>
          <w:iCs/>
          <w:lang w:eastAsia="zh-CN" w:bidi="hi-IN"/>
        </w:rPr>
        <w:t xml:space="preserve"> VW = </w:t>
      </w:r>
      <w:r w:rsidR="00DD07A5" w:rsidRPr="00400193">
        <w:rPr>
          <w:i/>
          <w:iCs/>
          <w:lang w:eastAsia="zh-CN" w:bidi="hi-IN"/>
        </w:rPr>
        <w:t>IRF</w:t>
      </w:r>
      <w:r w:rsidRPr="00400193">
        <w:rPr>
          <w:i/>
          <w:iCs/>
          <w:lang w:eastAsia="zh-CN" w:bidi="hi-IN"/>
        </w:rPr>
        <w:t xml:space="preserve"> + OR</w:t>
      </w:r>
    </w:p>
    <w:p w14:paraId="74FD6A8D" w14:textId="000809DC" w:rsidR="006E3616" w:rsidRPr="00400193" w:rsidRDefault="006E3616" w:rsidP="006E3616">
      <w:pPr>
        <w:rPr>
          <w:lang w:eastAsia="zh-CN" w:bidi="hi-IN"/>
        </w:rPr>
      </w:pPr>
      <w:r w:rsidRPr="00400193">
        <w:rPr>
          <w:lang w:eastAsia="zh-CN" w:bidi="hi-IN"/>
        </w:rPr>
        <w:lastRenderedPageBreak/>
        <w:t xml:space="preserve">This section examines the effect of organisational resilience on the relationship between vulnerabilities and weaknesses and internal threats. A regression model was developed to assess this association. The regression output in </w:t>
      </w:r>
      <w:r w:rsidR="008C4317" w:rsidRPr="00400193">
        <w:rPr>
          <w:lang w:eastAsia="zh-CN" w:bidi="hi-IN"/>
        </w:rPr>
        <w:fldChar w:fldCharType="begin"/>
      </w:r>
      <w:r w:rsidR="008C4317" w:rsidRPr="00400193">
        <w:rPr>
          <w:lang w:eastAsia="zh-CN" w:bidi="hi-IN"/>
        </w:rPr>
        <w:instrText xml:space="preserve"> REF _Ref51588214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90</w:t>
      </w:r>
      <w:r w:rsidR="008C4317" w:rsidRPr="00400193">
        <w:rPr>
          <w:lang w:eastAsia="zh-CN" w:bidi="hi-IN"/>
        </w:rPr>
        <w:fldChar w:fldCharType="end"/>
      </w:r>
      <w:r w:rsidRPr="00400193">
        <w:rPr>
          <w:lang w:eastAsia="zh-CN" w:bidi="hi-IN"/>
        </w:rPr>
        <w:t xml:space="preserve"> shows that together, internal threats and organisational resilience explained 63.2% of the variance in vulnerabilities and weaknesses. This variance proportion was statistically significant because the F-value is 86.681 with two degrees of freedom and p-value of 0.000 (</w:t>
      </w:r>
      <w:r w:rsidR="008C4317" w:rsidRPr="00400193">
        <w:rPr>
          <w:lang w:eastAsia="zh-CN" w:bidi="hi-IN"/>
        </w:rPr>
        <w:fldChar w:fldCharType="begin"/>
      </w:r>
      <w:r w:rsidR="008C4317" w:rsidRPr="00400193">
        <w:rPr>
          <w:lang w:eastAsia="zh-CN" w:bidi="hi-IN"/>
        </w:rPr>
        <w:instrText xml:space="preserve"> REF _Ref51588345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91</w:t>
      </w:r>
      <w:r w:rsidR="008C4317" w:rsidRPr="00400193">
        <w:rPr>
          <w:lang w:eastAsia="zh-CN" w:bidi="hi-IN"/>
        </w:rPr>
        <w:fldChar w:fldCharType="end"/>
      </w:r>
      <w:r w:rsidRPr="00400193">
        <w:rPr>
          <w:lang w:eastAsia="zh-CN" w:bidi="hi-IN"/>
        </w:rPr>
        <w:t xml:space="preserve">). </w:t>
      </w:r>
      <w:bookmarkStart w:id="731" w:name="_Hlk29942840"/>
    </w:p>
    <w:tbl>
      <w:tblPr>
        <w:tblW w:w="8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7"/>
        <w:gridCol w:w="744"/>
        <w:gridCol w:w="789"/>
        <w:gridCol w:w="1066"/>
        <w:gridCol w:w="1065"/>
        <w:gridCol w:w="1065"/>
        <w:gridCol w:w="810"/>
        <w:gridCol w:w="2554"/>
      </w:tblGrid>
      <w:tr w:rsidR="006E3616" w:rsidRPr="00400193" w14:paraId="0CE8DDB3" w14:textId="77777777" w:rsidTr="008C4317">
        <w:trPr>
          <w:cantSplit/>
          <w:trHeight w:val="283"/>
        </w:trPr>
        <w:tc>
          <w:tcPr>
            <w:tcW w:w="8670" w:type="dxa"/>
            <w:gridSpan w:val="8"/>
            <w:tcBorders>
              <w:top w:val="nil"/>
              <w:left w:val="nil"/>
              <w:bottom w:val="nil"/>
              <w:right w:val="nil"/>
            </w:tcBorders>
            <w:shd w:val="clear" w:color="auto" w:fill="auto"/>
            <w:vAlign w:val="center"/>
          </w:tcPr>
          <w:p w14:paraId="38ED9138" w14:textId="77777777" w:rsidR="006E3616" w:rsidRPr="00400193" w:rsidRDefault="006E3616" w:rsidP="003B5486">
            <w:pPr>
              <w:spacing w:after="0" w:line="240" w:lineRule="auto"/>
              <w:rPr>
                <w:sz w:val="20"/>
                <w:szCs w:val="18"/>
                <w:lang w:eastAsia="zh-CN" w:bidi="hi-IN"/>
              </w:rPr>
            </w:pPr>
            <w:r w:rsidRPr="00400193">
              <w:rPr>
                <w:b/>
                <w:bCs/>
                <w:sz w:val="20"/>
                <w:szCs w:val="18"/>
                <w:lang w:eastAsia="zh-CN" w:bidi="hi-IN"/>
              </w:rPr>
              <w:t xml:space="preserve">Model Summary </w:t>
            </w:r>
            <w:r w:rsidRPr="00400193">
              <w:rPr>
                <w:b/>
                <w:bCs/>
                <w:sz w:val="20"/>
                <w:szCs w:val="18"/>
                <w:vertAlign w:val="superscript"/>
                <w:lang w:eastAsia="zh-CN" w:bidi="hi-IN"/>
              </w:rPr>
              <w:t>b</w:t>
            </w:r>
          </w:p>
        </w:tc>
      </w:tr>
      <w:tr w:rsidR="006E3616" w:rsidRPr="00400193" w14:paraId="2119631B" w14:textId="77777777" w:rsidTr="008C4317">
        <w:trPr>
          <w:cantSplit/>
          <w:trHeight w:val="283"/>
        </w:trPr>
        <w:tc>
          <w:tcPr>
            <w:tcW w:w="577" w:type="dxa"/>
            <w:vMerge w:val="restart"/>
            <w:tcBorders>
              <w:top w:val="nil"/>
              <w:left w:val="nil"/>
              <w:bottom w:val="nil"/>
              <w:right w:val="nil"/>
            </w:tcBorders>
            <w:shd w:val="clear" w:color="auto" w:fill="auto"/>
            <w:vAlign w:val="bottom"/>
          </w:tcPr>
          <w:p w14:paraId="5C8DD306"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Model</w:t>
            </w:r>
          </w:p>
        </w:tc>
        <w:tc>
          <w:tcPr>
            <w:tcW w:w="744" w:type="dxa"/>
            <w:vMerge w:val="restart"/>
            <w:tcBorders>
              <w:top w:val="nil"/>
              <w:left w:val="nil"/>
              <w:bottom w:val="nil"/>
              <w:right w:val="single" w:sz="8" w:space="0" w:color="E0E0E0"/>
            </w:tcBorders>
            <w:shd w:val="clear" w:color="auto" w:fill="auto"/>
            <w:vAlign w:val="bottom"/>
          </w:tcPr>
          <w:p w14:paraId="47E5737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R</w:t>
            </w:r>
          </w:p>
        </w:tc>
        <w:tc>
          <w:tcPr>
            <w:tcW w:w="789" w:type="dxa"/>
            <w:vMerge w:val="restart"/>
            <w:tcBorders>
              <w:top w:val="nil"/>
              <w:left w:val="single" w:sz="8" w:space="0" w:color="E0E0E0"/>
              <w:bottom w:val="nil"/>
              <w:right w:val="single" w:sz="8" w:space="0" w:color="E0E0E0"/>
            </w:tcBorders>
            <w:shd w:val="clear" w:color="auto" w:fill="auto"/>
            <w:vAlign w:val="bottom"/>
          </w:tcPr>
          <w:p w14:paraId="488B270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R Square</w:t>
            </w:r>
          </w:p>
        </w:tc>
        <w:tc>
          <w:tcPr>
            <w:tcW w:w="1066" w:type="dxa"/>
            <w:vMerge w:val="restart"/>
            <w:tcBorders>
              <w:top w:val="nil"/>
              <w:left w:val="single" w:sz="8" w:space="0" w:color="E0E0E0"/>
              <w:bottom w:val="nil"/>
              <w:right w:val="single" w:sz="8" w:space="0" w:color="E0E0E0"/>
            </w:tcBorders>
            <w:shd w:val="clear" w:color="auto" w:fill="auto"/>
            <w:vAlign w:val="bottom"/>
          </w:tcPr>
          <w:p w14:paraId="1D64CAA7"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Adjusted R Square</w:t>
            </w:r>
          </w:p>
        </w:tc>
        <w:tc>
          <w:tcPr>
            <w:tcW w:w="1065" w:type="dxa"/>
            <w:vMerge w:val="restart"/>
            <w:tcBorders>
              <w:top w:val="nil"/>
              <w:left w:val="single" w:sz="8" w:space="0" w:color="E0E0E0"/>
              <w:bottom w:val="nil"/>
              <w:right w:val="single" w:sz="8" w:space="0" w:color="E0E0E0"/>
            </w:tcBorders>
            <w:shd w:val="clear" w:color="auto" w:fill="auto"/>
            <w:vAlign w:val="bottom"/>
          </w:tcPr>
          <w:p w14:paraId="3EBF285C"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Std. Error of the Estimate</w:t>
            </w:r>
          </w:p>
        </w:tc>
        <w:tc>
          <w:tcPr>
            <w:tcW w:w="4429" w:type="dxa"/>
            <w:gridSpan w:val="3"/>
            <w:tcBorders>
              <w:top w:val="nil"/>
              <w:left w:val="single" w:sz="8" w:space="0" w:color="E0E0E0"/>
              <w:bottom w:val="nil"/>
              <w:right w:val="nil"/>
            </w:tcBorders>
            <w:shd w:val="clear" w:color="auto" w:fill="auto"/>
            <w:vAlign w:val="bottom"/>
          </w:tcPr>
          <w:p w14:paraId="467C1408"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Change Statistics</w:t>
            </w:r>
          </w:p>
        </w:tc>
      </w:tr>
      <w:tr w:rsidR="006E3616" w:rsidRPr="00400193" w14:paraId="3F3EBA49" w14:textId="77777777" w:rsidTr="008C4317">
        <w:trPr>
          <w:cantSplit/>
          <w:trHeight w:val="283"/>
        </w:trPr>
        <w:tc>
          <w:tcPr>
            <w:tcW w:w="577" w:type="dxa"/>
            <w:vMerge/>
            <w:tcBorders>
              <w:top w:val="nil"/>
              <w:left w:val="nil"/>
              <w:bottom w:val="nil"/>
              <w:right w:val="nil"/>
            </w:tcBorders>
            <w:shd w:val="clear" w:color="auto" w:fill="auto"/>
            <w:vAlign w:val="bottom"/>
          </w:tcPr>
          <w:p w14:paraId="65FBC15F" w14:textId="77777777" w:rsidR="006E3616" w:rsidRPr="00400193" w:rsidRDefault="006E3616" w:rsidP="003B5486">
            <w:pPr>
              <w:spacing w:after="0" w:line="240" w:lineRule="auto"/>
              <w:rPr>
                <w:sz w:val="20"/>
                <w:szCs w:val="18"/>
                <w:lang w:eastAsia="zh-CN" w:bidi="hi-IN"/>
              </w:rPr>
            </w:pPr>
          </w:p>
        </w:tc>
        <w:tc>
          <w:tcPr>
            <w:tcW w:w="744" w:type="dxa"/>
            <w:vMerge/>
            <w:tcBorders>
              <w:top w:val="nil"/>
              <w:left w:val="nil"/>
              <w:bottom w:val="nil"/>
              <w:right w:val="single" w:sz="8" w:space="0" w:color="E0E0E0"/>
            </w:tcBorders>
            <w:shd w:val="clear" w:color="auto" w:fill="auto"/>
            <w:vAlign w:val="bottom"/>
          </w:tcPr>
          <w:p w14:paraId="06364D0E" w14:textId="77777777" w:rsidR="006E3616" w:rsidRPr="00400193" w:rsidRDefault="006E3616" w:rsidP="003B5486">
            <w:pPr>
              <w:spacing w:after="0" w:line="240" w:lineRule="auto"/>
              <w:rPr>
                <w:sz w:val="20"/>
                <w:szCs w:val="18"/>
                <w:lang w:eastAsia="zh-CN" w:bidi="hi-IN"/>
              </w:rPr>
            </w:pPr>
          </w:p>
        </w:tc>
        <w:tc>
          <w:tcPr>
            <w:tcW w:w="789" w:type="dxa"/>
            <w:vMerge/>
            <w:tcBorders>
              <w:top w:val="nil"/>
              <w:left w:val="single" w:sz="8" w:space="0" w:color="E0E0E0"/>
              <w:bottom w:val="nil"/>
              <w:right w:val="single" w:sz="8" w:space="0" w:color="E0E0E0"/>
            </w:tcBorders>
            <w:shd w:val="clear" w:color="auto" w:fill="auto"/>
            <w:vAlign w:val="bottom"/>
          </w:tcPr>
          <w:p w14:paraId="6C36C902" w14:textId="77777777" w:rsidR="006E3616" w:rsidRPr="00400193" w:rsidRDefault="006E3616" w:rsidP="003B5486">
            <w:pPr>
              <w:spacing w:after="0" w:line="240" w:lineRule="auto"/>
              <w:rPr>
                <w:sz w:val="20"/>
                <w:szCs w:val="18"/>
                <w:lang w:eastAsia="zh-CN" w:bidi="hi-IN"/>
              </w:rPr>
            </w:pPr>
          </w:p>
        </w:tc>
        <w:tc>
          <w:tcPr>
            <w:tcW w:w="1066" w:type="dxa"/>
            <w:vMerge/>
            <w:tcBorders>
              <w:top w:val="nil"/>
              <w:left w:val="single" w:sz="8" w:space="0" w:color="E0E0E0"/>
              <w:bottom w:val="nil"/>
              <w:right w:val="single" w:sz="8" w:space="0" w:color="E0E0E0"/>
            </w:tcBorders>
            <w:shd w:val="clear" w:color="auto" w:fill="auto"/>
            <w:vAlign w:val="bottom"/>
          </w:tcPr>
          <w:p w14:paraId="0CCA310A" w14:textId="77777777" w:rsidR="006E3616" w:rsidRPr="00400193" w:rsidRDefault="006E3616" w:rsidP="003B5486">
            <w:pPr>
              <w:spacing w:after="0" w:line="240" w:lineRule="auto"/>
              <w:rPr>
                <w:sz w:val="20"/>
                <w:szCs w:val="18"/>
                <w:lang w:eastAsia="zh-CN" w:bidi="hi-IN"/>
              </w:rPr>
            </w:pPr>
          </w:p>
        </w:tc>
        <w:tc>
          <w:tcPr>
            <w:tcW w:w="1065" w:type="dxa"/>
            <w:vMerge/>
            <w:tcBorders>
              <w:top w:val="nil"/>
              <w:left w:val="single" w:sz="8" w:space="0" w:color="E0E0E0"/>
              <w:bottom w:val="nil"/>
              <w:right w:val="single" w:sz="8" w:space="0" w:color="E0E0E0"/>
            </w:tcBorders>
            <w:shd w:val="clear" w:color="auto" w:fill="auto"/>
            <w:vAlign w:val="bottom"/>
          </w:tcPr>
          <w:p w14:paraId="43C801E8" w14:textId="77777777" w:rsidR="006E3616" w:rsidRPr="00400193" w:rsidRDefault="006E3616" w:rsidP="003B5486">
            <w:pPr>
              <w:spacing w:after="0" w:line="240" w:lineRule="auto"/>
              <w:rPr>
                <w:sz w:val="20"/>
                <w:szCs w:val="18"/>
                <w:lang w:eastAsia="zh-CN" w:bidi="hi-IN"/>
              </w:rPr>
            </w:pPr>
          </w:p>
        </w:tc>
        <w:tc>
          <w:tcPr>
            <w:tcW w:w="1065" w:type="dxa"/>
            <w:tcBorders>
              <w:top w:val="nil"/>
              <w:left w:val="single" w:sz="8" w:space="0" w:color="E0E0E0"/>
              <w:bottom w:val="single" w:sz="8" w:space="0" w:color="152935"/>
              <w:right w:val="single" w:sz="8" w:space="0" w:color="E0E0E0"/>
            </w:tcBorders>
            <w:shd w:val="clear" w:color="auto" w:fill="auto"/>
            <w:vAlign w:val="bottom"/>
          </w:tcPr>
          <w:p w14:paraId="6AFE00BD"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R Square Change</w:t>
            </w:r>
          </w:p>
        </w:tc>
        <w:tc>
          <w:tcPr>
            <w:tcW w:w="810" w:type="dxa"/>
            <w:tcBorders>
              <w:top w:val="nil"/>
              <w:left w:val="single" w:sz="8" w:space="0" w:color="E0E0E0"/>
              <w:bottom w:val="single" w:sz="8" w:space="0" w:color="152935"/>
              <w:right w:val="single" w:sz="8" w:space="0" w:color="E0E0E0"/>
            </w:tcBorders>
            <w:shd w:val="clear" w:color="auto" w:fill="auto"/>
            <w:vAlign w:val="bottom"/>
          </w:tcPr>
          <w:p w14:paraId="2D6F3C3C"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F Change</w:t>
            </w:r>
          </w:p>
        </w:tc>
        <w:tc>
          <w:tcPr>
            <w:tcW w:w="2554" w:type="dxa"/>
            <w:tcBorders>
              <w:top w:val="nil"/>
              <w:left w:val="single" w:sz="8" w:space="0" w:color="E0E0E0"/>
              <w:bottom w:val="single" w:sz="8" w:space="0" w:color="152935"/>
              <w:right w:val="nil"/>
            </w:tcBorders>
            <w:shd w:val="clear" w:color="auto" w:fill="auto"/>
            <w:vAlign w:val="bottom"/>
          </w:tcPr>
          <w:p w14:paraId="1F66A117"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df1</w:t>
            </w:r>
          </w:p>
        </w:tc>
      </w:tr>
      <w:tr w:rsidR="006E3616" w:rsidRPr="00400193" w14:paraId="24064F7C" w14:textId="77777777" w:rsidTr="008C4317">
        <w:trPr>
          <w:cantSplit/>
          <w:trHeight w:val="283"/>
        </w:trPr>
        <w:tc>
          <w:tcPr>
            <w:tcW w:w="577" w:type="dxa"/>
            <w:tcBorders>
              <w:top w:val="single" w:sz="8" w:space="0" w:color="152935"/>
              <w:left w:val="nil"/>
              <w:bottom w:val="single" w:sz="8" w:space="0" w:color="152935"/>
              <w:right w:val="nil"/>
            </w:tcBorders>
            <w:shd w:val="clear" w:color="auto" w:fill="auto"/>
          </w:tcPr>
          <w:p w14:paraId="647D4E92"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w:t>
            </w:r>
          </w:p>
        </w:tc>
        <w:tc>
          <w:tcPr>
            <w:tcW w:w="744" w:type="dxa"/>
            <w:tcBorders>
              <w:top w:val="single" w:sz="8" w:space="0" w:color="152935"/>
              <w:left w:val="nil"/>
              <w:bottom w:val="single" w:sz="8" w:space="0" w:color="152935"/>
              <w:right w:val="single" w:sz="8" w:space="0" w:color="E0E0E0"/>
            </w:tcBorders>
            <w:shd w:val="clear" w:color="auto" w:fill="auto"/>
          </w:tcPr>
          <w:p w14:paraId="363C1EE4"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.795</w:t>
            </w:r>
            <w:r w:rsidRPr="00400193">
              <w:rPr>
                <w:sz w:val="20"/>
                <w:szCs w:val="18"/>
                <w:vertAlign w:val="superscript"/>
                <w:lang w:eastAsia="zh-CN" w:bidi="hi-IN"/>
              </w:rPr>
              <w:t>a</w:t>
            </w:r>
          </w:p>
        </w:tc>
        <w:tc>
          <w:tcPr>
            <w:tcW w:w="789" w:type="dxa"/>
            <w:tcBorders>
              <w:top w:val="single" w:sz="8" w:space="0" w:color="152935"/>
              <w:left w:val="single" w:sz="8" w:space="0" w:color="E0E0E0"/>
              <w:bottom w:val="single" w:sz="8" w:space="0" w:color="152935"/>
              <w:right w:val="single" w:sz="8" w:space="0" w:color="E0E0E0"/>
            </w:tcBorders>
            <w:shd w:val="clear" w:color="auto" w:fill="auto"/>
          </w:tcPr>
          <w:p w14:paraId="3B79E13A"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.632</w:t>
            </w:r>
          </w:p>
        </w:tc>
        <w:tc>
          <w:tcPr>
            <w:tcW w:w="1066" w:type="dxa"/>
            <w:tcBorders>
              <w:top w:val="single" w:sz="8" w:space="0" w:color="152935"/>
              <w:left w:val="single" w:sz="8" w:space="0" w:color="E0E0E0"/>
              <w:bottom w:val="single" w:sz="8" w:space="0" w:color="152935"/>
              <w:right w:val="single" w:sz="8" w:space="0" w:color="E0E0E0"/>
            </w:tcBorders>
            <w:shd w:val="clear" w:color="auto" w:fill="auto"/>
          </w:tcPr>
          <w:p w14:paraId="4DC24416"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.625</w:t>
            </w:r>
          </w:p>
        </w:tc>
        <w:tc>
          <w:tcPr>
            <w:tcW w:w="1065" w:type="dxa"/>
            <w:tcBorders>
              <w:top w:val="single" w:sz="8" w:space="0" w:color="152935"/>
              <w:left w:val="single" w:sz="8" w:space="0" w:color="E0E0E0"/>
              <w:bottom w:val="single" w:sz="8" w:space="0" w:color="152935"/>
              <w:right w:val="single" w:sz="8" w:space="0" w:color="E0E0E0"/>
            </w:tcBorders>
            <w:shd w:val="clear" w:color="auto" w:fill="auto"/>
          </w:tcPr>
          <w:p w14:paraId="30BAEDEA"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.36382</w:t>
            </w:r>
          </w:p>
        </w:tc>
        <w:tc>
          <w:tcPr>
            <w:tcW w:w="1065" w:type="dxa"/>
            <w:tcBorders>
              <w:top w:val="single" w:sz="8" w:space="0" w:color="152935"/>
              <w:left w:val="single" w:sz="8" w:space="0" w:color="E0E0E0"/>
              <w:bottom w:val="single" w:sz="8" w:space="0" w:color="152935"/>
              <w:right w:val="single" w:sz="8" w:space="0" w:color="E0E0E0"/>
            </w:tcBorders>
            <w:shd w:val="clear" w:color="auto" w:fill="auto"/>
          </w:tcPr>
          <w:p w14:paraId="0E45EF6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.632</w:t>
            </w:r>
          </w:p>
        </w:tc>
        <w:tc>
          <w:tcPr>
            <w:tcW w:w="810" w:type="dxa"/>
            <w:tcBorders>
              <w:top w:val="single" w:sz="8" w:space="0" w:color="152935"/>
              <w:left w:val="single" w:sz="8" w:space="0" w:color="E0E0E0"/>
              <w:bottom w:val="single" w:sz="8" w:space="0" w:color="152935"/>
              <w:right w:val="single" w:sz="8" w:space="0" w:color="E0E0E0"/>
            </w:tcBorders>
            <w:shd w:val="clear" w:color="auto" w:fill="auto"/>
          </w:tcPr>
          <w:p w14:paraId="2BFDB0D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86.681</w:t>
            </w:r>
          </w:p>
        </w:tc>
        <w:tc>
          <w:tcPr>
            <w:tcW w:w="2554" w:type="dxa"/>
            <w:tcBorders>
              <w:top w:val="single" w:sz="8" w:space="0" w:color="152935"/>
              <w:left w:val="single" w:sz="8" w:space="0" w:color="E0E0E0"/>
              <w:bottom w:val="single" w:sz="8" w:space="0" w:color="152935"/>
              <w:right w:val="nil"/>
            </w:tcBorders>
            <w:shd w:val="clear" w:color="auto" w:fill="auto"/>
          </w:tcPr>
          <w:p w14:paraId="3E74DB1A" w14:textId="77777777" w:rsidR="006E3616" w:rsidRPr="00400193" w:rsidRDefault="006E3616" w:rsidP="003B5486">
            <w:pPr>
              <w:keepNext/>
              <w:spacing w:after="0" w:line="240" w:lineRule="auto"/>
              <w:rPr>
                <w:sz w:val="20"/>
                <w:szCs w:val="18"/>
                <w:lang w:eastAsia="zh-CN" w:bidi="hi-IN"/>
              </w:rPr>
            </w:pPr>
            <w:r w:rsidRPr="00400193">
              <w:rPr>
                <w:sz w:val="20"/>
                <w:szCs w:val="18"/>
                <w:lang w:eastAsia="zh-CN" w:bidi="hi-IN"/>
              </w:rPr>
              <w:t>2</w:t>
            </w:r>
          </w:p>
        </w:tc>
      </w:tr>
      <w:tr w:rsidR="008C4317" w:rsidRPr="00400193" w14:paraId="2B9D4F5C" w14:textId="77777777" w:rsidTr="008C4317">
        <w:trPr>
          <w:cantSplit/>
          <w:trHeight w:val="283"/>
        </w:trPr>
        <w:tc>
          <w:tcPr>
            <w:tcW w:w="8670" w:type="dxa"/>
            <w:gridSpan w:val="8"/>
            <w:tcBorders>
              <w:top w:val="single" w:sz="8" w:space="0" w:color="152935"/>
              <w:left w:val="nil"/>
              <w:bottom w:val="single" w:sz="4" w:space="0" w:color="FFFFFF" w:themeColor="background1"/>
              <w:right w:val="nil"/>
            </w:tcBorders>
            <w:shd w:val="clear" w:color="auto" w:fill="auto"/>
          </w:tcPr>
          <w:p w14:paraId="1BDA9546" w14:textId="4CA2301E" w:rsidR="008C4317" w:rsidRPr="00400193" w:rsidRDefault="008C4317" w:rsidP="003B5486">
            <w:pPr>
              <w:keepNext/>
              <w:spacing w:after="0" w:line="240" w:lineRule="auto"/>
              <w:rPr>
                <w:sz w:val="20"/>
                <w:szCs w:val="18"/>
                <w:lang w:eastAsia="zh-CN" w:bidi="hi-IN"/>
              </w:rPr>
            </w:pPr>
            <w:r w:rsidRPr="00400193">
              <w:rPr>
                <w:sz w:val="20"/>
                <w:szCs w:val="18"/>
                <w:vertAlign w:val="superscript"/>
                <w:lang w:eastAsia="zh-CN" w:bidi="hi-IN"/>
              </w:rPr>
              <w:t>b.</w:t>
            </w:r>
            <w:r w:rsidRPr="00400193">
              <w:rPr>
                <w:sz w:val="20"/>
                <w:szCs w:val="18"/>
                <w:lang w:eastAsia="zh-CN" w:bidi="hi-IN"/>
              </w:rPr>
              <w:t xml:space="preserve"> Predictors: (Constant), OR, IRF</w:t>
            </w:r>
          </w:p>
        </w:tc>
      </w:tr>
    </w:tbl>
    <w:p w14:paraId="21241620" w14:textId="7B7C1606" w:rsidR="006E3616" w:rsidRPr="00400193" w:rsidRDefault="006E3616" w:rsidP="008C4317">
      <w:pPr>
        <w:pStyle w:val="Caption"/>
        <w:spacing w:after="240"/>
      </w:pPr>
      <w:bookmarkStart w:id="732" w:name="_Ref51588214"/>
      <w:bookmarkStart w:id="733" w:name="_Toc5290163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90</w:t>
      </w:r>
      <w:r w:rsidRPr="00400193">
        <w:fldChar w:fldCharType="end"/>
      </w:r>
      <w:bookmarkEnd w:id="732"/>
      <w:r w:rsidRPr="00400193">
        <w:t>: Regression model summary for VW</w:t>
      </w:r>
      <w:bookmarkEnd w:id="733"/>
    </w:p>
    <w:tbl>
      <w:tblPr>
        <w:tblW w:w="89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7"/>
        <w:gridCol w:w="1243"/>
        <w:gridCol w:w="1421"/>
        <w:gridCol w:w="991"/>
        <w:gridCol w:w="1361"/>
        <w:gridCol w:w="991"/>
        <w:gridCol w:w="2239"/>
      </w:tblGrid>
      <w:tr w:rsidR="006E3616" w:rsidRPr="00400193" w14:paraId="42A70D33" w14:textId="77777777" w:rsidTr="008C4317">
        <w:trPr>
          <w:cantSplit/>
          <w:trHeight w:val="283"/>
        </w:trPr>
        <w:tc>
          <w:tcPr>
            <w:tcW w:w="8953" w:type="dxa"/>
            <w:gridSpan w:val="7"/>
            <w:tcBorders>
              <w:top w:val="nil"/>
              <w:left w:val="nil"/>
              <w:bottom w:val="nil"/>
              <w:right w:val="nil"/>
            </w:tcBorders>
            <w:shd w:val="clear" w:color="auto" w:fill="auto"/>
            <w:vAlign w:val="center"/>
          </w:tcPr>
          <w:p w14:paraId="1E65CE4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42AB0A1B" w14:textId="77777777" w:rsidTr="008C4317">
        <w:trPr>
          <w:cantSplit/>
          <w:trHeight w:val="283"/>
        </w:trPr>
        <w:tc>
          <w:tcPr>
            <w:tcW w:w="1950" w:type="dxa"/>
            <w:gridSpan w:val="2"/>
            <w:tcBorders>
              <w:top w:val="nil"/>
              <w:left w:val="nil"/>
              <w:bottom w:val="single" w:sz="8" w:space="0" w:color="152935"/>
              <w:right w:val="nil"/>
            </w:tcBorders>
            <w:shd w:val="clear" w:color="auto" w:fill="auto"/>
            <w:vAlign w:val="bottom"/>
          </w:tcPr>
          <w:p w14:paraId="1DB2449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21" w:type="dxa"/>
            <w:tcBorders>
              <w:top w:val="nil"/>
              <w:left w:val="nil"/>
              <w:bottom w:val="single" w:sz="8" w:space="0" w:color="152935"/>
              <w:right w:val="single" w:sz="8" w:space="0" w:color="E0E0E0"/>
            </w:tcBorders>
            <w:shd w:val="clear" w:color="auto" w:fill="auto"/>
            <w:vAlign w:val="bottom"/>
          </w:tcPr>
          <w:p w14:paraId="5AFE3BF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91" w:type="dxa"/>
            <w:tcBorders>
              <w:top w:val="nil"/>
              <w:left w:val="single" w:sz="8" w:space="0" w:color="E0E0E0"/>
              <w:bottom w:val="single" w:sz="8" w:space="0" w:color="152935"/>
              <w:right w:val="single" w:sz="8" w:space="0" w:color="E0E0E0"/>
            </w:tcBorders>
            <w:shd w:val="clear" w:color="auto" w:fill="auto"/>
            <w:vAlign w:val="bottom"/>
          </w:tcPr>
          <w:p w14:paraId="664EFD71" w14:textId="670F5753" w:rsidR="006E3616" w:rsidRPr="00400193" w:rsidRDefault="00A14198"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w:t>
            </w:r>
            <w:r w:rsidR="006E3616" w:rsidRPr="00400193">
              <w:rPr>
                <w:rFonts w:asciiTheme="minorHAnsi" w:hAnsiTheme="minorHAnsi" w:cstheme="minorHAnsi"/>
                <w:sz w:val="20"/>
                <w:szCs w:val="18"/>
                <w:lang w:eastAsia="zh-CN" w:bidi="hi-IN"/>
              </w:rPr>
              <w:t>f</w:t>
            </w:r>
          </w:p>
        </w:tc>
        <w:tc>
          <w:tcPr>
            <w:tcW w:w="1361" w:type="dxa"/>
            <w:tcBorders>
              <w:top w:val="nil"/>
              <w:left w:val="single" w:sz="8" w:space="0" w:color="E0E0E0"/>
              <w:bottom w:val="single" w:sz="8" w:space="0" w:color="152935"/>
              <w:right w:val="single" w:sz="8" w:space="0" w:color="E0E0E0"/>
            </w:tcBorders>
            <w:shd w:val="clear" w:color="auto" w:fill="auto"/>
            <w:vAlign w:val="bottom"/>
          </w:tcPr>
          <w:p w14:paraId="7F5DD7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91" w:type="dxa"/>
            <w:tcBorders>
              <w:top w:val="nil"/>
              <w:left w:val="single" w:sz="8" w:space="0" w:color="E0E0E0"/>
              <w:bottom w:val="single" w:sz="8" w:space="0" w:color="152935"/>
              <w:right w:val="single" w:sz="8" w:space="0" w:color="E0E0E0"/>
            </w:tcBorders>
            <w:shd w:val="clear" w:color="auto" w:fill="auto"/>
            <w:vAlign w:val="bottom"/>
          </w:tcPr>
          <w:p w14:paraId="4E18A8F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39" w:type="dxa"/>
            <w:tcBorders>
              <w:top w:val="nil"/>
              <w:left w:val="single" w:sz="8" w:space="0" w:color="E0E0E0"/>
              <w:bottom w:val="single" w:sz="8" w:space="0" w:color="152935"/>
              <w:right w:val="nil"/>
            </w:tcBorders>
            <w:shd w:val="clear" w:color="auto" w:fill="auto"/>
            <w:vAlign w:val="bottom"/>
          </w:tcPr>
          <w:p w14:paraId="2316F46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31615A17" w14:textId="77777777" w:rsidTr="008C4317">
        <w:trPr>
          <w:cantSplit/>
          <w:trHeight w:val="283"/>
        </w:trPr>
        <w:tc>
          <w:tcPr>
            <w:tcW w:w="707" w:type="dxa"/>
            <w:vMerge w:val="restart"/>
            <w:tcBorders>
              <w:top w:val="single" w:sz="8" w:space="0" w:color="152935"/>
              <w:left w:val="nil"/>
              <w:bottom w:val="single" w:sz="8" w:space="0" w:color="152935"/>
              <w:right w:val="nil"/>
            </w:tcBorders>
            <w:shd w:val="clear" w:color="auto" w:fill="auto"/>
          </w:tcPr>
          <w:p w14:paraId="36AF7CD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43" w:type="dxa"/>
            <w:tcBorders>
              <w:top w:val="single" w:sz="8" w:space="0" w:color="152935"/>
              <w:left w:val="nil"/>
              <w:bottom w:val="single" w:sz="8" w:space="0" w:color="AEAEAE"/>
              <w:right w:val="nil"/>
            </w:tcBorders>
            <w:shd w:val="clear" w:color="auto" w:fill="auto"/>
          </w:tcPr>
          <w:p w14:paraId="0555CF9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21" w:type="dxa"/>
            <w:tcBorders>
              <w:top w:val="single" w:sz="8" w:space="0" w:color="152935"/>
              <w:left w:val="nil"/>
              <w:bottom w:val="single" w:sz="8" w:space="0" w:color="AEAEAE"/>
              <w:right w:val="single" w:sz="8" w:space="0" w:color="E0E0E0"/>
            </w:tcBorders>
            <w:shd w:val="clear" w:color="auto" w:fill="auto"/>
          </w:tcPr>
          <w:p w14:paraId="480A0BF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22.948</w:t>
            </w:r>
          </w:p>
        </w:tc>
        <w:tc>
          <w:tcPr>
            <w:tcW w:w="991" w:type="dxa"/>
            <w:tcBorders>
              <w:top w:val="single" w:sz="8" w:space="0" w:color="152935"/>
              <w:left w:val="single" w:sz="8" w:space="0" w:color="E0E0E0"/>
              <w:bottom w:val="single" w:sz="8" w:space="0" w:color="AEAEAE"/>
              <w:right w:val="single" w:sz="8" w:space="0" w:color="E0E0E0"/>
            </w:tcBorders>
            <w:shd w:val="clear" w:color="auto" w:fill="auto"/>
          </w:tcPr>
          <w:p w14:paraId="447974A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361" w:type="dxa"/>
            <w:tcBorders>
              <w:top w:val="single" w:sz="8" w:space="0" w:color="152935"/>
              <w:left w:val="single" w:sz="8" w:space="0" w:color="E0E0E0"/>
              <w:bottom w:val="single" w:sz="8" w:space="0" w:color="AEAEAE"/>
              <w:right w:val="single" w:sz="8" w:space="0" w:color="E0E0E0"/>
            </w:tcBorders>
            <w:shd w:val="clear" w:color="auto" w:fill="auto"/>
          </w:tcPr>
          <w:p w14:paraId="027CB21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11.474</w:t>
            </w:r>
          </w:p>
        </w:tc>
        <w:tc>
          <w:tcPr>
            <w:tcW w:w="991" w:type="dxa"/>
            <w:tcBorders>
              <w:top w:val="single" w:sz="8" w:space="0" w:color="152935"/>
              <w:left w:val="single" w:sz="8" w:space="0" w:color="E0E0E0"/>
              <w:bottom w:val="single" w:sz="8" w:space="0" w:color="AEAEAE"/>
              <w:right w:val="single" w:sz="8" w:space="0" w:color="E0E0E0"/>
            </w:tcBorders>
            <w:shd w:val="clear" w:color="auto" w:fill="auto"/>
          </w:tcPr>
          <w:p w14:paraId="04C8CF2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86.681</w:t>
            </w:r>
          </w:p>
        </w:tc>
        <w:tc>
          <w:tcPr>
            <w:tcW w:w="2239" w:type="dxa"/>
            <w:tcBorders>
              <w:top w:val="single" w:sz="8" w:space="0" w:color="152935"/>
              <w:left w:val="single" w:sz="8" w:space="0" w:color="E0E0E0"/>
              <w:bottom w:val="single" w:sz="8" w:space="0" w:color="AEAEAE"/>
              <w:right w:val="nil"/>
            </w:tcBorders>
            <w:shd w:val="clear" w:color="auto" w:fill="auto"/>
          </w:tcPr>
          <w:p w14:paraId="26C0113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6AE2A56B" w14:textId="77777777" w:rsidTr="008C4317">
        <w:trPr>
          <w:cantSplit/>
          <w:trHeight w:val="283"/>
        </w:trPr>
        <w:tc>
          <w:tcPr>
            <w:tcW w:w="707" w:type="dxa"/>
            <w:vMerge/>
            <w:tcBorders>
              <w:top w:val="single" w:sz="8" w:space="0" w:color="152935"/>
              <w:left w:val="nil"/>
              <w:bottom w:val="single" w:sz="8" w:space="0" w:color="152935"/>
              <w:right w:val="nil"/>
            </w:tcBorders>
            <w:shd w:val="clear" w:color="auto" w:fill="auto"/>
          </w:tcPr>
          <w:p w14:paraId="7EC9FD4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43" w:type="dxa"/>
            <w:tcBorders>
              <w:top w:val="single" w:sz="8" w:space="0" w:color="AEAEAE"/>
              <w:left w:val="nil"/>
              <w:bottom w:val="single" w:sz="8" w:space="0" w:color="AEAEAE"/>
              <w:right w:val="nil"/>
            </w:tcBorders>
            <w:shd w:val="clear" w:color="auto" w:fill="auto"/>
          </w:tcPr>
          <w:p w14:paraId="2605A77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21" w:type="dxa"/>
            <w:tcBorders>
              <w:top w:val="single" w:sz="8" w:space="0" w:color="AEAEAE"/>
              <w:left w:val="nil"/>
              <w:bottom w:val="single" w:sz="8" w:space="0" w:color="AEAEAE"/>
              <w:right w:val="single" w:sz="8" w:space="0" w:color="E0E0E0"/>
            </w:tcBorders>
            <w:shd w:val="clear" w:color="auto" w:fill="auto"/>
          </w:tcPr>
          <w:p w14:paraId="41F5E08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13.369</w:t>
            </w:r>
          </w:p>
        </w:tc>
        <w:tc>
          <w:tcPr>
            <w:tcW w:w="991" w:type="dxa"/>
            <w:tcBorders>
              <w:top w:val="single" w:sz="8" w:space="0" w:color="AEAEAE"/>
              <w:left w:val="single" w:sz="8" w:space="0" w:color="E0E0E0"/>
              <w:bottom w:val="single" w:sz="8" w:space="0" w:color="AEAEAE"/>
              <w:right w:val="single" w:sz="8" w:space="0" w:color="E0E0E0"/>
            </w:tcBorders>
            <w:shd w:val="clear" w:color="auto" w:fill="auto"/>
          </w:tcPr>
          <w:p w14:paraId="10B3C7F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101</w:t>
            </w:r>
          </w:p>
        </w:tc>
        <w:tc>
          <w:tcPr>
            <w:tcW w:w="1361" w:type="dxa"/>
            <w:tcBorders>
              <w:top w:val="single" w:sz="8" w:space="0" w:color="AEAEAE"/>
              <w:left w:val="single" w:sz="8" w:space="0" w:color="E0E0E0"/>
              <w:bottom w:val="single" w:sz="8" w:space="0" w:color="AEAEAE"/>
              <w:right w:val="single" w:sz="8" w:space="0" w:color="E0E0E0"/>
            </w:tcBorders>
            <w:shd w:val="clear" w:color="auto" w:fill="auto"/>
          </w:tcPr>
          <w:p w14:paraId="5C0BA45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.132</w:t>
            </w:r>
          </w:p>
        </w:tc>
        <w:tc>
          <w:tcPr>
            <w:tcW w:w="991" w:type="dxa"/>
            <w:tcBorders>
              <w:top w:val="single" w:sz="8" w:space="0" w:color="AEAEAE"/>
              <w:left w:val="single" w:sz="8" w:space="0" w:color="E0E0E0"/>
              <w:bottom w:val="single" w:sz="8" w:space="0" w:color="AEAEAE"/>
              <w:right w:val="single" w:sz="8" w:space="0" w:color="E0E0E0"/>
            </w:tcBorders>
            <w:shd w:val="clear" w:color="auto" w:fill="auto"/>
            <w:vAlign w:val="center"/>
          </w:tcPr>
          <w:p w14:paraId="45ACE51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39" w:type="dxa"/>
            <w:tcBorders>
              <w:top w:val="single" w:sz="8" w:space="0" w:color="AEAEAE"/>
              <w:left w:val="single" w:sz="8" w:space="0" w:color="E0E0E0"/>
              <w:bottom w:val="single" w:sz="8" w:space="0" w:color="AEAEAE"/>
              <w:right w:val="nil"/>
            </w:tcBorders>
            <w:shd w:val="clear" w:color="auto" w:fill="auto"/>
            <w:vAlign w:val="center"/>
          </w:tcPr>
          <w:p w14:paraId="14DC84E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10F7E6BD" w14:textId="77777777" w:rsidTr="008C4317">
        <w:trPr>
          <w:cantSplit/>
          <w:trHeight w:val="283"/>
        </w:trPr>
        <w:tc>
          <w:tcPr>
            <w:tcW w:w="707" w:type="dxa"/>
            <w:vMerge/>
            <w:tcBorders>
              <w:top w:val="single" w:sz="8" w:space="0" w:color="152935"/>
              <w:left w:val="nil"/>
              <w:bottom w:val="single" w:sz="8" w:space="0" w:color="152935"/>
              <w:right w:val="nil"/>
            </w:tcBorders>
            <w:shd w:val="clear" w:color="auto" w:fill="auto"/>
          </w:tcPr>
          <w:p w14:paraId="13F0F97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43" w:type="dxa"/>
            <w:tcBorders>
              <w:top w:val="single" w:sz="8" w:space="0" w:color="AEAEAE"/>
              <w:left w:val="nil"/>
              <w:bottom w:val="single" w:sz="8" w:space="0" w:color="152935"/>
              <w:right w:val="nil"/>
            </w:tcBorders>
            <w:shd w:val="clear" w:color="auto" w:fill="auto"/>
          </w:tcPr>
          <w:p w14:paraId="1E9F7DB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21" w:type="dxa"/>
            <w:tcBorders>
              <w:top w:val="single" w:sz="8" w:space="0" w:color="AEAEAE"/>
              <w:left w:val="nil"/>
              <w:bottom w:val="single" w:sz="8" w:space="0" w:color="152935"/>
              <w:right w:val="single" w:sz="8" w:space="0" w:color="E0E0E0"/>
            </w:tcBorders>
            <w:shd w:val="clear" w:color="auto" w:fill="auto"/>
          </w:tcPr>
          <w:p w14:paraId="67A57D8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91" w:type="dxa"/>
            <w:tcBorders>
              <w:top w:val="single" w:sz="8" w:space="0" w:color="AEAEAE"/>
              <w:left w:val="single" w:sz="8" w:space="0" w:color="E0E0E0"/>
              <w:bottom w:val="single" w:sz="8" w:space="0" w:color="152935"/>
              <w:right w:val="single" w:sz="8" w:space="0" w:color="E0E0E0"/>
            </w:tcBorders>
            <w:shd w:val="clear" w:color="auto" w:fill="auto"/>
          </w:tcPr>
          <w:p w14:paraId="52CDDE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61" w:type="dxa"/>
            <w:tcBorders>
              <w:top w:val="single" w:sz="8" w:space="0" w:color="AEAEAE"/>
              <w:left w:val="single" w:sz="8" w:space="0" w:color="E0E0E0"/>
              <w:bottom w:val="single" w:sz="8" w:space="0" w:color="152935"/>
              <w:right w:val="single" w:sz="8" w:space="0" w:color="E0E0E0"/>
            </w:tcBorders>
            <w:shd w:val="clear" w:color="auto" w:fill="auto"/>
            <w:vAlign w:val="center"/>
          </w:tcPr>
          <w:p w14:paraId="3ED3B27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91" w:type="dxa"/>
            <w:tcBorders>
              <w:top w:val="single" w:sz="8" w:space="0" w:color="AEAEAE"/>
              <w:left w:val="single" w:sz="8" w:space="0" w:color="E0E0E0"/>
              <w:bottom w:val="single" w:sz="8" w:space="0" w:color="152935"/>
              <w:right w:val="single" w:sz="8" w:space="0" w:color="E0E0E0"/>
            </w:tcBorders>
            <w:shd w:val="clear" w:color="auto" w:fill="auto"/>
            <w:vAlign w:val="center"/>
          </w:tcPr>
          <w:p w14:paraId="5A722CB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239" w:type="dxa"/>
            <w:tcBorders>
              <w:top w:val="single" w:sz="8" w:space="0" w:color="AEAEAE"/>
              <w:left w:val="single" w:sz="8" w:space="0" w:color="E0E0E0"/>
              <w:bottom w:val="single" w:sz="8" w:space="0" w:color="152935"/>
              <w:right w:val="nil"/>
            </w:tcBorders>
            <w:shd w:val="clear" w:color="auto" w:fill="auto"/>
            <w:vAlign w:val="center"/>
          </w:tcPr>
          <w:p w14:paraId="692A25C5"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00D339F4" w14:textId="77777777" w:rsidTr="008C4317">
        <w:trPr>
          <w:cantSplit/>
          <w:trHeight w:val="283"/>
        </w:trPr>
        <w:tc>
          <w:tcPr>
            <w:tcW w:w="8953" w:type="dxa"/>
            <w:gridSpan w:val="7"/>
            <w:tcBorders>
              <w:top w:val="nil"/>
              <w:left w:val="nil"/>
              <w:bottom w:val="nil"/>
              <w:right w:val="nil"/>
            </w:tcBorders>
            <w:shd w:val="clear" w:color="auto" w:fill="auto"/>
          </w:tcPr>
          <w:p w14:paraId="115B90E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67B9FF90" w14:textId="77777777" w:rsidTr="008C4317">
        <w:trPr>
          <w:cantSplit/>
          <w:trHeight w:val="283"/>
        </w:trPr>
        <w:tc>
          <w:tcPr>
            <w:tcW w:w="8953" w:type="dxa"/>
            <w:gridSpan w:val="7"/>
            <w:tcBorders>
              <w:top w:val="nil"/>
              <w:left w:val="nil"/>
              <w:bottom w:val="nil"/>
              <w:right w:val="nil"/>
            </w:tcBorders>
            <w:shd w:val="clear" w:color="auto" w:fill="auto"/>
          </w:tcPr>
          <w:p w14:paraId="4262EA0E" w14:textId="47D0A8DC"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OR, </w:t>
            </w:r>
            <w:r w:rsidR="00DD07A5" w:rsidRPr="00400193">
              <w:rPr>
                <w:rFonts w:asciiTheme="minorHAnsi" w:hAnsiTheme="minorHAnsi" w:cstheme="minorHAnsi"/>
                <w:sz w:val="20"/>
                <w:szCs w:val="18"/>
                <w:lang w:eastAsia="zh-CN" w:bidi="hi-IN"/>
              </w:rPr>
              <w:t>IRF</w:t>
            </w:r>
          </w:p>
        </w:tc>
      </w:tr>
    </w:tbl>
    <w:p w14:paraId="658E32DE" w14:textId="318EA8BE" w:rsidR="006E3616" w:rsidRPr="00400193" w:rsidRDefault="006E3616" w:rsidP="008C4317">
      <w:pPr>
        <w:pStyle w:val="Caption"/>
        <w:spacing w:after="240"/>
      </w:pPr>
      <w:bookmarkStart w:id="734" w:name="_Ref51588345"/>
      <w:bookmarkStart w:id="735" w:name="_Toc5290163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91</w:t>
      </w:r>
      <w:r w:rsidRPr="00400193">
        <w:fldChar w:fldCharType="end"/>
      </w:r>
      <w:bookmarkEnd w:id="734"/>
      <w:r w:rsidRPr="00400193">
        <w:t>: Analysis of variance of the model for VW</w:t>
      </w:r>
      <w:bookmarkEnd w:id="735"/>
    </w:p>
    <w:tbl>
      <w:tblPr>
        <w:tblW w:w="89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7"/>
        <w:gridCol w:w="1065"/>
        <w:gridCol w:w="604"/>
        <w:gridCol w:w="1724"/>
        <w:gridCol w:w="2328"/>
        <w:gridCol w:w="689"/>
        <w:gridCol w:w="753"/>
        <w:gridCol w:w="1321"/>
      </w:tblGrid>
      <w:tr w:rsidR="006E3616" w:rsidRPr="00400193" w14:paraId="12A4049C" w14:textId="77777777" w:rsidTr="008C4317">
        <w:trPr>
          <w:cantSplit/>
          <w:trHeight w:val="283"/>
        </w:trPr>
        <w:tc>
          <w:tcPr>
            <w:tcW w:w="8971" w:type="dxa"/>
            <w:gridSpan w:val="8"/>
            <w:tcBorders>
              <w:top w:val="nil"/>
              <w:left w:val="nil"/>
              <w:bottom w:val="nil"/>
              <w:right w:val="nil"/>
            </w:tcBorders>
            <w:shd w:val="clear" w:color="auto" w:fill="auto"/>
            <w:vAlign w:val="center"/>
          </w:tcPr>
          <w:p w14:paraId="5BE8F24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569ACD98" w14:textId="77777777" w:rsidTr="008C4317">
        <w:trPr>
          <w:cantSplit/>
          <w:trHeight w:val="283"/>
        </w:trPr>
        <w:tc>
          <w:tcPr>
            <w:tcW w:w="1552" w:type="dxa"/>
            <w:gridSpan w:val="2"/>
            <w:vMerge w:val="restart"/>
            <w:tcBorders>
              <w:top w:val="nil"/>
              <w:left w:val="nil"/>
              <w:bottom w:val="nil"/>
              <w:right w:val="nil"/>
            </w:tcBorders>
            <w:shd w:val="clear" w:color="auto" w:fill="auto"/>
            <w:vAlign w:val="bottom"/>
          </w:tcPr>
          <w:p w14:paraId="3951949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328" w:type="dxa"/>
            <w:gridSpan w:val="2"/>
            <w:tcBorders>
              <w:top w:val="nil"/>
              <w:left w:val="nil"/>
              <w:bottom w:val="nil"/>
              <w:right w:val="single" w:sz="8" w:space="0" w:color="E0E0E0"/>
            </w:tcBorders>
            <w:shd w:val="clear" w:color="auto" w:fill="auto"/>
            <w:vAlign w:val="bottom"/>
          </w:tcPr>
          <w:p w14:paraId="09BE160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328" w:type="dxa"/>
            <w:tcBorders>
              <w:top w:val="nil"/>
              <w:left w:val="single" w:sz="8" w:space="0" w:color="E0E0E0"/>
              <w:bottom w:val="nil"/>
              <w:right w:val="single" w:sz="8" w:space="0" w:color="E0E0E0"/>
            </w:tcBorders>
            <w:shd w:val="clear" w:color="auto" w:fill="auto"/>
            <w:vAlign w:val="bottom"/>
          </w:tcPr>
          <w:p w14:paraId="5C5F2A8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689" w:type="dxa"/>
            <w:vMerge w:val="restart"/>
            <w:tcBorders>
              <w:top w:val="nil"/>
              <w:left w:val="single" w:sz="8" w:space="0" w:color="E0E0E0"/>
              <w:bottom w:val="nil"/>
              <w:right w:val="single" w:sz="8" w:space="0" w:color="E0E0E0"/>
            </w:tcBorders>
            <w:shd w:val="clear" w:color="auto" w:fill="auto"/>
            <w:vAlign w:val="bottom"/>
          </w:tcPr>
          <w:p w14:paraId="49F096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753" w:type="dxa"/>
            <w:vMerge w:val="restart"/>
            <w:tcBorders>
              <w:top w:val="nil"/>
              <w:left w:val="single" w:sz="8" w:space="0" w:color="E0E0E0"/>
              <w:bottom w:val="nil"/>
              <w:right w:val="single" w:sz="8" w:space="0" w:color="E0E0E0"/>
            </w:tcBorders>
            <w:shd w:val="clear" w:color="auto" w:fill="auto"/>
            <w:vAlign w:val="bottom"/>
          </w:tcPr>
          <w:p w14:paraId="2DB766F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c>
          <w:tcPr>
            <w:tcW w:w="1321" w:type="dxa"/>
            <w:tcBorders>
              <w:top w:val="nil"/>
              <w:left w:val="single" w:sz="8" w:space="0" w:color="E0E0E0"/>
              <w:bottom w:val="nil"/>
              <w:right w:val="nil"/>
            </w:tcBorders>
            <w:shd w:val="clear" w:color="auto" w:fill="auto"/>
            <w:vAlign w:val="bottom"/>
          </w:tcPr>
          <w:p w14:paraId="6FF64A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Correlations</w:t>
            </w:r>
          </w:p>
        </w:tc>
      </w:tr>
      <w:tr w:rsidR="006E3616" w:rsidRPr="00400193" w14:paraId="71B3F685" w14:textId="77777777" w:rsidTr="008C4317">
        <w:trPr>
          <w:cantSplit/>
          <w:trHeight w:val="283"/>
        </w:trPr>
        <w:tc>
          <w:tcPr>
            <w:tcW w:w="1552" w:type="dxa"/>
            <w:gridSpan w:val="2"/>
            <w:vMerge/>
            <w:tcBorders>
              <w:top w:val="nil"/>
              <w:left w:val="nil"/>
              <w:bottom w:val="nil"/>
              <w:right w:val="nil"/>
            </w:tcBorders>
            <w:shd w:val="clear" w:color="auto" w:fill="auto"/>
            <w:vAlign w:val="bottom"/>
          </w:tcPr>
          <w:p w14:paraId="0BCE33D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04" w:type="dxa"/>
            <w:tcBorders>
              <w:top w:val="nil"/>
              <w:left w:val="nil"/>
              <w:bottom w:val="single" w:sz="8" w:space="0" w:color="152935"/>
              <w:right w:val="single" w:sz="8" w:space="0" w:color="E0E0E0"/>
            </w:tcBorders>
            <w:shd w:val="clear" w:color="auto" w:fill="auto"/>
            <w:vAlign w:val="bottom"/>
          </w:tcPr>
          <w:p w14:paraId="00A756A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724" w:type="dxa"/>
            <w:tcBorders>
              <w:top w:val="nil"/>
              <w:left w:val="single" w:sz="8" w:space="0" w:color="E0E0E0"/>
              <w:bottom w:val="single" w:sz="8" w:space="0" w:color="152935"/>
              <w:right w:val="single" w:sz="8" w:space="0" w:color="E0E0E0"/>
            </w:tcBorders>
            <w:shd w:val="clear" w:color="auto" w:fill="auto"/>
            <w:vAlign w:val="bottom"/>
          </w:tcPr>
          <w:p w14:paraId="2EB360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328" w:type="dxa"/>
            <w:tcBorders>
              <w:top w:val="nil"/>
              <w:left w:val="single" w:sz="8" w:space="0" w:color="E0E0E0"/>
              <w:bottom w:val="single" w:sz="8" w:space="0" w:color="152935"/>
              <w:right w:val="single" w:sz="8" w:space="0" w:color="E0E0E0"/>
            </w:tcBorders>
            <w:shd w:val="clear" w:color="auto" w:fill="auto"/>
            <w:vAlign w:val="bottom"/>
          </w:tcPr>
          <w:p w14:paraId="32783BA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689" w:type="dxa"/>
            <w:vMerge/>
            <w:tcBorders>
              <w:top w:val="nil"/>
              <w:left w:val="single" w:sz="8" w:space="0" w:color="E0E0E0"/>
              <w:bottom w:val="nil"/>
              <w:right w:val="single" w:sz="8" w:space="0" w:color="E0E0E0"/>
            </w:tcBorders>
            <w:shd w:val="clear" w:color="auto" w:fill="auto"/>
            <w:vAlign w:val="bottom"/>
          </w:tcPr>
          <w:p w14:paraId="4995106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53" w:type="dxa"/>
            <w:vMerge/>
            <w:tcBorders>
              <w:top w:val="nil"/>
              <w:left w:val="single" w:sz="8" w:space="0" w:color="E0E0E0"/>
              <w:bottom w:val="nil"/>
              <w:right w:val="single" w:sz="8" w:space="0" w:color="E0E0E0"/>
            </w:tcBorders>
            <w:shd w:val="clear" w:color="auto" w:fill="auto"/>
            <w:vAlign w:val="bottom"/>
          </w:tcPr>
          <w:p w14:paraId="76A23CD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321" w:type="dxa"/>
            <w:tcBorders>
              <w:top w:val="nil"/>
              <w:left w:val="single" w:sz="8" w:space="0" w:color="E0E0E0"/>
              <w:bottom w:val="single" w:sz="8" w:space="0" w:color="152935"/>
              <w:right w:val="nil"/>
            </w:tcBorders>
            <w:shd w:val="clear" w:color="auto" w:fill="auto"/>
            <w:vAlign w:val="bottom"/>
          </w:tcPr>
          <w:p w14:paraId="4905770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Zero-order</w:t>
            </w:r>
          </w:p>
        </w:tc>
      </w:tr>
      <w:tr w:rsidR="006E3616" w:rsidRPr="00400193" w14:paraId="689D4B70" w14:textId="77777777" w:rsidTr="008C4317">
        <w:trPr>
          <w:cantSplit/>
          <w:trHeight w:val="283"/>
        </w:trPr>
        <w:tc>
          <w:tcPr>
            <w:tcW w:w="487" w:type="dxa"/>
            <w:vMerge w:val="restart"/>
            <w:tcBorders>
              <w:top w:val="single" w:sz="8" w:space="0" w:color="152935"/>
              <w:left w:val="nil"/>
              <w:bottom w:val="single" w:sz="8" w:space="0" w:color="152935"/>
              <w:right w:val="nil"/>
            </w:tcBorders>
            <w:shd w:val="clear" w:color="auto" w:fill="auto"/>
          </w:tcPr>
          <w:p w14:paraId="200548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065" w:type="dxa"/>
            <w:tcBorders>
              <w:top w:val="single" w:sz="8" w:space="0" w:color="152935"/>
              <w:left w:val="nil"/>
              <w:bottom w:val="single" w:sz="8" w:space="0" w:color="AEAEAE"/>
              <w:right w:val="nil"/>
            </w:tcBorders>
            <w:shd w:val="clear" w:color="auto" w:fill="auto"/>
          </w:tcPr>
          <w:p w14:paraId="05B1838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604" w:type="dxa"/>
            <w:tcBorders>
              <w:top w:val="single" w:sz="8" w:space="0" w:color="152935"/>
              <w:left w:val="nil"/>
              <w:bottom w:val="single" w:sz="8" w:space="0" w:color="AEAEAE"/>
              <w:right w:val="single" w:sz="8" w:space="0" w:color="E0E0E0"/>
            </w:tcBorders>
            <w:shd w:val="clear" w:color="auto" w:fill="auto"/>
          </w:tcPr>
          <w:p w14:paraId="060EFE4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1.328</w:t>
            </w:r>
          </w:p>
        </w:tc>
        <w:tc>
          <w:tcPr>
            <w:tcW w:w="1724" w:type="dxa"/>
            <w:tcBorders>
              <w:top w:val="single" w:sz="8" w:space="0" w:color="152935"/>
              <w:left w:val="single" w:sz="8" w:space="0" w:color="E0E0E0"/>
              <w:bottom w:val="single" w:sz="8" w:space="0" w:color="AEAEAE"/>
              <w:right w:val="single" w:sz="8" w:space="0" w:color="E0E0E0"/>
            </w:tcBorders>
            <w:shd w:val="clear" w:color="auto" w:fill="auto"/>
          </w:tcPr>
          <w:p w14:paraId="083D9A6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.213</w:t>
            </w:r>
          </w:p>
        </w:tc>
        <w:tc>
          <w:tcPr>
            <w:tcW w:w="2328" w:type="dxa"/>
            <w:tcBorders>
              <w:top w:val="single" w:sz="8" w:space="0" w:color="152935"/>
              <w:left w:val="single" w:sz="8" w:space="0" w:color="E0E0E0"/>
              <w:bottom w:val="single" w:sz="8" w:space="0" w:color="AEAEAE"/>
              <w:right w:val="single" w:sz="8" w:space="0" w:color="E0E0E0"/>
            </w:tcBorders>
            <w:shd w:val="clear" w:color="auto" w:fill="auto"/>
            <w:vAlign w:val="center"/>
          </w:tcPr>
          <w:p w14:paraId="3E59F6A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689" w:type="dxa"/>
            <w:tcBorders>
              <w:top w:val="single" w:sz="8" w:space="0" w:color="152935"/>
              <w:left w:val="single" w:sz="8" w:space="0" w:color="E0E0E0"/>
              <w:bottom w:val="single" w:sz="8" w:space="0" w:color="AEAEAE"/>
              <w:right w:val="single" w:sz="8" w:space="0" w:color="E0E0E0"/>
            </w:tcBorders>
            <w:shd w:val="clear" w:color="auto" w:fill="auto"/>
          </w:tcPr>
          <w:p w14:paraId="1C58413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6.235</w:t>
            </w:r>
          </w:p>
        </w:tc>
        <w:tc>
          <w:tcPr>
            <w:tcW w:w="753" w:type="dxa"/>
            <w:tcBorders>
              <w:top w:val="single" w:sz="8" w:space="0" w:color="152935"/>
              <w:left w:val="single" w:sz="8" w:space="0" w:color="E0E0E0"/>
              <w:bottom w:val="single" w:sz="8" w:space="0" w:color="AEAEAE"/>
              <w:right w:val="single" w:sz="8" w:space="0" w:color="E0E0E0"/>
            </w:tcBorders>
            <w:shd w:val="clear" w:color="auto" w:fill="auto"/>
          </w:tcPr>
          <w:p w14:paraId="00CA4E3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21" w:type="dxa"/>
            <w:tcBorders>
              <w:top w:val="single" w:sz="8" w:space="0" w:color="152935"/>
              <w:left w:val="single" w:sz="8" w:space="0" w:color="E0E0E0"/>
              <w:bottom w:val="single" w:sz="8" w:space="0" w:color="AEAEAE"/>
              <w:right w:val="nil"/>
            </w:tcBorders>
            <w:shd w:val="clear" w:color="auto" w:fill="auto"/>
            <w:vAlign w:val="center"/>
          </w:tcPr>
          <w:p w14:paraId="6C287F0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6DED8D3A" w14:textId="77777777" w:rsidTr="008C4317">
        <w:trPr>
          <w:cantSplit/>
          <w:trHeight w:val="283"/>
        </w:trPr>
        <w:tc>
          <w:tcPr>
            <w:tcW w:w="487" w:type="dxa"/>
            <w:vMerge/>
            <w:tcBorders>
              <w:top w:val="single" w:sz="8" w:space="0" w:color="152935"/>
              <w:left w:val="nil"/>
              <w:bottom w:val="single" w:sz="8" w:space="0" w:color="152935"/>
              <w:right w:val="nil"/>
            </w:tcBorders>
            <w:shd w:val="clear" w:color="auto" w:fill="auto"/>
          </w:tcPr>
          <w:p w14:paraId="7563F9A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65" w:type="dxa"/>
            <w:tcBorders>
              <w:top w:val="single" w:sz="8" w:space="0" w:color="AEAEAE"/>
              <w:left w:val="nil"/>
              <w:bottom w:val="single" w:sz="8" w:space="0" w:color="AEAEAE"/>
              <w:right w:val="nil"/>
            </w:tcBorders>
            <w:shd w:val="clear" w:color="auto" w:fill="auto"/>
          </w:tcPr>
          <w:p w14:paraId="176D6013" w14:textId="0F579804"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IRF</w:t>
            </w:r>
          </w:p>
        </w:tc>
        <w:tc>
          <w:tcPr>
            <w:tcW w:w="604" w:type="dxa"/>
            <w:tcBorders>
              <w:top w:val="single" w:sz="8" w:space="0" w:color="AEAEAE"/>
              <w:left w:val="nil"/>
              <w:bottom w:val="single" w:sz="8" w:space="0" w:color="AEAEAE"/>
              <w:right w:val="single" w:sz="8" w:space="0" w:color="E0E0E0"/>
            </w:tcBorders>
            <w:shd w:val="clear" w:color="auto" w:fill="auto"/>
          </w:tcPr>
          <w:p w14:paraId="5A0B7BA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.537</w:t>
            </w:r>
          </w:p>
        </w:tc>
        <w:tc>
          <w:tcPr>
            <w:tcW w:w="1724" w:type="dxa"/>
            <w:tcBorders>
              <w:top w:val="single" w:sz="8" w:space="0" w:color="AEAEAE"/>
              <w:left w:val="single" w:sz="8" w:space="0" w:color="E0E0E0"/>
              <w:bottom w:val="single" w:sz="8" w:space="0" w:color="AEAEAE"/>
              <w:right w:val="single" w:sz="8" w:space="0" w:color="E0E0E0"/>
            </w:tcBorders>
            <w:shd w:val="clear" w:color="auto" w:fill="auto"/>
          </w:tcPr>
          <w:p w14:paraId="0593FC8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.041</w:t>
            </w:r>
          </w:p>
        </w:tc>
        <w:tc>
          <w:tcPr>
            <w:tcW w:w="2328" w:type="dxa"/>
            <w:tcBorders>
              <w:top w:val="single" w:sz="8" w:space="0" w:color="AEAEAE"/>
              <w:left w:val="single" w:sz="8" w:space="0" w:color="E0E0E0"/>
              <w:bottom w:val="single" w:sz="8" w:space="0" w:color="AEAEAE"/>
              <w:right w:val="single" w:sz="8" w:space="0" w:color="E0E0E0"/>
            </w:tcBorders>
            <w:shd w:val="clear" w:color="auto" w:fill="auto"/>
          </w:tcPr>
          <w:p w14:paraId="194BA3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.786</w:t>
            </w:r>
          </w:p>
        </w:tc>
        <w:tc>
          <w:tcPr>
            <w:tcW w:w="689" w:type="dxa"/>
            <w:tcBorders>
              <w:top w:val="single" w:sz="8" w:space="0" w:color="AEAEAE"/>
              <w:left w:val="single" w:sz="8" w:space="0" w:color="E0E0E0"/>
              <w:bottom w:val="single" w:sz="8" w:space="0" w:color="AEAEAE"/>
              <w:right w:val="single" w:sz="8" w:space="0" w:color="E0E0E0"/>
            </w:tcBorders>
            <w:shd w:val="clear" w:color="auto" w:fill="auto"/>
          </w:tcPr>
          <w:p w14:paraId="05D50AD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12.954</w:t>
            </w:r>
          </w:p>
        </w:tc>
        <w:tc>
          <w:tcPr>
            <w:tcW w:w="753" w:type="dxa"/>
            <w:tcBorders>
              <w:top w:val="single" w:sz="8" w:space="0" w:color="AEAEAE"/>
              <w:left w:val="single" w:sz="8" w:space="0" w:color="E0E0E0"/>
              <w:bottom w:val="single" w:sz="8" w:space="0" w:color="AEAEAE"/>
              <w:right w:val="single" w:sz="8" w:space="0" w:color="E0E0E0"/>
            </w:tcBorders>
            <w:shd w:val="clear" w:color="auto" w:fill="auto"/>
          </w:tcPr>
          <w:p w14:paraId="590E702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21" w:type="dxa"/>
            <w:tcBorders>
              <w:top w:val="single" w:sz="8" w:space="0" w:color="AEAEAE"/>
              <w:left w:val="single" w:sz="8" w:space="0" w:color="E0E0E0"/>
              <w:bottom w:val="single" w:sz="8" w:space="0" w:color="AEAEAE"/>
              <w:right w:val="nil"/>
            </w:tcBorders>
            <w:shd w:val="clear" w:color="auto" w:fill="auto"/>
          </w:tcPr>
          <w:p w14:paraId="19F1D7B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.792</w:t>
            </w:r>
          </w:p>
        </w:tc>
      </w:tr>
      <w:tr w:rsidR="006E3616" w:rsidRPr="00400193" w14:paraId="4FFD580C" w14:textId="77777777" w:rsidTr="008C4317">
        <w:trPr>
          <w:cantSplit/>
          <w:trHeight w:val="283"/>
        </w:trPr>
        <w:tc>
          <w:tcPr>
            <w:tcW w:w="487" w:type="dxa"/>
            <w:vMerge/>
            <w:tcBorders>
              <w:top w:val="single" w:sz="8" w:space="0" w:color="152935"/>
              <w:left w:val="nil"/>
              <w:bottom w:val="single" w:sz="8" w:space="0" w:color="152935"/>
              <w:right w:val="nil"/>
            </w:tcBorders>
            <w:shd w:val="clear" w:color="auto" w:fill="auto"/>
          </w:tcPr>
          <w:p w14:paraId="4D4FCCA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65" w:type="dxa"/>
            <w:tcBorders>
              <w:top w:val="single" w:sz="8" w:space="0" w:color="AEAEAE"/>
              <w:left w:val="nil"/>
              <w:bottom w:val="single" w:sz="8" w:space="0" w:color="AEAEAE"/>
              <w:right w:val="nil"/>
            </w:tcBorders>
            <w:shd w:val="clear" w:color="auto" w:fill="auto"/>
          </w:tcPr>
          <w:p w14:paraId="096BE4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w:t>
            </w:r>
          </w:p>
        </w:tc>
        <w:tc>
          <w:tcPr>
            <w:tcW w:w="604" w:type="dxa"/>
            <w:tcBorders>
              <w:top w:val="single" w:sz="8" w:space="0" w:color="AEAEAE"/>
              <w:left w:val="nil"/>
              <w:bottom w:val="single" w:sz="8" w:space="0" w:color="AEAEAE"/>
              <w:right w:val="single" w:sz="8" w:space="0" w:color="E0E0E0"/>
            </w:tcBorders>
            <w:shd w:val="clear" w:color="auto" w:fill="auto"/>
          </w:tcPr>
          <w:p w14:paraId="0B1DC90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.053</w:t>
            </w:r>
          </w:p>
        </w:tc>
        <w:tc>
          <w:tcPr>
            <w:tcW w:w="1724" w:type="dxa"/>
            <w:tcBorders>
              <w:top w:val="single" w:sz="8" w:space="0" w:color="AEAEAE"/>
              <w:left w:val="single" w:sz="8" w:space="0" w:color="E0E0E0"/>
              <w:bottom w:val="single" w:sz="8" w:space="0" w:color="AEAEAE"/>
              <w:right w:val="single" w:sz="8" w:space="0" w:color="E0E0E0"/>
            </w:tcBorders>
            <w:shd w:val="clear" w:color="auto" w:fill="auto"/>
          </w:tcPr>
          <w:p w14:paraId="10B5BEE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.048</w:t>
            </w:r>
          </w:p>
        </w:tc>
        <w:tc>
          <w:tcPr>
            <w:tcW w:w="2328" w:type="dxa"/>
            <w:tcBorders>
              <w:top w:val="single" w:sz="8" w:space="0" w:color="AEAEAE"/>
              <w:left w:val="single" w:sz="8" w:space="0" w:color="E0E0E0"/>
              <w:bottom w:val="single" w:sz="8" w:space="0" w:color="AEAEAE"/>
              <w:right w:val="single" w:sz="8" w:space="0" w:color="E0E0E0"/>
            </w:tcBorders>
            <w:shd w:val="clear" w:color="auto" w:fill="auto"/>
          </w:tcPr>
          <w:p w14:paraId="27686D1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.067</w:t>
            </w:r>
          </w:p>
        </w:tc>
        <w:tc>
          <w:tcPr>
            <w:tcW w:w="689" w:type="dxa"/>
            <w:tcBorders>
              <w:top w:val="single" w:sz="8" w:space="0" w:color="AEAEAE"/>
              <w:left w:val="single" w:sz="8" w:space="0" w:color="E0E0E0"/>
              <w:bottom w:val="single" w:sz="8" w:space="0" w:color="AEAEAE"/>
              <w:right w:val="single" w:sz="8" w:space="0" w:color="E0E0E0"/>
            </w:tcBorders>
            <w:shd w:val="clear" w:color="auto" w:fill="auto"/>
          </w:tcPr>
          <w:p w14:paraId="6C2E03C3" w14:textId="54DDD6BE"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F66216" w:rsidRPr="00400193">
              <w:rPr>
                <w:rFonts w:asciiTheme="minorHAnsi" w:hAnsiTheme="minorHAnsi" w:cstheme="minorHAnsi"/>
                <w:sz w:val="20"/>
                <w:szCs w:val="18"/>
                <w:lang w:eastAsia="zh-CN" w:bidi="hi-IN"/>
              </w:rPr>
              <w:t>1</w:t>
            </w:r>
            <w:r w:rsidRPr="00400193">
              <w:rPr>
                <w:rFonts w:asciiTheme="minorHAnsi" w:hAnsiTheme="minorHAnsi" w:cstheme="minorHAnsi"/>
                <w:sz w:val="20"/>
                <w:szCs w:val="18"/>
                <w:lang w:eastAsia="zh-CN" w:bidi="hi-IN"/>
              </w:rPr>
              <w:t>.100</w:t>
            </w:r>
          </w:p>
        </w:tc>
        <w:tc>
          <w:tcPr>
            <w:tcW w:w="753" w:type="dxa"/>
            <w:tcBorders>
              <w:top w:val="single" w:sz="8" w:space="0" w:color="AEAEAE"/>
              <w:left w:val="single" w:sz="8" w:space="0" w:color="E0E0E0"/>
              <w:bottom w:val="single" w:sz="8" w:space="0" w:color="AEAEAE"/>
              <w:right w:val="single" w:sz="8" w:space="0" w:color="E0E0E0"/>
            </w:tcBorders>
            <w:shd w:val="clear" w:color="auto" w:fill="auto"/>
          </w:tcPr>
          <w:p w14:paraId="3C534C12" w14:textId="62B38834"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w:t>
            </w:r>
            <w:r w:rsidR="00F66216"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lang w:eastAsia="zh-CN" w:bidi="hi-IN"/>
              </w:rPr>
              <w:t>274</w:t>
            </w:r>
          </w:p>
        </w:tc>
        <w:tc>
          <w:tcPr>
            <w:tcW w:w="1321" w:type="dxa"/>
            <w:tcBorders>
              <w:top w:val="single" w:sz="8" w:space="0" w:color="AEAEAE"/>
              <w:left w:val="single" w:sz="8" w:space="0" w:color="E0E0E0"/>
              <w:bottom w:val="single" w:sz="8" w:space="0" w:color="AEAEAE"/>
              <w:right w:val="nil"/>
            </w:tcBorders>
            <w:shd w:val="clear" w:color="auto" w:fill="auto"/>
          </w:tcPr>
          <w:p w14:paraId="629A2EAC"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.142</w:t>
            </w:r>
          </w:p>
        </w:tc>
      </w:tr>
      <w:tr w:rsidR="008C4317" w:rsidRPr="00400193" w14:paraId="50BAAB13" w14:textId="77777777" w:rsidTr="008C4317">
        <w:trPr>
          <w:cantSplit/>
          <w:trHeight w:val="283"/>
        </w:trPr>
        <w:tc>
          <w:tcPr>
            <w:tcW w:w="8971" w:type="dxa"/>
            <w:gridSpan w:val="8"/>
            <w:tcBorders>
              <w:top w:val="single" w:sz="8" w:space="0" w:color="152935"/>
              <w:left w:val="nil"/>
              <w:bottom w:val="single" w:sz="4" w:space="0" w:color="FFFFFF" w:themeColor="background1"/>
              <w:right w:val="nil"/>
            </w:tcBorders>
            <w:shd w:val="clear" w:color="auto" w:fill="auto"/>
          </w:tcPr>
          <w:p w14:paraId="518E074B" w14:textId="56CB5704" w:rsidR="008C4317" w:rsidRPr="00400193" w:rsidRDefault="008C4317"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45279CDA" w14:textId="0992AEF2" w:rsidR="006E3616" w:rsidRPr="00400193" w:rsidRDefault="006E3616" w:rsidP="006E3616">
      <w:pPr>
        <w:pStyle w:val="Caption"/>
      </w:pPr>
      <w:bookmarkStart w:id="736" w:name="_Ref51588448"/>
      <w:bookmarkStart w:id="737" w:name="_Toc5290163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92</w:t>
      </w:r>
      <w:r w:rsidRPr="00400193">
        <w:fldChar w:fldCharType="end"/>
      </w:r>
      <w:bookmarkEnd w:id="736"/>
      <w:r w:rsidRPr="00400193">
        <w:t>: Coefficients of the regression model for VW</w:t>
      </w:r>
      <w:bookmarkEnd w:id="737"/>
    </w:p>
    <w:p w14:paraId="1BB91E88" w14:textId="77777777" w:rsidR="006E3616" w:rsidRPr="00400193" w:rsidRDefault="006E3616" w:rsidP="006E3616">
      <w:pPr>
        <w:spacing w:line="240" w:lineRule="auto"/>
        <w:rPr>
          <w:lang w:eastAsia="zh-CN" w:bidi="hi-IN"/>
        </w:rPr>
      </w:pPr>
    </w:p>
    <w:p w14:paraId="27D4F7E3" w14:textId="1A7FE8C3" w:rsidR="006E3616" w:rsidRPr="00400193" w:rsidRDefault="006E3616" w:rsidP="006E3616">
      <w:pPr>
        <w:rPr>
          <w:lang w:eastAsia="zh-CN" w:bidi="hi-IN"/>
        </w:rPr>
      </w:pPr>
      <w:r w:rsidRPr="00400193">
        <w:rPr>
          <w:lang w:eastAsia="zh-CN" w:bidi="hi-IN"/>
        </w:rPr>
        <w:t xml:space="preserve">When all the research constructs above were considered together only organisational resilience positively and significantly contributed to the effect of </w:t>
      </w:r>
      <w:bookmarkEnd w:id="731"/>
      <w:r w:rsidR="00DD07A5" w:rsidRPr="00400193">
        <w:rPr>
          <w:lang w:eastAsia="zh-CN" w:bidi="hi-IN"/>
        </w:rPr>
        <w:t>IRF</w:t>
      </w:r>
      <w:r w:rsidRPr="00400193">
        <w:rPr>
          <w:lang w:eastAsia="zh-CN" w:bidi="hi-IN"/>
        </w:rPr>
        <w:t xml:space="preserve"> (</w:t>
      </w:r>
      <w:r w:rsidR="008C4317" w:rsidRPr="00400193">
        <w:rPr>
          <w:lang w:eastAsia="zh-CN" w:bidi="hi-IN"/>
        </w:rPr>
        <w:fldChar w:fldCharType="begin"/>
      </w:r>
      <w:r w:rsidR="008C4317" w:rsidRPr="00400193">
        <w:rPr>
          <w:lang w:eastAsia="zh-CN" w:bidi="hi-IN"/>
        </w:rPr>
        <w:instrText xml:space="preserve"> REF _Ref51588448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92</w:t>
      </w:r>
      <w:r w:rsidR="008C4317" w:rsidRPr="00400193">
        <w:rPr>
          <w:lang w:eastAsia="zh-CN" w:bidi="hi-IN"/>
        </w:rPr>
        <w:fldChar w:fldCharType="end"/>
      </w:r>
      <w:r w:rsidRPr="00400193">
        <w:rPr>
          <w:lang w:eastAsia="zh-CN" w:bidi="hi-IN"/>
        </w:rPr>
        <w:t xml:space="preserve">). </w:t>
      </w:r>
    </w:p>
    <w:p w14:paraId="303686F3" w14:textId="77777777" w:rsidR="006E3616" w:rsidRPr="00400193" w:rsidRDefault="006E3616" w:rsidP="003C3496">
      <w:pPr>
        <w:pStyle w:val="Heading4"/>
        <w:rPr>
          <w:lang w:eastAsia="zh-CN" w:bidi="hi-IN"/>
        </w:rPr>
      </w:pPr>
      <w:bookmarkStart w:id="738" w:name="_Toc61894789"/>
      <w:r w:rsidRPr="00400193">
        <w:rPr>
          <w:lang w:eastAsia="zh-CN" w:bidi="hi-IN"/>
        </w:rPr>
        <w:t>Testing for Collinearity of the Independent Variables</w:t>
      </w:r>
      <w:bookmarkEnd w:id="738"/>
    </w:p>
    <w:p w14:paraId="36E3D6B2" w14:textId="552797A4" w:rsidR="006E3616" w:rsidRPr="00400193" w:rsidRDefault="006E3616" w:rsidP="006E3616">
      <w:pPr>
        <w:rPr>
          <w:lang w:eastAsia="zh-CN" w:bidi="hi-IN"/>
        </w:rPr>
      </w:pPr>
      <w:r w:rsidRPr="00400193">
        <w:rPr>
          <w:lang w:eastAsia="zh-CN" w:bidi="hi-IN"/>
        </w:rPr>
        <w:t xml:space="preserve">The collinearity results for the independent variables are in </w:t>
      </w:r>
      <w:r w:rsidR="008C4317" w:rsidRPr="00400193">
        <w:rPr>
          <w:lang w:eastAsia="zh-CN" w:bidi="hi-IN"/>
        </w:rPr>
        <w:fldChar w:fldCharType="begin"/>
      </w:r>
      <w:r w:rsidR="008C4317" w:rsidRPr="00400193">
        <w:rPr>
          <w:lang w:eastAsia="zh-CN" w:bidi="hi-IN"/>
        </w:rPr>
        <w:instrText xml:space="preserve"> REF _Ref51588555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93</w:t>
      </w:r>
      <w:r w:rsidR="008C4317" w:rsidRPr="00400193">
        <w:rPr>
          <w:lang w:eastAsia="zh-CN" w:bidi="hi-IN"/>
        </w:rPr>
        <w:fldChar w:fldCharType="end"/>
      </w:r>
      <w:r w:rsidRPr="00400193">
        <w:rPr>
          <w:lang w:eastAsia="zh-CN" w:bidi="hi-IN"/>
        </w:rPr>
        <w:t>.</w:t>
      </w:r>
    </w:p>
    <w:p w14:paraId="5151FA2C" w14:textId="22FD030E" w:rsidR="008C4317" w:rsidRPr="00400193" w:rsidRDefault="008C4317" w:rsidP="006E3616">
      <w:pPr>
        <w:rPr>
          <w:lang w:eastAsia="zh-CN" w:bidi="hi-IN"/>
        </w:rPr>
      </w:pPr>
    </w:p>
    <w:p w14:paraId="5F6AF82A" w14:textId="77777777" w:rsidR="008C4317" w:rsidRPr="00400193" w:rsidRDefault="008C4317" w:rsidP="006E3616">
      <w:pPr>
        <w:rPr>
          <w:lang w:eastAsia="zh-CN" w:bidi="hi-IN"/>
        </w:rPr>
      </w:pPr>
    </w:p>
    <w:tbl>
      <w:tblPr>
        <w:tblW w:w="88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7"/>
        <w:gridCol w:w="1165"/>
        <w:gridCol w:w="1166"/>
        <w:gridCol w:w="1400"/>
        <w:gridCol w:w="1123"/>
        <w:gridCol w:w="977"/>
        <w:gridCol w:w="2231"/>
      </w:tblGrid>
      <w:tr w:rsidR="006E3616" w:rsidRPr="00400193" w14:paraId="4A446872" w14:textId="77777777" w:rsidTr="008C4317">
        <w:trPr>
          <w:cantSplit/>
          <w:trHeight w:val="283"/>
        </w:trPr>
        <w:tc>
          <w:tcPr>
            <w:tcW w:w="8819" w:type="dxa"/>
            <w:gridSpan w:val="7"/>
            <w:tcBorders>
              <w:top w:val="nil"/>
              <w:left w:val="nil"/>
              <w:bottom w:val="nil"/>
              <w:right w:val="nil"/>
            </w:tcBorders>
            <w:shd w:val="clear" w:color="auto" w:fill="auto"/>
            <w:vAlign w:val="center"/>
          </w:tcPr>
          <w:p w14:paraId="5DB029E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Collinearity Diagnostics </w:t>
            </w:r>
            <w:r w:rsidRPr="00400193">
              <w:rPr>
                <w:rFonts w:asciiTheme="minorHAnsi" w:hAnsiTheme="minorHAnsi" w:cstheme="minorHAnsi"/>
                <w:b/>
                <w:bCs/>
                <w:sz w:val="20"/>
                <w:szCs w:val="18"/>
                <w:vertAlign w:val="superscript"/>
                <w:lang w:eastAsia="zh-CN" w:bidi="hi-IN"/>
              </w:rPr>
              <w:t>a</w:t>
            </w:r>
          </w:p>
        </w:tc>
      </w:tr>
      <w:tr w:rsidR="006E3616" w:rsidRPr="00400193" w14:paraId="414CCF70" w14:textId="77777777" w:rsidTr="008C4317">
        <w:trPr>
          <w:cantSplit/>
          <w:trHeight w:val="283"/>
        </w:trPr>
        <w:tc>
          <w:tcPr>
            <w:tcW w:w="757" w:type="dxa"/>
            <w:vMerge w:val="restart"/>
            <w:tcBorders>
              <w:top w:val="nil"/>
              <w:left w:val="nil"/>
              <w:bottom w:val="nil"/>
              <w:right w:val="nil"/>
            </w:tcBorders>
            <w:shd w:val="clear" w:color="auto" w:fill="auto"/>
            <w:vAlign w:val="bottom"/>
          </w:tcPr>
          <w:p w14:paraId="3D67BBF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165" w:type="dxa"/>
            <w:vMerge w:val="restart"/>
            <w:tcBorders>
              <w:top w:val="nil"/>
              <w:left w:val="nil"/>
              <w:bottom w:val="nil"/>
              <w:right w:val="nil"/>
            </w:tcBorders>
            <w:shd w:val="clear" w:color="auto" w:fill="auto"/>
            <w:vAlign w:val="bottom"/>
          </w:tcPr>
          <w:p w14:paraId="4FA3222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Dimension</w:t>
            </w:r>
          </w:p>
        </w:tc>
        <w:tc>
          <w:tcPr>
            <w:tcW w:w="1166" w:type="dxa"/>
            <w:vMerge w:val="restart"/>
            <w:tcBorders>
              <w:top w:val="nil"/>
              <w:left w:val="nil"/>
              <w:bottom w:val="nil"/>
              <w:right w:val="single" w:sz="8" w:space="0" w:color="E0E0E0"/>
            </w:tcBorders>
            <w:shd w:val="clear" w:color="auto" w:fill="auto"/>
            <w:vAlign w:val="bottom"/>
          </w:tcPr>
          <w:p w14:paraId="40617B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Eigenvalue</w:t>
            </w:r>
          </w:p>
        </w:tc>
        <w:tc>
          <w:tcPr>
            <w:tcW w:w="1400" w:type="dxa"/>
            <w:vMerge w:val="restart"/>
            <w:tcBorders>
              <w:top w:val="nil"/>
              <w:left w:val="single" w:sz="8" w:space="0" w:color="E0E0E0"/>
              <w:bottom w:val="nil"/>
              <w:right w:val="single" w:sz="8" w:space="0" w:color="E0E0E0"/>
            </w:tcBorders>
            <w:shd w:val="clear" w:color="auto" w:fill="auto"/>
            <w:vAlign w:val="bottom"/>
          </w:tcPr>
          <w:p w14:paraId="76B954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Condition Index</w:t>
            </w:r>
          </w:p>
        </w:tc>
        <w:tc>
          <w:tcPr>
            <w:tcW w:w="4331" w:type="dxa"/>
            <w:gridSpan w:val="3"/>
            <w:tcBorders>
              <w:top w:val="nil"/>
              <w:left w:val="single" w:sz="8" w:space="0" w:color="E0E0E0"/>
              <w:bottom w:val="nil"/>
              <w:right w:val="nil"/>
            </w:tcBorders>
            <w:shd w:val="clear" w:color="auto" w:fill="auto"/>
            <w:vAlign w:val="bottom"/>
          </w:tcPr>
          <w:p w14:paraId="3EF1120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Variance Proportions</w:t>
            </w:r>
          </w:p>
        </w:tc>
      </w:tr>
      <w:tr w:rsidR="006E3616" w:rsidRPr="00400193" w14:paraId="5B2DDC31" w14:textId="77777777" w:rsidTr="008C4317">
        <w:trPr>
          <w:cantSplit/>
          <w:trHeight w:val="283"/>
        </w:trPr>
        <w:tc>
          <w:tcPr>
            <w:tcW w:w="757" w:type="dxa"/>
            <w:vMerge/>
            <w:tcBorders>
              <w:top w:val="nil"/>
              <w:left w:val="nil"/>
              <w:bottom w:val="nil"/>
              <w:right w:val="nil"/>
            </w:tcBorders>
            <w:shd w:val="clear" w:color="auto" w:fill="auto"/>
            <w:vAlign w:val="bottom"/>
          </w:tcPr>
          <w:p w14:paraId="3ABEC71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65" w:type="dxa"/>
            <w:vMerge/>
            <w:tcBorders>
              <w:top w:val="nil"/>
              <w:left w:val="nil"/>
              <w:bottom w:val="nil"/>
              <w:right w:val="nil"/>
            </w:tcBorders>
            <w:shd w:val="clear" w:color="auto" w:fill="auto"/>
            <w:vAlign w:val="bottom"/>
          </w:tcPr>
          <w:p w14:paraId="43E7A6A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66" w:type="dxa"/>
            <w:vMerge/>
            <w:tcBorders>
              <w:top w:val="nil"/>
              <w:left w:val="nil"/>
              <w:bottom w:val="nil"/>
              <w:right w:val="single" w:sz="8" w:space="0" w:color="E0E0E0"/>
            </w:tcBorders>
            <w:shd w:val="clear" w:color="auto" w:fill="auto"/>
            <w:vAlign w:val="bottom"/>
          </w:tcPr>
          <w:p w14:paraId="28F209F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400" w:type="dxa"/>
            <w:vMerge/>
            <w:tcBorders>
              <w:top w:val="nil"/>
              <w:left w:val="single" w:sz="8" w:space="0" w:color="E0E0E0"/>
              <w:bottom w:val="nil"/>
              <w:right w:val="single" w:sz="8" w:space="0" w:color="E0E0E0"/>
            </w:tcBorders>
            <w:shd w:val="clear" w:color="auto" w:fill="auto"/>
            <w:vAlign w:val="bottom"/>
          </w:tcPr>
          <w:p w14:paraId="6875681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23" w:type="dxa"/>
            <w:tcBorders>
              <w:top w:val="nil"/>
              <w:left w:val="single" w:sz="8" w:space="0" w:color="E0E0E0"/>
              <w:bottom w:val="single" w:sz="8" w:space="0" w:color="152935"/>
              <w:right w:val="single" w:sz="8" w:space="0" w:color="E0E0E0"/>
            </w:tcBorders>
            <w:shd w:val="clear" w:color="auto" w:fill="auto"/>
            <w:vAlign w:val="bottom"/>
          </w:tcPr>
          <w:p w14:paraId="7B2794B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977" w:type="dxa"/>
            <w:tcBorders>
              <w:top w:val="nil"/>
              <w:left w:val="single" w:sz="8" w:space="0" w:color="E0E0E0"/>
              <w:bottom w:val="single" w:sz="8" w:space="0" w:color="152935"/>
              <w:right w:val="single" w:sz="8" w:space="0" w:color="E0E0E0"/>
            </w:tcBorders>
            <w:shd w:val="clear" w:color="auto" w:fill="auto"/>
            <w:vAlign w:val="bottom"/>
          </w:tcPr>
          <w:p w14:paraId="3880560B" w14:textId="7D67EB1A" w:rsidR="006E3616" w:rsidRPr="00400193" w:rsidRDefault="00DD07A5"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IRF</w:t>
            </w:r>
          </w:p>
        </w:tc>
        <w:tc>
          <w:tcPr>
            <w:tcW w:w="2231" w:type="dxa"/>
            <w:tcBorders>
              <w:top w:val="nil"/>
              <w:left w:val="single" w:sz="8" w:space="0" w:color="E0E0E0"/>
              <w:bottom w:val="single" w:sz="8" w:space="0" w:color="152935"/>
              <w:right w:val="nil"/>
            </w:tcBorders>
            <w:shd w:val="clear" w:color="auto" w:fill="auto"/>
            <w:vAlign w:val="bottom"/>
          </w:tcPr>
          <w:p w14:paraId="2E71B4B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r>
      <w:tr w:rsidR="006E3616" w:rsidRPr="00400193" w14:paraId="7C51A42A" w14:textId="77777777" w:rsidTr="008C4317">
        <w:trPr>
          <w:cantSplit/>
          <w:trHeight w:val="283"/>
        </w:trPr>
        <w:tc>
          <w:tcPr>
            <w:tcW w:w="757" w:type="dxa"/>
            <w:vMerge w:val="restart"/>
            <w:tcBorders>
              <w:top w:val="single" w:sz="8" w:space="0" w:color="152935"/>
              <w:left w:val="nil"/>
              <w:bottom w:val="single" w:sz="8" w:space="0" w:color="152935"/>
              <w:right w:val="nil"/>
            </w:tcBorders>
            <w:shd w:val="clear" w:color="auto" w:fill="auto"/>
          </w:tcPr>
          <w:p w14:paraId="0965213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65" w:type="dxa"/>
            <w:tcBorders>
              <w:top w:val="single" w:sz="8" w:space="0" w:color="152935"/>
              <w:left w:val="nil"/>
              <w:bottom w:val="single" w:sz="8" w:space="0" w:color="AEAEAE"/>
              <w:right w:val="nil"/>
            </w:tcBorders>
            <w:shd w:val="clear" w:color="auto" w:fill="auto"/>
          </w:tcPr>
          <w:p w14:paraId="07B8E80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166" w:type="dxa"/>
            <w:tcBorders>
              <w:top w:val="single" w:sz="8" w:space="0" w:color="152935"/>
              <w:left w:val="nil"/>
              <w:bottom w:val="single" w:sz="8" w:space="0" w:color="AEAEAE"/>
              <w:right w:val="single" w:sz="8" w:space="0" w:color="E0E0E0"/>
            </w:tcBorders>
            <w:shd w:val="clear" w:color="auto" w:fill="auto"/>
          </w:tcPr>
          <w:p w14:paraId="5BAAC16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2.929</w:t>
            </w:r>
          </w:p>
        </w:tc>
        <w:tc>
          <w:tcPr>
            <w:tcW w:w="1400" w:type="dxa"/>
            <w:tcBorders>
              <w:top w:val="single" w:sz="8" w:space="0" w:color="152935"/>
              <w:left w:val="single" w:sz="8" w:space="0" w:color="E0E0E0"/>
              <w:bottom w:val="single" w:sz="8" w:space="0" w:color="AEAEAE"/>
              <w:right w:val="single" w:sz="8" w:space="0" w:color="E0E0E0"/>
            </w:tcBorders>
            <w:shd w:val="clear" w:color="auto" w:fill="auto"/>
          </w:tcPr>
          <w:p w14:paraId="40C9F98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1123" w:type="dxa"/>
            <w:tcBorders>
              <w:top w:val="single" w:sz="8" w:space="0" w:color="152935"/>
              <w:left w:val="single" w:sz="8" w:space="0" w:color="E0E0E0"/>
              <w:bottom w:val="single" w:sz="8" w:space="0" w:color="AEAEAE"/>
              <w:right w:val="single" w:sz="8" w:space="0" w:color="E0E0E0"/>
            </w:tcBorders>
            <w:shd w:val="clear" w:color="auto" w:fill="auto"/>
          </w:tcPr>
          <w:p w14:paraId="1F76DF4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c>
          <w:tcPr>
            <w:tcW w:w="977" w:type="dxa"/>
            <w:tcBorders>
              <w:top w:val="single" w:sz="8" w:space="0" w:color="152935"/>
              <w:left w:val="single" w:sz="8" w:space="0" w:color="E0E0E0"/>
              <w:bottom w:val="single" w:sz="8" w:space="0" w:color="AEAEAE"/>
              <w:right w:val="single" w:sz="8" w:space="0" w:color="E0E0E0"/>
            </w:tcBorders>
            <w:shd w:val="clear" w:color="auto" w:fill="auto"/>
          </w:tcPr>
          <w:p w14:paraId="2E61615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w:t>
            </w:r>
          </w:p>
        </w:tc>
        <w:tc>
          <w:tcPr>
            <w:tcW w:w="2231" w:type="dxa"/>
            <w:tcBorders>
              <w:top w:val="single" w:sz="8" w:space="0" w:color="152935"/>
              <w:left w:val="single" w:sz="8" w:space="0" w:color="E0E0E0"/>
              <w:bottom w:val="single" w:sz="8" w:space="0" w:color="AEAEAE"/>
              <w:right w:val="nil"/>
            </w:tcBorders>
            <w:shd w:val="clear" w:color="auto" w:fill="auto"/>
          </w:tcPr>
          <w:p w14:paraId="68E034A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w:t>
            </w:r>
          </w:p>
        </w:tc>
      </w:tr>
      <w:tr w:rsidR="006E3616" w:rsidRPr="00400193" w14:paraId="601E44DB" w14:textId="77777777" w:rsidTr="008C4317">
        <w:trPr>
          <w:cantSplit/>
          <w:trHeight w:val="283"/>
        </w:trPr>
        <w:tc>
          <w:tcPr>
            <w:tcW w:w="757" w:type="dxa"/>
            <w:vMerge/>
            <w:tcBorders>
              <w:top w:val="single" w:sz="8" w:space="0" w:color="152935"/>
              <w:left w:val="nil"/>
              <w:bottom w:val="single" w:sz="8" w:space="0" w:color="152935"/>
              <w:right w:val="nil"/>
            </w:tcBorders>
            <w:shd w:val="clear" w:color="auto" w:fill="auto"/>
          </w:tcPr>
          <w:p w14:paraId="6313DED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65" w:type="dxa"/>
            <w:tcBorders>
              <w:top w:val="single" w:sz="8" w:space="0" w:color="AEAEAE"/>
              <w:left w:val="nil"/>
              <w:bottom w:val="single" w:sz="8" w:space="0" w:color="AEAEAE"/>
              <w:right w:val="nil"/>
            </w:tcBorders>
            <w:shd w:val="clear" w:color="auto" w:fill="auto"/>
          </w:tcPr>
          <w:p w14:paraId="0C5984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w:t>
            </w:r>
          </w:p>
        </w:tc>
        <w:tc>
          <w:tcPr>
            <w:tcW w:w="1166" w:type="dxa"/>
            <w:tcBorders>
              <w:top w:val="single" w:sz="8" w:space="0" w:color="AEAEAE"/>
              <w:left w:val="nil"/>
              <w:bottom w:val="single" w:sz="8" w:space="0" w:color="AEAEAE"/>
              <w:right w:val="single" w:sz="8" w:space="0" w:color="E0E0E0"/>
            </w:tcBorders>
            <w:shd w:val="clear" w:color="auto" w:fill="auto"/>
          </w:tcPr>
          <w:p w14:paraId="6142AF4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.053</w:t>
            </w:r>
          </w:p>
        </w:tc>
        <w:tc>
          <w:tcPr>
            <w:tcW w:w="1400" w:type="dxa"/>
            <w:tcBorders>
              <w:top w:val="single" w:sz="8" w:space="0" w:color="AEAEAE"/>
              <w:left w:val="single" w:sz="8" w:space="0" w:color="E0E0E0"/>
              <w:bottom w:val="single" w:sz="8" w:space="0" w:color="AEAEAE"/>
              <w:right w:val="single" w:sz="8" w:space="0" w:color="E0E0E0"/>
            </w:tcBorders>
            <w:shd w:val="clear" w:color="auto" w:fill="auto"/>
          </w:tcPr>
          <w:p w14:paraId="564AB12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7.442</w:t>
            </w:r>
          </w:p>
        </w:tc>
        <w:tc>
          <w:tcPr>
            <w:tcW w:w="1123" w:type="dxa"/>
            <w:tcBorders>
              <w:top w:val="single" w:sz="8" w:space="0" w:color="AEAEAE"/>
              <w:left w:val="single" w:sz="8" w:space="0" w:color="E0E0E0"/>
              <w:bottom w:val="single" w:sz="8" w:space="0" w:color="AEAEAE"/>
              <w:right w:val="single" w:sz="8" w:space="0" w:color="E0E0E0"/>
            </w:tcBorders>
            <w:shd w:val="clear" w:color="auto" w:fill="auto"/>
          </w:tcPr>
          <w:p w14:paraId="0A7BCD4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w:t>
            </w:r>
          </w:p>
        </w:tc>
        <w:tc>
          <w:tcPr>
            <w:tcW w:w="977" w:type="dxa"/>
            <w:tcBorders>
              <w:top w:val="single" w:sz="8" w:space="0" w:color="AEAEAE"/>
              <w:left w:val="single" w:sz="8" w:space="0" w:color="E0E0E0"/>
              <w:bottom w:val="single" w:sz="8" w:space="0" w:color="AEAEAE"/>
              <w:right w:val="single" w:sz="8" w:space="0" w:color="E0E0E0"/>
            </w:tcBorders>
            <w:shd w:val="clear" w:color="auto" w:fill="auto"/>
          </w:tcPr>
          <w:p w14:paraId="4A7F3D5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.84</w:t>
            </w:r>
          </w:p>
        </w:tc>
        <w:tc>
          <w:tcPr>
            <w:tcW w:w="2231" w:type="dxa"/>
            <w:tcBorders>
              <w:top w:val="single" w:sz="8" w:space="0" w:color="AEAEAE"/>
              <w:left w:val="single" w:sz="8" w:space="0" w:color="E0E0E0"/>
              <w:bottom w:val="single" w:sz="8" w:space="0" w:color="AEAEAE"/>
              <w:right w:val="nil"/>
            </w:tcBorders>
            <w:shd w:val="clear" w:color="auto" w:fill="auto"/>
          </w:tcPr>
          <w:p w14:paraId="0E61FC7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w:t>
            </w:r>
          </w:p>
        </w:tc>
      </w:tr>
      <w:tr w:rsidR="006E3616" w:rsidRPr="00400193" w14:paraId="3A5A6F15" w14:textId="77777777" w:rsidTr="008C4317">
        <w:trPr>
          <w:cantSplit/>
          <w:trHeight w:val="283"/>
        </w:trPr>
        <w:tc>
          <w:tcPr>
            <w:tcW w:w="757" w:type="dxa"/>
            <w:vMerge/>
            <w:tcBorders>
              <w:top w:val="single" w:sz="8" w:space="0" w:color="152935"/>
              <w:left w:val="nil"/>
              <w:bottom w:val="single" w:sz="8" w:space="0" w:color="152935"/>
              <w:right w:val="nil"/>
            </w:tcBorders>
            <w:shd w:val="clear" w:color="auto" w:fill="auto"/>
          </w:tcPr>
          <w:p w14:paraId="04445C2E"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65" w:type="dxa"/>
            <w:tcBorders>
              <w:top w:val="single" w:sz="8" w:space="0" w:color="AEAEAE"/>
              <w:left w:val="nil"/>
              <w:bottom w:val="single" w:sz="8" w:space="0" w:color="152935"/>
              <w:right w:val="nil"/>
            </w:tcBorders>
            <w:shd w:val="clear" w:color="auto" w:fill="auto"/>
          </w:tcPr>
          <w:p w14:paraId="4D91034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166" w:type="dxa"/>
            <w:tcBorders>
              <w:top w:val="single" w:sz="8" w:space="0" w:color="AEAEAE"/>
              <w:left w:val="nil"/>
              <w:bottom w:val="single" w:sz="8" w:space="0" w:color="152935"/>
              <w:right w:val="single" w:sz="8" w:space="0" w:color="E0E0E0"/>
            </w:tcBorders>
            <w:shd w:val="clear" w:color="auto" w:fill="auto"/>
          </w:tcPr>
          <w:p w14:paraId="4F37F8A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.018</w:t>
            </w:r>
          </w:p>
        </w:tc>
        <w:tc>
          <w:tcPr>
            <w:tcW w:w="1400" w:type="dxa"/>
            <w:tcBorders>
              <w:top w:val="single" w:sz="8" w:space="0" w:color="AEAEAE"/>
              <w:left w:val="single" w:sz="8" w:space="0" w:color="E0E0E0"/>
              <w:bottom w:val="single" w:sz="8" w:space="0" w:color="152935"/>
              <w:right w:val="single" w:sz="8" w:space="0" w:color="E0E0E0"/>
            </w:tcBorders>
            <w:shd w:val="clear" w:color="auto" w:fill="auto"/>
          </w:tcPr>
          <w:p w14:paraId="314B4F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12.875</w:t>
            </w:r>
          </w:p>
        </w:tc>
        <w:tc>
          <w:tcPr>
            <w:tcW w:w="1123" w:type="dxa"/>
            <w:tcBorders>
              <w:top w:val="single" w:sz="8" w:space="0" w:color="AEAEAE"/>
              <w:left w:val="single" w:sz="8" w:space="0" w:color="E0E0E0"/>
              <w:bottom w:val="single" w:sz="8" w:space="0" w:color="152935"/>
              <w:right w:val="single" w:sz="8" w:space="0" w:color="E0E0E0"/>
            </w:tcBorders>
            <w:shd w:val="clear" w:color="auto" w:fill="auto"/>
          </w:tcPr>
          <w:p w14:paraId="31440E1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.97</w:t>
            </w:r>
          </w:p>
        </w:tc>
        <w:tc>
          <w:tcPr>
            <w:tcW w:w="977" w:type="dxa"/>
            <w:tcBorders>
              <w:top w:val="single" w:sz="8" w:space="0" w:color="AEAEAE"/>
              <w:left w:val="single" w:sz="8" w:space="0" w:color="E0E0E0"/>
              <w:bottom w:val="single" w:sz="8" w:space="0" w:color="152935"/>
              <w:right w:val="single" w:sz="8" w:space="0" w:color="E0E0E0"/>
            </w:tcBorders>
            <w:shd w:val="clear" w:color="auto" w:fill="auto"/>
          </w:tcPr>
          <w:p w14:paraId="1ADDF17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.15</w:t>
            </w:r>
          </w:p>
        </w:tc>
        <w:tc>
          <w:tcPr>
            <w:tcW w:w="2231" w:type="dxa"/>
            <w:tcBorders>
              <w:top w:val="single" w:sz="8" w:space="0" w:color="AEAEAE"/>
              <w:left w:val="single" w:sz="8" w:space="0" w:color="E0E0E0"/>
              <w:bottom w:val="single" w:sz="8" w:space="0" w:color="152935"/>
              <w:right w:val="nil"/>
            </w:tcBorders>
            <w:shd w:val="clear" w:color="auto" w:fill="auto"/>
          </w:tcPr>
          <w:p w14:paraId="4F84F29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.77</w:t>
            </w:r>
          </w:p>
        </w:tc>
      </w:tr>
      <w:tr w:rsidR="006E3616" w:rsidRPr="00400193" w14:paraId="321C210A" w14:textId="77777777" w:rsidTr="008C4317">
        <w:trPr>
          <w:cantSplit/>
          <w:trHeight w:val="283"/>
        </w:trPr>
        <w:tc>
          <w:tcPr>
            <w:tcW w:w="8819" w:type="dxa"/>
            <w:gridSpan w:val="7"/>
            <w:tcBorders>
              <w:top w:val="nil"/>
              <w:left w:val="nil"/>
              <w:bottom w:val="nil"/>
              <w:right w:val="nil"/>
            </w:tcBorders>
            <w:shd w:val="clear" w:color="auto" w:fill="auto"/>
          </w:tcPr>
          <w:p w14:paraId="3A643A44"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7C2C4A68" w14:textId="1A3388EB" w:rsidR="006E3616" w:rsidRPr="00400193" w:rsidRDefault="006E3616" w:rsidP="006E3616">
      <w:pPr>
        <w:pStyle w:val="Caption"/>
        <w:spacing w:after="240"/>
      </w:pPr>
      <w:bookmarkStart w:id="739" w:name="_Ref51588555"/>
      <w:bookmarkStart w:id="740" w:name="_Toc5290163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93</w:t>
      </w:r>
      <w:r w:rsidRPr="00400193">
        <w:fldChar w:fldCharType="end"/>
      </w:r>
      <w:bookmarkEnd w:id="739"/>
      <w:r w:rsidRPr="00400193">
        <w:t>: Testing the collinearity between variables for VW</w:t>
      </w:r>
      <w:bookmarkEnd w:id="740"/>
    </w:p>
    <w:p w14:paraId="14BC1C4F" w14:textId="77777777" w:rsidR="008C4317" w:rsidRPr="00400193" w:rsidRDefault="008C4317" w:rsidP="008C4317"/>
    <w:p w14:paraId="4A2F6673" w14:textId="2603A326" w:rsidR="006E3616" w:rsidRPr="00400193" w:rsidRDefault="008C4317" w:rsidP="006E3616">
      <w:pPr>
        <w:rPr>
          <w:lang w:eastAsia="zh-CN" w:bidi="hi-IN"/>
        </w:rPr>
      </w:pPr>
      <w:r w:rsidRPr="00400193">
        <w:rPr>
          <w:lang w:eastAsia="zh-CN" w:bidi="hi-IN"/>
        </w:rPr>
        <w:fldChar w:fldCharType="begin"/>
      </w:r>
      <w:r w:rsidRPr="00400193">
        <w:rPr>
          <w:lang w:eastAsia="zh-CN" w:bidi="hi-IN"/>
        </w:rPr>
        <w:instrText xml:space="preserve"> REF _Ref51588555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93</w:t>
      </w:r>
      <w:r w:rsidRPr="00400193">
        <w:rPr>
          <w:lang w:eastAsia="zh-CN" w:bidi="hi-IN"/>
        </w:rPr>
        <w:fldChar w:fldCharType="end"/>
      </w:r>
      <w:r w:rsidR="006E3616" w:rsidRPr="00400193">
        <w:rPr>
          <w:lang w:eastAsia="zh-CN" w:bidi="hi-IN"/>
        </w:rPr>
        <w:t xml:space="preserve"> shows that the condition index for all variables but one was less than 10. The remaining variable had a condition index greater than 10 and less than 30, indicating moderate collinearity.</w:t>
      </w:r>
    </w:p>
    <w:p w14:paraId="26729005" w14:textId="77777777" w:rsidR="008C4317" w:rsidRPr="00400193" w:rsidRDefault="008C4317" w:rsidP="006E3616">
      <w:pPr>
        <w:rPr>
          <w:lang w:eastAsia="zh-CN" w:bidi="hi-IN"/>
        </w:rPr>
      </w:pPr>
    </w:p>
    <w:p w14:paraId="177A2E8F" w14:textId="140BC5D8" w:rsidR="006E3616" w:rsidRPr="00400193" w:rsidRDefault="006E3616" w:rsidP="003C3496">
      <w:pPr>
        <w:pStyle w:val="Heading4"/>
        <w:rPr>
          <w:lang w:eastAsia="zh-CN" w:bidi="hi-IN"/>
        </w:rPr>
      </w:pPr>
      <w:bookmarkStart w:id="741" w:name="_Toc61894790"/>
      <w:r w:rsidRPr="00400193">
        <w:rPr>
          <w:lang w:eastAsia="zh-CN" w:bidi="hi-IN"/>
        </w:rPr>
        <w:t>Examining Residuals using Scatter Plots</w:t>
      </w:r>
      <w:bookmarkEnd w:id="741"/>
      <w:r w:rsidRPr="00400193">
        <w:rPr>
          <w:lang w:eastAsia="zh-CN" w:bidi="hi-IN"/>
        </w:rPr>
        <w:t xml:space="preserve"> </w:t>
      </w:r>
    </w:p>
    <w:p w14:paraId="22B1A186" w14:textId="77777777" w:rsidR="008C4317" w:rsidRPr="00400193" w:rsidRDefault="008C4317" w:rsidP="008C4317">
      <w:pPr>
        <w:rPr>
          <w:lang w:eastAsia="zh-CN" w:bidi="hi-IN"/>
        </w:rPr>
      </w:pPr>
    </w:p>
    <w:p w14:paraId="4558E330" w14:textId="2FA305B7"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8C4317" w:rsidRPr="00400193">
        <w:rPr>
          <w:lang w:eastAsia="zh-CN" w:bidi="hi-IN"/>
        </w:rPr>
        <w:fldChar w:fldCharType="begin"/>
      </w:r>
      <w:r w:rsidR="008C4317" w:rsidRPr="00400193">
        <w:rPr>
          <w:lang w:eastAsia="zh-CN" w:bidi="hi-IN"/>
        </w:rPr>
        <w:instrText xml:space="preserve"> REF _Ref51588686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94</w:t>
      </w:r>
      <w:r w:rsidR="008C4317" w:rsidRPr="00400193">
        <w:rPr>
          <w:lang w:eastAsia="zh-CN" w:bidi="hi-IN"/>
        </w:rPr>
        <w:fldChar w:fldCharType="end"/>
      </w:r>
      <w:r w:rsidRPr="00400193">
        <w:rPr>
          <w:lang w:eastAsia="zh-CN" w:bidi="hi-IN"/>
        </w:rPr>
        <w:t xml:space="preserve">. The results check the residual mean is zero. </w:t>
      </w:r>
      <w:r w:rsidR="008C4317" w:rsidRPr="00400193">
        <w:rPr>
          <w:lang w:eastAsia="zh-CN" w:bidi="hi-IN"/>
        </w:rPr>
        <w:fldChar w:fldCharType="begin"/>
      </w:r>
      <w:r w:rsidR="008C4317" w:rsidRPr="00400193">
        <w:rPr>
          <w:lang w:eastAsia="zh-CN" w:bidi="hi-IN"/>
        </w:rPr>
        <w:instrText xml:space="preserve"> REF _Ref51338685 \h </w:instrText>
      </w:r>
      <w:r w:rsidR="008C4317" w:rsidRPr="00400193">
        <w:rPr>
          <w:lang w:eastAsia="zh-CN" w:bidi="hi-IN"/>
        </w:rPr>
      </w:r>
      <w:r w:rsidR="008C4317"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35</w:t>
      </w:r>
      <w:r w:rsidR="008C4317" w:rsidRPr="00400193">
        <w:rPr>
          <w:lang w:eastAsia="zh-CN" w:bidi="hi-IN"/>
        </w:rPr>
        <w:fldChar w:fldCharType="end"/>
      </w:r>
      <w:r w:rsidRPr="00400193">
        <w:rPr>
          <w:lang w:eastAsia="zh-CN" w:bidi="hi-IN"/>
        </w:rPr>
        <w:t xml:space="preserve"> to </w:t>
      </w:r>
      <w:r w:rsidR="008C4317" w:rsidRPr="00400193">
        <w:rPr>
          <w:lang w:eastAsia="zh-CN" w:bidi="hi-IN"/>
        </w:rPr>
        <w:fldChar w:fldCharType="begin"/>
      </w:r>
      <w:r w:rsidR="008C4317" w:rsidRPr="00400193">
        <w:rPr>
          <w:lang w:eastAsia="zh-CN" w:bidi="hi-IN"/>
        </w:rPr>
        <w:instrText xml:space="preserve"> REF _Ref51338697 \h </w:instrText>
      </w:r>
      <w:r w:rsidR="008C4317" w:rsidRPr="00400193">
        <w:rPr>
          <w:lang w:eastAsia="zh-CN" w:bidi="hi-IN"/>
        </w:rPr>
      </w:r>
      <w:r w:rsidR="008C4317"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37</w:t>
      </w:r>
      <w:r w:rsidR="008C4317" w:rsidRPr="00400193">
        <w:rPr>
          <w:lang w:eastAsia="zh-CN" w:bidi="hi-IN"/>
        </w:rPr>
        <w:fldChar w:fldCharType="end"/>
      </w:r>
      <w:r w:rsidRPr="00400193">
        <w:rPr>
          <w:lang w:eastAsia="zh-CN" w:bidi="hi-IN"/>
        </w:rPr>
        <w:t xml:space="preserve"> show that there is no pattern of behaviour of the residuals with respect to Y. These variables were </w:t>
      </w:r>
      <w:r w:rsidR="008C4317" w:rsidRPr="00400193">
        <w:rPr>
          <w:lang w:eastAsia="zh-CN" w:bidi="hi-IN"/>
        </w:rPr>
        <w:t>systematic,</w:t>
      </w:r>
      <w:r w:rsidRPr="00400193">
        <w:rPr>
          <w:lang w:eastAsia="zh-CN" w:bidi="hi-IN"/>
        </w:rPr>
        <w:t xml:space="preserve"> and the assumption of error term independence is not violated.</w:t>
      </w:r>
    </w:p>
    <w:tbl>
      <w:tblPr>
        <w:tblW w:w="8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73"/>
        <w:gridCol w:w="1015"/>
        <w:gridCol w:w="1044"/>
        <w:gridCol w:w="972"/>
        <w:gridCol w:w="1363"/>
        <w:gridCol w:w="2507"/>
      </w:tblGrid>
      <w:tr w:rsidR="006E3616" w:rsidRPr="00400193" w14:paraId="5C231B4A" w14:textId="77777777" w:rsidTr="008C4317">
        <w:trPr>
          <w:cantSplit/>
          <w:trHeight w:val="283"/>
        </w:trPr>
        <w:tc>
          <w:tcPr>
            <w:tcW w:w="8774" w:type="dxa"/>
            <w:gridSpan w:val="6"/>
            <w:tcBorders>
              <w:top w:val="nil"/>
              <w:left w:val="nil"/>
              <w:bottom w:val="nil"/>
              <w:right w:val="nil"/>
            </w:tcBorders>
            <w:shd w:val="clear" w:color="auto" w:fill="auto"/>
            <w:vAlign w:val="center"/>
          </w:tcPr>
          <w:p w14:paraId="7E108D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56CD23D9" w14:textId="77777777" w:rsidTr="008C4317">
        <w:trPr>
          <w:cantSplit/>
          <w:trHeight w:val="283"/>
        </w:trPr>
        <w:tc>
          <w:tcPr>
            <w:tcW w:w="1873" w:type="dxa"/>
            <w:tcBorders>
              <w:top w:val="nil"/>
              <w:left w:val="nil"/>
              <w:bottom w:val="single" w:sz="8" w:space="0" w:color="152935"/>
              <w:right w:val="nil"/>
            </w:tcBorders>
            <w:shd w:val="clear" w:color="auto" w:fill="auto"/>
            <w:vAlign w:val="bottom"/>
          </w:tcPr>
          <w:p w14:paraId="49DAC8B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15" w:type="dxa"/>
            <w:tcBorders>
              <w:top w:val="nil"/>
              <w:left w:val="nil"/>
              <w:bottom w:val="single" w:sz="8" w:space="0" w:color="152935"/>
              <w:right w:val="single" w:sz="8" w:space="0" w:color="E0E0E0"/>
            </w:tcBorders>
            <w:shd w:val="clear" w:color="auto" w:fill="auto"/>
            <w:vAlign w:val="bottom"/>
          </w:tcPr>
          <w:p w14:paraId="6952DE5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44" w:type="dxa"/>
            <w:tcBorders>
              <w:top w:val="nil"/>
              <w:left w:val="single" w:sz="8" w:space="0" w:color="E0E0E0"/>
              <w:bottom w:val="single" w:sz="8" w:space="0" w:color="152935"/>
              <w:right w:val="single" w:sz="8" w:space="0" w:color="E0E0E0"/>
            </w:tcBorders>
            <w:shd w:val="clear" w:color="auto" w:fill="auto"/>
            <w:vAlign w:val="bottom"/>
          </w:tcPr>
          <w:p w14:paraId="2B294D0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72" w:type="dxa"/>
            <w:tcBorders>
              <w:top w:val="nil"/>
              <w:left w:val="single" w:sz="8" w:space="0" w:color="E0E0E0"/>
              <w:bottom w:val="single" w:sz="8" w:space="0" w:color="152935"/>
              <w:right w:val="single" w:sz="8" w:space="0" w:color="E0E0E0"/>
            </w:tcBorders>
            <w:shd w:val="clear" w:color="auto" w:fill="auto"/>
            <w:vAlign w:val="bottom"/>
          </w:tcPr>
          <w:p w14:paraId="6A7C1A8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63" w:type="dxa"/>
            <w:tcBorders>
              <w:top w:val="nil"/>
              <w:left w:val="single" w:sz="8" w:space="0" w:color="E0E0E0"/>
              <w:bottom w:val="single" w:sz="8" w:space="0" w:color="152935"/>
              <w:right w:val="single" w:sz="8" w:space="0" w:color="E0E0E0"/>
            </w:tcBorders>
            <w:shd w:val="clear" w:color="auto" w:fill="auto"/>
            <w:vAlign w:val="bottom"/>
          </w:tcPr>
          <w:p w14:paraId="3613380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504" w:type="dxa"/>
            <w:tcBorders>
              <w:top w:val="nil"/>
              <w:left w:val="single" w:sz="8" w:space="0" w:color="E0E0E0"/>
              <w:bottom w:val="single" w:sz="8" w:space="0" w:color="152935"/>
              <w:right w:val="nil"/>
            </w:tcBorders>
            <w:shd w:val="clear" w:color="auto" w:fill="auto"/>
            <w:vAlign w:val="bottom"/>
          </w:tcPr>
          <w:p w14:paraId="1A58AC0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04C3354F" w14:textId="77777777" w:rsidTr="008C4317">
        <w:trPr>
          <w:cantSplit/>
          <w:trHeight w:val="283"/>
        </w:trPr>
        <w:tc>
          <w:tcPr>
            <w:tcW w:w="1873" w:type="dxa"/>
            <w:tcBorders>
              <w:top w:val="single" w:sz="8" w:space="0" w:color="152935"/>
              <w:left w:val="nil"/>
              <w:bottom w:val="single" w:sz="8" w:space="0" w:color="AEAEAE"/>
              <w:right w:val="nil"/>
            </w:tcBorders>
            <w:shd w:val="clear" w:color="auto" w:fill="auto"/>
          </w:tcPr>
          <w:p w14:paraId="16E50D5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15" w:type="dxa"/>
            <w:tcBorders>
              <w:top w:val="single" w:sz="8" w:space="0" w:color="152935"/>
              <w:left w:val="nil"/>
              <w:bottom w:val="single" w:sz="8" w:space="0" w:color="AEAEAE"/>
              <w:right w:val="single" w:sz="8" w:space="0" w:color="E0E0E0"/>
            </w:tcBorders>
            <w:shd w:val="clear" w:color="auto" w:fill="auto"/>
          </w:tcPr>
          <w:p w14:paraId="6C3E278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1.9341</w:t>
            </w:r>
          </w:p>
        </w:tc>
        <w:tc>
          <w:tcPr>
            <w:tcW w:w="1044" w:type="dxa"/>
            <w:tcBorders>
              <w:top w:val="single" w:sz="8" w:space="0" w:color="152935"/>
              <w:left w:val="single" w:sz="8" w:space="0" w:color="E0E0E0"/>
              <w:bottom w:val="single" w:sz="8" w:space="0" w:color="AEAEAE"/>
              <w:right w:val="single" w:sz="8" w:space="0" w:color="E0E0E0"/>
            </w:tcBorders>
            <w:shd w:val="clear" w:color="auto" w:fill="auto"/>
          </w:tcPr>
          <w:p w14:paraId="277EA3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4.2761</w:t>
            </w:r>
          </w:p>
        </w:tc>
        <w:tc>
          <w:tcPr>
            <w:tcW w:w="972" w:type="dxa"/>
            <w:tcBorders>
              <w:top w:val="single" w:sz="8" w:space="0" w:color="152935"/>
              <w:left w:val="single" w:sz="8" w:space="0" w:color="E0E0E0"/>
              <w:bottom w:val="single" w:sz="8" w:space="0" w:color="AEAEAE"/>
              <w:right w:val="single" w:sz="8" w:space="0" w:color="E0E0E0"/>
            </w:tcBorders>
            <w:shd w:val="clear" w:color="auto" w:fill="auto"/>
          </w:tcPr>
          <w:p w14:paraId="4042419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63" w:type="dxa"/>
            <w:tcBorders>
              <w:top w:val="single" w:sz="8" w:space="0" w:color="152935"/>
              <w:left w:val="single" w:sz="8" w:space="0" w:color="E0E0E0"/>
              <w:bottom w:val="single" w:sz="8" w:space="0" w:color="AEAEAE"/>
              <w:right w:val="single" w:sz="8" w:space="0" w:color="E0E0E0"/>
            </w:tcBorders>
            <w:shd w:val="clear" w:color="auto" w:fill="auto"/>
          </w:tcPr>
          <w:p w14:paraId="48DB91E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.47201</w:t>
            </w:r>
          </w:p>
        </w:tc>
        <w:tc>
          <w:tcPr>
            <w:tcW w:w="2504" w:type="dxa"/>
            <w:tcBorders>
              <w:top w:val="single" w:sz="8" w:space="0" w:color="152935"/>
              <w:left w:val="single" w:sz="8" w:space="0" w:color="E0E0E0"/>
              <w:bottom w:val="single" w:sz="8" w:space="0" w:color="AEAEAE"/>
              <w:right w:val="nil"/>
            </w:tcBorders>
            <w:shd w:val="clear" w:color="auto" w:fill="auto"/>
          </w:tcPr>
          <w:p w14:paraId="2A79266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BF8A230" w14:textId="77777777" w:rsidTr="008C4317">
        <w:trPr>
          <w:cantSplit/>
          <w:trHeight w:val="283"/>
        </w:trPr>
        <w:tc>
          <w:tcPr>
            <w:tcW w:w="1873" w:type="dxa"/>
            <w:tcBorders>
              <w:top w:val="single" w:sz="8" w:space="0" w:color="AEAEAE"/>
              <w:left w:val="nil"/>
              <w:bottom w:val="single" w:sz="8" w:space="0" w:color="AEAEAE"/>
              <w:right w:val="nil"/>
            </w:tcBorders>
            <w:shd w:val="clear" w:color="auto" w:fill="auto"/>
          </w:tcPr>
          <w:p w14:paraId="4FE0BCC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15" w:type="dxa"/>
            <w:tcBorders>
              <w:top w:val="single" w:sz="8" w:space="0" w:color="AEAEAE"/>
              <w:left w:val="nil"/>
              <w:bottom w:val="single" w:sz="8" w:space="0" w:color="AEAEAE"/>
              <w:right w:val="single" w:sz="8" w:space="0" w:color="E0E0E0"/>
            </w:tcBorders>
            <w:shd w:val="clear" w:color="auto" w:fill="auto"/>
          </w:tcPr>
          <w:p w14:paraId="7BB767D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−.91312</w:t>
            </w:r>
          </w:p>
        </w:tc>
        <w:tc>
          <w:tcPr>
            <w:tcW w:w="1044" w:type="dxa"/>
            <w:tcBorders>
              <w:top w:val="single" w:sz="8" w:space="0" w:color="AEAEAE"/>
              <w:left w:val="single" w:sz="8" w:space="0" w:color="E0E0E0"/>
              <w:bottom w:val="single" w:sz="8" w:space="0" w:color="AEAEAE"/>
              <w:right w:val="single" w:sz="8" w:space="0" w:color="E0E0E0"/>
            </w:tcBorders>
            <w:shd w:val="clear" w:color="auto" w:fill="auto"/>
          </w:tcPr>
          <w:p w14:paraId="4617E13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.74817</w:t>
            </w:r>
          </w:p>
        </w:tc>
        <w:tc>
          <w:tcPr>
            <w:tcW w:w="972" w:type="dxa"/>
            <w:tcBorders>
              <w:top w:val="single" w:sz="8" w:space="0" w:color="AEAEAE"/>
              <w:left w:val="single" w:sz="8" w:space="0" w:color="E0E0E0"/>
              <w:bottom w:val="single" w:sz="8" w:space="0" w:color="AEAEAE"/>
              <w:right w:val="single" w:sz="8" w:space="0" w:color="E0E0E0"/>
            </w:tcBorders>
            <w:shd w:val="clear" w:color="auto" w:fill="auto"/>
          </w:tcPr>
          <w:p w14:paraId="1D2734A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63" w:type="dxa"/>
            <w:tcBorders>
              <w:top w:val="single" w:sz="8" w:space="0" w:color="AEAEAE"/>
              <w:left w:val="single" w:sz="8" w:space="0" w:color="E0E0E0"/>
              <w:bottom w:val="single" w:sz="8" w:space="0" w:color="AEAEAE"/>
              <w:right w:val="single" w:sz="8" w:space="0" w:color="E0E0E0"/>
            </w:tcBorders>
            <w:shd w:val="clear" w:color="auto" w:fill="auto"/>
          </w:tcPr>
          <w:p w14:paraId="041AA27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.36027</w:t>
            </w:r>
          </w:p>
        </w:tc>
        <w:tc>
          <w:tcPr>
            <w:tcW w:w="2504" w:type="dxa"/>
            <w:tcBorders>
              <w:top w:val="single" w:sz="8" w:space="0" w:color="AEAEAE"/>
              <w:left w:val="single" w:sz="8" w:space="0" w:color="E0E0E0"/>
              <w:bottom w:val="single" w:sz="8" w:space="0" w:color="AEAEAE"/>
              <w:right w:val="nil"/>
            </w:tcBorders>
            <w:shd w:val="clear" w:color="auto" w:fill="auto"/>
          </w:tcPr>
          <w:p w14:paraId="0CD7558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3C23E40B" w14:textId="77777777" w:rsidTr="008C4317">
        <w:trPr>
          <w:cantSplit/>
          <w:trHeight w:val="283"/>
        </w:trPr>
        <w:tc>
          <w:tcPr>
            <w:tcW w:w="1873" w:type="dxa"/>
            <w:tcBorders>
              <w:top w:val="single" w:sz="8" w:space="0" w:color="AEAEAE"/>
              <w:left w:val="nil"/>
              <w:bottom w:val="single" w:sz="8" w:space="0" w:color="AEAEAE"/>
              <w:right w:val="nil"/>
            </w:tcBorders>
            <w:shd w:val="clear" w:color="auto" w:fill="auto"/>
          </w:tcPr>
          <w:p w14:paraId="4C72E13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15" w:type="dxa"/>
            <w:tcBorders>
              <w:top w:val="single" w:sz="8" w:space="0" w:color="AEAEAE"/>
              <w:left w:val="nil"/>
              <w:bottom w:val="single" w:sz="8" w:space="0" w:color="AEAEAE"/>
              <w:right w:val="single" w:sz="8" w:space="0" w:color="E0E0E0"/>
            </w:tcBorders>
            <w:shd w:val="clear" w:color="auto" w:fill="auto"/>
          </w:tcPr>
          <w:p w14:paraId="6E376D7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−2.687</w:t>
            </w:r>
          </w:p>
        </w:tc>
        <w:tc>
          <w:tcPr>
            <w:tcW w:w="1044" w:type="dxa"/>
            <w:tcBorders>
              <w:top w:val="single" w:sz="8" w:space="0" w:color="AEAEAE"/>
              <w:left w:val="single" w:sz="8" w:space="0" w:color="E0E0E0"/>
              <w:bottom w:val="single" w:sz="8" w:space="0" w:color="AEAEAE"/>
              <w:right w:val="single" w:sz="8" w:space="0" w:color="E0E0E0"/>
            </w:tcBorders>
            <w:shd w:val="clear" w:color="auto" w:fill="auto"/>
          </w:tcPr>
          <w:p w14:paraId="5F6EA68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2.275</w:t>
            </w:r>
          </w:p>
        </w:tc>
        <w:tc>
          <w:tcPr>
            <w:tcW w:w="972" w:type="dxa"/>
            <w:tcBorders>
              <w:top w:val="single" w:sz="8" w:space="0" w:color="AEAEAE"/>
              <w:left w:val="single" w:sz="8" w:space="0" w:color="E0E0E0"/>
              <w:bottom w:val="single" w:sz="8" w:space="0" w:color="AEAEAE"/>
              <w:right w:val="single" w:sz="8" w:space="0" w:color="E0E0E0"/>
            </w:tcBorders>
            <w:shd w:val="clear" w:color="auto" w:fill="auto"/>
          </w:tcPr>
          <w:p w14:paraId="32F7431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63" w:type="dxa"/>
            <w:tcBorders>
              <w:top w:val="single" w:sz="8" w:space="0" w:color="AEAEAE"/>
              <w:left w:val="single" w:sz="8" w:space="0" w:color="E0E0E0"/>
              <w:bottom w:val="single" w:sz="8" w:space="0" w:color="AEAEAE"/>
              <w:right w:val="single" w:sz="8" w:space="0" w:color="E0E0E0"/>
            </w:tcBorders>
            <w:shd w:val="clear" w:color="auto" w:fill="auto"/>
          </w:tcPr>
          <w:p w14:paraId="52D6809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504" w:type="dxa"/>
            <w:tcBorders>
              <w:top w:val="single" w:sz="8" w:space="0" w:color="AEAEAE"/>
              <w:left w:val="single" w:sz="8" w:space="0" w:color="E0E0E0"/>
              <w:bottom w:val="single" w:sz="8" w:space="0" w:color="AEAEAE"/>
              <w:right w:val="nil"/>
            </w:tcBorders>
            <w:shd w:val="clear" w:color="auto" w:fill="auto"/>
          </w:tcPr>
          <w:p w14:paraId="0A10A8A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6E1BF4ED" w14:textId="77777777" w:rsidTr="008C4317">
        <w:trPr>
          <w:cantSplit/>
          <w:trHeight w:val="283"/>
        </w:trPr>
        <w:tc>
          <w:tcPr>
            <w:tcW w:w="1873" w:type="dxa"/>
            <w:tcBorders>
              <w:top w:val="single" w:sz="8" w:space="0" w:color="AEAEAE"/>
              <w:left w:val="nil"/>
              <w:bottom w:val="single" w:sz="8" w:space="0" w:color="152935"/>
              <w:right w:val="nil"/>
            </w:tcBorders>
            <w:shd w:val="clear" w:color="auto" w:fill="auto"/>
          </w:tcPr>
          <w:p w14:paraId="47F042C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15" w:type="dxa"/>
            <w:tcBorders>
              <w:top w:val="single" w:sz="8" w:space="0" w:color="AEAEAE"/>
              <w:left w:val="nil"/>
              <w:bottom w:val="single" w:sz="8" w:space="0" w:color="152935"/>
              <w:right w:val="single" w:sz="8" w:space="0" w:color="E0E0E0"/>
            </w:tcBorders>
            <w:shd w:val="clear" w:color="auto" w:fill="auto"/>
          </w:tcPr>
          <w:p w14:paraId="673DA7E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−2.510</w:t>
            </w:r>
          </w:p>
        </w:tc>
        <w:tc>
          <w:tcPr>
            <w:tcW w:w="1044" w:type="dxa"/>
            <w:tcBorders>
              <w:top w:val="single" w:sz="8" w:space="0" w:color="AEAEAE"/>
              <w:left w:val="single" w:sz="8" w:space="0" w:color="E0E0E0"/>
              <w:bottom w:val="single" w:sz="8" w:space="0" w:color="152935"/>
              <w:right w:val="single" w:sz="8" w:space="0" w:color="E0E0E0"/>
            </w:tcBorders>
            <w:shd w:val="clear" w:color="auto" w:fill="auto"/>
          </w:tcPr>
          <w:p w14:paraId="435F0ED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2.056</w:t>
            </w:r>
          </w:p>
        </w:tc>
        <w:tc>
          <w:tcPr>
            <w:tcW w:w="972" w:type="dxa"/>
            <w:tcBorders>
              <w:top w:val="single" w:sz="8" w:space="0" w:color="AEAEAE"/>
              <w:left w:val="single" w:sz="8" w:space="0" w:color="E0E0E0"/>
              <w:bottom w:val="single" w:sz="8" w:space="0" w:color="152935"/>
              <w:right w:val="single" w:sz="8" w:space="0" w:color="E0E0E0"/>
            </w:tcBorders>
            <w:shd w:val="clear" w:color="auto" w:fill="auto"/>
          </w:tcPr>
          <w:p w14:paraId="30C8A08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63" w:type="dxa"/>
            <w:tcBorders>
              <w:top w:val="single" w:sz="8" w:space="0" w:color="AEAEAE"/>
              <w:left w:val="single" w:sz="8" w:space="0" w:color="E0E0E0"/>
              <w:bottom w:val="single" w:sz="8" w:space="0" w:color="152935"/>
              <w:right w:val="single" w:sz="8" w:space="0" w:color="E0E0E0"/>
            </w:tcBorders>
            <w:shd w:val="clear" w:color="auto" w:fill="auto"/>
          </w:tcPr>
          <w:p w14:paraId="1BC40A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.990</w:t>
            </w:r>
          </w:p>
        </w:tc>
        <w:tc>
          <w:tcPr>
            <w:tcW w:w="2504" w:type="dxa"/>
            <w:tcBorders>
              <w:top w:val="single" w:sz="8" w:space="0" w:color="AEAEAE"/>
              <w:left w:val="single" w:sz="8" w:space="0" w:color="E0E0E0"/>
              <w:bottom w:val="single" w:sz="8" w:space="0" w:color="152935"/>
              <w:right w:val="nil"/>
            </w:tcBorders>
            <w:shd w:val="clear" w:color="auto" w:fill="auto"/>
          </w:tcPr>
          <w:p w14:paraId="4ACB237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4F95641B" w14:textId="77777777" w:rsidTr="008C4317">
        <w:trPr>
          <w:cantSplit/>
          <w:trHeight w:val="283"/>
        </w:trPr>
        <w:tc>
          <w:tcPr>
            <w:tcW w:w="8774" w:type="dxa"/>
            <w:gridSpan w:val="6"/>
            <w:tcBorders>
              <w:top w:val="nil"/>
              <w:left w:val="nil"/>
              <w:bottom w:val="nil"/>
              <w:right w:val="nil"/>
            </w:tcBorders>
            <w:shd w:val="clear" w:color="auto" w:fill="auto"/>
          </w:tcPr>
          <w:p w14:paraId="4190157E"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312E37C7" w14:textId="3F6DAB12" w:rsidR="006E3616" w:rsidRPr="00400193" w:rsidRDefault="006E3616" w:rsidP="006E3616">
      <w:pPr>
        <w:pStyle w:val="Caption"/>
        <w:spacing w:after="160" w:line="360" w:lineRule="auto"/>
      </w:pPr>
      <w:bookmarkStart w:id="742" w:name="_Ref51588686"/>
      <w:bookmarkStart w:id="743" w:name="_Toc5290163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94</w:t>
      </w:r>
      <w:r w:rsidRPr="00400193">
        <w:fldChar w:fldCharType="end"/>
      </w:r>
      <w:bookmarkEnd w:id="742"/>
      <w:r w:rsidRPr="00400193">
        <w:t>: Residual statistics of the model regression for VW</w:t>
      </w:r>
      <w:bookmarkEnd w:id="743"/>
    </w:p>
    <w:p w14:paraId="55EE4AF5" w14:textId="77777777" w:rsidR="008C4317" w:rsidRPr="00400193" w:rsidRDefault="008C4317" w:rsidP="008C4317"/>
    <w:p w14:paraId="551E8A35" w14:textId="2C0F6E5D" w:rsidR="006E3616" w:rsidRPr="00400193" w:rsidRDefault="00817E92" w:rsidP="006E3616">
      <w:pPr>
        <w:rPr>
          <w:lang w:eastAsia="zh-CN" w:bidi="hi-IN"/>
        </w:rPr>
      </w:pPr>
      <w:r w:rsidRPr="00400193">
        <w:rPr>
          <w:lang w:eastAsia="zh-CN" w:bidi="hi-IN"/>
        </w:rPr>
        <w:fldChar w:fldCharType="begin"/>
      </w:r>
      <w:r w:rsidRPr="00400193">
        <w:rPr>
          <w:lang w:eastAsia="zh-CN" w:bidi="hi-IN"/>
        </w:rPr>
        <w:instrText xml:space="preserve"> REF _Ref51338685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35</w:t>
      </w:r>
      <w:r w:rsidRPr="00400193">
        <w:rPr>
          <w:lang w:eastAsia="zh-CN" w:bidi="hi-IN"/>
        </w:rPr>
        <w:fldChar w:fldCharType="end"/>
      </w:r>
      <w:r w:rsidRPr="00400193">
        <w:rPr>
          <w:lang w:eastAsia="zh-CN" w:bidi="hi-IN"/>
        </w:rPr>
        <w:t xml:space="preserve">, </w:t>
      </w:r>
      <w:r w:rsidRPr="00400193">
        <w:rPr>
          <w:lang w:eastAsia="zh-CN" w:bidi="hi-IN"/>
        </w:rPr>
        <w:fldChar w:fldCharType="begin"/>
      </w:r>
      <w:r w:rsidRPr="00400193">
        <w:rPr>
          <w:lang w:eastAsia="zh-CN" w:bidi="hi-IN"/>
        </w:rPr>
        <w:instrText xml:space="preserve"> REF _Ref51338693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36</w:t>
      </w:r>
      <w:r w:rsidRPr="00400193">
        <w:rPr>
          <w:lang w:eastAsia="zh-CN" w:bidi="hi-IN"/>
        </w:rPr>
        <w:fldChar w:fldCharType="end"/>
      </w:r>
      <w:r w:rsidRPr="00400193">
        <w:rPr>
          <w:lang w:eastAsia="zh-CN" w:bidi="hi-IN"/>
        </w:rPr>
        <w:t xml:space="preserve">, and </w:t>
      </w:r>
      <w:r w:rsidRPr="00400193">
        <w:rPr>
          <w:lang w:eastAsia="zh-CN" w:bidi="hi-IN"/>
        </w:rPr>
        <w:fldChar w:fldCharType="begin"/>
      </w:r>
      <w:r w:rsidRPr="00400193">
        <w:rPr>
          <w:lang w:eastAsia="zh-CN" w:bidi="hi-IN"/>
        </w:rPr>
        <w:instrText xml:space="preserve"> REF _Ref51338697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37</w:t>
      </w:r>
      <w:r w:rsidRPr="00400193">
        <w:rPr>
          <w:lang w:eastAsia="zh-CN" w:bidi="hi-IN"/>
        </w:rPr>
        <w:fldChar w:fldCharType="end"/>
      </w:r>
      <w:r w:rsidR="006E3616" w:rsidRPr="00400193">
        <w:rPr>
          <w:lang w:eastAsia="zh-CN" w:bidi="hi-IN"/>
        </w:rPr>
        <w:t xml:space="preserve"> show that the distribution is bell-shaped and has less gap in the centre that may in part be a consequence of the defined intervals. </w:t>
      </w:r>
    </w:p>
    <w:p w14:paraId="0FA906F2" w14:textId="77777777" w:rsidR="006E3616" w:rsidRPr="00400193" w:rsidRDefault="006E3616" w:rsidP="006E3616">
      <w:pPr>
        <w:keepNext/>
        <w:spacing w:after="0" w:line="240" w:lineRule="auto"/>
        <w:jc w:val="center"/>
      </w:pPr>
      <w:r w:rsidRPr="00400193">
        <w:rPr>
          <w:noProof/>
          <w:lang w:val="en-US"/>
        </w:rPr>
        <w:lastRenderedPageBreak/>
        <w:drawing>
          <wp:inline distT="0" distB="0" distL="0" distR="0" wp14:anchorId="4DE1CED0" wp14:editId="48B0C789">
            <wp:extent cx="5760000" cy="3240000"/>
            <wp:effectExtent l="19050" t="19050" r="12700" b="17780"/>
            <wp:docPr id="407"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27C36C5" w14:textId="3255AC83" w:rsidR="006E3616" w:rsidRPr="00400193" w:rsidRDefault="006E3616" w:rsidP="006E3616">
      <w:pPr>
        <w:pStyle w:val="Caption"/>
        <w:rPr>
          <w:lang w:eastAsia="zh-CN" w:bidi="hi-IN"/>
        </w:rPr>
      </w:pPr>
      <w:bookmarkStart w:id="744" w:name="_Ref51338685"/>
      <w:bookmarkStart w:id="745" w:name="_Toc5538761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35</w:t>
      </w:r>
      <w:r w:rsidR="00E35E8C" w:rsidRPr="00400193">
        <w:fldChar w:fldCharType="end"/>
      </w:r>
      <w:bookmarkEnd w:id="744"/>
      <w:r w:rsidRPr="00400193">
        <w:t>: Scatter plot for residual results from the model for RP and VW and OR scales</w:t>
      </w:r>
      <w:bookmarkEnd w:id="745"/>
    </w:p>
    <w:p w14:paraId="524E20FF" w14:textId="77777777" w:rsidR="006E3616" w:rsidRPr="00400193" w:rsidRDefault="006E3616" w:rsidP="006E3616">
      <w:pPr>
        <w:keepNext/>
        <w:spacing w:after="0" w:line="240" w:lineRule="auto"/>
        <w:jc w:val="center"/>
      </w:pPr>
    </w:p>
    <w:p w14:paraId="1A54B307" w14:textId="77777777" w:rsidR="006E3616" w:rsidRPr="00400193" w:rsidRDefault="006E3616" w:rsidP="006E3616">
      <w:pPr>
        <w:keepNext/>
        <w:spacing w:after="0" w:line="240" w:lineRule="auto"/>
        <w:jc w:val="center"/>
      </w:pPr>
      <w:r w:rsidRPr="00400193">
        <w:rPr>
          <w:noProof/>
          <w:lang w:val="en-US"/>
        </w:rPr>
        <w:drawing>
          <wp:inline distT="0" distB="0" distL="0" distR="0" wp14:anchorId="11162623" wp14:editId="435EC42B">
            <wp:extent cx="5760000" cy="3240000"/>
            <wp:effectExtent l="19050" t="19050" r="12700" b="17780"/>
            <wp:docPr id="408"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3E64C598" w14:textId="71165401" w:rsidR="006E3616" w:rsidRPr="00400193" w:rsidRDefault="006E3616" w:rsidP="006E3616">
      <w:pPr>
        <w:pStyle w:val="Caption"/>
        <w:rPr>
          <w:lang w:eastAsia="zh-CN" w:bidi="hi-IN"/>
        </w:rPr>
      </w:pPr>
      <w:bookmarkStart w:id="746" w:name="_Ref51338693"/>
      <w:bookmarkStart w:id="747" w:name="_Toc5538761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36</w:t>
      </w:r>
      <w:r w:rsidR="00E35E8C" w:rsidRPr="00400193">
        <w:fldChar w:fldCharType="end"/>
      </w:r>
      <w:bookmarkEnd w:id="746"/>
      <w:r w:rsidRPr="00400193">
        <w:t>: Scatter plot for residual results from the model for RP and VW and OR scales</w:t>
      </w:r>
      <w:bookmarkEnd w:id="747"/>
    </w:p>
    <w:p w14:paraId="3AFD3EF2" w14:textId="77777777" w:rsidR="006E3616" w:rsidRPr="00400193" w:rsidRDefault="006E3616" w:rsidP="006E3616">
      <w:pPr>
        <w:spacing w:line="240" w:lineRule="auto"/>
        <w:rPr>
          <w:lang w:eastAsia="zh-CN" w:bidi="hi-IN"/>
        </w:rPr>
      </w:pPr>
      <w:r w:rsidRPr="00400193">
        <w:rPr>
          <w:lang w:eastAsia="zh-CN" w:bidi="hi-IN"/>
        </w:rPr>
        <w:t xml:space="preserve"> </w:t>
      </w:r>
    </w:p>
    <w:p w14:paraId="2064A4E1" w14:textId="77777777" w:rsidR="006E3616" w:rsidRPr="00400193" w:rsidRDefault="006E3616" w:rsidP="006E3616">
      <w:pPr>
        <w:keepNext/>
        <w:spacing w:after="0" w:line="240" w:lineRule="auto"/>
        <w:jc w:val="center"/>
      </w:pPr>
      <w:r w:rsidRPr="00400193">
        <w:rPr>
          <w:noProof/>
          <w:lang w:val="en-US"/>
        </w:rPr>
        <w:lastRenderedPageBreak/>
        <w:drawing>
          <wp:inline distT="0" distB="0" distL="0" distR="0" wp14:anchorId="3758FC19" wp14:editId="2BDAF9EB">
            <wp:extent cx="5760000" cy="3240000"/>
            <wp:effectExtent l="19050" t="19050" r="12700" b="17780"/>
            <wp:docPr id="409"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01612D8" w14:textId="1B8B6F7D" w:rsidR="006E3616" w:rsidRPr="00400193" w:rsidRDefault="006E3616" w:rsidP="006E3616">
      <w:pPr>
        <w:pStyle w:val="Caption"/>
        <w:rPr>
          <w:lang w:eastAsia="zh-CN" w:bidi="hi-IN"/>
        </w:rPr>
      </w:pPr>
      <w:bookmarkStart w:id="748" w:name="_Ref51338697"/>
      <w:bookmarkStart w:id="749" w:name="_Toc5538761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37</w:t>
      </w:r>
      <w:r w:rsidR="00E35E8C" w:rsidRPr="00400193">
        <w:fldChar w:fldCharType="end"/>
      </w:r>
      <w:bookmarkEnd w:id="748"/>
      <w:r w:rsidRPr="00400193">
        <w:t>: Histogram of the frequency of the standardised residuals for RP and VW and OR scales</w:t>
      </w:r>
      <w:bookmarkEnd w:id="749"/>
    </w:p>
    <w:p w14:paraId="79DDD0C4" w14:textId="77777777" w:rsidR="006E3616" w:rsidRPr="00400193" w:rsidRDefault="006E3616" w:rsidP="006E3616">
      <w:pPr>
        <w:spacing w:line="240" w:lineRule="auto"/>
        <w:rPr>
          <w:lang w:eastAsia="zh-CN" w:bidi="hi-IN"/>
        </w:rPr>
      </w:pPr>
    </w:p>
    <w:p w14:paraId="4D9EE969" w14:textId="1E75A336"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_Ref52821665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38</w:t>
      </w:r>
      <w:r w:rsidR="00F319CB" w:rsidRPr="00400193">
        <w:rPr>
          <w:lang w:eastAsia="zh-CN" w:bidi="hi-IN"/>
        </w:rPr>
        <w:fldChar w:fldCharType="end"/>
      </w:r>
      <w:r w:rsidRPr="00400193">
        <w:rPr>
          <w:lang w:eastAsia="zh-CN" w:bidi="hi-IN"/>
        </w:rPr>
        <w:t>) also shows that there is a normal distribution.</w:t>
      </w:r>
    </w:p>
    <w:p w14:paraId="646D44DF"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0E92275D" wp14:editId="578B2FFC">
            <wp:extent cx="5760000" cy="3240000"/>
            <wp:effectExtent l="19050" t="19050" r="12700" b="17780"/>
            <wp:docPr id="161"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4EF81626" w14:textId="7D59B0F0" w:rsidR="006E3616" w:rsidRPr="00400193" w:rsidRDefault="006E3616" w:rsidP="006E3616">
      <w:pPr>
        <w:pStyle w:val="Caption"/>
        <w:rPr>
          <w:lang w:eastAsia="zh-CN" w:bidi="hi-IN"/>
        </w:rPr>
      </w:pPr>
      <w:bookmarkStart w:id="750" w:name="_Ref52821665"/>
      <w:bookmarkStart w:id="751" w:name="_Toc5538761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38</w:t>
      </w:r>
      <w:r w:rsidR="00E35E8C" w:rsidRPr="00400193">
        <w:fldChar w:fldCharType="end"/>
      </w:r>
      <w:bookmarkEnd w:id="750"/>
      <w:r w:rsidRPr="00400193">
        <w:t>: Normal P–P plot of regression standardised residual for the dependent variable RP</w:t>
      </w:r>
      <w:bookmarkEnd w:id="751"/>
    </w:p>
    <w:bookmarkEnd w:id="688"/>
    <w:bookmarkEnd w:id="730"/>
    <w:p w14:paraId="1E76824E" w14:textId="77777777" w:rsidR="006E3616" w:rsidRPr="00400193" w:rsidRDefault="006E3616" w:rsidP="006E3616">
      <w:pPr>
        <w:spacing w:line="240" w:lineRule="auto"/>
        <w:rPr>
          <w:b/>
          <w:bCs/>
          <w:lang w:eastAsia="zh-CN" w:bidi="hi-IN"/>
        </w:rPr>
      </w:pPr>
    </w:p>
    <w:p w14:paraId="43719D4A" w14:textId="77777777" w:rsidR="006E3616" w:rsidRPr="00400193" w:rsidRDefault="006E3616" w:rsidP="003C3496">
      <w:pPr>
        <w:pStyle w:val="Heading4"/>
        <w:rPr>
          <w:lang w:eastAsia="zh-CN" w:bidi="hi-IN"/>
        </w:rPr>
      </w:pPr>
      <w:bookmarkStart w:id="752" w:name="_Toc61894791"/>
      <w:r w:rsidRPr="00400193">
        <w:rPr>
          <w:lang w:eastAsia="zh-CN" w:bidi="hi-IN"/>
        </w:rPr>
        <w:t>Regression</w:t>
      </w:r>
      <w:bookmarkEnd w:id="752"/>
      <w:r w:rsidRPr="00400193">
        <w:rPr>
          <w:lang w:eastAsia="zh-CN" w:bidi="hi-IN"/>
        </w:rPr>
        <w:t xml:space="preserve"> </w:t>
      </w:r>
    </w:p>
    <w:p w14:paraId="78ABE723" w14:textId="4A1CFF94" w:rsidR="006E3616" w:rsidRPr="00400193" w:rsidRDefault="006E3616" w:rsidP="006E3616">
      <w:pPr>
        <w:rPr>
          <w:i/>
          <w:iCs/>
          <w:lang w:eastAsia="zh-CN" w:bidi="hi-IN"/>
        </w:rPr>
      </w:pPr>
      <w:r w:rsidRPr="00400193">
        <w:rPr>
          <w:lang w:eastAsia="zh-CN" w:bidi="hi-IN"/>
        </w:rPr>
        <w:fldChar w:fldCharType="begin"/>
      </w:r>
      <w:r w:rsidRPr="00400193">
        <w:rPr>
          <w:i/>
          <w:iCs/>
          <w:lang w:eastAsia="zh-CN" w:bidi="hi-IN"/>
        </w:rPr>
        <w:instrText xml:space="preserve"> REF _Ref43828014 \h </w:instrText>
      </w:r>
      <w:r w:rsidRPr="00400193">
        <w:rPr>
          <w:lang w:eastAsia="zh-CN" w:bidi="hi-IN"/>
        </w:rPr>
      </w:r>
      <w:r w:rsidRPr="00400193">
        <w:rPr>
          <w:lang w:eastAsia="zh-CN" w:bidi="hi-IN"/>
        </w:rPr>
        <w:fldChar w:fldCharType="separate"/>
      </w:r>
      <w:r w:rsidR="00BB7C18" w:rsidRPr="00400193">
        <w:t>9 – (External + Proportionate Response)</w:t>
      </w:r>
      <w:r w:rsidRPr="00400193">
        <w:rPr>
          <w:lang w:eastAsia="zh-CN" w:bidi="hi-IN"/>
        </w:rPr>
        <w:fldChar w:fldCharType="end"/>
      </w:r>
      <w:r w:rsidRPr="00400193">
        <w:rPr>
          <w:i/>
          <w:iCs/>
          <w:lang w:eastAsia="zh-CN" w:bidi="hi-IN"/>
        </w:rPr>
        <w:t xml:space="preserve"> VW = </w:t>
      </w:r>
      <w:r w:rsidR="00DD07A5" w:rsidRPr="00400193">
        <w:rPr>
          <w:i/>
          <w:iCs/>
          <w:lang w:eastAsia="zh-CN" w:bidi="hi-IN"/>
        </w:rPr>
        <w:t>ERF</w:t>
      </w:r>
      <w:r w:rsidRPr="00400193">
        <w:rPr>
          <w:i/>
          <w:iCs/>
          <w:lang w:eastAsia="zh-CN" w:bidi="hi-IN"/>
        </w:rPr>
        <w:t xml:space="preserve"> + RP + RP*</w:t>
      </w:r>
      <w:r w:rsidR="00DD07A5" w:rsidRPr="00400193">
        <w:rPr>
          <w:i/>
          <w:iCs/>
          <w:lang w:eastAsia="zh-CN" w:bidi="hi-IN"/>
        </w:rPr>
        <w:t>ERF</w:t>
      </w:r>
    </w:p>
    <w:p w14:paraId="75CF1FF3" w14:textId="3274398A" w:rsidR="006E3616" w:rsidRPr="00400193" w:rsidRDefault="006E3616" w:rsidP="006E3616">
      <w:pPr>
        <w:rPr>
          <w:lang w:eastAsia="zh-CN" w:bidi="hi-IN"/>
        </w:rPr>
      </w:pPr>
      <w:r w:rsidRPr="00400193">
        <w:rPr>
          <w:lang w:eastAsia="zh-CN" w:bidi="hi-IN"/>
        </w:rPr>
        <w:lastRenderedPageBreak/>
        <w:t xml:space="preserve">A multiple regression was used to estimate the parameters in the model equation (VW = </w:t>
      </w:r>
      <w:r w:rsidR="00DD07A5" w:rsidRPr="00400193">
        <w:rPr>
          <w:lang w:eastAsia="zh-CN" w:bidi="hi-IN"/>
        </w:rPr>
        <w:t>ERF</w:t>
      </w:r>
      <w:r w:rsidRPr="00400193">
        <w:rPr>
          <w:lang w:eastAsia="zh-CN" w:bidi="hi-IN"/>
        </w:rPr>
        <w:t xml:space="preserve"> + RP + RP*</w:t>
      </w:r>
      <w:r w:rsidR="00DD07A5" w:rsidRPr="00400193">
        <w:rPr>
          <w:lang w:eastAsia="zh-CN" w:bidi="hi-IN"/>
        </w:rPr>
        <w:t>ERF</w:t>
      </w:r>
      <w:r w:rsidRPr="00400193">
        <w:rPr>
          <w:lang w:eastAsia="zh-CN" w:bidi="hi-IN"/>
        </w:rPr>
        <w:t xml:space="preserve">). The purpose of the multi-linear models was to map the variation in RP onto variation in the relationship between vulnerabilities and weaknesses and external threats in UAE public sector organisations. The variation variables were all entered at different stages of the simulation. The regression results in </w:t>
      </w:r>
      <w:r w:rsidR="008C4317" w:rsidRPr="00400193">
        <w:rPr>
          <w:lang w:eastAsia="zh-CN" w:bidi="hi-IN"/>
        </w:rPr>
        <w:fldChar w:fldCharType="begin"/>
      </w:r>
      <w:r w:rsidR="008C4317" w:rsidRPr="00400193">
        <w:rPr>
          <w:lang w:eastAsia="zh-CN" w:bidi="hi-IN"/>
        </w:rPr>
        <w:instrText xml:space="preserve"> REF _Ref51588935 \h </w:instrText>
      </w:r>
      <w:r w:rsidR="008C4317" w:rsidRPr="00400193">
        <w:rPr>
          <w:lang w:eastAsia="zh-CN" w:bidi="hi-IN"/>
        </w:rPr>
      </w:r>
      <w:r w:rsidR="008C4317"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95</w:t>
      </w:r>
      <w:r w:rsidR="008C4317" w:rsidRPr="00400193">
        <w:rPr>
          <w:lang w:eastAsia="zh-CN" w:bidi="hi-IN"/>
        </w:rPr>
        <w:fldChar w:fldCharType="end"/>
      </w:r>
      <w:r w:rsidRPr="00400193">
        <w:rPr>
          <w:lang w:eastAsia="zh-CN" w:bidi="hi-IN"/>
        </w:rPr>
        <w:t xml:space="preserve"> shows that </w:t>
      </w:r>
      <w:r w:rsidR="00DD07A5" w:rsidRPr="00400193">
        <w:rPr>
          <w:lang w:eastAsia="zh-CN" w:bidi="hi-IN"/>
        </w:rPr>
        <w:t>ERF</w:t>
      </w:r>
      <w:r w:rsidRPr="00400193">
        <w:rPr>
          <w:lang w:eastAsia="zh-CN" w:bidi="hi-IN"/>
        </w:rPr>
        <w:t xml:space="preserve"> moderated by having a response in place explained 48.2% of the variance in vulnerabilities and weaknesses. This variance proportion was statistically significant because the F-value of predictors (</w:t>
      </w:r>
      <w:r w:rsidR="00DD07A5" w:rsidRPr="00400193">
        <w:rPr>
          <w:lang w:eastAsia="zh-CN" w:bidi="hi-IN"/>
        </w:rPr>
        <w:t>ERF</w:t>
      </w:r>
      <w:r w:rsidRPr="00400193">
        <w:rPr>
          <w:lang w:eastAsia="zh-CN" w:bidi="hi-IN"/>
        </w:rPr>
        <w:t xml:space="preserve">*RP, RP, </w:t>
      </w:r>
      <w:r w:rsidR="00DD07A5" w:rsidRPr="00400193">
        <w:rPr>
          <w:lang w:eastAsia="zh-CN" w:bidi="hi-IN"/>
        </w:rPr>
        <w:t>ERF</w:t>
      </w:r>
      <w:r w:rsidRPr="00400193">
        <w:rPr>
          <w:lang w:eastAsia="zh-CN" w:bidi="hi-IN"/>
        </w:rPr>
        <w:t>) was 31.046, with three degrees of freedom and p-value of 0.000. The results indicate that all the variation variables in the model are significant and the goodness-of-fit for the estimated regression equation for the generated model is supported by an R-square value of 0.482.</w:t>
      </w:r>
      <w:r w:rsidR="00CC65ED" w:rsidRPr="00400193">
        <w:rPr>
          <w:lang w:eastAsia="zh-CN" w:bidi="hi-IN"/>
        </w:rPr>
        <w:t xml:space="preserve"> </w:t>
      </w:r>
      <w:r w:rsidR="00CC65ED" w:rsidRPr="00400193">
        <w:rPr>
          <w:lang w:eastAsia="zh-CN" w:bidi="hi-IN"/>
        </w:rPr>
        <w:fldChar w:fldCharType="begin"/>
      </w:r>
      <w:r w:rsidR="00CC65ED" w:rsidRPr="00400193">
        <w:rPr>
          <w:lang w:eastAsia="zh-CN" w:bidi="hi-IN"/>
        </w:rPr>
        <w:instrText xml:space="preserve"> REF _Ref51589223 \h </w:instrText>
      </w:r>
      <w:r w:rsidR="00CC65ED" w:rsidRPr="00400193">
        <w:rPr>
          <w:lang w:eastAsia="zh-CN" w:bidi="hi-IN"/>
        </w:rPr>
      </w:r>
      <w:r w:rsidR="00CC65ED"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96</w:t>
      </w:r>
      <w:r w:rsidR="00CC65ED" w:rsidRPr="00400193">
        <w:rPr>
          <w:lang w:eastAsia="zh-CN" w:bidi="hi-IN"/>
        </w:rPr>
        <w:fldChar w:fldCharType="end"/>
      </w:r>
      <w:r w:rsidR="00CC65ED" w:rsidRPr="00400193">
        <w:rPr>
          <w:lang w:eastAsia="zh-CN" w:bidi="hi-IN"/>
        </w:rPr>
        <w:t xml:space="preserve"> and </w:t>
      </w:r>
      <w:r w:rsidR="00CC65ED" w:rsidRPr="00400193">
        <w:rPr>
          <w:lang w:eastAsia="zh-CN" w:bidi="hi-IN"/>
        </w:rPr>
        <w:fldChar w:fldCharType="begin"/>
      </w:r>
      <w:r w:rsidR="00CC65ED" w:rsidRPr="00400193">
        <w:rPr>
          <w:lang w:eastAsia="zh-CN" w:bidi="hi-IN"/>
        </w:rPr>
        <w:instrText xml:space="preserve"> REF _Ref51589244 \h </w:instrText>
      </w:r>
      <w:r w:rsidR="00CC65ED" w:rsidRPr="00400193">
        <w:rPr>
          <w:lang w:eastAsia="zh-CN" w:bidi="hi-IN"/>
        </w:rPr>
      </w:r>
      <w:r w:rsidR="00CC65ED"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97</w:t>
      </w:r>
      <w:r w:rsidR="00CC65ED" w:rsidRPr="00400193">
        <w:rPr>
          <w:lang w:eastAsia="zh-CN" w:bidi="hi-IN"/>
        </w:rPr>
        <w:fldChar w:fldCharType="end"/>
      </w:r>
      <w:r w:rsidR="00CC65ED" w:rsidRPr="00400193">
        <w:rPr>
          <w:lang w:eastAsia="zh-CN" w:bidi="hi-IN"/>
        </w:rPr>
        <w:t xml:space="preserve"> provide the remaining detail.</w:t>
      </w:r>
    </w:p>
    <w:tbl>
      <w:tblPr>
        <w:tblW w:w="89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7"/>
        <w:gridCol w:w="771"/>
        <w:gridCol w:w="817"/>
        <w:gridCol w:w="1104"/>
        <w:gridCol w:w="1103"/>
        <w:gridCol w:w="1103"/>
        <w:gridCol w:w="839"/>
        <w:gridCol w:w="2646"/>
        <w:gridCol w:w="6"/>
      </w:tblGrid>
      <w:tr w:rsidR="006E3616" w:rsidRPr="00400193" w14:paraId="5A34B1BE" w14:textId="77777777" w:rsidTr="008C4317">
        <w:trPr>
          <w:cantSplit/>
          <w:trHeight w:val="283"/>
        </w:trPr>
        <w:tc>
          <w:tcPr>
            <w:tcW w:w="8986" w:type="dxa"/>
            <w:gridSpan w:val="9"/>
            <w:tcBorders>
              <w:top w:val="nil"/>
              <w:left w:val="nil"/>
              <w:bottom w:val="nil"/>
              <w:right w:val="nil"/>
            </w:tcBorders>
            <w:shd w:val="clear" w:color="auto" w:fill="auto"/>
            <w:vAlign w:val="center"/>
          </w:tcPr>
          <w:p w14:paraId="26099F6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201A91B7" w14:textId="77777777" w:rsidTr="00CC65ED">
        <w:trPr>
          <w:gridAfter w:val="1"/>
          <w:wAfter w:w="6" w:type="dxa"/>
          <w:cantSplit/>
          <w:trHeight w:val="283"/>
        </w:trPr>
        <w:tc>
          <w:tcPr>
            <w:tcW w:w="597" w:type="dxa"/>
            <w:vMerge w:val="restart"/>
            <w:tcBorders>
              <w:top w:val="nil"/>
              <w:left w:val="nil"/>
              <w:bottom w:val="nil"/>
              <w:right w:val="nil"/>
            </w:tcBorders>
            <w:shd w:val="clear" w:color="auto" w:fill="auto"/>
            <w:vAlign w:val="bottom"/>
          </w:tcPr>
          <w:p w14:paraId="3293ADE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71" w:type="dxa"/>
            <w:vMerge w:val="restart"/>
            <w:tcBorders>
              <w:top w:val="nil"/>
              <w:left w:val="nil"/>
              <w:bottom w:val="nil"/>
              <w:right w:val="single" w:sz="8" w:space="0" w:color="E0E0E0"/>
            </w:tcBorders>
            <w:shd w:val="clear" w:color="auto" w:fill="auto"/>
            <w:vAlign w:val="bottom"/>
          </w:tcPr>
          <w:p w14:paraId="66823AC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17" w:type="dxa"/>
            <w:vMerge w:val="restart"/>
            <w:tcBorders>
              <w:top w:val="nil"/>
              <w:left w:val="single" w:sz="8" w:space="0" w:color="E0E0E0"/>
              <w:bottom w:val="nil"/>
              <w:right w:val="single" w:sz="8" w:space="0" w:color="E0E0E0"/>
            </w:tcBorders>
            <w:shd w:val="clear" w:color="auto" w:fill="auto"/>
            <w:vAlign w:val="bottom"/>
          </w:tcPr>
          <w:p w14:paraId="2D1593F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104" w:type="dxa"/>
            <w:vMerge w:val="restart"/>
            <w:tcBorders>
              <w:top w:val="nil"/>
              <w:left w:val="single" w:sz="8" w:space="0" w:color="E0E0E0"/>
              <w:bottom w:val="nil"/>
              <w:right w:val="single" w:sz="8" w:space="0" w:color="E0E0E0"/>
            </w:tcBorders>
            <w:shd w:val="clear" w:color="auto" w:fill="auto"/>
            <w:vAlign w:val="bottom"/>
          </w:tcPr>
          <w:p w14:paraId="2FD998D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103" w:type="dxa"/>
            <w:vMerge w:val="restart"/>
            <w:tcBorders>
              <w:top w:val="nil"/>
              <w:left w:val="single" w:sz="8" w:space="0" w:color="E0E0E0"/>
              <w:bottom w:val="nil"/>
              <w:right w:val="single" w:sz="8" w:space="0" w:color="E0E0E0"/>
            </w:tcBorders>
            <w:shd w:val="clear" w:color="auto" w:fill="auto"/>
            <w:vAlign w:val="bottom"/>
          </w:tcPr>
          <w:p w14:paraId="49C90F20"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88" w:type="dxa"/>
            <w:gridSpan w:val="3"/>
            <w:tcBorders>
              <w:top w:val="nil"/>
              <w:left w:val="single" w:sz="8" w:space="0" w:color="E0E0E0"/>
              <w:bottom w:val="nil"/>
              <w:right w:val="nil"/>
            </w:tcBorders>
            <w:shd w:val="clear" w:color="auto" w:fill="auto"/>
            <w:vAlign w:val="bottom"/>
          </w:tcPr>
          <w:p w14:paraId="4156201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60B0022D" w14:textId="77777777" w:rsidTr="00CC65ED">
        <w:trPr>
          <w:gridAfter w:val="1"/>
          <w:wAfter w:w="6" w:type="dxa"/>
          <w:cantSplit/>
          <w:trHeight w:val="283"/>
        </w:trPr>
        <w:tc>
          <w:tcPr>
            <w:tcW w:w="597" w:type="dxa"/>
            <w:vMerge/>
            <w:tcBorders>
              <w:top w:val="nil"/>
              <w:left w:val="nil"/>
              <w:bottom w:val="nil"/>
              <w:right w:val="nil"/>
            </w:tcBorders>
            <w:shd w:val="clear" w:color="auto" w:fill="auto"/>
            <w:vAlign w:val="bottom"/>
          </w:tcPr>
          <w:p w14:paraId="3654CE2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71" w:type="dxa"/>
            <w:vMerge/>
            <w:tcBorders>
              <w:top w:val="nil"/>
              <w:left w:val="nil"/>
              <w:bottom w:val="nil"/>
              <w:right w:val="single" w:sz="8" w:space="0" w:color="E0E0E0"/>
            </w:tcBorders>
            <w:shd w:val="clear" w:color="auto" w:fill="auto"/>
            <w:vAlign w:val="bottom"/>
          </w:tcPr>
          <w:p w14:paraId="6E75A29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17" w:type="dxa"/>
            <w:vMerge/>
            <w:tcBorders>
              <w:top w:val="nil"/>
              <w:left w:val="single" w:sz="8" w:space="0" w:color="E0E0E0"/>
              <w:bottom w:val="nil"/>
              <w:right w:val="single" w:sz="8" w:space="0" w:color="E0E0E0"/>
            </w:tcBorders>
            <w:shd w:val="clear" w:color="auto" w:fill="auto"/>
            <w:vAlign w:val="bottom"/>
          </w:tcPr>
          <w:p w14:paraId="31EBF87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4" w:type="dxa"/>
            <w:vMerge/>
            <w:tcBorders>
              <w:top w:val="nil"/>
              <w:left w:val="single" w:sz="8" w:space="0" w:color="E0E0E0"/>
              <w:bottom w:val="nil"/>
              <w:right w:val="single" w:sz="8" w:space="0" w:color="E0E0E0"/>
            </w:tcBorders>
            <w:shd w:val="clear" w:color="auto" w:fill="auto"/>
            <w:vAlign w:val="bottom"/>
          </w:tcPr>
          <w:p w14:paraId="44A8A7B4"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3" w:type="dxa"/>
            <w:vMerge/>
            <w:tcBorders>
              <w:top w:val="nil"/>
              <w:left w:val="single" w:sz="8" w:space="0" w:color="E0E0E0"/>
              <w:bottom w:val="nil"/>
              <w:right w:val="single" w:sz="8" w:space="0" w:color="E0E0E0"/>
            </w:tcBorders>
            <w:shd w:val="clear" w:color="auto" w:fill="auto"/>
            <w:vAlign w:val="bottom"/>
          </w:tcPr>
          <w:p w14:paraId="15368B7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3" w:type="dxa"/>
            <w:tcBorders>
              <w:top w:val="nil"/>
              <w:left w:val="single" w:sz="8" w:space="0" w:color="E0E0E0"/>
              <w:bottom w:val="single" w:sz="8" w:space="0" w:color="152935"/>
              <w:right w:val="single" w:sz="8" w:space="0" w:color="E0E0E0"/>
            </w:tcBorders>
            <w:shd w:val="clear" w:color="auto" w:fill="auto"/>
            <w:vAlign w:val="bottom"/>
          </w:tcPr>
          <w:p w14:paraId="6892383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39" w:type="dxa"/>
            <w:tcBorders>
              <w:top w:val="nil"/>
              <w:left w:val="single" w:sz="8" w:space="0" w:color="E0E0E0"/>
              <w:bottom w:val="single" w:sz="8" w:space="0" w:color="152935"/>
              <w:right w:val="single" w:sz="8" w:space="0" w:color="E0E0E0"/>
            </w:tcBorders>
            <w:shd w:val="clear" w:color="auto" w:fill="auto"/>
            <w:vAlign w:val="bottom"/>
          </w:tcPr>
          <w:p w14:paraId="4C836ED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46" w:type="dxa"/>
            <w:tcBorders>
              <w:top w:val="nil"/>
              <w:left w:val="single" w:sz="8" w:space="0" w:color="E0E0E0"/>
              <w:bottom w:val="single" w:sz="8" w:space="0" w:color="152935"/>
              <w:right w:val="nil"/>
            </w:tcBorders>
            <w:shd w:val="clear" w:color="auto" w:fill="auto"/>
            <w:vAlign w:val="bottom"/>
          </w:tcPr>
          <w:p w14:paraId="69403EA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2A19E55C" w14:textId="77777777" w:rsidTr="008C4317">
        <w:trPr>
          <w:gridAfter w:val="1"/>
          <w:wAfter w:w="6" w:type="dxa"/>
          <w:cantSplit/>
          <w:trHeight w:val="283"/>
        </w:trPr>
        <w:tc>
          <w:tcPr>
            <w:tcW w:w="597" w:type="dxa"/>
            <w:tcBorders>
              <w:top w:val="single" w:sz="8" w:space="0" w:color="152935"/>
              <w:left w:val="nil"/>
              <w:bottom w:val="single" w:sz="8" w:space="0" w:color="152935"/>
              <w:right w:val="nil"/>
            </w:tcBorders>
            <w:shd w:val="clear" w:color="auto" w:fill="auto"/>
          </w:tcPr>
          <w:p w14:paraId="5B5068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71" w:type="dxa"/>
            <w:tcBorders>
              <w:top w:val="single" w:sz="8" w:space="0" w:color="152935"/>
              <w:left w:val="nil"/>
              <w:bottom w:val="single" w:sz="8" w:space="0" w:color="152935"/>
              <w:right w:val="single" w:sz="8" w:space="0" w:color="E0E0E0"/>
            </w:tcBorders>
            <w:shd w:val="clear" w:color="auto" w:fill="auto"/>
          </w:tcPr>
          <w:p w14:paraId="36B527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.694</w:t>
            </w:r>
            <w:r w:rsidRPr="00400193">
              <w:rPr>
                <w:rFonts w:asciiTheme="minorHAnsi" w:hAnsiTheme="minorHAnsi" w:cstheme="minorHAnsi"/>
                <w:sz w:val="20"/>
                <w:szCs w:val="18"/>
                <w:vertAlign w:val="superscript"/>
                <w:lang w:eastAsia="zh-CN" w:bidi="hi-IN"/>
              </w:rPr>
              <w:t>a</w:t>
            </w:r>
          </w:p>
        </w:tc>
        <w:tc>
          <w:tcPr>
            <w:tcW w:w="817" w:type="dxa"/>
            <w:tcBorders>
              <w:top w:val="single" w:sz="8" w:space="0" w:color="152935"/>
              <w:left w:val="single" w:sz="8" w:space="0" w:color="E0E0E0"/>
              <w:bottom w:val="single" w:sz="8" w:space="0" w:color="152935"/>
              <w:right w:val="single" w:sz="8" w:space="0" w:color="E0E0E0"/>
            </w:tcBorders>
            <w:shd w:val="clear" w:color="auto" w:fill="auto"/>
          </w:tcPr>
          <w:p w14:paraId="5EB34CA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.482</w:t>
            </w:r>
          </w:p>
        </w:tc>
        <w:tc>
          <w:tcPr>
            <w:tcW w:w="1104" w:type="dxa"/>
            <w:tcBorders>
              <w:top w:val="single" w:sz="8" w:space="0" w:color="152935"/>
              <w:left w:val="single" w:sz="8" w:space="0" w:color="E0E0E0"/>
              <w:bottom w:val="single" w:sz="8" w:space="0" w:color="152935"/>
              <w:right w:val="single" w:sz="8" w:space="0" w:color="E0E0E0"/>
            </w:tcBorders>
            <w:shd w:val="clear" w:color="auto" w:fill="auto"/>
          </w:tcPr>
          <w:p w14:paraId="1F8FD1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.467</w:t>
            </w:r>
          </w:p>
        </w:tc>
        <w:tc>
          <w:tcPr>
            <w:tcW w:w="1103" w:type="dxa"/>
            <w:tcBorders>
              <w:top w:val="single" w:sz="8" w:space="0" w:color="152935"/>
              <w:left w:val="single" w:sz="8" w:space="0" w:color="E0E0E0"/>
              <w:bottom w:val="single" w:sz="8" w:space="0" w:color="152935"/>
              <w:right w:val="single" w:sz="8" w:space="0" w:color="E0E0E0"/>
            </w:tcBorders>
            <w:shd w:val="clear" w:color="auto" w:fill="auto"/>
          </w:tcPr>
          <w:p w14:paraId="6B6E5FA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.43363</w:t>
            </w:r>
          </w:p>
        </w:tc>
        <w:tc>
          <w:tcPr>
            <w:tcW w:w="1103" w:type="dxa"/>
            <w:tcBorders>
              <w:top w:val="single" w:sz="8" w:space="0" w:color="152935"/>
              <w:left w:val="single" w:sz="8" w:space="0" w:color="E0E0E0"/>
              <w:bottom w:val="single" w:sz="8" w:space="0" w:color="152935"/>
              <w:right w:val="single" w:sz="8" w:space="0" w:color="E0E0E0"/>
            </w:tcBorders>
            <w:shd w:val="clear" w:color="auto" w:fill="auto"/>
          </w:tcPr>
          <w:p w14:paraId="04579C2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.482</w:t>
            </w:r>
          </w:p>
        </w:tc>
        <w:tc>
          <w:tcPr>
            <w:tcW w:w="839" w:type="dxa"/>
            <w:tcBorders>
              <w:top w:val="single" w:sz="8" w:space="0" w:color="152935"/>
              <w:left w:val="single" w:sz="8" w:space="0" w:color="E0E0E0"/>
              <w:bottom w:val="single" w:sz="8" w:space="0" w:color="152935"/>
              <w:right w:val="single" w:sz="8" w:space="0" w:color="E0E0E0"/>
            </w:tcBorders>
            <w:shd w:val="clear" w:color="auto" w:fill="auto"/>
          </w:tcPr>
          <w:p w14:paraId="300D3C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31.046</w:t>
            </w:r>
          </w:p>
        </w:tc>
        <w:tc>
          <w:tcPr>
            <w:tcW w:w="2646" w:type="dxa"/>
            <w:tcBorders>
              <w:top w:val="single" w:sz="8" w:space="0" w:color="152935"/>
              <w:left w:val="single" w:sz="8" w:space="0" w:color="E0E0E0"/>
              <w:bottom w:val="single" w:sz="8" w:space="0" w:color="152935"/>
              <w:right w:val="nil"/>
            </w:tcBorders>
            <w:shd w:val="clear" w:color="auto" w:fill="auto"/>
          </w:tcPr>
          <w:p w14:paraId="06CAB8A2"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r>
      <w:tr w:rsidR="008C4317" w:rsidRPr="00400193" w14:paraId="77E8F372" w14:textId="77777777" w:rsidTr="008C4317">
        <w:trPr>
          <w:gridAfter w:val="1"/>
          <w:wAfter w:w="6" w:type="dxa"/>
          <w:cantSplit/>
          <w:trHeight w:val="283"/>
        </w:trPr>
        <w:tc>
          <w:tcPr>
            <w:tcW w:w="8980" w:type="dxa"/>
            <w:gridSpan w:val="8"/>
            <w:tcBorders>
              <w:top w:val="single" w:sz="8" w:space="0" w:color="152935"/>
              <w:left w:val="nil"/>
              <w:bottom w:val="single" w:sz="4" w:space="0" w:color="FFFFFF" w:themeColor="background1"/>
              <w:right w:val="nil"/>
            </w:tcBorders>
            <w:shd w:val="clear" w:color="auto" w:fill="auto"/>
          </w:tcPr>
          <w:p w14:paraId="2579CFF1" w14:textId="77777777" w:rsidR="008C4317" w:rsidRPr="00400193" w:rsidRDefault="008C4317"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p w14:paraId="72EC8CF8" w14:textId="38EC47BD" w:rsidR="008C4317" w:rsidRPr="00400193" w:rsidRDefault="008C4317"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Predictors: (Constant), ERF*RP, RP, ERF</w:t>
            </w:r>
          </w:p>
        </w:tc>
      </w:tr>
    </w:tbl>
    <w:p w14:paraId="3E80D157" w14:textId="0B455177" w:rsidR="006E3616" w:rsidRPr="00400193" w:rsidRDefault="006E3616" w:rsidP="008C4317">
      <w:pPr>
        <w:pStyle w:val="Caption"/>
        <w:spacing w:after="240"/>
      </w:pPr>
      <w:bookmarkStart w:id="753" w:name="_Ref51588935"/>
      <w:bookmarkStart w:id="754" w:name="_Toc5290164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95</w:t>
      </w:r>
      <w:r w:rsidRPr="00400193">
        <w:fldChar w:fldCharType="end"/>
      </w:r>
      <w:bookmarkEnd w:id="753"/>
      <w:r w:rsidRPr="00400193">
        <w:t>: Regression model summary for VW</w:t>
      </w:r>
      <w:bookmarkEnd w:id="754"/>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5"/>
        <w:gridCol w:w="1220"/>
        <w:gridCol w:w="1395"/>
        <w:gridCol w:w="973"/>
        <w:gridCol w:w="1337"/>
        <w:gridCol w:w="973"/>
        <w:gridCol w:w="2196"/>
      </w:tblGrid>
      <w:tr w:rsidR="006E3616" w:rsidRPr="00400193" w14:paraId="4B1E8126" w14:textId="77777777" w:rsidTr="00CC65ED">
        <w:trPr>
          <w:cantSplit/>
          <w:trHeight w:val="283"/>
        </w:trPr>
        <w:tc>
          <w:tcPr>
            <w:tcW w:w="8789" w:type="dxa"/>
            <w:gridSpan w:val="7"/>
            <w:tcBorders>
              <w:top w:val="nil"/>
              <w:left w:val="nil"/>
              <w:bottom w:val="nil"/>
              <w:right w:val="nil"/>
            </w:tcBorders>
            <w:shd w:val="clear" w:color="auto" w:fill="auto"/>
            <w:vAlign w:val="center"/>
          </w:tcPr>
          <w:p w14:paraId="65F38ABE"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5CF7E57E" w14:textId="77777777" w:rsidTr="00CC65ED">
        <w:trPr>
          <w:cantSplit/>
          <w:trHeight w:val="283"/>
        </w:trPr>
        <w:tc>
          <w:tcPr>
            <w:tcW w:w="1915" w:type="dxa"/>
            <w:gridSpan w:val="2"/>
            <w:tcBorders>
              <w:top w:val="nil"/>
              <w:left w:val="nil"/>
              <w:bottom w:val="single" w:sz="8" w:space="0" w:color="152935"/>
              <w:right w:val="nil"/>
            </w:tcBorders>
            <w:shd w:val="clear" w:color="auto" w:fill="auto"/>
            <w:vAlign w:val="center"/>
          </w:tcPr>
          <w:p w14:paraId="6C4D7EBF"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395" w:type="dxa"/>
            <w:tcBorders>
              <w:top w:val="nil"/>
              <w:left w:val="nil"/>
              <w:bottom w:val="single" w:sz="8" w:space="0" w:color="152935"/>
              <w:right w:val="single" w:sz="8" w:space="0" w:color="E0E0E0"/>
            </w:tcBorders>
            <w:shd w:val="clear" w:color="auto" w:fill="auto"/>
            <w:vAlign w:val="center"/>
          </w:tcPr>
          <w:p w14:paraId="74044D7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73" w:type="dxa"/>
            <w:tcBorders>
              <w:top w:val="nil"/>
              <w:left w:val="single" w:sz="8" w:space="0" w:color="E0E0E0"/>
              <w:bottom w:val="single" w:sz="8" w:space="0" w:color="152935"/>
              <w:right w:val="single" w:sz="8" w:space="0" w:color="E0E0E0"/>
            </w:tcBorders>
            <w:shd w:val="clear" w:color="auto" w:fill="auto"/>
            <w:vAlign w:val="center"/>
          </w:tcPr>
          <w:p w14:paraId="641C8D3E"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37" w:type="dxa"/>
            <w:tcBorders>
              <w:top w:val="nil"/>
              <w:left w:val="single" w:sz="8" w:space="0" w:color="E0E0E0"/>
              <w:bottom w:val="single" w:sz="8" w:space="0" w:color="152935"/>
              <w:right w:val="single" w:sz="8" w:space="0" w:color="E0E0E0"/>
            </w:tcBorders>
            <w:shd w:val="clear" w:color="auto" w:fill="auto"/>
            <w:vAlign w:val="center"/>
          </w:tcPr>
          <w:p w14:paraId="36637A9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73" w:type="dxa"/>
            <w:tcBorders>
              <w:top w:val="nil"/>
              <w:left w:val="single" w:sz="8" w:space="0" w:color="E0E0E0"/>
              <w:bottom w:val="single" w:sz="8" w:space="0" w:color="152935"/>
              <w:right w:val="single" w:sz="8" w:space="0" w:color="E0E0E0"/>
            </w:tcBorders>
            <w:shd w:val="clear" w:color="auto" w:fill="auto"/>
            <w:vAlign w:val="center"/>
          </w:tcPr>
          <w:p w14:paraId="2162980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196" w:type="dxa"/>
            <w:tcBorders>
              <w:top w:val="nil"/>
              <w:left w:val="single" w:sz="8" w:space="0" w:color="E0E0E0"/>
              <w:bottom w:val="single" w:sz="8" w:space="0" w:color="152935"/>
              <w:right w:val="nil"/>
            </w:tcBorders>
            <w:shd w:val="clear" w:color="auto" w:fill="auto"/>
            <w:vAlign w:val="center"/>
          </w:tcPr>
          <w:p w14:paraId="5E6ED540"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7824CA86" w14:textId="77777777" w:rsidTr="00CC65ED">
        <w:trPr>
          <w:cantSplit/>
          <w:trHeight w:val="283"/>
        </w:trPr>
        <w:tc>
          <w:tcPr>
            <w:tcW w:w="695" w:type="dxa"/>
            <w:vMerge w:val="restart"/>
            <w:tcBorders>
              <w:top w:val="single" w:sz="8" w:space="0" w:color="152935"/>
              <w:left w:val="nil"/>
              <w:bottom w:val="single" w:sz="8" w:space="0" w:color="152935"/>
              <w:right w:val="nil"/>
            </w:tcBorders>
            <w:shd w:val="clear" w:color="auto" w:fill="auto"/>
            <w:vAlign w:val="center"/>
          </w:tcPr>
          <w:p w14:paraId="2D2C0C89"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20" w:type="dxa"/>
            <w:tcBorders>
              <w:top w:val="single" w:sz="8" w:space="0" w:color="152935"/>
              <w:left w:val="nil"/>
              <w:bottom w:val="single" w:sz="8" w:space="0" w:color="AEAEAE"/>
              <w:right w:val="nil"/>
            </w:tcBorders>
            <w:shd w:val="clear" w:color="auto" w:fill="auto"/>
            <w:vAlign w:val="center"/>
          </w:tcPr>
          <w:p w14:paraId="0DE99D9E"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395" w:type="dxa"/>
            <w:tcBorders>
              <w:top w:val="single" w:sz="8" w:space="0" w:color="152935"/>
              <w:left w:val="nil"/>
              <w:bottom w:val="single" w:sz="8" w:space="0" w:color="AEAEAE"/>
              <w:right w:val="single" w:sz="8" w:space="0" w:color="E0E0E0"/>
            </w:tcBorders>
            <w:shd w:val="clear" w:color="auto" w:fill="auto"/>
            <w:vAlign w:val="center"/>
          </w:tcPr>
          <w:p w14:paraId="56507291"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17.513</w:t>
            </w:r>
          </w:p>
        </w:tc>
        <w:tc>
          <w:tcPr>
            <w:tcW w:w="973" w:type="dxa"/>
            <w:tcBorders>
              <w:top w:val="single" w:sz="8" w:space="0" w:color="152935"/>
              <w:left w:val="single" w:sz="8" w:space="0" w:color="E0E0E0"/>
              <w:bottom w:val="single" w:sz="8" w:space="0" w:color="AEAEAE"/>
              <w:right w:val="single" w:sz="8" w:space="0" w:color="E0E0E0"/>
            </w:tcBorders>
            <w:shd w:val="clear" w:color="auto" w:fill="auto"/>
            <w:vAlign w:val="center"/>
          </w:tcPr>
          <w:p w14:paraId="6747F90B"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337" w:type="dxa"/>
            <w:tcBorders>
              <w:top w:val="single" w:sz="8" w:space="0" w:color="152935"/>
              <w:left w:val="single" w:sz="8" w:space="0" w:color="E0E0E0"/>
              <w:bottom w:val="single" w:sz="8" w:space="0" w:color="AEAEAE"/>
              <w:right w:val="single" w:sz="8" w:space="0" w:color="E0E0E0"/>
            </w:tcBorders>
            <w:shd w:val="clear" w:color="auto" w:fill="auto"/>
            <w:vAlign w:val="center"/>
          </w:tcPr>
          <w:p w14:paraId="4F2A0911"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5.838</w:t>
            </w:r>
          </w:p>
        </w:tc>
        <w:tc>
          <w:tcPr>
            <w:tcW w:w="973" w:type="dxa"/>
            <w:tcBorders>
              <w:top w:val="single" w:sz="8" w:space="0" w:color="152935"/>
              <w:left w:val="single" w:sz="8" w:space="0" w:color="E0E0E0"/>
              <w:bottom w:val="single" w:sz="8" w:space="0" w:color="AEAEAE"/>
              <w:right w:val="single" w:sz="8" w:space="0" w:color="E0E0E0"/>
            </w:tcBorders>
            <w:shd w:val="clear" w:color="auto" w:fill="auto"/>
            <w:vAlign w:val="center"/>
          </w:tcPr>
          <w:p w14:paraId="1AAAA480"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31.046</w:t>
            </w:r>
          </w:p>
        </w:tc>
        <w:tc>
          <w:tcPr>
            <w:tcW w:w="2196" w:type="dxa"/>
            <w:tcBorders>
              <w:top w:val="single" w:sz="8" w:space="0" w:color="152935"/>
              <w:left w:val="single" w:sz="8" w:space="0" w:color="E0E0E0"/>
              <w:bottom w:val="single" w:sz="8" w:space="0" w:color="AEAEAE"/>
              <w:right w:val="nil"/>
            </w:tcBorders>
            <w:shd w:val="clear" w:color="auto" w:fill="auto"/>
            <w:vAlign w:val="center"/>
          </w:tcPr>
          <w:p w14:paraId="1F757561"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5BF9BC19" w14:textId="77777777" w:rsidTr="00CC65ED">
        <w:trPr>
          <w:cantSplit/>
          <w:trHeight w:val="283"/>
        </w:trPr>
        <w:tc>
          <w:tcPr>
            <w:tcW w:w="695" w:type="dxa"/>
            <w:vMerge/>
            <w:tcBorders>
              <w:top w:val="single" w:sz="8" w:space="0" w:color="152935"/>
              <w:left w:val="nil"/>
              <w:bottom w:val="single" w:sz="8" w:space="0" w:color="152935"/>
              <w:right w:val="nil"/>
            </w:tcBorders>
            <w:shd w:val="clear" w:color="auto" w:fill="auto"/>
            <w:vAlign w:val="center"/>
          </w:tcPr>
          <w:p w14:paraId="367A710A"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c>
          <w:tcPr>
            <w:tcW w:w="1220" w:type="dxa"/>
            <w:tcBorders>
              <w:top w:val="single" w:sz="8" w:space="0" w:color="AEAEAE"/>
              <w:left w:val="nil"/>
              <w:bottom w:val="single" w:sz="8" w:space="0" w:color="AEAEAE"/>
              <w:right w:val="nil"/>
            </w:tcBorders>
            <w:shd w:val="clear" w:color="auto" w:fill="auto"/>
            <w:vAlign w:val="center"/>
          </w:tcPr>
          <w:p w14:paraId="124F57F0"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395" w:type="dxa"/>
            <w:tcBorders>
              <w:top w:val="single" w:sz="8" w:space="0" w:color="AEAEAE"/>
              <w:left w:val="nil"/>
              <w:bottom w:val="single" w:sz="8" w:space="0" w:color="AEAEAE"/>
              <w:right w:val="single" w:sz="8" w:space="0" w:color="E0E0E0"/>
            </w:tcBorders>
            <w:shd w:val="clear" w:color="auto" w:fill="auto"/>
            <w:vAlign w:val="center"/>
          </w:tcPr>
          <w:p w14:paraId="08ED5AB9"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18.804</w:t>
            </w:r>
          </w:p>
        </w:tc>
        <w:tc>
          <w:tcPr>
            <w:tcW w:w="973" w:type="dxa"/>
            <w:tcBorders>
              <w:top w:val="single" w:sz="8" w:space="0" w:color="AEAEAE"/>
              <w:left w:val="single" w:sz="8" w:space="0" w:color="E0E0E0"/>
              <w:bottom w:val="single" w:sz="8" w:space="0" w:color="AEAEAE"/>
              <w:right w:val="single" w:sz="8" w:space="0" w:color="E0E0E0"/>
            </w:tcBorders>
            <w:shd w:val="clear" w:color="auto" w:fill="auto"/>
            <w:vAlign w:val="center"/>
          </w:tcPr>
          <w:p w14:paraId="14BE1818"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w:t>
            </w:r>
          </w:p>
        </w:tc>
        <w:tc>
          <w:tcPr>
            <w:tcW w:w="1337" w:type="dxa"/>
            <w:tcBorders>
              <w:top w:val="single" w:sz="8" w:space="0" w:color="AEAEAE"/>
              <w:left w:val="single" w:sz="8" w:space="0" w:color="E0E0E0"/>
              <w:bottom w:val="single" w:sz="8" w:space="0" w:color="AEAEAE"/>
              <w:right w:val="single" w:sz="8" w:space="0" w:color="E0E0E0"/>
            </w:tcBorders>
            <w:shd w:val="clear" w:color="auto" w:fill="auto"/>
            <w:vAlign w:val="center"/>
          </w:tcPr>
          <w:p w14:paraId="5BAEFCA0"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.188</w:t>
            </w:r>
          </w:p>
        </w:tc>
        <w:tc>
          <w:tcPr>
            <w:tcW w:w="973" w:type="dxa"/>
            <w:tcBorders>
              <w:top w:val="single" w:sz="8" w:space="0" w:color="AEAEAE"/>
              <w:left w:val="single" w:sz="8" w:space="0" w:color="E0E0E0"/>
              <w:bottom w:val="single" w:sz="8" w:space="0" w:color="AEAEAE"/>
              <w:right w:val="single" w:sz="8" w:space="0" w:color="E0E0E0"/>
            </w:tcBorders>
            <w:shd w:val="clear" w:color="auto" w:fill="auto"/>
            <w:vAlign w:val="center"/>
          </w:tcPr>
          <w:p w14:paraId="631E70E5"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c>
          <w:tcPr>
            <w:tcW w:w="2196" w:type="dxa"/>
            <w:tcBorders>
              <w:top w:val="single" w:sz="8" w:space="0" w:color="AEAEAE"/>
              <w:left w:val="single" w:sz="8" w:space="0" w:color="E0E0E0"/>
              <w:bottom w:val="single" w:sz="8" w:space="0" w:color="AEAEAE"/>
              <w:right w:val="nil"/>
            </w:tcBorders>
            <w:shd w:val="clear" w:color="auto" w:fill="auto"/>
            <w:vAlign w:val="center"/>
          </w:tcPr>
          <w:p w14:paraId="21DDFB2D"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r>
      <w:tr w:rsidR="006E3616" w:rsidRPr="00400193" w14:paraId="002CAF8A" w14:textId="77777777" w:rsidTr="00CC65ED">
        <w:trPr>
          <w:cantSplit/>
          <w:trHeight w:val="283"/>
        </w:trPr>
        <w:tc>
          <w:tcPr>
            <w:tcW w:w="695" w:type="dxa"/>
            <w:vMerge/>
            <w:tcBorders>
              <w:top w:val="single" w:sz="8" w:space="0" w:color="152935"/>
              <w:left w:val="nil"/>
              <w:bottom w:val="single" w:sz="8" w:space="0" w:color="152935"/>
              <w:right w:val="nil"/>
            </w:tcBorders>
            <w:shd w:val="clear" w:color="auto" w:fill="auto"/>
            <w:vAlign w:val="center"/>
          </w:tcPr>
          <w:p w14:paraId="16B1E141"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c>
          <w:tcPr>
            <w:tcW w:w="1220" w:type="dxa"/>
            <w:tcBorders>
              <w:top w:val="single" w:sz="8" w:space="0" w:color="AEAEAE"/>
              <w:left w:val="nil"/>
              <w:bottom w:val="single" w:sz="8" w:space="0" w:color="152935"/>
              <w:right w:val="nil"/>
            </w:tcBorders>
            <w:shd w:val="clear" w:color="auto" w:fill="auto"/>
            <w:vAlign w:val="center"/>
          </w:tcPr>
          <w:p w14:paraId="411B29BE"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395" w:type="dxa"/>
            <w:tcBorders>
              <w:top w:val="single" w:sz="8" w:space="0" w:color="AEAEAE"/>
              <w:left w:val="nil"/>
              <w:bottom w:val="single" w:sz="8" w:space="0" w:color="152935"/>
              <w:right w:val="single" w:sz="8" w:space="0" w:color="E0E0E0"/>
            </w:tcBorders>
            <w:shd w:val="clear" w:color="auto" w:fill="auto"/>
            <w:vAlign w:val="center"/>
          </w:tcPr>
          <w:p w14:paraId="4A1D4187"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73" w:type="dxa"/>
            <w:tcBorders>
              <w:top w:val="single" w:sz="8" w:space="0" w:color="AEAEAE"/>
              <w:left w:val="single" w:sz="8" w:space="0" w:color="E0E0E0"/>
              <w:bottom w:val="single" w:sz="8" w:space="0" w:color="152935"/>
              <w:right w:val="single" w:sz="8" w:space="0" w:color="E0E0E0"/>
            </w:tcBorders>
            <w:shd w:val="clear" w:color="auto" w:fill="auto"/>
            <w:vAlign w:val="center"/>
          </w:tcPr>
          <w:p w14:paraId="5F67BA46"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37" w:type="dxa"/>
            <w:tcBorders>
              <w:top w:val="single" w:sz="8" w:space="0" w:color="AEAEAE"/>
              <w:left w:val="single" w:sz="8" w:space="0" w:color="E0E0E0"/>
              <w:bottom w:val="single" w:sz="8" w:space="0" w:color="152935"/>
              <w:right w:val="single" w:sz="8" w:space="0" w:color="E0E0E0"/>
            </w:tcBorders>
            <w:shd w:val="clear" w:color="auto" w:fill="auto"/>
            <w:vAlign w:val="center"/>
          </w:tcPr>
          <w:p w14:paraId="2961EE4A"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c>
          <w:tcPr>
            <w:tcW w:w="973" w:type="dxa"/>
            <w:tcBorders>
              <w:top w:val="single" w:sz="8" w:space="0" w:color="AEAEAE"/>
              <w:left w:val="single" w:sz="8" w:space="0" w:color="E0E0E0"/>
              <w:bottom w:val="single" w:sz="8" w:space="0" w:color="152935"/>
              <w:right w:val="single" w:sz="8" w:space="0" w:color="E0E0E0"/>
            </w:tcBorders>
            <w:shd w:val="clear" w:color="auto" w:fill="auto"/>
            <w:vAlign w:val="center"/>
          </w:tcPr>
          <w:p w14:paraId="2CFF6513"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c>
          <w:tcPr>
            <w:tcW w:w="2196" w:type="dxa"/>
            <w:tcBorders>
              <w:top w:val="single" w:sz="8" w:space="0" w:color="AEAEAE"/>
              <w:left w:val="single" w:sz="8" w:space="0" w:color="E0E0E0"/>
              <w:bottom w:val="single" w:sz="8" w:space="0" w:color="152935"/>
              <w:right w:val="nil"/>
            </w:tcBorders>
            <w:shd w:val="clear" w:color="auto" w:fill="auto"/>
            <w:vAlign w:val="center"/>
          </w:tcPr>
          <w:p w14:paraId="5CD55BB9"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p>
        </w:tc>
      </w:tr>
      <w:tr w:rsidR="006E3616" w:rsidRPr="00400193" w14:paraId="18F9189F" w14:textId="77777777" w:rsidTr="00CC65ED">
        <w:trPr>
          <w:cantSplit/>
          <w:trHeight w:val="283"/>
        </w:trPr>
        <w:tc>
          <w:tcPr>
            <w:tcW w:w="8789" w:type="dxa"/>
            <w:gridSpan w:val="7"/>
            <w:tcBorders>
              <w:top w:val="nil"/>
              <w:left w:val="nil"/>
              <w:bottom w:val="nil"/>
              <w:right w:val="nil"/>
            </w:tcBorders>
            <w:shd w:val="clear" w:color="auto" w:fill="auto"/>
            <w:vAlign w:val="center"/>
          </w:tcPr>
          <w:p w14:paraId="4D56E0C1" w14:textId="77777777" w:rsidR="006E3616" w:rsidRPr="00400193" w:rsidRDefault="006E3616" w:rsidP="00CC65ED">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4CB6C415" w14:textId="77777777" w:rsidTr="00CC65ED">
        <w:trPr>
          <w:cantSplit/>
          <w:trHeight w:val="283"/>
        </w:trPr>
        <w:tc>
          <w:tcPr>
            <w:tcW w:w="8789" w:type="dxa"/>
            <w:gridSpan w:val="7"/>
            <w:tcBorders>
              <w:top w:val="nil"/>
              <w:left w:val="nil"/>
              <w:bottom w:val="nil"/>
              <w:right w:val="nil"/>
            </w:tcBorders>
            <w:shd w:val="clear" w:color="auto" w:fill="auto"/>
            <w:vAlign w:val="center"/>
          </w:tcPr>
          <w:p w14:paraId="273238B8" w14:textId="41BDD445" w:rsidR="006E3616" w:rsidRPr="00400193" w:rsidRDefault="006E3616" w:rsidP="00CC65ED">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w:t>
            </w:r>
            <w:r w:rsidR="00DD07A5" w:rsidRPr="00400193">
              <w:rPr>
                <w:rFonts w:asciiTheme="minorHAnsi" w:hAnsiTheme="minorHAnsi" w:cstheme="minorHAnsi"/>
                <w:sz w:val="20"/>
                <w:szCs w:val="18"/>
                <w:lang w:eastAsia="zh-CN" w:bidi="hi-IN"/>
              </w:rPr>
              <w:t>ERF</w:t>
            </w:r>
            <w:r w:rsidRPr="00400193">
              <w:rPr>
                <w:rFonts w:asciiTheme="minorHAnsi" w:hAnsiTheme="minorHAnsi" w:cstheme="minorHAnsi"/>
                <w:sz w:val="20"/>
                <w:szCs w:val="18"/>
                <w:lang w:eastAsia="zh-CN" w:bidi="hi-IN"/>
              </w:rPr>
              <w:t xml:space="preserve">*RP, RP, </w:t>
            </w:r>
            <w:r w:rsidR="00DD07A5" w:rsidRPr="00400193">
              <w:rPr>
                <w:rFonts w:asciiTheme="minorHAnsi" w:hAnsiTheme="minorHAnsi" w:cstheme="minorHAnsi"/>
                <w:sz w:val="20"/>
                <w:szCs w:val="18"/>
                <w:lang w:eastAsia="zh-CN" w:bidi="hi-IN"/>
              </w:rPr>
              <w:t>ERF</w:t>
            </w:r>
          </w:p>
        </w:tc>
      </w:tr>
    </w:tbl>
    <w:p w14:paraId="1A8D4049" w14:textId="513B2D6A" w:rsidR="006E3616" w:rsidRPr="00400193" w:rsidRDefault="006E3616" w:rsidP="00CC65ED">
      <w:pPr>
        <w:pStyle w:val="Caption"/>
        <w:spacing w:after="240"/>
      </w:pPr>
      <w:bookmarkStart w:id="755" w:name="_Ref51589223"/>
      <w:bookmarkStart w:id="756" w:name="_Toc5290164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96</w:t>
      </w:r>
      <w:r w:rsidRPr="00400193">
        <w:fldChar w:fldCharType="end"/>
      </w:r>
      <w:bookmarkEnd w:id="755"/>
      <w:r w:rsidRPr="00400193">
        <w:t xml:space="preserve">: Analysis of variance </w:t>
      </w:r>
      <w:r w:rsidRPr="00400193">
        <w:rPr>
          <w:vertAlign w:val="superscript"/>
        </w:rPr>
        <w:t>a</w:t>
      </w:r>
      <w:r w:rsidRPr="00400193">
        <w:t xml:space="preserve"> of the model for VW</w:t>
      </w:r>
      <w:bookmarkEnd w:id="756"/>
    </w:p>
    <w:tbl>
      <w:tblPr>
        <w:tblW w:w="88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1"/>
        <w:gridCol w:w="967"/>
        <w:gridCol w:w="708"/>
        <w:gridCol w:w="1593"/>
        <w:gridCol w:w="2130"/>
        <w:gridCol w:w="681"/>
        <w:gridCol w:w="767"/>
        <w:gridCol w:w="1539"/>
      </w:tblGrid>
      <w:tr w:rsidR="006E3616" w:rsidRPr="00400193" w14:paraId="6B068F9D" w14:textId="77777777" w:rsidTr="00CC65ED">
        <w:trPr>
          <w:cantSplit/>
          <w:trHeight w:val="283"/>
        </w:trPr>
        <w:tc>
          <w:tcPr>
            <w:tcW w:w="8866" w:type="dxa"/>
            <w:gridSpan w:val="8"/>
            <w:tcBorders>
              <w:top w:val="nil"/>
              <w:left w:val="nil"/>
              <w:bottom w:val="nil"/>
              <w:right w:val="nil"/>
            </w:tcBorders>
            <w:shd w:val="clear" w:color="auto" w:fill="auto"/>
            <w:vAlign w:val="center"/>
          </w:tcPr>
          <w:p w14:paraId="5542496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Coefficients </w:t>
            </w:r>
            <w:r w:rsidRPr="00400193">
              <w:rPr>
                <w:rFonts w:asciiTheme="minorHAnsi" w:hAnsiTheme="minorHAnsi" w:cstheme="minorHAnsi"/>
                <w:b/>
                <w:bCs/>
                <w:sz w:val="20"/>
                <w:szCs w:val="20"/>
                <w:vertAlign w:val="superscript"/>
                <w:lang w:eastAsia="zh-CN" w:bidi="hi-IN"/>
              </w:rPr>
              <w:t>a</w:t>
            </w:r>
          </w:p>
        </w:tc>
      </w:tr>
      <w:tr w:rsidR="006E3616" w:rsidRPr="00400193" w14:paraId="69AE7090" w14:textId="77777777" w:rsidTr="00CC65ED">
        <w:trPr>
          <w:cantSplit/>
          <w:trHeight w:val="283"/>
        </w:trPr>
        <w:tc>
          <w:tcPr>
            <w:tcW w:w="1448" w:type="dxa"/>
            <w:gridSpan w:val="2"/>
            <w:vMerge w:val="restart"/>
            <w:tcBorders>
              <w:top w:val="nil"/>
              <w:left w:val="nil"/>
              <w:bottom w:val="nil"/>
              <w:right w:val="nil"/>
            </w:tcBorders>
            <w:shd w:val="clear" w:color="auto" w:fill="auto"/>
            <w:vAlign w:val="bottom"/>
          </w:tcPr>
          <w:p w14:paraId="75C077C3"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2301" w:type="dxa"/>
            <w:gridSpan w:val="2"/>
            <w:tcBorders>
              <w:top w:val="nil"/>
              <w:left w:val="nil"/>
              <w:bottom w:val="nil"/>
              <w:right w:val="single" w:sz="8" w:space="0" w:color="E0E0E0"/>
            </w:tcBorders>
            <w:shd w:val="clear" w:color="auto" w:fill="auto"/>
            <w:vAlign w:val="bottom"/>
          </w:tcPr>
          <w:p w14:paraId="73BF6C3F"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Unstandardised Coefficients</w:t>
            </w:r>
          </w:p>
        </w:tc>
        <w:tc>
          <w:tcPr>
            <w:tcW w:w="2130" w:type="dxa"/>
            <w:tcBorders>
              <w:top w:val="nil"/>
              <w:left w:val="single" w:sz="8" w:space="0" w:color="E0E0E0"/>
              <w:bottom w:val="nil"/>
              <w:right w:val="single" w:sz="8" w:space="0" w:color="E0E0E0"/>
            </w:tcBorders>
            <w:shd w:val="clear" w:color="auto" w:fill="auto"/>
            <w:vAlign w:val="bottom"/>
          </w:tcPr>
          <w:p w14:paraId="11A8A932"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Standardised Coefficients</w:t>
            </w:r>
          </w:p>
        </w:tc>
        <w:tc>
          <w:tcPr>
            <w:tcW w:w="681" w:type="dxa"/>
            <w:vMerge w:val="restart"/>
            <w:tcBorders>
              <w:top w:val="nil"/>
              <w:left w:val="single" w:sz="8" w:space="0" w:color="E0E0E0"/>
              <w:bottom w:val="nil"/>
              <w:right w:val="single" w:sz="8" w:space="0" w:color="E0E0E0"/>
            </w:tcBorders>
            <w:shd w:val="clear" w:color="auto" w:fill="auto"/>
            <w:vAlign w:val="bottom"/>
          </w:tcPr>
          <w:p w14:paraId="0E6FA3D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w:t>
            </w:r>
          </w:p>
        </w:tc>
        <w:tc>
          <w:tcPr>
            <w:tcW w:w="767" w:type="dxa"/>
            <w:vMerge w:val="restart"/>
            <w:tcBorders>
              <w:top w:val="nil"/>
              <w:left w:val="single" w:sz="8" w:space="0" w:color="E0E0E0"/>
              <w:bottom w:val="nil"/>
              <w:right w:val="single" w:sz="8" w:space="0" w:color="E0E0E0"/>
            </w:tcBorders>
            <w:shd w:val="clear" w:color="auto" w:fill="auto"/>
            <w:vAlign w:val="bottom"/>
          </w:tcPr>
          <w:p w14:paraId="6BECCC7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Sig.</w:t>
            </w:r>
          </w:p>
        </w:tc>
        <w:tc>
          <w:tcPr>
            <w:tcW w:w="1539" w:type="dxa"/>
            <w:tcBorders>
              <w:top w:val="nil"/>
              <w:left w:val="single" w:sz="8" w:space="0" w:color="E0E0E0"/>
              <w:bottom w:val="nil"/>
              <w:right w:val="nil"/>
            </w:tcBorders>
            <w:shd w:val="clear" w:color="auto" w:fill="auto"/>
            <w:vAlign w:val="bottom"/>
          </w:tcPr>
          <w:p w14:paraId="766DB46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Correlations</w:t>
            </w:r>
          </w:p>
        </w:tc>
      </w:tr>
      <w:tr w:rsidR="006E3616" w:rsidRPr="00400193" w14:paraId="3627FF9D" w14:textId="77777777" w:rsidTr="00CC65ED">
        <w:trPr>
          <w:cantSplit/>
          <w:trHeight w:val="283"/>
        </w:trPr>
        <w:tc>
          <w:tcPr>
            <w:tcW w:w="1448" w:type="dxa"/>
            <w:gridSpan w:val="2"/>
            <w:vMerge/>
            <w:tcBorders>
              <w:top w:val="nil"/>
              <w:left w:val="nil"/>
              <w:bottom w:val="nil"/>
              <w:right w:val="nil"/>
            </w:tcBorders>
            <w:shd w:val="clear" w:color="auto" w:fill="auto"/>
            <w:vAlign w:val="bottom"/>
          </w:tcPr>
          <w:p w14:paraId="6421377A"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708" w:type="dxa"/>
            <w:tcBorders>
              <w:top w:val="nil"/>
              <w:left w:val="nil"/>
              <w:bottom w:val="single" w:sz="8" w:space="0" w:color="152935"/>
              <w:right w:val="single" w:sz="8" w:space="0" w:color="E0E0E0"/>
            </w:tcBorders>
            <w:shd w:val="clear" w:color="auto" w:fill="auto"/>
            <w:vAlign w:val="bottom"/>
          </w:tcPr>
          <w:p w14:paraId="695A2420"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w:t>
            </w:r>
          </w:p>
        </w:tc>
        <w:tc>
          <w:tcPr>
            <w:tcW w:w="1593" w:type="dxa"/>
            <w:tcBorders>
              <w:top w:val="nil"/>
              <w:left w:val="single" w:sz="8" w:space="0" w:color="E0E0E0"/>
              <w:bottom w:val="single" w:sz="8" w:space="0" w:color="152935"/>
              <w:right w:val="single" w:sz="8" w:space="0" w:color="E0E0E0"/>
            </w:tcBorders>
            <w:shd w:val="clear" w:color="auto" w:fill="auto"/>
            <w:vAlign w:val="bottom"/>
          </w:tcPr>
          <w:p w14:paraId="4228D38A"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Std. Error</w:t>
            </w:r>
          </w:p>
        </w:tc>
        <w:tc>
          <w:tcPr>
            <w:tcW w:w="2130" w:type="dxa"/>
            <w:tcBorders>
              <w:top w:val="nil"/>
              <w:left w:val="single" w:sz="8" w:space="0" w:color="E0E0E0"/>
              <w:bottom w:val="single" w:sz="8" w:space="0" w:color="152935"/>
              <w:right w:val="single" w:sz="8" w:space="0" w:color="E0E0E0"/>
            </w:tcBorders>
            <w:shd w:val="clear" w:color="auto" w:fill="auto"/>
            <w:vAlign w:val="bottom"/>
          </w:tcPr>
          <w:p w14:paraId="33482EE6"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Beta</w:t>
            </w:r>
          </w:p>
        </w:tc>
        <w:tc>
          <w:tcPr>
            <w:tcW w:w="681" w:type="dxa"/>
            <w:vMerge/>
            <w:tcBorders>
              <w:top w:val="nil"/>
              <w:left w:val="single" w:sz="8" w:space="0" w:color="E0E0E0"/>
              <w:bottom w:val="nil"/>
              <w:right w:val="single" w:sz="8" w:space="0" w:color="E0E0E0"/>
            </w:tcBorders>
            <w:shd w:val="clear" w:color="auto" w:fill="auto"/>
            <w:vAlign w:val="bottom"/>
          </w:tcPr>
          <w:p w14:paraId="733BF841"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767" w:type="dxa"/>
            <w:vMerge/>
            <w:tcBorders>
              <w:top w:val="nil"/>
              <w:left w:val="single" w:sz="8" w:space="0" w:color="E0E0E0"/>
              <w:bottom w:val="nil"/>
              <w:right w:val="single" w:sz="8" w:space="0" w:color="E0E0E0"/>
            </w:tcBorders>
            <w:shd w:val="clear" w:color="auto" w:fill="auto"/>
            <w:vAlign w:val="bottom"/>
          </w:tcPr>
          <w:p w14:paraId="5EAFD97C"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539" w:type="dxa"/>
            <w:tcBorders>
              <w:top w:val="nil"/>
              <w:left w:val="single" w:sz="8" w:space="0" w:color="E0E0E0"/>
              <w:bottom w:val="single" w:sz="8" w:space="0" w:color="152935"/>
              <w:right w:val="nil"/>
            </w:tcBorders>
            <w:shd w:val="clear" w:color="auto" w:fill="auto"/>
            <w:vAlign w:val="bottom"/>
          </w:tcPr>
          <w:p w14:paraId="1B375E43"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Zero-order</w:t>
            </w:r>
          </w:p>
        </w:tc>
      </w:tr>
      <w:tr w:rsidR="006E3616" w:rsidRPr="00400193" w14:paraId="796D4E4E" w14:textId="77777777" w:rsidTr="00CC65ED">
        <w:trPr>
          <w:cantSplit/>
          <w:trHeight w:val="283"/>
        </w:trPr>
        <w:tc>
          <w:tcPr>
            <w:tcW w:w="481" w:type="dxa"/>
            <w:vMerge w:val="restart"/>
            <w:tcBorders>
              <w:top w:val="single" w:sz="8" w:space="0" w:color="152935"/>
              <w:left w:val="nil"/>
              <w:bottom w:val="single" w:sz="8" w:space="0" w:color="152935"/>
              <w:right w:val="nil"/>
            </w:tcBorders>
            <w:shd w:val="clear" w:color="auto" w:fill="auto"/>
          </w:tcPr>
          <w:p w14:paraId="37860A9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967" w:type="dxa"/>
            <w:tcBorders>
              <w:top w:val="single" w:sz="8" w:space="0" w:color="152935"/>
              <w:left w:val="nil"/>
              <w:bottom w:val="single" w:sz="8" w:space="0" w:color="AEAEAE"/>
              <w:right w:val="nil"/>
            </w:tcBorders>
            <w:shd w:val="clear" w:color="auto" w:fill="auto"/>
          </w:tcPr>
          <w:p w14:paraId="2C522E6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708" w:type="dxa"/>
            <w:tcBorders>
              <w:top w:val="single" w:sz="8" w:space="0" w:color="152935"/>
              <w:left w:val="nil"/>
              <w:bottom w:val="single" w:sz="8" w:space="0" w:color="AEAEAE"/>
              <w:right w:val="single" w:sz="8" w:space="0" w:color="E0E0E0"/>
            </w:tcBorders>
            <w:shd w:val="clear" w:color="auto" w:fill="auto"/>
          </w:tcPr>
          <w:p w14:paraId="67CB31E8"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1.646</w:t>
            </w:r>
          </w:p>
        </w:tc>
        <w:tc>
          <w:tcPr>
            <w:tcW w:w="1593" w:type="dxa"/>
            <w:tcBorders>
              <w:top w:val="single" w:sz="8" w:space="0" w:color="152935"/>
              <w:left w:val="single" w:sz="8" w:space="0" w:color="E0E0E0"/>
              <w:bottom w:val="single" w:sz="8" w:space="0" w:color="AEAEAE"/>
              <w:right w:val="single" w:sz="8" w:space="0" w:color="E0E0E0"/>
            </w:tcBorders>
            <w:shd w:val="clear" w:color="auto" w:fill="auto"/>
          </w:tcPr>
          <w:p w14:paraId="7946813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.847</w:t>
            </w:r>
          </w:p>
        </w:tc>
        <w:tc>
          <w:tcPr>
            <w:tcW w:w="2130" w:type="dxa"/>
            <w:tcBorders>
              <w:top w:val="single" w:sz="8" w:space="0" w:color="152935"/>
              <w:left w:val="single" w:sz="8" w:space="0" w:color="E0E0E0"/>
              <w:bottom w:val="single" w:sz="8" w:space="0" w:color="AEAEAE"/>
              <w:right w:val="single" w:sz="8" w:space="0" w:color="E0E0E0"/>
            </w:tcBorders>
            <w:shd w:val="clear" w:color="auto" w:fill="auto"/>
            <w:vAlign w:val="center"/>
          </w:tcPr>
          <w:p w14:paraId="20D84FC9"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681" w:type="dxa"/>
            <w:tcBorders>
              <w:top w:val="single" w:sz="8" w:space="0" w:color="152935"/>
              <w:left w:val="single" w:sz="8" w:space="0" w:color="E0E0E0"/>
              <w:bottom w:val="single" w:sz="8" w:space="0" w:color="AEAEAE"/>
              <w:right w:val="single" w:sz="8" w:space="0" w:color="E0E0E0"/>
            </w:tcBorders>
            <w:shd w:val="clear" w:color="auto" w:fill="auto"/>
          </w:tcPr>
          <w:p w14:paraId="25799109" w14:textId="1F290B92" w:rsidR="006E3616" w:rsidRPr="00400193" w:rsidRDefault="0004536C"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r w:rsidR="006E3616" w:rsidRPr="00400193">
              <w:rPr>
                <w:rFonts w:asciiTheme="minorHAnsi" w:hAnsiTheme="minorHAnsi" w:cstheme="minorHAnsi"/>
                <w:sz w:val="20"/>
                <w:szCs w:val="20"/>
                <w:lang w:eastAsia="zh-CN" w:bidi="hi-IN"/>
              </w:rPr>
              <w:t>1.944</w:t>
            </w:r>
          </w:p>
        </w:tc>
        <w:tc>
          <w:tcPr>
            <w:tcW w:w="767" w:type="dxa"/>
            <w:tcBorders>
              <w:top w:val="single" w:sz="8" w:space="0" w:color="152935"/>
              <w:left w:val="single" w:sz="8" w:space="0" w:color="E0E0E0"/>
              <w:bottom w:val="single" w:sz="8" w:space="0" w:color="AEAEAE"/>
              <w:right w:val="single" w:sz="8" w:space="0" w:color="E0E0E0"/>
            </w:tcBorders>
            <w:shd w:val="clear" w:color="auto" w:fill="auto"/>
          </w:tcPr>
          <w:p w14:paraId="43BDD6E4" w14:textId="45AC74DD"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w:t>
            </w:r>
            <w:r w:rsidR="008023BC"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55</w:t>
            </w:r>
          </w:p>
        </w:tc>
        <w:tc>
          <w:tcPr>
            <w:tcW w:w="1539" w:type="dxa"/>
            <w:tcBorders>
              <w:top w:val="single" w:sz="8" w:space="0" w:color="152935"/>
              <w:left w:val="single" w:sz="8" w:space="0" w:color="E0E0E0"/>
              <w:bottom w:val="single" w:sz="8" w:space="0" w:color="AEAEAE"/>
              <w:right w:val="nil"/>
            </w:tcBorders>
            <w:shd w:val="clear" w:color="auto" w:fill="auto"/>
            <w:vAlign w:val="center"/>
          </w:tcPr>
          <w:p w14:paraId="64E9D3C0"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r>
      <w:tr w:rsidR="006E3616" w:rsidRPr="00400193" w14:paraId="0340FA3D" w14:textId="77777777" w:rsidTr="00CC65ED">
        <w:trPr>
          <w:cantSplit/>
          <w:trHeight w:val="283"/>
        </w:trPr>
        <w:tc>
          <w:tcPr>
            <w:tcW w:w="481" w:type="dxa"/>
            <w:vMerge/>
            <w:tcBorders>
              <w:top w:val="single" w:sz="8" w:space="0" w:color="152935"/>
              <w:left w:val="nil"/>
              <w:bottom w:val="single" w:sz="8" w:space="0" w:color="152935"/>
              <w:right w:val="nil"/>
            </w:tcBorders>
            <w:shd w:val="clear" w:color="auto" w:fill="auto"/>
          </w:tcPr>
          <w:p w14:paraId="7161F334"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967" w:type="dxa"/>
            <w:tcBorders>
              <w:top w:val="single" w:sz="8" w:space="0" w:color="AEAEAE"/>
              <w:left w:val="nil"/>
              <w:bottom w:val="single" w:sz="8" w:space="0" w:color="AEAEAE"/>
              <w:right w:val="nil"/>
            </w:tcBorders>
            <w:shd w:val="clear" w:color="auto" w:fill="auto"/>
          </w:tcPr>
          <w:p w14:paraId="55BC0F3F" w14:textId="542BAFDD" w:rsidR="006E3616" w:rsidRPr="00400193" w:rsidRDefault="00DD07A5"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p>
        </w:tc>
        <w:tc>
          <w:tcPr>
            <w:tcW w:w="708" w:type="dxa"/>
            <w:tcBorders>
              <w:top w:val="single" w:sz="8" w:space="0" w:color="AEAEAE"/>
              <w:left w:val="nil"/>
              <w:bottom w:val="single" w:sz="8" w:space="0" w:color="AEAEAE"/>
              <w:right w:val="single" w:sz="8" w:space="0" w:color="E0E0E0"/>
            </w:tcBorders>
            <w:shd w:val="clear" w:color="auto" w:fill="auto"/>
          </w:tcPr>
          <w:p w14:paraId="2AA1B962"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.252</w:t>
            </w:r>
          </w:p>
        </w:tc>
        <w:tc>
          <w:tcPr>
            <w:tcW w:w="1593" w:type="dxa"/>
            <w:tcBorders>
              <w:top w:val="single" w:sz="8" w:space="0" w:color="AEAEAE"/>
              <w:left w:val="single" w:sz="8" w:space="0" w:color="E0E0E0"/>
              <w:bottom w:val="single" w:sz="8" w:space="0" w:color="AEAEAE"/>
              <w:right w:val="single" w:sz="8" w:space="0" w:color="E0E0E0"/>
            </w:tcBorders>
            <w:shd w:val="clear" w:color="auto" w:fill="auto"/>
          </w:tcPr>
          <w:p w14:paraId="1951A1BF"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.273</w:t>
            </w:r>
          </w:p>
        </w:tc>
        <w:tc>
          <w:tcPr>
            <w:tcW w:w="2130" w:type="dxa"/>
            <w:tcBorders>
              <w:top w:val="single" w:sz="8" w:space="0" w:color="AEAEAE"/>
              <w:left w:val="single" w:sz="8" w:space="0" w:color="E0E0E0"/>
              <w:bottom w:val="single" w:sz="8" w:space="0" w:color="AEAEAE"/>
              <w:right w:val="single" w:sz="8" w:space="0" w:color="E0E0E0"/>
            </w:tcBorders>
            <w:shd w:val="clear" w:color="auto" w:fill="auto"/>
          </w:tcPr>
          <w:p w14:paraId="6BB6D841"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.331</w:t>
            </w:r>
          </w:p>
        </w:tc>
        <w:tc>
          <w:tcPr>
            <w:tcW w:w="681" w:type="dxa"/>
            <w:tcBorders>
              <w:top w:val="single" w:sz="8" w:space="0" w:color="AEAEAE"/>
              <w:left w:val="single" w:sz="8" w:space="0" w:color="E0E0E0"/>
              <w:bottom w:val="single" w:sz="8" w:space="0" w:color="AEAEAE"/>
              <w:right w:val="single" w:sz="8" w:space="0" w:color="E0E0E0"/>
            </w:tcBorders>
            <w:shd w:val="clear" w:color="auto" w:fill="auto"/>
          </w:tcPr>
          <w:p w14:paraId="60931479" w14:textId="04AD9CCF" w:rsidR="006E3616" w:rsidRPr="00400193" w:rsidRDefault="0004536C"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w:t>
            </w:r>
            <w:r w:rsidR="006E3616" w:rsidRPr="00400193">
              <w:rPr>
                <w:rFonts w:asciiTheme="minorHAnsi" w:hAnsiTheme="minorHAnsi" w:cstheme="minorHAnsi"/>
                <w:sz w:val="20"/>
                <w:szCs w:val="20"/>
                <w:lang w:eastAsia="zh-CN" w:bidi="hi-IN"/>
              </w:rPr>
              <w:t>.925</w:t>
            </w:r>
          </w:p>
        </w:tc>
        <w:tc>
          <w:tcPr>
            <w:tcW w:w="767" w:type="dxa"/>
            <w:tcBorders>
              <w:top w:val="single" w:sz="8" w:space="0" w:color="AEAEAE"/>
              <w:left w:val="single" w:sz="8" w:space="0" w:color="E0E0E0"/>
              <w:bottom w:val="single" w:sz="8" w:space="0" w:color="AEAEAE"/>
              <w:right w:val="single" w:sz="8" w:space="0" w:color="E0E0E0"/>
            </w:tcBorders>
            <w:shd w:val="clear" w:color="auto" w:fill="auto"/>
          </w:tcPr>
          <w:p w14:paraId="05853E4D" w14:textId="2EEA1BAB"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04536C"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357</w:t>
            </w:r>
          </w:p>
        </w:tc>
        <w:tc>
          <w:tcPr>
            <w:tcW w:w="1539" w:type="dxa"/>
            <w:tcBorders>
              <w:top w:val="single" w:sz="8" w:space="0" w:color="AEAEAE"/>
              <w:left w:val="single" w:sz="8" w:space="0" w:color="E0E0E0"/>
              <w:bottom w:val="single" w:sz="8" w:space="0" w:color="AEAEAE"/>
              <w:right w:val="nil"/>
            </w:tcBorders>
            <w:shd w:val="clear" w:color="auto" w:fill="auto"/>
          </w:tcPr>
          <w:p w14:paraId="63B3C95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.659</w:t>
            </w:r>
          </w:p>
        </w:tc>
      </w:tr>
      <w:tr w:rsidR="006E3616" w:rsidRPr="00400193" w14:paraId="57E784E8" w14:textId="77777777" w:rsidTr="00CC65ED">
        <w:trPr>
          <w:cantSplit/>
          <w:trHeight w:val="283"/>
        </w:trPr>
        <w:tc>
          <w:tcPr>
            <w:tcW w:w="481" w:type="dxa"/>
            <w:vMerge/>
            <w:tcBorders>
              <w:top w:val="single" w:sz="8" w:space="0" w:color="152935"/>
              <w:left w:val="nil"/>
              <w:bottom w:val="single" w:sz="8" w:space="0" w:color="152935"/>
              <w:right w:val="nil"/>
            </w:tcBorders>
            <w:shd w:val="clear" w:color="auto" w:fill="auto"/>
          </w:tcPr>
          <w:p w14:paraId="6ECC9687"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967" w:type="dxa"/>
            <w:tcBorders>
              <w:top w:val="single" w:sz="8" w:space="0" w:color="AEAEAE"/>
              <w:left w:val="nil"/>
              <w:bottom w:val="single" w:sz="8" w:space="0" w:color="AEAEAE"/>
              <w:right w:val="nil"/>
            </w:tcBorders>
            <w:shd w:val="clear" w:color="auto" w:fill="auto"/>
          </w:tcPr>
          <w:p w14:paraId="39B7A4D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RP</w:t>
            </w:r>
          </w:p>
        </w:tc>
        <w:tc>
          <w:tcPr>
            <w:tcW w:w="708" w:type="dxa"/>
            <w:tcBorders>
              <w:top w:val="single" w:sz="8" w:space="0" w:color="AEAEAE"/>
              <w:left w:val="nil"/>
              <w:bottom w:val="single" w:sz="8" w:space="0" w:color="AEAEAE"/>
              <w:right w:val="single" w:sz="8" w:space="0" w:color="E0E0E0"/>
            </w:tcBorders>
            <w:shd w:val="clear" w:color="auto" w:fill="auto"/>
          </w:tcPr>
          <w:p w14:paraId="553CB1BD"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.027</w:t>
            </w:r>
          </w:p>
        </w:tc>
        <w:tc>
          <w:tcPr>
            <w:tcW w:w="1593" w:type="dxa"/>
            <w:tcBorders>
              <w:top w:val="single" w:sz="8" w:space="0" w:color="AEAEAE"/>
              <w:left w:val="single" w:sz="8" w:space="0" w:color="E0E0E0"/>
              <w:bottom w:val="single" w:sz="8" w:space="0" w:color="AEAEAE"/>
              <w:right w:val="single" w:sz="8" w:space="0" w:color="E0E0E0"/>
            </w:tcBorders>
            <w:shd w:val="clear" w:color="auto" w:fill="auto"/>
          </w:tcPr>
          <w:p w14:paraId="147B7861"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.218</w:t>
            </w:r>
          </w:p>
        </w:tc>
        <w:tc>
          <w:tcPr>
            <w:tcW w:w="2130" w:type="dxa"/>
            <w:tcBorders>
              <w:top w:val="single" w:sz="8" w:space="0" w:color="AEAEAE"/>
              <w:left w:val="single" w:sz="8" w:space="0" w:color="E0E0E0"/>
              <w:bottom w:val="single" w:sz="8" w:space="0" w:color="AEAEAE"/>
              <w:right w:val="single" w:sz="8" w:space="0" w:color="E0E0E0"/>
            </w:tcBorders>
            <w:shd w:val="clear" w:color="auto" w:fill="auto"/>
          </w:tcPr>
          <w:p w14:paraId="5FC5D71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.030</w:t>
            </w:r>
          </w:p>
        </w:tc>
        <w:tc>
          <w:tcPr>
            <w:tcW w:w="681" w:type="dxa"/>
            <w:tcBorders>
              <w:top w:val="single" w:sz="8" w:space="0" w:color="AEAEAE"/>
              <w:left w:val="single" w:sz="8" w:space="0" w:color="E0E0E0"/>
              <w:bottom w:val="single" w:sz="8" w:space="0" w:color="AEAEAE"/>
              <w:right w:val="single" w:sz="8" w:space="0" w:color="E0E0E0"/>
            </w:tcBorders>
            <w:shd w:val="clear" w:color="auto" w:fill="auto"/>
          </w:tcPr>
          <w:p w14:paraId="43DA3E04" w14:textId="13657097" w:rsidR="006E3616" w:rsidRPr="00400193" w:rsidRDefault="0004536C"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w:t>
            </w:r>
            <w:r w:rsidR="006E3616" w:rsidRPr="00400193">
              <w:rPr>
                <w:rFonts w:asciiTheme="minorHAnsi" w:hAnsiTheme="minorHAnsi" w:cstheme="minorHAnsi"/>
                <w:sz w:val="20"/>
                <w:szCs w:val="20"/>
                <w:lang w:eastAsia="zh-CN" w:bidi="hi-IN"/>
              </w:rPr>
              <w:t>.123</w:t>
            </w:r>
          </w:p>
        </w:tc>
        <w:tc>
          <w:tcPr>
            <w:tcW w:w="767" w:type="dxa"/>
            <w:tcBorders>
              <w:top w:val="single" w:sz="8" w:space="0" w:color="AEAEAE"/>
              <w:left w:val="single" w:sz="8" w:space="0" w:color="E0E0E0"/>
              <w:bottom w:val="single" w:sz="8" w:space="0" w:color="AEAEAE"/>
              <w:right w:val="single" w:sz="8" w:space="0" w:color="E0E0E0"/>
            </w:tcBorders>
            <w:shd w:val="clear" w:color="auto" w:fill="auto"/>
          </w:tcPr>
          <w:p w14:paraId="2689E80F" w14:textId="2230E4FE"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04536C"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903</w:t>
            </w:r>
          </w:p>
        </w:tc>
        <w:tc>
          <w:tcPr>
            <w:tcW w:w="1539" w:type="dxa"/>
            <w:tcBorders>
              <w:top w:val="single" w:sz="8" w:space="0" w:color="AEAEAE"/>
              <w:left w:val="single" w:sz="8" w:space="0" w:color="E0E0E0"/>
              <w:bottom w:val="single" w:sz="8" w:space="0" w:color="AEAEAE"/>
              <w:right w:val="nil"/>
            </w:tcBorders>
            <w:shd w:val="clear" w:color="auto" w:fill="auto"/>
          </w:tcPr>
          <w:p w14:paraId="139861AA"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.348</w:t>
            </w:r>
          </w:p>
        </w:tc>
      </w:tr>
      <w:tr w:rsidR="006E3616" w:rsidRPr="00400193" w14:paraId="786D2D37" w14:textId="77777777" w:rsidTr="00CC65ED">
        <w:trPr>
          <w:cantSplit/>
          <w:trHeight w:val="283"/>
        </w:trPr>
        <w:tc>
          <w:tcPr>
            <w:tcW w:w="481" w:type="dxa"/>
            <w:vMerge/>
            <w:tcBorders>
              <w:top w:val="single" w:sz="8" w:space="0" w:color="152935"/>
              <w:left w:val="nil"/>
              <w:bottom w:val="single" w:sz="8" w:space="0" w:color="152935"/>
              <w:right w:val="nil"/>
            </w:tcBorders>
            <w:shd w:val="clear" w:color="auto" w:fill="auto"/>
          </w:tcPr>
          <w:p w14:paraId="67E2A36D"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967" w:type="dxa"/>
            <w:tcBorders>
              <w:top w:val="single" w:sz="8" w:space="0" w:color="AEAEAE"/>
              <w:left w:val="nil"/>
              <w:bottom w:val="single" w:sz="8" w:space="0" w:color="AEAEAE"/>
              <w:right w:val="nil"/>
            </w:tcBorders>
            <w:shd w:val="clear" w:color="auto" w:fill="auto"/>
          </w:tcPr>
          <w:p w14:paraId="7CA4830E" w14:textId="3894F3F3" w:rsidR="006E3616" w:rsidRPr="00400193" w:rsidRDefault="00DD07A5"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r w:rsidR="006E3616" w:rsidRPr="00400193">
              <w:rPr>
                <w:rFonts w:asciiTheme="minorHAnsi" w:hAnsiTheme="minorHAnsi" w:cstheme="minorHAnsi"/>
                <w:sz w:val="20"/>
                <w:szCs w:val="20"/>
                <w:lang w:eastAsia="zh-CN" w:bidi="hi-IN"/>
              </w:rPr>
              <w:t>*RP</w:t>
            </w:r>
          </w:p>
        </w:tc>
        <w:tc>
          <w:tcPr>
            <w:tcW w:w="708" w:type="dxa"/>
            <w:tcBorders>
              <w:top w:val="single" w:sz="8" w:space="0" w:color="AEAEAE"/>
              <w:left w:val="nil"/>
              <w:bottom w:val="single" w:sz="8" w:space="0" w:color="AEAEAE"/>
              <w:right w:val="single" w:sz="8" w:space="0" w:color="E0E0E0"/>
            </w:tcBorders>
            <w:shd w:val="clear" w:color="auto" w:fill="auto"/>
          </w:tcPr>
          <w:p w14:paraId="4E44B6F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.055</w:t>
            </w:r>
          </w:p>
        </w:tc>
        <w:tc>
          <w:tcPr>
            <w:tcW w:w="1593" w:type="dxa"/>
            <w:tcBorders>
              <w:top w:val="single" w:sz="8" w:space="0" w:color="AEAEAE"/>
              <w:left w:val="single" w:sz="8" w:space="0" w:color="E0E0E0"/>
              <w:bottom w:val="single" w:sz="8" w:space="0" w:color="AEAEAE"/>
              <w:right w:val="single" w:sz="8" w:space="0" w:color="E0E0E0"/>
            </w:tcBorders>
            <w:shd w:val="clear" w:color="auto" w:fill="auto"/>
          </w:tcPr>
          <w:p w14:paraId="3D2BAD0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.069</w:t>
            </w:r>
          </w:p>
        </w:tc>
        <w:tc>
          <w:tcPr>
            <w:tcW w:w="2130" w:type="dxa"/>
            <w:tcBorders>
              <w:top w:val="single" w:sz="8" w:space="0" w:color="AEAEAE"/>
              <w:left w:val="single" w:sz="8" w:space="0" w:color="E0E0E0"/>
              <w:bottom w:val="single" w:sz="8" w:space="0" w:color="AEAEAE"/>
              <w:right w:val="single" w:sz="8" w:space="0" w:color="E0E0E0"/>
            </w:tcBorders>
            <w:shd w:val="clear" w:color="auto" w:fill="auto"/>
          </w:tcPr>
          <w:p w14:paraId="4F9A693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.374</w:t>
            </w:r>
          </w:p>
        </w:tc>
        <w:tc>
          <w:tcPr>
            <w:tcW w:w="681" w:type="dxa"/>
            <w:tcBorders>
              <w:top w:val="single" w:sz="8" w:space="0" w:color="AEAEAE"/>
              <w:left w:val="single" w:sz="8" w:space="0" w:color="E0E0E0"/>
              <w:bottom w:val="single" w:sz="8" w:space="0" w:color="AEAEAE"/>
              <w:right w:val="single" w:sz="8" w:space="0" w:color="E0E0E0"/>
            </w:tcBorders>
            <w:shd w:val="clear" w:color="auto" w:fill="auto"/>
          </w:tcPr>
          <w:p w14:paraId="71C45F17" w14:textId="359D1DF5" w:rsidR="006E3616" w:rsidRPr="00400193" w:rsidRDefault="0004536C"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r w:rsidR="006E3616" w:rsidRPr="00400193">
              <w:rPr>
                <w:rFonts w:asciiTheme="minorHAnsi" w:hAnsiTheme="minorHAnsi" w:cstheme="minorHAnsi"/>
                <w:sz w:val="20"/>
                <w:szCs w:val="20"/>
                <w:lang w:eastAsia="zh-CN" w:bidi="hi-IN"/>
              </w:rPr>
              <w:t>.803</w:t>
            </w:r>
          </w:p>
        </w:tc>
        <w:tc>
          <w:tcPr>
            <w:tcW w:w="767" w:type="dxa"/>
            <w:tcBorders>
              <w:top w:val="single" w:sz="8" w:space="0" w:color="AEAEAE"/>
              <w:left w:val="single" w:sz="8" w:space="0" w:color="E0E0E0"/>
              <w:bottom w:val="single" w:sz="8" w:space="0" w:color="AEAEAE"/>
              <w:right w:val="single" w:sz="8" w:space="0" w:color="E0E0E0"/>
            </w:tcBorders>
            <w:shd w:val="clear" w:color="auto" w:fill="auto"/>
          </w:tcPr>
          <w:p w14:paraId="1580E0F5" w14:textId="498F7284"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04536C"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424</w:t>
            </w:r>
          </w:p>
        </w:tc>
        <w:tc>
          <w:tcPr>
            <w:tcW w:w="1539" w:type="dxa"/>
            <w:tcBorders>
              <w:top w:val="single" w:sz="8" w:space="0" w:color="AEAEAE"/>
              <w:left w:val="single" w:sz="8" w:space="0" w:color="E0E0E0"/>
              <w:bottom w:val="single" w:sz="8" w:space="0" w:color="AEAEAE"/>
              <w:right w:val="nil"/>
            </w:tcBorders>
            <w:shd w:val="clear" w:color="auto" w:fill="auto"/>
          </w:tcPr>
          <w:p w14:paraId="0C42C430" w14:textId="77777777" w:rsidR="006E3616" w:rsidRPr="00400193" w:rsidRDefault="006E3616" w:rsidP="003B5486">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.678</w:t>
            </w:r>
          </w:p>
        </w:tc>
      </w:tr>
      <w:tr w:rsidR="00CC65ED" w:rsidRPr="00400193" w14:paraId="2D6844F1" w14:textId="77777777" w:rsidTr="00CC65ED">
        <w:trPr>
          <w:cantSplit/>
          <w:trHeight w:val="283"/>
        </w:trPr>
        <w:tc>
          <w:tcPr>
            <w:tcW w:w="8866" w:type="dxa"/>
            <w:gridSpan w:val="8"/>
            <w:tcBorders>
              <w:top w:val="single" w:sz="8" w:space="0" w:color="152935"/>
              <w:left w:val="nil"/>
              <w:bottom w:val="single" w:sz="4" w:space="0" w:color="FFFFFF" w:themeColor="background1"/>
              <w:right w:val="nil"/>
            </w:tcBorders>
            <w:shd w:val="clear" w:color="auto" w:fill="auto"/>
          </w:tcPr>
          <w:p w14:paraId="55D6D2F8" w14:textId="1BC0D174" w:rsidR="00CC65ED" w:rsidRPr="00400193" w:rsidRDefault="00CC65ED" w:rsidP="003B5486">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0F6C97A3" w14:textId="62D410FE" w:rsidR="006E3616" w:rsidRPr="00400193" w:rsidRDefault="006E3616" w:rsidP="00CC65ED">
      <w:pPr>
        <w:pStyle w:val="Caption"/>
        <w:spacing w:after="240"/>
      </w:pPr>
      <w:bookmarkStart w:id="757" w:name="_Ref51589244"/>
      <w:bookmarkStart w:id="758" w:name="_Toc5290164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97</w:t>
      </w:r>
      <w:r w:rsidRPr="00400193">
        <w:fldChar w:fldCharType="end"/>
      </w:r>
      <w:bookmarkEnd w:id="757"/>
      <w:r w:rsidRPr="00400193">
        <w:t xml:space="preserve">: Coefficients </w:t>
      </w:r>
      <w:r w:rsidRPr="00400193">
        <w:rPr>
          <w:vertAlign w:val="superscript"/>
        </w:rPr>
        <w:t>a</w:t>
      </w:r>
      <w:r w:rsidRPr="00400193">
        <w:t xml:space="preserve"> of the regression model for VW</w:t>
      </w:r>
      <w:bookmarkEnd w:id="758"/>
    </w:p>
    <w:p w14:paraId="6A6F4EFD" w14:textId="77777777" w:rsidR="006E3616" w:rsidRPr="00400193" w:rsidRDefault="006E3616" w:rsidP="003C3496">
      <w:pPr>
        <w:pStyle w:val="Heading4"/>
        <w:rPr>
          <w:lang w:eastAsia="zh-CN" w:bidi="hi-IN"/>
        </w:rPr>
      </w:pPr>
      <w:bookmarkStart w:id="759" w:name="_Toc61894792"/>
      <w:r w:rsidRPr="00400193">
        <w:rPr>
          <w:lang w:eastAsia="zh-CN" w:bidi="hi-IN"/>
        </w:rPr>
        <w:t>Testing for Collinearity of the Independent Variables</w:t>
      </w:r>
      <w:bookmarkEnd w:id="759"/>
    </w:p>
    <w:p w14:paraId="4B3632A0" w14:textId="04135EEA" w:rsidR="006E3616" w:rsidRPr="00400193" w:rsidRDefault="006E3616" w:rsidP="006E3616">
      <w:pPr>
        <w:rPr>
          <w:lang w:eastAsia="zh-CN" w:bidi="hi-IN"/>
        </w:rPr>
      </w:pPr>
      <w:r w:rsidRPr="00400193">
        <w:rPr>
          <w:lang w:eastAsia="zh-CN" w:bidi="hi-IN"/>
        </w:rPr>
        <w:t xml:space="preserve">The collinearity results for the independent variables are in </w:t>
      </w:r>
      <w:r w:rsidR="00CC65ED" w:rsidRPr="00400193">
        <w:rPr>
          <w:lang w:eastAsia="zh-CN" w:bidi="hi-IN"/>
        </w:rPr>
        <w:fldChar w:fldCharType="begin"/>
      </w:r>
      <w:r w:rsidR="00CC65ED" w:rsidRPr="00400193">
        <w:rPr>
          <w:lang w:eastAsia="zh-CN" w:bidi="hi-IN"/>
        </w:rPr>
        <w:instrText xml:space="preserve"> REF _Ref51589619 \h </w:instrText>
      </w:r>
      <w:r w:rsidR="00CC65ED" w:rsidRPr="00400193">
        <w:rPr>
          <w:lang w:eastAsia="zh-CN" w:bidi="hi-IN"/>
        </w:rPr>
      </w:r>
      <w:r w:rsidR="00CC65ED"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98</w:t>
      </w:r>
      <w:r w:rsidR="00CC65ED" w:rsidRPr="00400193">
        <w:rPr>
          <w:lang w:eastAsia="zh-CN" w:bidi="hi-IN"/>
        </w:rPr>
        <w:fldChar w:fldCharType="end"/>
      </w:r>
      <w:r w:rsidRPr="00400193">
        <w:rPr>
          <w:lang w:eastAsia="zh-CN" w:bidi="hi-IN"/>
        </w:rPr>
        <w:t>.</w:t>
      </w:r>
    </w:p>
    <w:p w14:paraId="4DE61F99" w14:textId="77777777" w:rsidR="00222C2E" w:rsidRPr="00400193" w:rsidRDefault="00222C2E" w:rsidP="006E3616">
      <w:pPr>
        <w:rPr>
          <w:lang w:eastAsia="zh-CN" w:bidi="hi-IN"/>
        </w:rPr>
      </w:pPr>
    </w:p>
    <w:tbl>
      <w:tblPr>
        <w:tblW w:w="87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0"/>
        <w:gridCol w:w="1171"/>
        <w:gridCol w:w="1171"/>
        <w:gridCol w:w="1406"/>
        <w:gridCol w:w="1128"/>
        <w:gridCol w:w="981"/>
        <w:gridCol w:w="981"/>
        <w:gridCol w:w="1175"/>
      </w:tblGrid>
      <w:tr w:rsidR="006E3616" w:rsidRPr="00400193" w14:paraId="4DE2D853" w14:textId="77777777" w:rsidTr="00CC65ED">
        <w:trPr>
          <w:cantSplit/>
          <w:trHeight w:val="283"/>
        </w:trPr>
        <w:tc>
          <w:tcPr>
            <w:tcW w:w="8773" w:type="dxa"/>
            <w:gridSpan w:val="8"/>
            <w:tcBorders>
              <w:top w:val="nil"/>
              <w:left w:val="nil"/>
              <w:bottom w:val="nil"/>
              <w:right w:val="nil"/>
            </w:tcBorders>
            <w:shd w:val="clear" w:color="auto" w:fill="auto"/>
            <w:vAlign w:val="center"/>
          </w:tcPr>
          <w:p w14:paraId="7941017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Collinearity Diagnostics </w:t>
            </w:r>
            <w:r w:rsidRPr="00400193">
              <w:rPr>
                <w:rFonts w:asciiTheme="minorHAnsi" w:hAnsiTheme="minorHAnsi" w:cstheme="minorHAnsi"/>
                <w:b/>
                <w:bCs/>
                <w:sz w:val="20"/>
                <w:szCs w:val="20"/>
                <w:vertAlign w:val="superscript"/>
                <w:lang w:eastAsia="zh-CN" w:bidi="hi-IN"/>
              </w:rPr>
              <w:t>a</w:t>
            </w:r>
          </w:p>
        </w:tc>
      </w:tr>
      <w:tr w:rsidR="006E3616" w:rsidRPr="00400193" w14:paraId="63B1A800" w14:textId="77777777" w:rsidTr="00CC65ED">
        <w:trPr>
          <w:cantSplit/>
          <w:trHeight w:val="283"/>
        </w:trPr>
        <w:tc>
          <w:tcPr>
            <w:tcW w:w="760" w:type="dxa"/>
            <w:vMerge w:val="restart"/>
            <w:tcBorders>
              <w:top w:val="nil"/>
              <w:left w:val="nil"/>
              <w:bottom w:val="nil"/>
              <w:right w:val="nil"/>
            </w:tcBorders>
            <w:shd w:val="clear" w:color="auto" w:fill="auto"/>
            <w:vAlign w:val="bottom"/>
          </w:tcPr>
          <w:p w14:paraId="1291BFBF"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1171" w:type="dxa"/>
            <w:vMerge w:val="restart"/>
            <w:tcBorders>
              <w:top w:val="nil"/>
              <w:left w:val="nil"/>
              <w:bottom w:val="nil"/>
              <w:right w:val="nil"/>
            </w:tcBorders>
            <w:shd w:val="clear" w:color="auto" w:fill="auto"/>
            <w:vAlign w:val="bottom"/>
          </w:tcPr>
          <w:p w14:paraId="7C75C2D2"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Dimension</w:t>
            </w:r>
          </w:p>
        </w:tc>
        <w:tc>
          <w:tcPr>
            <w:tcW w:w="1171" w:type="dxa"/>
            <w:vMerge w:val="restart"/>
            <w:tcBorders>
              <w:top w:val="nil"/>
              <w:left w:val="nil"/>
              <w:bottom w:val="nil"/>
              <w:right w:val="single" w:sz="8" w:space="0" w:color="E0E0E0"/>
            </w:tcBorders>
            <w:shd w:val="clear" w:color="auto" w:fill="auto"/>
            <w:vAlign w:val="bottom"/>
          </w:tcPr>
          <w:p w14:paraId="4CBFFA9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Eigenvalue</w:t>
            </w:r>
          </w:p>
        </w:tc>
        <w:tc>
          <w:tcPr>
            <w:tcW w:w="1406" w:type="dxa"/>
            <w:vMerge w:val="restart"/>
            <w:tcBorders>
              <w:top w:val="nil"/>
              <w:left w:val="single" w:sz="8" w:space="0" w:color="E0E0E0"/>
              <w:bottom w:val="nil"/>
              <w:right w:val="single" w:sz="8" w:space="0" w:color="E0E0E0"/>
            </w:tcBorders>
            <w:shd w:val="clear" w:color="auto" w:fill="auto"/>
            <w:vAlign w:val="bottom"/>
          </w:tcPr>
          <w:p w14:paraId="7BFD0F8D"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 Index</w:t>
            </w:r>
          </w:p>
        </w:tc>
        <w:tc>
          <w:tcPr>
            <w:tcW w:w="4265" w:type="dxa"/>
            <w:gridSpan w:val="4"/>
            <w:tcBorders>
              <w:top w:val="nil"/>
              <w:left w:val="single" w:sz="8" w:space="0" w:color="E0E0E0"/>
              <w:bottom w:val="nil"/>
              <w:right w:val="nil"/>
            </w:tcBorders>
            <w:shd w:val="clear" w:color="auto" w:fill="auto"/>
            <w:vAlign w:val="bottom"/>
          </w:tcPr>
          <w:p w14:paraId="364A83D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Variance Proportions</w:t>
            </w:r>
          </w:p>
        </w:tc>
      </w:tr>
      <w:tr w:rsidR="006E3616" w:rsidRPr="00400193" w14:paraId="504EAE68" w14:textId="77777777" w:rsidTr="00CC65ED">
        <w:trPr>
          <w:cantSplit/>
          <w:trHeight w:val="283"/>
        </w:trPr>
        <w:tc>
          <w:tcPr>
            <w:tcW w:w="760" w:type="dxa"/>
            <w:vMerge/>
            <w:tcBorders>
              <w:top w:val="nil"/>
              <w:left w:val="nil"/>
              <w:bottom w:val="nil"/>
              <w:right w:val="nil"/>
            </w:tcBorders>
            <w:shd w:val="clear" w:color="auto" w:fill="auto"/>
            <w:vAlign w:val="bottom"/>
          </w:tcPr>
          <w:p w14:paraId="3186E55D"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71" w:type="dxa"/>
            <w:vMerge/>
            <w:tcBorders>
              <w:top w:val="nil"/>
              <w:left w:val="nil"/>
              <w:bottom w:val="nil"/>
              <w:right w:val="nil"/>
            </w:tcBorders>
            <w:shd w:val="clear" w:color="auto" w:fill="auto"/>
            <w:vAlign w:val="bottom"/>
          </w:tcPr>
          <w:p w14:paraId="1F19E0B4"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71" w:type="dxa"/>
            <w:vMerge/>
            <w:tcBorders>
              <w:top w:val="nil"/>
              <w:left w:val="nil"/>
              <w:bottom w:val="nil"/>
              <w:right w:val="single" w:sz="8" w:space="0" w:color="E0E0E0"/>
            </w:tcBorders>
            <w:shd w:val="clear" w:color="auto" w:fill="auto"/>
            <w:vAlign w:val="bottom"/>
          </w:tcPr>
          <w:p w14:paraId="3ECE0A8B"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406" w:type="dxa"/>
            <w:vMerge/>
            <w:tcBorders>
              <w:top w:val="nil"/>
              <w:left w:val="single" w:sz="8" w:space="0" w:color="E0E0E0"/>
              <w:bottom w:val="nil"/>
              <w:right w:val="single" w:sz="8" w:space="0" w:color="E0E0E0"/>
            </w:tcBorders>
            <w:shd w:val="clear" w:color="auto" w:fill="auto"/>
            <w:vAlign w:val="bottom"/>
          </w:tcPr>
          <w:p w14:paraId="01775655"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28" w:type="dxa"/>
            <w:tcBorders>
              <w:top w:val="nil"/>
              <w:left w:val="single" w:sz="8" w:space="0" w:color="E0E0E0"/>
              <w:bottom w:val="single" w:sz="8" w:space="0" w:color="152935"/>
              <w:right w:val="single" w:sz="8" w:space="0" w:color="E0E0E0"/>
            </w:tcBorders>
            <w:shd w:val="clear" w:color="auto" w:fill="auto"/>
            <w:vAlign w:val="bottom"/>
          </w:tcPr>
          <w:p w14:paraId="5A37BA91"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981" w:type="dxa"/>
            <w:tcBorders>
              <w:top w:val="nil"/>
              <w:left w:val="single" w:sz="8" w:space="0" w:color="E0E0E0"/>
              <w:bottom w:val="single" w:sz="8" w:space="0" w:color="152935"/>
              <w:right w:val="single" w:sz="8" w:space="0" w:color="E0E0E0"/>
            </w:tcBorders>
            <w:shd w:val="clear" w:color="auto" w:fill="auto"/>
            <w:vAlign w:val="bottom"/>
          </w:tcPr>
          <w:p w14:paraId="26FD35A7" w14:textId="7A60B27C" w:rsidR="006E3616" w:rsidRPr="00400193" w:rsidRDefault="00DD07A5"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p>
        </w:tc>
        <w:tc>
          <w:tcPr>
            <w:tcW w:w="981" w:type="dxa"/>
            <w:tcBorders>
              <w:top w:val="nil"/>
              <w:left w:val="single" w:sz="8" w:space="0" w:color="E0E0E0"/>
              <w:bottom w:val="single" w:sz="8" w:space="0" w:color="152935"/>
              <w:right w:val="single" w:sz="8" w:space="0" w:color="E0E0E0"/>
            </w:tcBorders>
            <w:shd w:val="clear" w:color="auto" w:fill="auto"/>
            <w:vAlign w:val="bottom"/>
          </w:tcPr>
          <w:p w14:paraId="5B0018F7"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RP</w:t>
            </w:r>
          </w:p>
        </w:tc>
        <w:tc>
          <w:tcPr>
            <w:tcW w:w="1175" w:type="dxa"/>
            <w:tcBorders>
              <w:top w:val="nil"/>
              <w:left w:val="single" w:sz="8" w:space="0" w:color="E0E0E0"/>
              <w:bottom w:val="single" w:sz="8" w:space="0" w:color="152935"/>
              <w:right w:val="nil"/>
            </w:tcBorders>
            <w:shd w:val="clear" w:color="auto" w:fill="auto"/>
            <w:vAlign w:val="bottom"/>
          </w:tcPr>
          <w:p w14:paraId="2DCA98A5" w14:textId="6CF7CC83" w:rsidR="006E3616" w:rsidRPr="00400193" w:rsidRDefault="00DD07A5"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r w:rsidR="006E3616" w:rsidRPr="00400193">
              <w:rPr>
                <w:rFonts w:asciiTheme="minorHAnsi" w:hAnsiTheme="minorHAnsi" w:cstheme="minorHAnsi"/>
                <w:sz w:val="20"/>
                <w:szCs w:val="20"/>
                <w:lang w:eastAsia="zh-CN" w:bidi="hi-IN"/>
              </w:rPr>
              <w:t>*RP</w:t>
            </w:r>
          </w:p>
        </w:tc>
      </w:tr>
      <w:tr w:rsidR="006E3616" w:rsidRPr="00400193" w14:paraId="3C3F0EE8" w14:textId="77777777" w:rsidTr="00CC65ED">
        <w:trPr>
          <w:cantSplit/>
          <w:trHeight w:val="283"/>
        </w:trPr>
        <w:tc>
          <w:tcPr>
            <w:tcW w:w="760" w:type="dxa"/>
            <w:vMerge w:val="restart"/>
            <w:tcBorders>
              <w:top w:val="single" w:sz="8" w:space="0" w:color="152935"/>
              <w:left w:val="nil"/>
              <w:bottom w:val="single" w:sz="8" w:space="0" w:color="152935"/>
              <w:right w:val="nil"/>
            </w:tcBorders>
            <w:shd w:val="clear" w:color="auto" w:fill="auto"/>
          </w:tcPr>
          <w:p w14:paraId="7585BC0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71" w:type="dxa"/>
            <w:tcBorders>
              <w:top w:val="single" w:sz="8" w:space="0" w:color="152935"/>
              <w:left w:val="nil"/>
              <w:bottom w:val="single" w:sz="8" w:space="0" w:color="AEAEAE"/>
              <w:right w:val="nil"/>
            </w:tcBorders>
            <w:shd w:val="clear" w:color="auto" w:fill="auto"/>
          </w:tcPr>
          <w:p w14:paraId="268B0FC4"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71" w:type="dxa"/>
            <w:tcBorders>
              <w:top w:val="single" w:sz="8" w:space="0" w:color="152935"/>
              <w:left w:val="nil"/>
              <w:bottom w:val="single" w:sz="8" w:space="0" w:color="AEAEAE"/>
              <w:right w:val="single" w:sz="8" w:space="0" w:color="E0E0E0"/>
            </w:tcBorders>
            <w:shd w:val="clear" w:color="auto" w:fill="auto"/>
          </w:tcPr>
          <w:p w14:paraId="3FE8A71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3.912</w:t>
            </w:r>
          </w:p>
        </w:tc>
        <w:tc>
          <w:tcPr>
            <w:tcW w:w="1406" w:type="dxa"/>
            <w:tcBorders>
              <w:top w:val="single" w:sz="8" w:space="0" w:color="152935"/>
              <w:left w:val="single" w:sz="8" w:space="0" w:color="E0E0E0"/>
              <w:bottom w:val="single" w:sz="8" w:space="0" w:color="AEAEAE"/>
              <w:right w:val="single" w:sz="8" w:space="0" w:color="E0E0E0"/>
            </w:tcBorders>
            <w:shd w:val="clear" w:color="auto" w:fill="auto"/>
          </w:tcPr>
          <w:p w14:paraId="5B5F3C34"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1.000</w:t>
            </w:r>
          </w:p>
        </w:tc>
        <w:tc>
          <w:tcPr>
            <w:tcW w:w="1128" w:type="dxa"/>
            <w:tcBorders>
              <w:top w:val="single" w:sz="8" w:space="0" w:color="152935"/>
              <w:left w:val="single" w:sz="8" w:space="0" w:color="E0E0E0"/>
              <w:bottom w:val="single" w:sz="8" w:space="0" w:color="AEAEAE"/>
              <w:right w:val="single" w:sz="8" w:space="0" w:color="E0E0E0"/>
            </w:tcBorders>
            <w:shd w:val="clear" w:color="auto" w:fill="auto"/>
          </w:tcPr>
          <w:p w14:paraId="6F9573B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81" w:type="dxa"/>
            <w:tcBorders>
              <w:top w:val="single" w:sz="8" w:space="0" w:color="152935"/>
              <w:left w:val="single" w:sz="8" w:space="0" w:color="E0E0E0"/>
              <w:bottom w:val="single" w:sz="8" w:space="0" w:color="AEAEAE"/>
              <w:right w:val="single" w:sz="8" w:space="0" w:color="E0E0E0"/>
            </w:tcBorders>
            <w:shd w:val="clear" w:color="auto" w:fill="auto"/>
          </w:tcPr>
          <w:p w14:paraId="5385826E"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81" w:type="dxa"/>
            <w:tcBorders>
              <w:top w:val="single" w:sz="8" w:space="0" w:color="152935"/>
              <w:left w:val="single" w:sz="8" w:space="0" w:color="E0E0E0"/>
              <w:bottom w:val="single" w:sz="8" w:space="0" w:color="AEAEAE"/>
              <w:right w:val="single" w:sz="8" w:space="0" w:color="E0E0E0"/>
            </w:tcBorders>
            <w:shd w:val="clear" w:color="auto" w:fill="auto"/>
          </w:tcPr>
          <w:p w14:paraId="43E9AA7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1175" w:type="dxa"/>
            <w:tcBorders>
              <w:top w:val="single" w:sz="8" w:space="0" w:color="152935"/>
              <w:left w:val="single" w:sz="8" w:space="0" w:color="E0E0E0"/>
              <w:bottom w:val="single" w:sz="8" w:space="0" w:color="AEAEAE"/>
              <w:right w:val="nil"/>
            </w:tcBorders>
            <w:shd w:val="clear" w:color="auto" w:fill="auto"/>
          </w:tcPr>
          <w:p w14:paraId="763DCF1A"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r>
      <w:tr w:rsidR="006E3616" w:rsidRPr="00400193" w14:paraId="73F0FDB9" w14:textId="77777777" w:rsidTr="00CC65ED">
        <w:trPr>
          <w:cantSplit/>
          <w:trHeight w:val="283"/>
        </w:trPr>
        <w:tc>
          <w:tcPr>
            <w:tcW w:w="760" w:type="dxa"/>
            <w:vMerge/>
            <w:tcBorders>
              <w:top w:val="single" w:sz="8" w:space="0" w:color="152935"/>
              <w:left w:val="nil"/>
              <w:bottom w:val="single" w:sz="8" w:space="0" w:color="152935"/>
              <w:right w:val="nil"/>
            </w:tcBorders>
            <w:shd w:val="clear" w:color="auto" w:fill="auto"/>
          </w:tcPr>
          <w:p w14:paraId="5A2BBADD"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71" w:type="dxa"/>
            <w:tcBorders>
              <w:top w:val="single" w:sz="8" w:space="0" w:color="AEAEAE"/>
              <w:left w:val="nil"/>
              <w:bottom w:val="single" w:sz="8" w:space="0" w:color="AEAEAE"/>
              <w:right w:val="nil"/>
            </w:tcBorders>
            <w:shd w:val="clear" w:color="auto" w:fill="auto"/>
          </w:tcPr>
          <w:p w14:paraId="5AAC8F4B"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1171" w:type="dxa"/>
            <w:tcBorders>
              <w:top w:val="single" w:sz="8" w:space="0" w:color="AEAEAE"/>
              <w:left w:val="nil"/>
              <w:bottom w:val="single" w:sz="8" w:space="0" w:color="AEAEAE"/>
              <w:right w:val="single" w:sz="8" w:space="0" w:color="E0E0E0"/>
            </w:tcBorders>
            <w:shd w:val="clear" w:color="auto" w:fill="auto"/>
          </w:tcPr>
          <w:p w14:paraId="29021660"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.060</w:t>
            </w:r>
          </w:p>
        </w:tc>
        <w:tc>
          <w:tcPr>
            <w:tcW w:w="1406" w:type="dxa"/>
            <w:tcBorders>
              <w:top w:val="single" w:sz="8" w:space="0" w:color="AEAEAE"/>
              <w:left w:val="single" w:sz="8" w:space="0" w:color="E0E0E0"/>
              <w:bottom w:val="single" w:sz="8" w:space="0" w:color="AEAEAE"/>
              <w:right w:val="single" w:sz="8" w:space="0" w:color="E0E0E0"/>
            </w:tcBorders>
            <w:shd w:val="clear" w:color="auto" w:fill="auto"/>
          </w:tcPr>
          <w:p w14:paraId="50212A74"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8.048</w:t>
            </w:r>
          </w:p>
        </w:tc>
        <w:tc>
          <w:tcPr>
            <w:tcW w:w="1128" w:type="dxa"/>
            <w:tcBorders>
              <w:top w:val="single" w:sz="8" w:space="0" w:color="AEAEAE"/>
              <w:left w:val="single" w:sz="8" w:space="0" w:color="E0E0E0"/>
              <w:bottom w:val="single" w:sz="8" w:space="0" w:color="AEAEAE"/>
              <w:right w:val="single" w:sz="8" w:space="0" w:color="E0E0E0"/>
            </w:tcBorders>
            <w:shd w:val="clear" w:color="auto" w:fill="auto"/>
          </w:tcPr>
          <w:p w14:paraId="23668C38"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c>
          <w:tcPr>
            <w:tcW w:w="981" w:type="dxa"/>
            <w:tcBorders>
              <w:top w:val="single" w:sz="8" w:space="0" w:color="AEAEAE"/>
              <w:left w:val="single" w:sz="8" w:space="0" w:color="E0E0E0"/>
              <w:bottom w:val="single" w:sz="8" w:space="0" w:color="AEAEAE"/>
              <w:right w:val="single" w:sz="8" w:space="0" w:color="E0E0E0"/>
            </w:tcBorders>
            <w:shd w:val="clear" w:color="auto" w:fill="auto"/>
          </w:tcPr>
          <w:p w14:paraId="301DFF4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81" w:type="dxa"/>
            <w:tcBorders>
              <w:top w:val="single" w:sz="8" w:space="0" w:color="AEAEAE"/>
              <w:left w:val="single" w:sz="8" w:space="0" w:color="E0E0E0"/>
              <w:bottom w:val="single" w:sz="8" w:space="0" w:color="AEAEAE"/>
              <w:right w:val="single" w:sz="8" w:space="0" w:color="E0E0E0"/>
            </w:tcBorders>
            <w:shd w:val="clear" w:color="auto" w:fill="auto"/>
          </w:tcPr>
          <w:p w14:paraId="09D75D2D"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1175" w:type="dxa"/>
            <w:tcBorders>
              <w:top w:val="single" w:sz="8" w:space="0" w:color="AEAEAE"/>
              <w:left w:val="single" w:sz="8" w:space="0" w:color="E0E0E0"/>
              <w:bottom w:val="single" w:sz="8" w:space="0" w:color="AEAEAE"/>
              <w:right w:val="nil"/>
            </w:tcBorders>
            <w:shd w:val="clear" w:color="auto" w:fill="auto"/>
          </w:tcPr>
          <w:p w14:paraId="261E5008"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r>
      <w:tr w:rsidR="006E3616" w:rsidRPr="00400193" w14:paraId="474C34F0" w14:textId="77777777" w:rsidTr="00CC65ED">
        <w:trPr>
          <w:cantSplit/>
          <w:trHeight w:val="283"/>
        </w:trPr>
        <w:tc>
          <w:tcPr>
            <w:tcW w:w="760" w:type="dxa"/>
            <w:vMerge/>
            <w:tcBorders>
              <w:top w:val="single" w:sz="8" w:space="0" w:color="152935"/>
              <w:left w:val="nil"/>
              <w:bottom w:val="single" w:sz="8" w:space="0" w:color="152935"/>
              <w:right w:val="nil"/>
            </w:tcBorders>
            <w:shd w:val="clear" w:color="auto" w:fill="auto"/>
          </w:tcPr>
          <w:p w14:paraId="7F429299"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71" w:type="dxa"/>
            <w:tcBorders>
              <w:top w:val="single" w:sz="8" w:space="0" w:color="AEAEAE"/>
              <w:left w:val="nil"/>
              <w:bottom w:val="single" w:sz="8" w:space="0" w:color="AEAEAE"/>
              <w:right w:val="nil"/>
            </w:tcBorders>
            <w:shd w:val="clear" w:color="auto" w:fill="auto"/>
          </w:tcPr>
          <w:p w14:paraId="37FEE31B"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1171" w:type="dxa"/>
            <w:tcBorders>
              <w:top w:val="single" w:sz="8" w:space="0" w:color="AEAEAE"/>
              <w:left w:val="nil"/>
              <w:bottom w:val="single" w:sz="8" w:space="0" w:color="AEAEAE"/>
              <w:right w:val="single" w:sz="8" w:space="0" w:color="E0E0E0"/>
            </w:tcBorders>
            <w:shd w:val="clear" w:color="auto" w:fill="auto"/>
          </w:tcPr>
          <w:p w14:paraId="485B4F76"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.027</w:t>
            </w:r>
          </w:p>
        </w:tc>
        <w:tc>
          <w:tcPr>
            <w:tcW w:w="1406" w:type="dxa"/>
            <w:tcBorders>
              <w:top w:val="single" w:sz="8" w:space="0" w:color="AEAEAE"/>
              <w:left w:val="single" w:sz="8" w:space="0" w:color="E0E0E0"/>
              <w:bottom w:val="single" w:sz="8" w:space="0" w:color="AEAEAE"/>
              <w:right w:val="single" w:sz="8" w:space="0" w:color="E0E0E0"/>
            </w:tcBorders>
            <w:shd w:val="clear" w:color="auto" w:fill="auto"/>
          </w:tcPr>
          <w:p w14:paraId="720434B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12.071</w:t>
            </w:r>
          </w:p>
        </w:tc>
        <w:tc>
          <w:tcPr>
            <w:tcW w:w="1128" w:type="dxa"/>
            <w:tcBorders>
              <w:top w:val="single" w:sz="8" w:space="0" w:color="AEAEAE"/>
              <w:left w:val="single" w:sz="8" w:space="0" w:color="E0E0E0"/>
              <w:bottom w:val="single" w:sz="8" w:space="0" w:color="AEAEAE"/>
              <w:right w:val="single" w:sz="8" w:space="0" w:color="E0E0E0"/>
            </w:tcBorders>
            <w:shd w:val="clear" w:color="auto" w:fill="auto"/>
          </w:tcPr>
          <w:p w14:paraId="26680C74"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981" w:type="dxa"/>
            <w:tcBorders>
              <w:top w:val="single" w:sz="8" w:space="0" w:color="AEAEAE"/>
              <w:left w:val="single" w:sz="8" w:space="0" w:color="E0E0E0"/>
              <w:bottom w:val="single" w:sz="8" w:space="0" w:color="AEAEAE"/>
              <w:right w:val="single" w:sz="8" w:space="0" w:color="E0E0E0"/>
            </w:tcBorders>
            <w:shd w:val="clear" w:color="auto" w:fill="auto"/>
          </w:tcPr>
          <w:p w14:paraId="00B2973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w:t>
            </w:r>
          </w:p>
        </w:tc>
        <w:tc>
          <w:tcPr>
            <w:tcW w:w="981" w:type="dxa"/>
            <w:tcBorders>
              <w:top w:val="single" w:sz="8" w:space="0" w:color="AEAEAE"/>
              <w:left w:val="single" w:sz="8" w:space="0" w:color="E0E0E0"/>
              <w:bottom w:val="single" w:sz="8" w:space="0" w:color="AEAEAE"/>
              <w:right w:val="single" w:sz="8" w:space="0" w:color="E0E0E0"/>
            </w:tcBorders>
            <w:shd w:val="clear" w:color="auto" w:fill="auto"/>
          </w:tcPr>
          <w:p w14:paraId="5E608B26"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.04</w:t>
            </w:r>
          </w:p>
        </w:tc>
        <w:tc>
          <w:tcPr>
            <w:tcW w:w="1175" w:type="dxa"/>
            <w:tcBorders>
              <w:top w:val="single" w:sz="8" w:space="0" w:color="AEAEAE"/>
              <w:left w:val="single" w:sz="8" w:space="0" w:color="E0E0E0"/>
              <w:bottom w:val="single" w:sz="8" w:space="0" w:color="AEAEAE"/>
              <w:right w:val="nil"/>
            </w:tcBorders>
            <w:shd w:val="clear" w:color="auto" w:fill="auto"/>
          </w:tcPr>
          <w:p w14:paraId="38C70D0B"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r>
      <w:tr w:rsidR="006E3616" w:rsidRPr="00400193" w14:paraId="35C273D1" w14:textId="77777777" w:rsidTr="00CC65ED">
        <w:trPr>
          <w:cantSplit/>
          <w:trHeight w:val="283"/>
        </w:trPr>
        <w:tc>
          <w:tcPr>
            <w:tcW w:w="760" w:type="dxa"/>
            <w:vMerge/>
            <w:tcBorders>
              <w:top w:val="single" w:sz="8" w:space="0" w:color="152935"/>
              <w:left w:val="nil"/>
              <w:bottom w:val="single" w:sz="8" w:space="0" w:color="152935"/>
              <w:right w:val="nil"/>
            </w:tcBorders>
            <w:shd w:val="clear" w:color="auto" w:fill="auto"/>
          </w:tcPr>
          <w:p w14:paraId="5197C223" w14:textId="77777777" w:rsidR="006E3616" w:rsidRPr="00400193" w:rsidRDefault="006E3616" w:rsidP="003B5486">
            <w:pPr>
              <w:spacing w:after="0" w:line="240" w:lineRule="auto"/>
              <w:rPr>
                <w:rFonts w:asciiTheme="minorHAnsi" w:hAnsiTheme="minorHAnsi" w:cstheme="minorHAnsi"/>
                <w:sz w:val="20"/>
                <w:szCs w:val="20"/>
                <w:lang w:eastAsia="zh-CN" w:bidi="hi-IN"/>
              </w:rPr>
            </w:pPr>
          </w:p>
        </w:tc>
        <w:tc>
          <w:tcPr>
            <w:tcW w:w="1171" w:type="dxa"/>
            <w:tcBorders>
              <w:top w:val="single" w:sz="8" w:space="0" w:color="AEAEAE"/>
              <w:left w:val="nil"/>
              <w:bottom w:val="single" w:sz="8" w:space="0" w:color="152935"/>
              <w:right w:val="nil"/>
            </w:tcBorders>
            <w:shd w:val="clear" w:color="auto" w:fill="auto"/>
          </w:tcPr>
          <w:p w14:paraId="45FFA895"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1171" w:type="dxa"/>
            <w:tcBorders>
              <w:top w:val="single" w:sz="8" w:space="0" w:color="AEAEAE"/>
              <w:left w:val="nil"/>
              <w:bottom w:val="single" w:sz="8" w:space="0" w:color="152935"/>
              <w:right w:val="single" w:sz="8" w:space="0" w:color="E0E0E0"/>
            </w:tcBorders>
            <w:shd w:val="clear" w:color="auto" w:fill="auto"/>
          </w:tcPr>
          <w:p w14:paraId="7BF33D3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.001</w:t>
            </w:r>
          </w:p>
        </w:tc>
        <w:tc>
          <w:tcPr>
            <w:tcW w:w="1406" w:type="dxa"/>
            <w:tcBorders>
              <w:top w:val="single" w:sz="8" w:space="0" w:color="AEAEAE"/>
              <w:left w:val="single" w:sz="8" w:space="0" w:color="E0E0E0"/>
              <w:bottom w:val="single" w:sz="8" w:space="0" w:color="152935"/>
              <w:right w:val="single" w:sz="8" w:space="0" w:color="E0E0E0"/>
            </w:tcBorders>
            <w:shd w:val="clear" w:color="auto" w:fill="auto"/>
          </w:tcPr>
          <w:p w14:paraId="3D811039"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78.249</w:t>
            </w:r>
          </w:p>
        </w:tc>
        <w:tc>
          <w:tcPr>
            <w:tcW w:w="1128" w:type="dxa"/>
            <w:tcBorders>
              <w:top w:val="single" w:sz="8" w:space="0" w:color="AEAEAE"/>
              <w:left w:val="single" w:sz="8" w:space="0" w:color="E0E0E0"/>
              <w:bottom w:val="single" w:sz="8" w:space="0" w:color="152935"/>
              <w:right w:val="single" w:sz="8" w:space="0" w:color="E0E0E0"/>
            </w:tcBorders>
            <w:shd w:val="clear" w:color="auto" w:fill="auto"/>
          </w:tcPr>
          <w:p w14:paraId="1B582410"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.97</w:t>
            </w:r>
          </w:p>
        </w:tc>
        <w:tc>
          <w:tcPr>
            <w:tcW w:w="981" w:type="dxa"/>
            <w:tcBorders>
              <w:top w:val="single" w:sz="8" w:space="0" w:color="AEAEAE"/>
              <w:left w:val="single" w:sz="8" w:space="0" w:color="E0E0E0"/>
              <w:bottom w:val="single" w:sz="8" w:space="0" w:color="152935"/>
              <w:right w:val="single" w:sz="8" w:space="0" w:color="E0E0E0"/>
            </w:tcBorders>
            <w:shd w:val="clear" w:color="auto" w:fill="auto"/>
          </w:tcPr>
          <w:p w14:paraId="1F6C4CFC"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.96</w:t>
            </w:r>
          </w:p>
        </w:tc>
        <w:tc>
          <w:tcPr>
            <w:tcW w:w="981" w:type="dxa"/>
            <w:tcBorders>
              <w:top w:val="single" w:sz="8" w:space="0" w:color="AEAEAE"/>
              <w:left w:val="single" w:sz="8" w:space="0" w:color="E0E0E0"/>
              <w:bottom w:val="single" w:sz="8" w:space="0" w:color="152935"/>
              <w:right w:val="single" w:sz="8" w:space="0" w:color="E0E0E0"/>
            </w:tcBorders>
            <w:shd w:val="clear" w:color="auto" w:fill="auto"/>
          </w:tcPr>
          <w:p w14:paraId="18D22ADA"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.95</w:t>
            </w:r>
          </w:p>
        </w:tc>
        <w:tc>
          <w:tcPr>
            <w:tcW w:w="1175" w:type="dxa"/>
            <w:tcBorders>
              <w:top w:val="single" w:sz="8" w:space="0" w:color="AEAEAE"/>
              <w:left w:val="single" w:sz="8" w:space="0" w:color="E0E0E0"/>
              <w:bottom w:val="single" w:sz="8" w:space="0" w:color="152935"/>
              <w:right w:val="nil"/>
            </w:tcBorders>
            <w:shd w:val="clear" w:color="auto" w:fill="auto"/>
          </w:tcPr>
          <w:p w14:paraId="51C2B5BA" w14:textId="77777777" w:rsidR="006E3616" w:rsidRPr="00400193" w:rsidRDefault="006E3616" w:rsidP="003B5486">
            <w:pPr>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.97</w:t>
            </w:r>
          </w:p>
        </w:tc>
      </w:tr>
      <w:tr w:rsidR="006E3616" w:rsidRPr="00400193" w14:paraId="1908C7F1" w14:textId="77777777" w:rsidTr="00CC65ED">
        <w:trPr>
          <w:cantSplit/>
          <w:trHeight w:val="283"/>
        </w:trPr>
        <w:tc>
          <w:tcPr>
            <w:tcW w:w="8773" w:type="dxa"/>
            <w:gridSpan w:val="8"/>
            <w:tcBorders>
              <w:top w:val="nil"/>
              <w:left w:val="nil"/>
              <w:bottom w:val="nil"/>
              <w:right w:val="nil"/>
            </w:tcBorders>
            <w:shd w:val="clear" w:color="auto" w:fill="auto"/>
          </w:tcPr>
          <w:p w14:paraId="7FE1EB32" w14:textId="77777777" w:rsidR="006E3616" w:rsidRPr="00400193" w:rsidRDefault="006E3616" w:rsidP="003B5486">
            <w:pPr>
              <w:keepNext/>
              <w:spacing w:after="0" w:line="240" w:lineRule="auto"/>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00EB15E3" w14:textId="7DE7BE7B" w:rsidR="006E3616" w:rsidRPr="00400193" w:rsidRDefault="006E3616" w:rsidP="006E3616">
      <w:pPr>
        <w:pStyle w:val="Caption"/>
        <w:spacing w:after="240"/>
      </w:pPr>
      <w:bookmarkStart w:id="760" w:name="_Ref51589619"/>
      <w:bookmarkStart w:id="761" w:name="_Toc5290164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98</w:t>
      </w:r>
      <w:r w:rsidRPr="00400193">
        <w:fldChar w:fldCharType="end"/>
      </w:r>
      <w:bookmarkEnd w:id="760"/>
      <w:r w:rsidRPr="00400193">
        <w:t>: Testing the collinearity between variables for VW</w:t>
      </w:r>
      <w:bookmarkEnd w:id="761"/>
    </w:p>
    <w:p w14:paraId="55B354D2" w14:textId="2A185C2C" w:rsidR="006E3616" w:rsidRPr="00400193" w:rsidRDefault="00F319CB" w:rsidP="006E3616">
      <w:pPr>
        <w:rPr>
          <w:lang w:eastAsia="zh-CN" w:bidi="hi-IN"/>
        </w:rPr>
      </w:pPr>
      <w:r w:rsidRPr="00400193">
        <w:rPr>
          <w:lang w:eastAsia="zh-CN" w:bidi="hi-IN"/>
        </w:rPr>
        <w:fldChar w:fldCharType="begin"/>
      </w:r>
      <w:r w:rsidRPr="00400193">
        <w:rPr>
          <w:lang w:eastAsia="zh-CN" w:bidi="hi-IN"/>
        </w:rPr>
        <w:instrText xml:space="preserve"> REF _Ref51589619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98</w:t>
      </w:r>
      <w:r w:rsidRPr="00400193">
        <w:rPr>
          <w:lang w:eastAsia="zh-CN" w:bidi="hi-IN"/>
        </w:rPr>
        <w:fldChar w:fldCharType="end"/>
      </w:r>
      <w:r w:rsidR="006E3616" w:rsidRPr="00400193">
        <w:rPr>
          <w:lang w:eastAsia="zh-CN" w:bidi="hi-IN"/>
        </w:rPr>
        <w:t xml:space="preserve"> shows that the condition index for all but two variables was less than 10. One dimension had a condition index greater than 10 and less than 30, indicating moderate collinearity, and one had a condition index greater than 30, indicating high collinearity.</w:t>
      </w:r>
    </w:p>
    <w:p w14:paraId="694018BE" w14:textId="77777777" w:rsidR="00222C2E" w:rsidRPr="00400193" w:rsidRDefault="00222C2E" w:rsidP="006E3616">
      <w:pPr>
        <w:rPr>
          <w:lang w:eastAsia="zh-CN" w:bidi="hi-IN"/>
        </w:rPr>
      </w:pPr>
    </w:p>
    <w:p w14:paraId="5BC9CE56" w14:textId="77777777" w:rsidR="006E3616" w:rsidRPr="00400193" w:rsidRDefault="006E3616" w:rsidP="003C3496">
      <w:pPr>
        <w:pStyle w:val="Heading4"/>
        <w:rPr>
          <w:lang w:eastAsia="zh-CN" w:bidi="hi-IN"/>
        </w:rPr>
      </w:pPr>
      <w:bookmarkStart w:id="762" w:name="_Toc61894793"/>
      <w:r w:rsidRPr="00400193">
        <w:rPr>
          <w:lang w:eastAsia="zh-CN" w:bidi="hi-IN"/>
        </w:rPr>
        <w:t>Examining Residuals using Scatter Plots</w:t>
      </w:r>
      <w:bookmarkEnd w:id="762"/>
      <w:r w:rsidRPr="00400193">
        <w:rPr>
          <w:lang w:eastAsia="zh-CN" w:bidi="hi-IN"/>
        </w:rPr>
        <w:t xml:space="preserve"> </w:t>
      </w:r>
    </w:p>
    <w:p w14:paraId="67FD9A92" w14:textId="47F2AD41"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CC65ED" w:rsidRPr="00400193">
        <w:rPr>
          <w:lang w:eastAsia="zh-CN" w:bidi="hi-IN"/>
        </w:rPr>
        <w:fldChar w:fldCharType="begin"/>
      </w:r>
      <w:r w:rsidR="00CC65ED" w:rsidRPr="00400193">
        <w:rPr>
          <w:lang w:eastAsia="zh-CN" w:bidi="hi-IN"/>
        </w:rPr>
        <w:instrText xml:space="preserve"> REF _Ref51589746 \h </w:instrText>
      </w:r>
      <w:r w:rsidR="00CC65ED" w:rsidRPr="00400193">
        <w:rPr>
          <w:lang w:eastAsia="zh-CN" w:bidi="hi-IN"/>
        </w:rPr>
      </w:r>
      <w:r w:rsidR="00CC65ED"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99</w:t>
      </w:r>
      <w:r w:rsidR="00CC65ED" w:rsidRPr="00400193">
        <w:rPr>
          <w:lang w:eastAsia="zh-CN" w:bidi="hi-IN"/>
        </w:rPr>
        <w:fldChar w:fldCharType="end"/>
      </w:r>
      <w:r w:rsidRPr="00400193">
        <w:rPr>
          <w:lang w:eastAsia="zh-CN" w:bidi="hi-IN"/>
        </w:rPr>
        <w:t xml:space="preserve">. The results check the residual mean is zero. </w:t>
      </w:r>
      <w:r w:rsidR="00B4676D" w:rsidRPr="00400193">
        <w:rPr>
          <w:lang w:eastAsia="zh-CN" w:bidi="hi-IN"/>
        </w:rPr>
        <w:fldChar w:fldCharType="begin"/>
      </w:r>
      <w:r w:rsidR="00B4676D" w:rsidRPr="00400193">
        <w:rPr>
          <w:lang w:eastAsia="zh-CN" w:bidi="hi-IN"/>
        </w:rPr>
        <w:instrText xml:space="preserve"> REF _Ref51339124 \h </w:instrText>
      </w:r>
      <w:r w:rsidR="00B4676D" w:rsidRPr="00400193">
        <w:rPr>
          <w:lang w:eastAsia="zh-CN" w:bidi="hi-IN"/>
        </w:rPr>
      </w:r>
      <w:r w:rsidR="00B4676D"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39</w:t>
      </w:r>
      <w:r w:rsidR="00B4676D" w:rsidRPr="00400193">
        <w:rPr>
          <w:lang w:eastAsia="zh-CN" w:bidi="hi-IN"/>
        </w:rPr>
        <w:fldChar w:fldCharType="end"/>
      </w:r>
      <w:r w:rsidR="00B4676D" w:rsidRPr="00400193">
        <w:rPr>
          <w:lang w:eastAsia="zh-CN" w:bidi="hi-IN"/>
        </w:rPr>
        <w:t xml:space="preserve">, </w:t>
      </w:r>
      <w:r w:rsidR="00B4676D" w:rsidRPr="00400193">
        <w:rPr>
          <w:lang w:eastAsia="zh-CN" w:bidi="hi-IN"/>
        </w:rPr>
        <w:fldChar w:fldCharType="begin"/>
      </w:r>
      <w:r w:rsidR="00B4676D" w:rsidRPr="00400193">
        <w:rPr>
          <w:lang w:eastAsia="zh-CN" w:bidi="hi-IN"/>
        </w:rPr>
        <w:instrText xml:space="preserve"> REF _Ref51339129 \h </w:instrText>
      </w:r>
      <w:r w:rsidR="00B4676D" w:rsidRPr="00400193">
        <w:rPr>
          <w:lang w:eastAsia="zh-CN" w:bidi="hi-IN"/>
        </w:rPr>
      </w:r>
      <w:r w:rsidR="00B4676D"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40</w:t>
      </w:r>
      <w:r w:rsidR="00B4676D" w:rsidRPr="00400193">
        <w:rPr>
          <w:lang w:eastAsia="zh-CN" w:bidi="hi-IN"/>
        </w:rPr>
        <w:fldChar w:fldCharType="end"/>
      </w:r>
      <w:r w:rsidR="00B4676D" w:rsidRPr="00400193">
        <w:rPr>
          <w:lang w:eastAsia="zh-CN" w:bidi="hi-IN"/>
        </w:rPr>
        <w:t xml:space="preserve">, and </w:t>
      </w:r>
      <w:r w:rsidR="00B4676D" w:rsidRPr="00400193">
        <w:rPr>
          <w:lang w:eastAsia="zh-CN" w:bidi="hi-IN"/>
        </w:rPr>
        <w:fldChar w:fldCharType="begin"/>
      </w:r>
      <w:r w:rsidR="00B4676D" w:rsidRPr="00400193">
        <w:rPr>
          <w:lang w:eastAsia="zh-CN" w:bidi="hi-IN"/>
        </w:rPr>
        <w:instrText xml:space="preserve"> REF _Ref51339135 \h </w:instrText>
      </w:r>
      <w:r w:rsidR="00B4676D" w:rsidRPr="00400193">
        <w:rPr>
          <w:lang w:eastAsia="zh-CN" w:bidi="hi-IN"/>
        </w:rPr>
      </w:r>
      <w:r w:rsidR="00B4676D"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41</w:t>
      </w:r>
      <w:r w:rsidR="00B4676D" w:rsidRPr="00400193">
        <w:rPr>
          <w:lang w:eastAsia="zh-CN" w:bidi="hi-IN"/>
        </w:rPr>
        <w:fldChar w:fldCharType="end"/>
      </w:r>
      <w:r w:rsidRPr="00400193">
        <w:rPr>
          <w:lang w:eastAsia="zh-CN" w:bidi="hi-IN"/>
        </w:rPr>
        <w:t xml:space="preserve"> show that there is no pattern of behaviour of the residuals with respect to Y. This means that the assumption of error term independence is not violated.</w:t>
      </w:r>
    </w:p>
    <w:p w14:paraId="79F71FFA" w14:textId="77777777" w:rsidR="00222C2E" w:rsidRPr="00400193" w:rsidRDefault="00222C2E" w:rsidP="006E3616">
      <w:pPr>
        <w:rPr>
          <w:lang w:eastAsia="zh-CN" w:bidi="hi-IN"/>
        </w:rPr>
      </w:pPr>
    </w:p>
    <w:tbl>
      <w:tblPr>
        <w:tblW w:w="89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21"/>
        <w:gridCol w:w="1040"/>
        <w:gridCol w:w="1070"/>
        <w:gridCol w:w="996"/>
        <w:gridCol w:w="1398"/>
        <w:gridCol w:w="2484"/>
      </w:tblGrid>
      <w:tr w:rsidR="006E3616" w:rsidRPr="00400193" w14:paraId="6AAFE66D" w14:textId="77777777" w:rsidTr="00CC65ED">
        <w:trPr>
          <w:cantSplit/>
          <w:trHeight w:val="283"/>
        </w:trPr>
        <w:tc>
          <w:tcPr>
            <w:tcW w:w="8909" w:type="dxa"/>
            <w:gridSpan w:val="6"/>
            <w:tcBorders>
              <w:top w:val="nil"/>
              <w:left w:val="nil"/>
              <w:bottom w:val="nil"/>
              <w:right w:val="nil"/>
            </w:tcBorders>
            <w:shd w:val="clear" w:color="auto" w:fill="auto"/>
            <w:vAlign w:val="center"/>
          </w:tcPr>
          <w:p w14:paraId="071FD15F" w14:textId="77777777" w:rsidR="006E3616" w:rsidRPr="00400193" w:rsidRDefault="006E3616" w:rsidP="003B5486">
            <w:pPr>
              <w:spacing w:after="0" w:line="240" w:lineRule="auto"/>
              <w:rPr>
                <w:sz w:val="20"/>
                <w:szCs w:val="18"/>
                <w:lang w:eastAsia="zh-CN" w:bidi="hi-IN"/>
              </w:rPr>
            </w:pPr>
            <w:r w:rsidRPr="00400193">
              <w:rPr>
                <w:b/>
                <w:bCs/>
                <w:sz w:val="20"/>
                <w:szCs w:val="18"/>
                <w:lang w:eastAsia="zh-CN" w:bidi="hi-IN"/>
              </w:rPr>
              <w:t xml:space="preserve">Residual Statistics </w:t>
            </w:r>
            <w:r w:rsidRPr="00400193">
              <w:rPr>
                <w:b/>
                <w:bCs/>
                <w:sz w:val="20"/>
                <w:szCs w:val="18"/>
                <w:vertAlign w:val="superscript"/>
                <w:lang w:eastAsia="zh-CN" w:bidi="hi-IN"/>
              </w:rPr>
              <w:t>a</w:t>
            </w:r>
          </w:p>
        </w:tc>
      </w:tr>
      <w:tr w:rsidR="006E3616" w:rsidRPr="00400193" w14:paraId="37F4289F" w14:textId="77777777" w:rsidTr="00CC65ED">
        <w:trPr>
          <w:cantSplit/>
          <w:trHeight w:val="283"/>
        </w:trPr>
        <w:tc>
          <w:tcPr>
            <w:tcW w:w="1921" w:type="dxa"/>
            <w:tcBorders>
              <w:top w:val="nil"/>
              <w:left w:val="nil"/>
              <w:bottom w:val="single" w:sz="8" w:space="0" w:color="152935"/>
              <w:right w:val="nil"/>
            </w:tcBorders>
            <w:shd w:val="clear" w:color="auto" w:fill="auto"/>
            <w:vAlign w:val="bottom"/>
          </w:tcPr>
          <w:p w14:paraId="7927D749" w14:textId="77777777" w:rsidR="006E3616" w:rsidRPr="00400193" w:rsidRDefault="006E3616" w:rsidP="003B5486">
            <w:pPr>
              <w:spacing w:after="0" w:line="240" w:lineRule="auto"/>
              <w:rPr>
                <w:sz w:val="20"/>
                <w:szCs w:val="18"/>
                <w:lang w:eastAsia="zh-CN" w:bidi="hi-IN"/>
              </w:rPr>
            </w:pPr>
          </w:p>
        </w:tc>
        <w:tc>
          <w:tcPr>
            <w:tcW w:w="1040" w:type="dxa"/>
            <w:tcBorders>
              <w:top w:val="nil"/>
              <w:left w:val="nil"/>
              <w:bottom w:val="single" w:sz="8" w:space="0" w:color="152935"/>
              <w:right w:val="single" w:sz="8" w:space="0" w:color="E0E0E0"/>
            </w:tcBorders>
            <w:shd w:val="clear" w:color="auto" w:fill="auto"/>
            <w:vAlign w:val="bottom"/>
          </w:tcPr>
          <w:p w14:paraId="087AF6BF"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Minimum</w:t>
            </w:r>
          </w:p>
        </w:tc>
        <w:tc>
          <w:tcPr>
            <w:tcW w:w="1070" w:type="dxa"/>
            <w:tcBorders>
              <w:top w:val="nil"/>
              <w:left w:val="single" w:sz="8" w:space="0" w:color="E0E0E0"/>
              <w:bottom w:val="single" w:sz="8" w:space="0" w:color="152935"/>
              <w:right w:val="single" w:sz="8" w:space="0" w:color="E0E0E0"/>
            </w:tcBorders>
            <w:shd w:val="clear" w:color="auto" w:fill="auto"/>
            <w:vAlign w:val="bottom"/>
          </w:tcPr>
          <w:p w14:paraId="7058AE2A"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Maximum</w:t>
            </w:r>
          </w:p>
        </w:tc>
        <w:tc>
          <w:tcPr>
            <w:tcW w:w="996" w:type="dxa"/>
            <w:tcBorders>
              <w:top w:val="nil"/>
              <w:left w:val="single" w:sz="8" w:space="0" w:color="E0E0E0"/>
              <w:bottom w:val="single" w:sz="8" w:space="0" w:color="152935"/>
              <w:right w:val="single" w:sz="8" w:space="0" w:color="E0E0E0"/>
            </w:tcBorders>
            <w:shd w:val="clear" w:color="auto" w:fill="auto"/>
            <w:vAlign w:val="bottom"/>
          </w:tcPr>
          <w:p w14:paraId="151E649E"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Mean</w:t>
            </w:r>
          </w:p>
        </w:tc>
        <w:tc>
          <w:tcPr>
            <w:tcW w:w="1398" w:type="dxa"/>
            <w:tcBorders>
              <w:top w:val="nil"/>
              <w:left w:val="single" w:sz="8" w:space="0" w:color="E0E0E0"/>
              <w:bottom w:val="single" w:sz="8" w:space="0" w:color="152935"/>
              <w:right w:val="single" w:sz="8" w:space="0" w:color="E0E0E0"/>
            </w:tcBorders>
            <w:shd w:val="clear" w:color="auto" w:fill="auto"/>
            <w:vAlign w:val="bottom"/>
          </w:tcPr>
          <w:p w14:paraId="4A06AF7B"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Std. Deviation</w:t>
            </w:r>
          </w:p>
        </w:tc>
        <w:tc>
          <w:tcPr>
            <w:tcW w:w="2484" w:type="dxa"/>
            <w:tcBorders>
              <w:top w:val="nil"/>
              <w:left w:val="single" w:sz="8" w:space="0" w:color="E0E0E0"/>
              <w:bottom w:val="single" w:sz="8" w:space="0" w:color="152935"/>
              <w:right w:val="nil"/>
            </w:tcBorders>
            <w:shd w:val="clear" w:color="auto" w:fill="auto"/>
            <w:vAlign w:val="bottom"/>
          </w:tcPr>
          <w:p w14:paraId="7D86D05B"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N</w:t>
            </w:r>
          </w:p>
        </w:tc>
      </w:tr>
      <w:tr w:rsidR="006E3616" w:rsidRPr="00400193" w14:paraId="04F9342F" w14:textId="77777777" w:rsidTr="00CC65ED">
        <w:trPr>
          <w:cantSplit/>
          <w:trHeight w:val="283"/>
        </w:trPr>
        <w:tc>
          <w:tcPr>
            <w:tcW w:w="1921" w:type="dxa"/>
            <w:tcBorders>
              <w:top w:val="single" w:sz="8" w:space="0" w:color="152935"/>
              <w:left w:val="nil"/>
              <w:bottom w:val="single" w:sz="8" w:space="0" w:color="AEAEAE"/>
              <w:right w:val="nil"/>
            </w:tcBorders>
            <w:shd w:val="clear" w:color="auto" w:fill="auto"/>
          </w:tcPr>
          <w:p w14:paraId="2CC73574"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Predicted Value</w:t>
            </w:r>
          </w:p>
        </w:tc>
        <w:tc>
          <w:tcPr>
            <w:tcW w:w="1040" w:type="dxa"/>
            <w:tcBorders>
              <w:top w:val="single" w:sz="8" w:space="0" w:color="152935"/>
              <w:left w:val="nil"/>
              <w:bottom w:val="single" w:sz="8" w:space="0" w:color="AEAEAE"/>
              <w:right w:val="single" w:sz="8" w:space="0" w:color="E0E0E0"/>
            </w:tcBorders>
            <w:shd w:val="clear" w:color="auto" w:fill="auto"/>
          </w:tcPr>
          <w:p w14:paraId="715A66E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2.2153</w:t>
            </w:r>
          </w:p>
        </w:tc>
        <w:tc>
          <w:tcPr>
            <w:tcW w:w="1070" w:type="dxa"/>
            <w:tcBorders>
              <w:top w:val="single" w:sz="8" w:space="0" w:color="152935"/>
              <w:left w:val="single" w:sz="8" w:space="0" w:color="E0E0E0"/>
              <w:bottom w:val="single" w:sz="8" w:space="0" w:color="AEAEAE"/>
              <w:right w:val="single" w:sz="8" w:space="0" w:color="E0E0E0"/>
            </w:tcBorders>
            <w:shd w:val="clear" w:color="auto" w:fill="auto"/>
          </w:tcPr>
          <w:p w14:paraId="34298102"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4.2754</w:t>
            </w:r>
          </w:p>
        </w:tc>
        <w:tc>
          <w:tcPr>
            <w:tcW w:w="996" w:type="dxa"/>
            <w:tcBorders>
              <w:top w:val="single" w:sz="8" w:space="0" w:color="152935"/>
              <w:left w:val="single" w:sz="8" w:space="0" w:color="E0E0E0"/>
              <w:bottom w:val="single" w:sz="8" w:space="0" w:color="AEAEAE"/>
              <w:right w:val="single" w:sz="8" w:space="0" w:color="E0E0E0"/>
            </w:tcBorders>
            <w:shd w:val="clear" w:color="auto" w:fill="auto"/>
          </w:tcPr>
          <w:p w14:paraId="3746F747"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3.2024</w:t>
            </w:r>
          </w:p>
        </w:tc>
        <w:tc>
          <w:tcPr>
            <w:tcW w:w="1398" w:type="dxa"/>
            <w:tcBorders>
              <w:top w:val="single" w:sz="8" w:space="0" w:color="152935"/>
              <w:left w:val="single" w:sz="8" w:space="0" w:color="E0E0E0"/>
              <w:bottom w:val="single" w:sz="8" w:space="0" w:color="AEAEAE"/>
              <w:right w:val="single" w:sz="8" w:space="0" w:color="E0E0E0"/>
            </w:tcBorders>
            <w:shd w:val="clear" w:color="auto" w:fill="auto"/>
          </w:tcPr>
          <w:p w14:paraId="3889388F"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.41235</w:t>
            </w:r>
          </w:p>
        </w:tc>
        <w:tc>
          <w:tcPr>
            <w:tcW w:w="2484" w:type="dxa"/>
            <w:tcBorders>
              <w:top w:val="single" w:sz="8" w:space="0" w:color="152935"/>
              <w:left w:val="single" w:sz="8" w:space="0" w:color="E0E0E0"/>
              <w:bottom w:val="single" w:sz="8" w:space="0" w:color="AEAEAE"/>
              <w:right w:val="nil"/>
            </w:tcBorders>
            <w:shd w:val="clear" w:color="auto" w:fill="auto"/>
          </w:tcPr>
          <w:p w14:paraId="034B90A8"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104</w:t>
            </w:r>
          </w:p>
        </w:tc>
      </w:tr>
      <w:tr w:rsidR="006E3616" w:rsidRPr="00400193" w14:paraId="20728274" w14:textId="77777777" w:rsidTr="00CC65ED">
        <w:trPr>
          <w:cantSplit/>
          <w:trHeight w:val="283"/>
        </w:trPr>
        <w:tc>
          <w:tcPr>
            <w:tcW w:w="1921" w:type="dxa"/>
            <w:tcBorders>
              <w:top w:val="single" w:sz="8" w:space="0" w:color="AEAEAE"/>
              <w:left w:val="nil"/>
              <w:bottom w:val="single" w:sz="8" w:space="0" w:color="AEAEAE"/>
              <w:right w:val="nil"/>
            </w:tcBorders>
            <w:shd w:val="clear" w:color="auto" w:fill="auto"/>
          </w:tcPr>
          <w:p w14:paraId="6753969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Residual</w:t>
            </w:r>
          </w:p>
        </w:tc>
        <w:tc>
          <w:tcPr>
            <w:tcW w:w="1040" w:type="dxa"/>
            <w:tcBorders>
              <w:top w:val="single" w:sz="8" w:space="0" w:color="AEAEAE"/>
              <w:left w:val="nil"/>
              <w:bottom w:val="single" w:sz="8" w:space="0" w:color="AEAEAE"/>
              <w:right w:val="single" w:sz="8" w:space="0" w:color="E0E0E0"/>
            </w:tcBorders>
            <w:shd w:val="clear" w:color="auto" w:fill="auto"/>
          </w:tcPr>
          <w:p w14:paraId="0CC3F89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−1.43580</w:t>
            </w:r>
          </w:p>
        </w:tc>
        <w:tc>
          <w:tcPr>
            <w:tcW w:w="1070" w:type="dxa"/>
            <w:tcBorders>
              <w:top w:val="single" w:sz="8" w:space="0" w:color="AEAEAE"/>
              <w:left w:val="single" w:sz="8" w:space="0" w:color="E0E0E0"/>
              <w:bottom w:val="single" w:sz="8" w:space="0" w:color="AEAEAE"/>
              <w:right w:val="single" w:sz="8" w:space="0" w:color="E0E0E0"/>
            </w:tcBorders>
            <w:shd w:val="clear" w:color="auto" w:fill="auto"/>
          </w:tcPr>
          <w:p w14:paraId="5524345C"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1.18048</w:t>
            </w:r>
          </w:p>
        </w:tc>
        <w:tc>
          <w:tcPr>
            <w:tcW w:w="996" w:type="dxa"/>
            <w:tcBorders>
              <w:top w:val="single" w:sz="8" w:space="0" w:color="AEAEAE"/>
              <w:left w:val="single" w:sz="8" w:space="0" w:color="E0E0E0"/>
              <w:bottom w:val="single" w:sz="8" w:space="0" w:color="AEAEAE"/>
              <w:right w:val="single" w:sz="8" w:space="0" w:color="E0E0E0"/>
            </w:tcBorders>
            <w:shd w:val="clear" w:color="auto" w:fill="auto"/>
          </w:tcPr>
          <w:p w14:paraId="68F98B28"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.00000</w:t>
            </w:r>
          </w:p>
        </w:tc>
        <w:tc>
          <w:tcPr>
            <w:tcW w:w="1398" w:type="dxa"/>
            <w:tcBorders>
              <w:top w:val="single" w:sz="8" w:space="0" w:color="AEAEAE"/>
              <w:left w:val="single" w:sz="8" w:space="0" w:color="E0E0E0"/>
              <w:bottom w:val="single" w:sz="8" w:space="0" w:color="AEAEAE"/>
              <w:right w:val="single" w:sz="8" w:space="0" w:color="E0E0E0"/>
            </w:tcBorders>
            <w:shd w:val="clear" w:color="auto" w:fill="auto"/>
          </w:tcPr>
          <w:p w14:paraId="485C6049"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.42727</w:t>
            </w:r>
          </w:p>
        </w:tc>
        <w:tc>
          <w:tcPr>
            <w:tcW w:w="2484" w:type="dxa"/>
            <w:tcBorders>
              <w:top w:val="single" w:sz="8" w:space="0" w:color="AEAEAE"/>
              <w:left w:val="single" w:sz="8" w:space="0" w:color="E0E0E0"/>
              <w:bottom w:val="single" w:sz="8" w:space="0" w:color="AEAEAE"/>
              <w:right w:val="nil"/>
            </w:tcBorders>
            <w:shd w:val="clear" w:color="auto" w:fill="auto"/>
          </w:tcPr>
          <w:p w14:paraId="1AE6B9CC"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104</w:t>
            </w:r>
          </w:p>
        </w:tc>
      </w:tr>
      <w:tr w:rsidR="006E3616" w:rsidRPr="00400193" w14:paraId="74E2C2D6" w14:textId="77777777" w:rsidTr="00CC65ED">
        <w:trPr>
          <w:cantSplit/>
          <w:trHeight w:val="283"/>
        </w:trPr>
        <w:tc>
          <w:tcPr>
            <w:tcW w:w="1921" w:type="dxa"/>
            <w:tcBorders>
              <w:top w:val="single" w:sz="8" w:space="0" w:color="AEAEAE"/>
              <w:left w:val="nil"/>
              <w:bottom w:val="single" w:sz="8" w:space="0" w:color="AEAEAE"/>
              <w:right w:val="nil"/>
            </w:tcBorders>
            <w:shd w:val="clear" w:color="auto" w:fill="auto"/>
          </w:tcPr>
          <w:p w14:paraId="6403709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Std. Predicted Value</w:t>
            </w:r>
          </w:p>
        </w:tc>
        <w:tc>
          <w:tcPr>
            <w:tcW w:w="1040" w:type="dxa"/>
            <w:tcBorders>
              <w:top w:val="single" w:sz="8" w:space="0" w:color="AEAEAE"/>
              <w:left w:val="nil"/>
              <w:bottom w:val="single" w:sz="8" w:space="0" w:color="AEAEAE"/>
              <w:right w:val="single" w:sz="8" w:space="0" w:color="E0E0E0"/>
            </w:tcBorders>
            <w:shd w:val="clear" w:color="auto" w:fill="auto"/>
          </w:tcPr>
          <w:p w14:paraId="7302F92A"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−2.394</w:t>
            </w:r>
          </w:p>
        </w:tc>
        <w:tc>
          <w:tcPr>
            <w:tcW w:w="1070" w:type="dxa"/>
            <w:tcBorders>
              <w:top w:val="single" w:sz="8" w:space="0" w:color="AEAEAE"/>
              <w:left w:val="single" w:sz="8" w:space="0" w:color="E0E0E0"/>
              <w:bottom w:val="single" w:sz="8" w:space="0" w:color="AEAEAE"/>
              <w:right w:val="single" w:sz="8" w:space="0" w:color="E0E0E0"/>
            </w:tcBorders>
            <w:shd w:val="clear" w:color="auto" w:fill="auto"/>
          </w:tcPr>
          <w:p w14:paraId="541DB5D2"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2.602</w:t>
            </w:r>
          </w:p>
        </w:tc>
        <w:tc>
          <w:tcPr>
            <w:tcW w:w="996" w:type="dxa"/>
            <w:tcBorders>
              <w:top w:val="single" w:sz="8" w:space="0" w:color="AEAEAE"/>
              <w:left w:val="single" w:sz="8" w:space="0" w:color="E0E0E0"/>
              <w:bottom w:val="single" w:sz="8" w:space="0" w:color="AEAEAE"/>
              <w:right w:val="single" w:sz="8" w:space="0" w:color="E0E0E0"/>
            </w:tcBorders>
            <w:shd w:val="clear" w:color="auto" w:fill="auto"/>
          </w:tcPr>
          <w:p w14:paraId="12D512FB"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.000</w:t>
            </w:r>
          </w:p>
        </w:tc>
        <w:tc>
          <w:tcPr>
            <w:tcW w:w="1398" w:type="dxa"/>
            <w:tcBorders>
              <w:top w:val="single" w:sz="8" w:space="0" w:color="AEAEAE"/>
              <w:left w:val="single" w:sz="8" w:space="0" w:color="E0E0E0"/>
              <w:bottom w:val="single" w:sz="8" w:space="0" w:color="AEAEAE"/>
              <w:right w:val="single" w:sz="8" w:space="0" w:color="E0E0E0"/>
            </w:tcBorders>
            <w:shd w:val="clear" w:color="auto" w:fill="auto"/>
          </w:tcPr>
          <w:p w14:paraId="1345EAEC"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1.000</w:t>
            </w:r>
          </w:p>
        </w:tc>
        <w:tc>
          <w:tcPr>
            <w:tcW w:w="2484" w:type="dxa"/>
            <w:tcBorders>
              <w:top w:val="single" w:sz="8" w:space="0" w:color="AEAEAE"/>
              <w:left w:val="single" w:sz="8" w:space="0" w:color="E0E0E0"/>
              <w:bottom w:val="single" w:sz="8" w:space="0" w:color="AEAEAE"/>
              <w:right w:val="nil"/>
            </w:tcBorders>
            <w:shd w:val="clear" w:color="auto" w:fill="auto"/>
          </w:tcPr>
          <w:p w14:paraId="7C521B0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104</w:t>
            </w:r>
          </w:p>
        </w:tc>
      </w:tr>
      <w:tr w:rsidR="006E3616" w:rsidRPr="00400193" w14:paraId="39F18793" w14:textId="77777777" w:rsidTr="00CC65ED">
        <w:trPr>
          <w:cantSplit/>
          <w:trHeight w:val="283"/>
        </w:trPr>
        <w:tc>
          <w:tcPr>
            <w:tcW w:w="1921" w:type="dxa"/>
            <w:tcBorders>
              <w:top w:val="single" w:sz="8" w:space="0" w:color="AEAEAE"/>
              <w:left w:val="nil"/>
              <w:bottom w:val="single" w:sz="8" w:space="0" w:color="152935"/>
              <w:right w:val="nil"/>
            </w:tcBorders>
            <w:shd w:val="clear" w:color="auto" w:fill="auto"/>
          </w:tcPr>
          <w:p w14:paraId="3A59850D"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Std. Residual</w:t>
            </w:r>
          </w:p>
        </w:tc>
        <w:tc>
          <w:tcPr>
            <w:tcW w:w="1040" w:type="dxa"/>
            <w:tcBorders>
              <w:top w:val="single" w:sz="8" w:space="0" w:color="AEAEAE"/>
              <w:left w:val="nil"/>
              <w:bottom w:val="single" w:sz="8" w:space="0" w:color="152935"/>
              <w:right w:val="single" w:sz="8" w:space="0" w:color="E0E0E0"/>
            </w:tcBorders>
            <w:shd w:val="clear" w:color="auto" w:fill="auto"/>
          </w:tcPr>
          <w:p w14:paraId="1752209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−3.311</w:t>
            </w:r>
          </w:p>
        </w:tc>
        <w:tc>
          <w:tcPr>
            <w:tcW w:w="1070" w:type="dxa"/>
            <w:tcBorders>
              <w:top w:val="single" w:sz="8" w:space="0" w:color="AEAEAE"/>
              <w:left w:val="single" w:sz="8" w:space="0" w:color="E0E0E0"/>
              <w:bottom w:val="single" w:sz="8" w:space="0" w:color="152935"/>
              <w:right w:val="single" w:sz="8" w:space="0" w:color="E0E0E0"/>
            </w:tcBorders>
            <w:shd w:val="clear" w:color="auto" w:fill="auto"/>
          </w:tcPr>
          <w:p w14:paraId="44B7E9D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2.722</w:t>
            </w:r>
          </w:p>
        </w:tc>
        <w:tc>
          <w:tcPr>
            <w:tcW w:w="996" w:type="dxa"/>
            <w:tcBorders>
              <w:top w:val="single" w:sz="8" w:space="0" w:color="AEAEAE"/>
              <w:left w:val="single" w:sz="8" w:space="0" w:color="E0E0E0"/>
              <w:bottom w:val="single" w:sz="8" w:space="0" w:color="152935"/>
              <w:right w:val="single" w:sz="8" w:space="0" w:color="E0E0E0"/>
            </w:tcBorders>
            <w:shd w:val="clear" w:color="auto" w:fill="auto"/>
          </w:tcPr>
          <w:p w14:paraId="5E919E90"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.000</w:t>
            </w:r>
          </w:p>
        </w:tc>
        <w:tc>
          <w:tcPr>
            <w:tcW w:w="1398" w:type="dxa"/>
            <w:tcBorders>
              <w:top w:val="single" w:sz="8" w:space="0" w:color="AEAEAE"/>
              <w:left w:val="single" w:sz="8" w:space="0" w:color="E0E0E0"/>
              <w:bottom w:val="single" w:sz="8" w:space="0" w:color="152935"/>
              <w:right w:val="single" w:sz="8" w:space="0" w:color="E0E0E0"/>
            </w:tcBorders>
            <w:shd w:val="clear" w:color="auto" w:fill="auto"/>
          </w:tcPr>
          <w:p w14:paraId="137CD787"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.985</w:t>
            </w:r>
          </w:p>
        </w:tc>
        <w:tc>
          <w:tcPr>
            <w:tcW w:w="2484" w:type="dxa"/>
            <w:tcBorders>
              <w:top w:val="single" w:sz="8" w:space="0" w:color="AEAEAE"/>
              <w:left w:val="single" w:sz="8" w:space="0" w:color="E0E0E0"/>
              <w:bottom w:val="single" w:sz="8" w:space="0" w:color="152935"/>
              <w:right w:val="nil"/>
            </w:tcBorders>
            <w:shd w:val="clear" w:color="auto" w:fill="auto"/>
          </w:tcPr>
          <w:p w14:paraId="37650805" w14:textId="77777777" w:rsidR="006E3616" w:rsidRPr="00400193" w:rsidRDefault="006E3616" w:rsidP="003B5486">
            <w:pPr>
              <w:spacing w:after="0" w:line="240" w:lineRule="auto"/>
              <w:rPr>
                <w:sz w:val="20"/>
                <w:szCs w:val="18"/>
                <w:lang w:eastAsia="zh-CN" w:bidi="hi-IN"/>
              </w:rPr>
            </w:pPr>
            <w:r w:rsidRPr="00400193">
              <w:rPr>
                <w:sz w:val="20"/>
                <w:szCs w:val="18"/>
                <w:lang w:eastAsia="zh-CN" w:bidi="hi-IN"/>
              </w:rPr>
              <w:t>104</w:t>
            </w:r>
          </w:p>
        </w:tc>
      </w:tr>
      <w:tr w:rsidR="006E3616" w:rsidRPr="00400193" w14:paraId="2D3F0F25" w14:textId="77777777" w:rsidTr="00CC65ED">
        <w:trPr>
          <w:cantSplit/>
          <w:trHeight w:val="283"/>
        </w:trPr>
        <w:tc>
          <w:tcPr>
            <w:tcW w:w="8909" w:type="dxa"/>
            <w:gridSpan w:val="6"/>
            <w:tcBorders>
              <w:top w:val="nil"/>
              <w:left w:val="nil"/>
              <w:bottom w:val="nil"/>
              <w:right w:val="nil"/>
            </w:tcBorders>
            <w:shd w:val="clear" w:color="auto" w:fill="auto"/>
          </w:tcPr>
          <w:p w14:paraId="01EAF17E" w14:textId="77777777" w:rsidR="006E3616" w:rsidRPr="00400193" w:rsidRDefault="006E3616" w:rsidP="003B5486">
            <w:pPr>
              <w:keepNext/>
              <w:spacing w:after="0" w:line="240" w:lineRule="auto"/>
              <w:rPr>
                <w:sz w:val="20"/>
                <w:szCs w:val="18"/>
                <w:lang w:eastAsia="zh-CN" w:bidi="hi-IN"/>
              </w:rPr>
            </w:pPr>
            <w:r w:rsidRPr="00400193">
              <w:rPr>
                <w:sz w:val="20"/>
                <w:szCs w:val="18"/>
                <w:vertAlign w:val="superscript"/>
                <w:lang w:eastAsia="zh-CN" w:bidi="hi-IN"/>
              </w:rPr>
              <w:t>a.</w:t>
            </w:r>
            <w:r w:rsidRPr="00400193">
              <w:rPr>
                <w:sz w:val="20"/>
                <w:szCs w:val="18"/>
                <w:lang w:eastAsia="zh-CN" w:bidi="hi-IN"/>
              </w:rPr>
              <w:t xml:space="preserve"> Dependent Variable: VW</w:t>
            </w:r>
          </w:p>
        </w:tc>
      </w:tr>
    </w:tbl>
    <w:p w14:paraId="6734C3E6" w14:textId="4B0CF575" w:rsidR="006E3616" w:rsidRPr="00400193" w:rsidRDefault="006E3616" w:rsidP="006E3616">
      <w:pPr>
        <w:pStyle w:val="Caption"/>
        <w:spacing w:after="240"/>
      </w:pPr>
      <w:bookmarkStart w:id="763" w:name="_Ref51589746"/>
      <w:bookmarkStart w:id="764" w:name="_Toc5290164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99</w:t>
      </w:r>
      <w:r w:rsidRPr="00400193">
        <w:fldChar w:fldCharType="end"/>
      </w:r>
      <w:bookmarkEnd w:id="763"/>
      <w:r w:rsidRPr="00400193">
        <w:t>: Residual statistics of the model regression for VW</w:t>
      </w:r>
      <w:bookmarkEnd w:id="764"/>
    </w:p>
    <w:p w14:paraId="6CF6A398" w14:textId="77777777" w:rsidR="00222C2E" w:rsidRPr="00400193" w:rsidRDefault="00222C2E" w:rsidP="00222C2E"/>
    <w:p w14:paraId="6E4C4E01" w14:textId="539E1559" w:rsidR="006E3616" w:rsidRPr="00400193" w:rsidRDefault="00CC65ED" w:rsidP="006E3616">
      <w:pPr>
        <w:rPr>
          <w:lang w:eastAsia="zh-CN" w:bidi="hi-IN"/>
        </w:rPr>
      </w:pPr>
      <w:r w:rsidRPr="00400193">
        <w:rPr>
          <w:lang w:eastAsia="zh-CN" w:bidi="hi-IN"/>
        </w:rPr>
        <w:fldChar w:fldCharType="begin"/>
      </w:r>
      <w:r w:rsidRPr="00400193">
        <w:rPr>
          <w:lang w:eastAsia="zh-CN" w:bidi="hi-IN"/>
        </w:rPr>
        <w:instrText xml:space="preserve"> REF _Ref51589851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42</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 </w:t>
      </w:r>
    </w:p>
    <w:p w14:paraId="00597B72"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57A73BD7" wp14:editId="4FB8AD55">
            <wp:extent cx="5760000" cy="3240000"/>
            <wp:effectExtent l="19050" t="19050" r="12700" b="17780"/>
            <wp:docPr id="162"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03E17A4B" w14:textId="034B0ACB" w:rsidR="006E3616" w:rsidRPr="00400193" w:rsidRDefault="006E3616" w:rsidP="006E3616">
      <w:pPr>
        <w:pStyle w:val="Caption"/>
      </w:pPr>
      <w:bookmarkStart w:id="765" w:name="_Ref51339124"/>
      <w:bookmarkStart w:id="766" w:name="_Toc5538761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39</w:t>
      </w:r>
      <w:r w:rsidR="00E35E8C" w:rsidRPr="00400193">
        <w:fldChar w:fldCharType="end"/>
      </w:r>
      <w:bookmarkEnd w:id="765"/>
      <w:r w:rsidRPr="00400193">
        <w:t>: Scatter plot for residual results from the model for VW</w:t>
      </w:r>
      <w:bookmarkEnd w:id="766"/>
    </w:p>
    <w:p w14:paraId="7C1D335C" w14:textId="77777777" w:rsidR="006E3616" w:rsidRPr="00400193" w:rsidRDefault="006E3616" w:rsidP="006E3616">
      <w:pPr>
        <w:keepNext/>
        <w:spacing w:after="0" w:line="240" w:lineRule="auto"/>
        <w:jc w:val="center"/>
        <w:rPr>
          <w:lang w:eastAsia="zh-CN" w:bidi="hi-IN"/>
        </w:rPr>
      </w:pPr>
    </w:p>
    <w:p w14:paraId="07484DC4"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79D2CB7F" wp14:editId="576D8806">
            <wp:extent cx="5760000" cy="3240000"/>
            <wp:effectExtent l="19050" t="19050" r="12700" b="17780"/>
            <wp:docPr id="163"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BDC16C4" w14:textId="7E6D1A94" w:rsidR="006E3616" w:rsidRPr="00400193" w:rsidRDefault="006E3616" w:rsidP="006E3616">
      <w:pPr>
        <w:pStyle w:val="Caption"/>
      </w:pPr>
      <w:bookmarkStart w:id="767" w:name="_Ref51339129"/>
      <w:bookmarkStart w:id="768" w:name="_Toc5538761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40</w:t>
      </w:r>
      <w:r w:rsidR="00E35E8C" w:rsidRPr="00400193">
        <w:fldChar w:fldCharType="end"/>
      </w:r>
      <w:bookmarkEnd w:id="767"/>
      <w:r w:rsidRPr="00400193">
        <w:t>: Scatter plot for residual results from the model for VW</w:t>
      </w:r>
      <w:bookmarkEnd w:id="768"/>
    </w:p>
    <w:p w14:paraId="456250BE" w14:textId="77777777" w:rsidR="006E3616" w:rsidRPr="00400193" w:rsidRDefault="006E3616" w:rsidP="006E3616">
      <w:pPr>
        <w:keepNext/>
        <w:spacing w:after="0" w:line="240" w:lineRule="auto"/>
        <w:jc w:val="center"/>
        <w:rPr>
          <w:lang w:eastAsia="zh-CN" w:bidi="hi-IN"/>
        </w:rPr>
      </w:pPr>
    </w:p>
    <w:p w14:paraId="67C06675"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700E4037" wp14:editId="56B23D24">
            <wp:extent cx="5760000" cy="3240000"/>
            <wp:effectExtent l="19050" t="19050" r="12700" b="17780"/>
            <wp:docPr id="164"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B2783BF" w14:textId="4140E9A0" w:rsidR="006E3616" w:rsidRPr="00400193" w:rsidRDefault="006E3616" w:rsidP="006E3616">
      <w:pPr>
        <w:pStyle w:val="Caption"/>
      </w:pPr>
      <w:bookmarkStart w:id="769" w:name="_Ref51339135"/>
      <w:bookmarkStart w:id="770" w:name="_Toc5538761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41</w:t>
      </w:r>
      <w:r w:rsidR="00E35E8C" w:rsidRPr="00400193">
        <w:fldChar w:fldCharType="end"/>
      </w:r>
      <w:bookmarkEnd w:id="769"/>
      <w:r w:rsidRPr="00400193">
        <w:t>: Scatter plot for residual results from the model for VW</w:t>
      </w:r>
      <w:bookmarkEnd w:id="770"/>
    </w:p>
    <w:p w14:paraId="15F63026" w14:textId="77777777" w:rsidR="006E3616" w:rsidRPr="00400193" w:rsidRDefault="006E3616" w:rsidP="006E3616">
      <w:pPr>
        <w:spacing w:line="240" w:lineRule="auto"/>
        <w:rPr>
          <w:lang w:eastAsia="zh-CN" w:bidi="hi-IN"/>
        </w:rPr>
      </w:pPr>
    </w:p>
    <w:p w14:paraId="20A1DBA7" w14:textId="77777777" w:rsidR="006E3616" w:rsidRPr="00400193" w:rsidRDefault="006E3616" w:rsidP="006E3616">
      <w:pPr>
        <w:spacing w:line="240" w:lineRule="auto"/>
        <w:rPr>
          <w:lang w:eastAsia="zh-CN" w:bidi="hi-IN"/>
        </w:rPr>
      </w:pPr>
    </w:p>
    <w:p w14:paraId="7C7451D5"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772D9C9" wp14:editId="764EB27C">
            <wp:extent cx="5760000" cy="3240000"/>
            <wp:effectExtent l="19050" t="19050" r="12700" b="17780"/>
            <wp:docPr id="165"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1574531D" w14:textId="019A4066" w:rsidR="006E3616" w:rsidRPr="00400193" w:rsidRDefault="006E3616" w:rsidP="006E3616">
      <w:pPr>
        <w:pStyle w:val="Caption"/>
      </w:pPr>
      <w:bookmarkStart w:id="771" w:name="_Ref51589851"/>
      <w:bookmarkStart w:id="772" w:name="_Toc5538762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42</w:t>
      </w:r>
      <w:r w:rsidR="00E35E8C" w:rsidRPr="00400193">
        <w:fldChar w:fldCharType="end"/>
      </w:r>
      <w:bookmarkEnd w:id="771"/>
      <w:r w:rsidRPr="00400193">
        <w:t>: Histogram of the frequency of the standardised residuals for VW</w:t>
      </w:r>
      <w:bookmarkEnd w:id="772"/>
    </w:p>
    <w:p w14:paraId="2AA54765" w14:textId="77777777" w:rsidR="006E3616" w:rsidRPr="00400193" w:rsidRDefault="006E3616" w:rsidP="006E3616">
      <w:pPr>
        <w:spacing w:line="240" w:lineRule="auto"/>
        <w:rPr>
          <w:lang w:eastAsia="zh-CN" w:bidi="hi-IN"/>
        </w:rPr>
      </w:pPr>
    </w:p>
    <w:p w14:paraId="21B0A896" w14:textId="7C7BA3FE"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_Ref52821699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43</w:t>
      </w:r>
      <w:r w:rsidR="00F319CB" w:rsidRPr="00400193">
        <w:rPr>
          <w:lang w:eastAsia="zh-CN" w:bidi="hi-IN"/>
        </w:rPr>
        <w:fldChar w:fldCharType="end"/>
      </w:r>
      <w:r w:rsidRPr="00400193">
        <w:rPr>
          <w:lang w:eastAsia="zh-CN" w:bidi="hi-IN"/>
        </w:rPr>
        <w:t>) also shows there is a normal distribution.</w:t>
      </w:r>
    </w:p>
    <w:p w14:paraId="1140537E"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3717AA48" wp14:editId="42BDD00F">
            <wp:extent cx="5760000" cy="3240000"/>
            <wp:effectExtent l="19050" t="19050" r="12700" b="17780"/>
            <wp:docPr id="166"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BCFC9CF" w14:textId="10B24D36" w:rsidR="006E3616" w:rsidRPr="00400193" w:rsidRDefault="006E3616" w:rsidP="006E3616">
      <w:pPr>
        <w:pStyle w:val="Caption"/>
      </w:pPr>
      <w:bookmarkStart w:id="773" w:name="_Ref52821699"/>
      <w:bookmarkStart w:id="774" w:name="_Toc5538762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43</w:t>
      </w:r>
      <w:r w:rsidR="00E35E8C" w:rsidRPr="00400193">
        <w:fldChar w:fldCharType="end"/>
      </w:r>
      <w:bookmarkEnd w:id="773"/>
      <w:r w:rsidRPr="00400193">
        <w:t>: Normal P–P plot of regression standardised residual for the dependent variable</w:t>
      </w:r>
      <w:bookmarkEnd w:id="774"/>
    </w:p>
    <w:p w14:paraId="1D7DFD84" w14:textId="77777777" w:rsidR="006E3616" w:rsidRPr="00400193" w:rsidRDefault="006E3616" w:rsidP="006E3616">
      <w:pPr>
        <w:spacing w:line="240" w:lineRule="auto"/>
        <w:rPr>
          <w:b/>
          <w:bCs/>
          <w:lang w:eastAsia="zh-CN" w:bidi="hi-IN"/>
        </w:rPr>
      </w:pPr>
    </w:p>
    <w:p w14:paraId="0573796A" w14:textId="77777777" w:rsidR="006E3616" w:rsidRPr="00400193" w:rsidRDefault="006E3616" w:rsidP="003C3496">
      <w:pPr>
        <w:pStyle w:val="Heading4"/>
        <w:rPr>
          <w:lang w:eastAsia="zh-CN" w:bidi="hi-IN"/>
        </w:rPr>
      </w:pPr>
      <w:bookmarkStart w:id="775" w:name="_Toc61894794"/>
      <w:r w:rsidRPr="00400193">
        <w:rPr>
          <w:lang w:eastAsia="zh-CN" w:bidi="hi-IN"/>
        </w:rPr>
        <w:t>Regression</w:t>
      </w:r>
      <w:bookmarkEnd w:id="775"/>
      <w:r w:rsidRPr="00400193">
        <w:rPr>
          <w:lang w:eastAsia="zh-CN" w:bidi="hi-IN"/>
        </w:rPr>
        <w:t xml:space="preserve"> </w:t>
      </w:r>
    </w:p>
    <w:p w14:paraId="3A057D6C" w14:textId="7A59DFAA" w:rsidR="006E3616" w:rsidRPr="00400193" w:rsidRDefault="006E3616" w:rsidP="006E3616">
      <w:pPr>
        <w:rPr>
          <w:i/>
          <w:iCs/>
          <w:lang w:eastAsia="zh-CN" w:bidi="hi-IN"/>
        </w:rPr>
      </w:pPr>
      <w:r w:rsidRPr="00400193">
        <w:rPr>
          <w:lang w:eastAsia="zh-CN" w:bidi="hi-IN"/>
        </w:rPr>
        <w:fldChar w:fldCharType="begin"/>
      </w:r>
      <w:r w:rsidRPr="00400193">
        <w:rPr>
          <w:i/>
          <w:iCs/>
          <w:lang w:eastAsia="zh-CN" w:bidi="hi-IN"/>
        </w:rPr>
        <w:instrText xml:space="preserve"> REF _Ref43827862 \h </w:instrText>
      </w:r>
      <w:r w:rsidRPr="00400193">
        <w:rPr>
          <w:lang w:eastAsia="zh-CN" w:bidi="hi-IN"/>
        </w:rPr>
        <w:instrText xml:space="preserve"> \* MERGEFORMAT </w:instrText>
      </w:r>
      <w:r w:rsidRPr="00400193">
        <w:rPr>
          <w:lang w:eastAsia="zh-CN" w:bidi="hi-IN"/>
        </w:rPr>
      </w:r>
      <w:r w:rsidRPr="00400193">
        <w:rPr>
          <w:lang w:eastAsia="zh-CN" w:bidi="hi-IN"/>
        </w:rPr>
        <w:fldChar w:fldCharType="separate"/>
      </w:r>
      <w:r w:rsidR="00BB7C18" w:rsidRPr="00400193">
        <w:t>5 – (Internal + Organisational Resilience)</w:t>
      </w:r>
      <w:r w:rsidRPr="00400193">
        <w:rPr>
          <w:lang w:eastAsia="zh-CN" w:bidi="hi-IN"/>
        </w:rPr>
        <w:fldChar w:fldCharType="end"/>
      </w:r>
      <w:r w:rsidRPr="00400193">
        <w:rPr>
          <w:i/>
          <w:iCs/>
          <w:lang w:eastAsia="zh-CN" w:bidi="hi-IN"/>
        </w:rPr>
        <w:t xml:space="preserve"> VW = </w:t>
      </w:r>
      <w:r w:rsidR="00DD07A5" w:rsidRPr="00400193">
        <w:rPr>
          <w:i/>
          <w:iCs/>
          <w:lang w:eastAsia="zh-CN" w:bidi="hi-IN"/>
        </w:rPr>
        <w:t>IRF</w:t>
      </w:r>
      <w:r w:rsidRPr="00400193">
        <w:rPr>
          <w:i/>
          <w:iCs/>
          <w:lang w:eastAsia="zh-CN" w:bidi="hi-IN"/>
        </w:rPr>
        <w:t xml:space="preserve"> + RP + RP* </w:t>
      </w:r>
      <w:r w:rsidR="00DD07A5" w:rsidRPr="00400193">
        <w:rPr>
          <w:i/>
          <w:iCs/>
          <w:lang w:eastAsia="zh-CN" w:bidi="hi-IN"/>
        </w:rPr>
        <w:t>IRF</w:t>
      </w:r>
    </w:p>
    <w:p w14:paraId="7FA96EA0" w14:textId="00D606D5" w:rsidR="006E3616" w:rsidRPr="00400193" w:rsidRDefault="006E3616" w:rsidP="006E3616">
      <w:pPr>
        <w:rPr>
          <w:lang w:eastAsia="zh-CN" w:bidi="hi-IN"/>
        </w:rPr>
      </w:pPr>
      <w:r w:rsidRPr="00400193">
        <w:rPr>
          <w:lang w:eastAsia="zh-CN" w:bidi="hi-IN"/>
        </w:rPr>
        <w:t>This section describes the use of multiple regressions to estimate the parameters in model equation (</w:t>
      </w:r>
      <w:r w:rsidRPr="00400193">
        <w:rPr>
          <w:i/>
          <w:iCs/>
          <w:lang w:eastAsia="zh-CN" w:bidi="hi-IN"/>
        </w:rPr>
        <w:t xml:space="preserve">VW = </w:t>
      </w:r>
      <w:r w:rsidR="00DD07A5" w:rsidRPr="00400193">
        <w:rPr>
          <w:i/>
          <w:iCs/>
          <w:lang w:eastAsia="zh-CN" w:bidi="hi-IN"/>
        </w:rPr>
        <w:t>IRF</w:t>
      </w:r>
      <w:r w:rsidRPr="00400193">
        <w:rPr>
          <w:i/>
          <w:iCs/>
          <w:lang w:eastAsia="zh-CN" w:bidi="hi-IN"/>
        </w:rPr>
        <w:t xml:space="preserve"> + RP + RP* </w:t>
      </w:r>
      <w:r w:rsidR="00DD07A5" w:rsidRPr="00400193">
        <w:rPr>
          <w:i/>
          <w:iCs/>
          <w:lang w:eastAsia="zh-CN" w:bidi="hi-IN"/>
        </w:rPr>
        <w:t>IRF</w:t>
      </w:r>
      <w:r w:rsidRPr="00400193">
        <w:rPr>
          <w:lang w:eastAsia="zh-CN" w:bidi="hi-IN"/>
        </w:rPr>
        <w:t xml:space="preserve">). The purpose of the multi-linear models was to map variation in response in place to the relationship between vulnerabilities and weaknesses and internal threats in UAE public sector organisations. The variation variables were all entered at different stages of the simulation. The regression results in </w:t>
      </w:r>
      <w:r w:rsidR="00222C2E" w:rsidRPr="00400193">
        <w:rPr>
          <w:lang w:eastAsia="zh-CN" w:bidi="hi-IN"/>
        </w:rPr>
        <w:fldChar w:fldCharType="begin"/>
      </w:r>
      <w:r w:rsidR="00222C2E" w:rsidRPr="00400193">
        <w:rPr>
          <w:lang w:eastAsia="zh-CN" w:bidi="hi-IN"/>
        </w:rPr>
        <w:instrText xml:space="preserve"> REF _Ref51589967 \h </w:instrText>
      </w:r>
      <w:r w:rsidR="00222C2E" w:rsidRPr="00400193">
        <w:rPr>
          <w:lang w:eastAsia="zh-CN" w:bidi="hi-IN"/>
        </w:rPr>
      </w:r>
      <w:r w:rsidR="00222C2E"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100</w:t>
      </w:r>
      <w:r w:rsidR="00222C2E" w:rsidRPr="00400193">
        <w:rPr>
          <w:lang w:eastAsia="zh-CN" w:bidi="hi-IN"/>
        </w:rPr>
        <w:fldChar w:fldCharType="end"/>
      </w:r>
      <w:r w:rsidRPr="00400193">
        <w:rPr>
          <w:lang w:eastAsia="zh-CN" w:bidi="hi-IN"/>
        </w:rPr>
        <w:t xml:space="preserve"> show that </w:t>
      </w:r>
      <w:r w:rsidR="00DD07A5" w:rsidRPr="00400193">
        <w:rPr>
          <w:lang w:eastAsia="zh-CN" w:bidi="hi-IN"/>
        </w:rPr>
        <w:t>IRF</w:t>
      </w:r>
      <w:r w:rsidRPr="00400193">
        <w:rPr>
          <w:lang w:eastAsia="zh-CN" w:bidi="hi-IN"/>
        </w:rPr>
        <w:t xml:space="preserve"> moderated by RP explained 64.5% of the variance in VW. This variance proportion was statistically significant because the F-value is 60.568, with three degrees of freedom and p-value of 0.000 (</w:t>
      </w:r>
      <w:r w:rsidR="00222C2E" w:rsidRPr="00400193">
        <w:rPr>
          <w:lang w:eastAsia="zh-CN" w:bidi="hi-IN"/>
        </w:rPr>
        <w:fldChar w:fldCharType="begin"/>
      </w:r>
      <w:r w:rsidR="00222C2E" w:rsidRPr="00400193">
        <w:rPr>
          <w:lang w:eastAsia="zh-CN" w:bidi="hi-IN"/>
        </w:rPr>
        <w:instrText xml:space="preserve"> REF _Ref51590251 \h </w:instrText>
      </w:r>
      <w:r w:rsidR="00222C2E" w:rsidRPr="00400193">
        <w:rPr>
          <w:lang w:eastAsia="zh-CN" w:bidi="hi-IN"/>
        </w:rPr>
      </w:r>
      <w:r w:rsidR="00222C2E"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101</w:t>
      </w:r>
      <w:r w:rsidR="00222C2E" w:rsidRPr="00400193">
        <w:rPr>
          <w:lang w:eastAsia="zh-CN" w:bidi="hi-IN"/>
        </w:rPr>
        <w:fldChar w:fldCharType="end"/>
      </w:r>
      <w:r w:rsidRPr="00400193">
        <w:rPr>
          <w:lang w:eastAsia="zh-CN" w:bidi="hi-IN"/>
        </w:rPr>
        <w:t>). The results also show that all the variation variables in the model are significant and the goodness-of-fit for the estimated regression equation for the generated model was supported by an R-square value of 0.645</w:t>
      </w:r>
      <w:r w:rsidR="00222C2E" w:rsidRPr="00400193">
        <w:rPr>
          <w:lang w:eastAsia="zh-CN" w:bidi="hi-IN"/>
        </w:rPr>
        <w:t xml:space="preserve"> </w:t>
      </w:r>
      <w:r w:rsidR="00222C2E" w:rsidRPr="00400193">
        <w:rPr>
          <w:lang w:eastAsia="zh-CN" w:bidi="hi-IN"/>
        </w:rPr>
        <w:fldChar w:fldCharType="begin"/>
      </w:r>
      <w:r w:rsidR="00222C2E" w:rsidRPr="00400193">
        <w:rPr>
          <w:lang w:eastAsia="zh-CN" w:bidi="hi-IN"/>
        </w:rPr>
        <w:instrText xml:space="preserve"> REF _Ref51590464 \h </w:instrText>
      </w:r>
      <w:r w:rsidR="00222C2E" w:rsidRPr="00400193">
        <w:rPr>
          <w:lang w:eastAsia="zh-CN" w:bidi="hi-IN"/>
        </w:rPr>
      </w:r>
      <w:r w:rsidR="00222C2E"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102</w:t>
      </w:r>
      <w:r w:rsidR="00222C2E" w:rsidRPr="00400193">
        <w:rPr>
          <w:lang w:eastAsia="zh-CN" w:bidi="hi-IN"/>
        </w:rPr>
        <w:fldChar w:fldCharType="end"/>
      </w:r>
      <w:r w:rsidR="00222C2E" w:rsidRPr="00400193">
        <w:rPr>
          <w:lang w:eastAsia="zh-CN" w:bidi="hi-IN"/>
        </w:rPr>
        <w:t xml:space="preserve"> completes the</w:t>
      </w:r>
      <w:r w:rsidR="00EF2516" w:rsidRPr="00400193">
        <w:rPr>
          <w:lang w:eastAsia="zh-CN" w:bidi="hi-IN"/>
        </w:rPr>
        <w:t xml:space="preserve"> picture</w:t>
      </w:r>
      <w:r w:rsidRPr="00400193">
        <w:rPr>
          <w:lang w:eastAsia="zh-CN" w:bidi="hi-IN"/>
        </w:rPr>
        <w:t>.</w:t>
      </w:r>
    </w:p>
    <w:tbl>
      <w:tblPr>
        <w:tblW w:w="88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7"/>
        <w:gridCol w:w="757"/>
        <w:gridCol w:w="802"/>
        <w:gridCol w:w="1084"/>
        <w:gridCol w:w="1083"/>
        <w:gridCol w:w="1874"/>
        <w:gridCol w:w="1526"/>
        <w:gridCol w:w="1108"/>
      </w:tblGrid>
      <w:tr w:rsidR="006E3616" w:rsidRPr="00400193" w14:paraId="559D1DD2" w14:textId="77777777" w:rsidTr="00222C2E">
        <w:trPr>
          <w:cantSplit/>
          <w:trHeight w:val="283"/>
        </w:trPr>
        <w:tc>
          <w:tcPr>
            <w:tcW w:w="8821" w:type="dxa"/>
            <w:gridSpan w:val="8"/>
            <w:tcBorders>
              <w:top w:val="nil"/>
              <w:left w:val="nil"/>
              <w:bottom w:val="nil"/>
              <w:right w:val="nil"/>
            </w:tcBorders>
            <w:shd w:val="clear" w:color="auto" w:fill="auto"/>
            <w:vAlign w:val="center"/>
          </w:tcPr>
          <w:p w14:paraId="2205DA8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5E289215" w14:textId="77777777" w:rsidTr="00222C2E">
        <w:trPr>
          <w:cantSplit/>
          <w:trHeight w:val="283"/>
        </w:trPr>
        <w:tc>
          <w:tcPr>
            <w:tcW w:w="587" w:type="dxa"/>
            <w:vMerge w:val="restart"/>
            <w:tcBorders>
              <w:top w:val="nil"/>
              <w:left w:val="nil"/>
              <w:bottom w:val="nil"/>
              <w:right w:val="nil"/>
            </w:tcBorders>
            <w:shd w:val="clear" w:color="auto" w:fill="auto"/>
            <w:vAlign w:val="bottom"/>
          </w:tcPr>
          <w:p w14:paraId="078DE4A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57" w:type="dxa"/>
            <w:vMerge w:val="restart"/>
            <w:tcBorders>
              <w:top w:val="nil"/>
              <w:left w:val="nil"/>
              <w:bottom w:val="nil"/>
              <w:right w:val="single" w:sz="8" w:space="0" w:color="E0E0E0"/>
            </w:tcBorders>
            <w:shd w:val="clear" w:color="auto" w:fill="auto"/>
            <w:vAlign w:val="bottom"/>
          </w:tcPr>
          <w:p w14:paraId="6989623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02" w:type="dxa"/>
            <w:vMerge w:val="restart"/>
            <w:tcBorders>
              <w:top w:val="nil"/>
              <w:left w:val="single" w:sz="8" w:space="0" w:color="E0E0E0"/>
              <w:bottom w:val="nil"/>
              <w:right w:val="single" w:sz="8" w:space="0" w:color="E0E0E0"/>
            </w:tcBorders>
            <w:shd w:val="clear" w:color="auto" w:fill="auto"/>
            <w:vAlign w:val="bottom"/>
          </w:tcPr>
          <w:p w14:paraId="568A7EE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084" w:type="dxa"/>
            <w:vMerge w:val="restart"/>
            <w:tcBorders>
              <w:top w:val="nil"/>
              <w:left w:val="single" w:sz="8" w:space="0" w:color="E0E0E0"/>
              <w:bottom w:val="nil"/>
              <w:right w:val="single" w:sz="8" w:space="0" w:color="E0E0E0"/>
            </w:tcBorders>
            <w:shd w:val="clear" w:color="auto" w:fill="auto"/>
            <w:vAlign w:val="bottom"/>
          </w:tcPr>
          <w:p w14:paraId="1A33150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083" w:type="dxa"/>
            <w:vMerge w:val="restart"/>
            <w:tcBorders>
              <w:top w:val="nil"/>
              <w:left w:val="single" w:sz="8" w:space="0" w:color="E0E0E0"/>
              <w:bottom w:val="nil"/>
              <w:right w:val="single" w:sz="8" w:space="0" w:color="E0E0E0"/>
            </w:tcBorders>
            <w:shd w:val="clear" w:color="auto" w:fill="auto"/>
            <w:vAlign w:val="bottom"/>
          </w:tcPr>
          <w:p w14:paraId="34B9538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08" w:type="dxa"/>
            <w:gridSpan w:val="3"/>
            <w:tcBorders>
              <w:top w:val="nil"/>
              <w:left w:val="single" w:sz="8" w:space="0" w:color="E0E0E0"/>
              <w:bottom w:val="nil"/>
              <w:right w:val="nil"/>
            </w:tcBorders>
            <w:shd w:val="clear" w:color="auto" w:fill="auto"/>
            <w:vAlign w:val="bottom"/>
          </w:tcPr>
          <w:p w14:paraId="44C53FA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6BD515DB" w14:textId="77777777" w:rsidTr="00222C2E">
        <w:trPr>
          <w:cantSplit/>
          <w:trHeight w:val="283"/>
        </w:trPr>
        <w:tc>
          <w:tcPr>
            <w:tcW w:w="587" w:type="dxa"/>
            <w:vMerge/>
            <w:tcBorders>
              <w:top w:val="nil"/>
              <w:left w:val="nil"/>
              <w:bottom w:val="nil"/>
              <w:right w:val="nil"/>
            </w:tcBorders>
            <w:shd w:val="clear" w:color="auto" w:fill="auto"/>
            <w:vAlign w:val="bottom"/>
          </w:tcPr>
          <w:p w14:paraId="55791F5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57" w:type="dxa"/>
            <w:vMerge/>
            <w:tcBorders>
              <w:top w:val="nil"/>
              <w:left w:val="nil"/>
              <w:bottom w:val="nil"/>
              <w:right w:val="single" w:sz="8" w:space="0" w:color="E0E0E0"/>
            </w:tcBorders>
            <w:shd w:val="clear" w:color="auto" w:fill="auto"/>
            <w:vAlign w:val="bottom"/>
          </w:tcPr>
          <w:p w14:paraId="22B46C81"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02" w:type="dxa"/>
            <w:vMerge/>
            <w:tcBorders>
              <w:top w:val="nil"/>
              <w:left w:val="single" w:sz="8" w:space="0" w:color="E0E0E0"/>
              <w:bottom w:val="nil"/>
              <w:right w:val="single" w:sz="8" w:space="0" w:color="E0E0E0"/>
            </w:tcBorders>
            <w:shd w:val="clear" w:color="auto" w:fill="auto"/>
            <w:vAlign w:val="bottom"/>
          </w:tcPr>
          <w:p w14:paraId="7EB35C2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84" w:type="dxa"/>
            <w:vMerge/>
            <w:tcBorders>
              <w:top w:val="nil"/>
              <w:left w:val="single" w:sz="8" w:space="0" w:color="E0E0E0"/>
              <w:bottom w:val="nil"/>
              <w:right w:val="single" w:sz="8" w:space="0" w:color="E0E0E0"/>
            </w:tcBorders>
            <w:shd w:val="clear" w:color="auto" w:fill="auto"/>
            <w:vAlign w:val="bottom"/>
          </w:tcPr>
          <w:p w14:paraId="41E3A627"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83" w:type="dxa"/>
            <w:vMerge/>
            <w:tcBorders>
              <w:top w:val="nil"/>
              <w:left w:val="single" w:sz="8" w:space="0" w:color="E0E0E0"/>
              <w:bottom w:val="nil"/>
              <w:right w:val="single" w:sz="8" w:space="0" w:color="E0E0E0"/>
            </w:tcBorders>
            <w:shd w:val="clear" w:color="auto" w:fill="auto"/>
            <w:vAlign w:val="bottom"/>
          </w:tcPr>
          <w:p w14:paraId="5569F96A"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874" w:type="dxa"/>
            <w:tcBorders>
              <w:top w:val="nil"/>
              <w:left w:val="single" w:sz="8" w:space="0" w:color="E0E0E0"/>
              <w:bottom w:val="single" w:sz="8" w:space="0" w:color="152935"/>
              <w:right w:val="single" w:sz="8" w:space="0" w:color="E0E0E0"/>
            </w:tcBorders>
            <w:shd w:val="clear" w:color="auto" w:fill="auto"/>
            <w:vAlign w:val="bottom"/>
          </w:tcPr>
          <w:p w14:paraId="5D9229C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1526" w:type="dxa"/>
            <w:tcBorders>
              <w:top w:val="nil"/>
              <w:left w:val="single" w:sz="8" w:space="0" w:color="E0E0E0"/>
              <w:bottom w:val="single" w:sz="8" w:space="0" w:color="152935"/>
              <w:right w:val="single" w:sz="8" w:space="0" w:color="E0E0E0"/>
            </w:tcBorders>
            <w:shd w:val="clear" w:color="auto" w:fill="auto"/>
            <w:vAlign w:val="bottom"/>
          </w:tcPr>
          <w:p w14:paraId="4B59A21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1108" w:type="dxa"/>
            <w:tcBorders>
              <w:top w:val="nil"/>
              <w:left w:val="single" w:sz="8" w:space="0" w:color="E0E0E0"/>
              <w:bottom w:val="single" w:sz="8" w:space="0" w:color="152935"/>
              <w:right w:val="nil"/>
            </w:tcBorders>
            <w:shd w:val="clear" w:color="auto" w:fill="auto"/>
            <w:vAlign w:val="bottom"/>
          </w:tcPr>
          <w:p w14:paraId="48AB39C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7690C684" w14:textId="77777777" w:rsidTr="00222C2E">
        <w:trPr>
          <w:cantSplit/>
          <w:trHeight w:val="283"/>
        </w:trPr>
        <w:tc>
          <w:tcPr>
            <w:tcW w:w="587" w:type="dxa"/>
            <w:tcBorders>
              <w:top w:val="single" w:sz="8" w:space="0" w:color="152935"/>
              <w:left w:val="nil"/>
              <w:bottom w:val="single" w:sz="8" w:space="0" w:color="152935"/>
              <w:right w:val="nil"/>
            </w:tcBorders>
            <w:shd w:val="clear" w:color="auto" w:fill="auto"/>
          </w:tcPr>
          <w:p w14:paraId="68B46F16" w14:textId="0D8146A1"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57" w:type="dxa"/>
            <w:tcBorders>
              <w:top w:val="single" w:sz="8" w:space="0" w:color="152935"/>
              <w:left w:val="nil"/>
              <w:bottom w:val="single" w:sz="8" w:space="0" w:color="152935"/>
              <w:right w:val="single" w:sz="8" w:space="0" w:color="E0E0E0"/>
            </w:tcBorders>
            <w:shd w:val="clear" w:color="auto" w:fill="auto"/>
          </w:tcPr>
          <w:p w14:paraId="6D169A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.803</w:t>
            </w:r>
            <w:r w:rsidRPr="00400193">
              <w:rPr>
                <w:rFonts w:asciiTheme="minorHAnsi" w:hAnsiTheme="minorHAnsi" w:cstheme="minorHAnsi"/>
                <w:sz w:val="20"/>
                <w:szCs w:val="18"/>
                <w:vertAlign w:val="superscript"/>
                <w:lang w:eastAsia="zh-CN" w:bidi="hi-IN"/>
              </w:rPr>
              <w:t>a</w:t>
            </w:r>
          </w:p>
        </w:tc>
        <w:tc>
          <w:tcPr>
            <w:tcW w:w="802" w:type="dxa"/>
            <w:tcBorders>
              <w:top w:val="single" w:sz="8" w:space="0" w:color="152935"/>
              <w:left w:val="single" w:sz="8" w:space="0" w:color="E0E0E0"/>
              <w:bottom w:val="single" w:sz="8" w:space="0" w:color="152935"/>
              <w:right w:val="single" w:sz="8" w:space="0" w:color="E0E0E0"/>
            </w:tcBorders>
            <w:shd w:val="clear" w:color="auto" w:fill="auto"/>
          </w:tcPr>
          <w:p w14:paraId="17451A1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.645</w:t>
            </w:r>
          </w:p>
        </w:tc>
        <w:tc>
          <w:tcPr>
            <w:tcW w:w="1084" w:type="dxa"/>
            <w:tcBorders>
              <w:top w:val="single" w:sz="8" w:space="0" w:color="152935"/>
              <w:left w:val="single" w:sz="8" w:space="0" w:color="E0E0E0"/>
              <w:bottom w:val="single" w:sz="8" w:space="0" w:color="152935"/>
              <w:right w:val="single" w:sz="8" w:space="0" w:color="E0E0E0"/>
            </w:tcBorders>
            <w:shd w:val="clear" w:color="auto" w:fill="auto"/>
          </w:tcPr>
          <w:p w14:paraId="51064B6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.634</w:t>
            </w:r>
          </w:p>
        </w:tc>
        <w:tc>
          <w:tcPr>
            <w:tcW w:w="1083" w:type="dxa"/>
            <w:tcBorders>
              <w:top w:val="single" w:sz="8" w:space="0" w:color="152935"/>
              <w:left w:val="single" w:sz="8" w:space="0" w:color="E0E0E0"/>
              <w:bottom w:val="single" w:sz="8" w:space="0" w:color="152935"/>
              <w:right w:val="single" w:sz="8" w:space="0" w:color="E0E0E0"/>
            </w:tcBorders>
            <w:shd w:val="clear" w:color="auto" w:fill="auto"/>
          </w:tcPr>
          <w:p w14:paraId="79879BF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.35905</w:t>
            </w:r>
          </w:p>
        </w:tc>
        <w:tc>
          <w:tcPr>
            <w:tcW w:w="1874" w:type="dxa"/>
            <w:tcBorders>
              <w:top w:val="single" w:sz="8" w:space="0" w:color="152935"/>
              <w:left w:val="single" w:sz="8" w:space="0" w:color="E0E0E0"/>
              <w:bottom w:val="single" w:sz="8" w:space="0" w:color="152935"/>
              <w:right w:val="single" w:sz="8" w:space="0" w:color="E0E0E0"/>
            </w:tcBorders>
            <w:shd w:val="clear" w:color="auto" w:fill="auto"/>
          </w:tcPr>
          <w:p w14:paraId="62771BA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.645</w:t>
            </w:r>
          </w:p>
        </w:tc>
        <w:tc>
          <w:tcPr>
            <w:tcW w:w="1526" w:type="dxa"/>
            <w:tcBorders>
              <w:top w:val="single" w:sz="8" w:space="0" w:color="152935"/>
              <w:left w:val="single" w:sz="8" w:space="0" w:color="E0E0E0"/>
              <w:bottom w:val="single" w:sz="8" w:space="0" w:color="152935"/>
              <w:right w:val="single" w:sz="8" w:space="0" w:color="E0E0E0"/>
            </w:tcBorders>
            <w:shd w:val="clear" w:color="auto" w:fill="auto"/>
          </w:tcPr>
          <w:p w14:paraId="0E6C0C0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60.568</w:t>
            </w:r>
          </w:p>
        </w:tc>
        <w:tc>
          <w:tcPr>
            <w:tcW w:w="1108" w:type="dxa"/>
            <w:tcBorders>
              <w:top w:val="single" w:sz="8" w:space="0" w:color="152935"/>
              <w:left w:val="single" w:sz="8" w:space="0" w:color="E0E0E0"/>
              <w:bottom w:val="single" w:sz="8" w:space="0" w:color="152935"/>
              <w:right w:val="nil"/>
            </w:tcBorders>
            <w:shd w:val="clear" w:color="auto" w:fill="auto"/>
          </w:tcPr>
          <w:p w14:paraId="6215BA16"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r>
      <w:tr w:rsidR="00222C2E" w:rsidRPr="00400193" w14:paraId="01E6E5F4" w14:textId="77777777" w:rsidTr="00222C2E">
        <w:trPr>
          <w:cantSplit/>
          <w:trHeight w:val="283"/>
        </w:trPr>
        <w:tc>
          <w:tcPr>
            <w:tcW w:w="8821" w:type="dxa"/>
            <w:gridSpan w:val="8"/>
            <w:tcBorders>
              <w:top w:val="single" w:sz="8" w:space="0" w:color="152935"/>
              <w:left w:val="nil"/>
              <w:bottom w:val="single" w:sz="4" w:space="0" w:color="FFFFFF" w:themeColor="background1"/>
              <w:right w:val="nil"/>
            </w:tcBorders>
            <w:shd w:val="clear" w:color="auto" w:fill="auto"/>
          </w:tcPr>
          <w:p w14:paraId="1EC5FD6D" w14:textId="77777777" w:rsidR="00222C2E" w:rsidRPr="00400193" w:rsidRDefault="00222C2E"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p w14:paraId="7FABEE6E" w14:textId="28FDEBD8" w:rsidR="00222C2E" w:rsidRPr="00400193" w:rsidRDefault="00222C2E"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b. </w:t>
            </w:r>
            <w:r w:rsidRPr="00400193">
              <w:rPr>
                <w:rFonts w:asciiTheme="minorHAnsi" w:hAnsiTheme="minorHAnsi" w:cstheme="minorHAnsi"/>
                <w:sz w:val="20"/>
                <w:szCs w:val="18"/>
                <w:lang w:eastAsia="zh-CN" w:bidi="hi-IN"/>
              </w:rPr>
              <w:t>Predictors: (Constant), IRF*RP, RP, IRF</w:t>
            </w:r>
          </w:p>
        </w:tc>
      </w:tr>
    </w:tbl>
    <w:p w14:paraId="2B1C9EB4" w14:textId="43372A01" w:rsidR="006E3616" w:rsidRPr="00400193" w:rsidRDefault="006E3616" w:rsidP="006E3616">
      <w:pPr>
        <w:pStyle w:val="Caption"/>
      </w:pPr>
      <w:bookmarkStart w:id="776" w:name="_Ref51589967"/>
      <w:bookmarkStart w:id="777" w:name="_Toc5290164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100</w:t>
      </w:r>
      <w:r w:rsidRPr="00400193">
        <w:fldChar w:fldCharType="end"/>
      </w:r>
      <w:bookmarkEnd w:id="776"/>
      <w:r w:rsidRPr="00400193">
        <w:t>: Regression model summary for VW</w:t>
      </w:r>
      <w:bookmarkEnd w:id="777"/>
    </w:p>
    <w:tbl>
      <w:tblPr>
        <w:tblW w:w="88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2"/>
        <w:gridCol w:w="1250"/>
        <w:gridCol w:w="1430"/>
        <w:gridCol w:w="997"/>
        <w:gridCol w:w="1369"/>
        <w:gridCol w:w="997"/>
        <w:gridCol w:w="2138"/>
      </w:tblGrid>
      <w:tr w:rsidR="006E3616" w:rsidRPr="00400193" w14:paraId="7342CEB2" w14:textId="77777777" w:rsidTr="00222C2E">
        <w:trPr>
          <w:cantSplit/>
          <w:trHeight w:val="283"/>
        </w:trPr>
        <w:tc>
          <w:tcPr>
            <w:tcW w:w="8893" w:type="dxa"/>
            <w:gridSpan w:val="7"/>
            <w:tcBorders>
              <w:top w:val="nil"/>
              <w:left w:val="nil"/>
              <w:bottom w:val="nil"/>
              <w:right w:val="nil"/>
            </w:tcBorders>
            <w:shd w:val="clear" w:color="auto" w:fill="auto"/>
            <w:vAlign w:val="center"/>
          </w:tcPr>
          <w:p w14:paraId="3DA1623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6601BF45" w14:textId="77777777" w:rsidTr="00222C2E">
        <w:trPr>
          <w:cantSplit/>
          <w:trHeight w:val="283"/>
        </w:trPr>
        <w:tc>
          <w:tcPr>
            <w:tcW w:w="1962" w:type="dxa"/>
            <w:gridSpan w:val="2"/>
            <w:tcBorders>
              <w:top w:val="nil"/>
              <w:left w:val="nil"/>
              <w:bottom w:val="single" w:sz="8" w:space="0" w:color="152935"/>
              <w:right w:val="nil"/>
            </w:tcBorders>
            <w:shd w:val="clear" w:color="auto" w:fill="auto"/>
            <w:vAlign w:val="bottom"/>
          </w:tcPr>
          <w:p w14:paraId="65006B4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30" w:type="dxa"/>
            <w:tcBorders>
              <w:top w:val="nil"/>
              <w:left w:val="nil"/>
              <w:bottom w:val="single" w:sz="8" w:space="0" w:color="152935"/>
              <w:right w:val="single" w:sz="8" w:space="0" w:color="E0E0E0"/>
            </w:tcBorders>
            <w:shd w:val="clear" w:color="auto" w:fill="auto"/>
            <w:vAlign w:val="bottom"/>
          </w:tcPr>
          <w:p w14:paraId="5C1FD90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97" w:type="dxa"/>
            <w:tcBorders>
              <w:top w:val="nil"/>
              <w:left w:val="single" w:sz="8" w:space="0" w:color="E0E0E0"/>
              <w:bottom w:val="single" w:sz="8" w:space="0" w:color="152935"/>
              <w:right w:val="single" w:sz="8" w:space="0" w:color="E0E0E0"/>
            </w:tcBorders>
            <w:shd w:val="clear" w:color="auto" w:fill="auto"/>
            <w:vAlign w:val="bottom"/>
          </w:tcPr>
          <w:p w14:paraId="4CD6E79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69" w:type="dxa"/>
            <w:tcBorders>
              <w:top w:val="nil"/>
              <w:left w:val="single" w:sz="8" w:space="0" w:color="E0E0E0"/>
              <w:bottom w:val="single" w:sz="8" w:space="0" w:color="152935"/>
              <w:right w:val="single" w:sz="8" w:space="0" w:color="E0E0E0"/>
            </w:tcBorders>
            <w:shd w:val="clear" w:color="auto" w:fill="auto"/>
            <w:vAlign w:val="bottom"/>
          </w:tcPr>
          <w:p w14:paraId="6B808A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97" w:type="dxa"/>
            <w:tcBorders>
              <w:top w:val="nil"/>
              <w:left w:val="single" w:sz="8" w:space="0" w:color="E0E0E0"/>
              <w:bottom w:val="single" w:sz="8" w:space="0" w:color="152935"/>
              <w:right w:val="single" w:sz="8" w:space="0" w:color="E0E0E0"/>
            </w:tcBorders>
            <w:shd w:val="clear" w:color="auto" w:fill="auto"/>
            <w:vAlign w:val="bottom"/>
          </w:tcPr>
          <w:p w14:paraId="3D3D76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138" w:type="dxa"/>
            <w:tcBorders>
              <w:top w:val="nil"/>
              <w:left w:val="single" w:sz="8" w:space="0" w:color="E0E0E0"/>
              <w:bottom w:val="single" w:sz="8" w:space="0" w:color="152935"/>
              <w:right w:val="nil"/>
            </w:tcBorders>
            <w:shd w:val="clear" w:color="auto" w:fill="auto"/>
            <w:vAlign w:val="bottom"/>
          </w:tcPr>
          <w:p w14:paraId="79FFD0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3738D99C" w14:textId="77777777" w:rsidTr="00222C2E">
        <w:trPr>
          <w:cantSplit/>
          <w:trHeight w:val="283"/>
        </w:trPr>
        <w:tc>
          <w:tcPr>
            <w:tcW w:w="712" w:type="dxa"/>
            <w:vMerge w:val="restart"/>
            <w:tcBorders>
              <w:top w:val="single" w:sz="8" w:space="0" w:color="152935"/>
              <w:left w:val="nil"/>
              <w:bottom w:val="single" w:sz="8" w:space="0" w:color="152935"/>
              <w:right w:val="nil"/>
            </w:tcBorders>
            <w:shd w:val="clear" w:color="auto" w:fill="auto"/>
          </w:tcPr>
          <w:p w14:paraId="6C13A4F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50" w:type="dxa"/>
            <w:tcBorders>
              <w:top w:val="single" w:sz="8" w:space="0" w:color="152935"/>
              <w:left w:val="nil"/>
              <w:bottom w:val="single" w:sz="8" w:space="0" w:color="AEAEAE"/>
              <w:right w:val="nil"/>
            </w:tcBorders>
            <w:shd w:val="clear" w:color="auto" w:fill="auto"/>
          </w:tcPr>
          <w:p w14:paraId="48AD5F7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30" w:type="dxa"/>
            <w:tcBorders>
              <w:top w:val="single" w:sz="8" w:space="0" w:color="152935"/>
              <w:left w:val="nil"/>
              <w:bottom w:val="single" w:sz="8" w:space="0" w:color="AEAEAE"/>
              <w:right w:val="single" w:sz="8" w:space="0" w:color="E0E0E0"/>
            </w:tcBorders>
            <w:shd w:val="clear" w:color="auto" w:fill="auto"/>
          </w:tcPr>
          <w:p w14:paraId="3E34454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23.425</w:t>
            </w:r>
          </w:p>
        </w:tc>
        <w:tc>
          <w:tcPr>
            <w:tcW w:w="997" w:type="dxa"/>
            <w:tcBorders>
              <w:top w:val="single" w:sz="8" w:space="0" w:color="152935"/>
              <w:left w:val="single" w:sz="8" w:space="0" w:color="E0E0E0"/>
              <w:bottom w:val="single" w:sz="8" w:space="0" w:color="AEAEAE"/>
              <w:right w:val="single" w:sz="8" w:space="0" w:color="E0E0E0"/>
            </w:tcBorders>
            <w:shd w:val="clear" w:color="auto" w:fill="auto"/>
          </w:tcPr>
          <w:p w14:paraId="76518D1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369" w:type="dxa"/>
            <w:tcBorders>
              <w:top w:val="single" w:sz="8" w:space="0" w:color="152935"/>
              <w:left w:val="single" w:sz="8" w:space="0" w:color="E0E0E0"/>
              <w:bottom w:val="single" w:sz="8" w:space="0" w:color="AEAEAE"/>
              <w:right w:val="single" w:sz="8" w:space="0" w:color="E0E0E0"/>
            </w:tcBorders>
            <w:shd w:val="clear" w:color="auto" w:fill="auto"/>
          </w:tcPr>
          <w:p w14:paraId="319F0B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7.808</w:t>
            </w:r>
          </w:p>
        </w:tc>
        <w:tc>
          <w:tcPr>
            <w:tcW w:w="997" w:type="dxa"/>
            <w:tcBorders>
              <w:top w:val="single" w:sz="8" w:space="0" w:color="152935"/>
              <w:left w:val="single" w:sz="8" w:space="0" w:color="E0E0E0"/>
              <w:bottom w:val="single" w:sz="8" w:space="0" w:color="AEAEAE"/>
              <w:right w:val="single" w:sz="8" w:space="0" w:color="E0E0E0"/>
            </w:tcBorders>
            <w:shd w:val="clear" w:color="auto" w:fill="auto"/>
          </w:tcPr>
          <w:p w14:paraId="3D7679E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60.568</w:t>
            </w:r>
          </w:p>
        </w:tc>
        <w:tc>
          <w:tcPr>
            <w:tcW w:w="2138" w:type="dxa"/>
            <w:tcBorders>
              <w:top w:val="single" w:sz="8" w:space="0" w:color="152935"/>
              <w:left w:val="single" w:sz="8" w:space="0" w:color="E0E0E0"/>
              <w:bottom w:val="single" w:sz="8" w:space="0" w:color="AEAEAE"/>
              <w:right w:val="nil"/>
            </w:tcBorders>
            <w:shd w:val="clear" w:color="auto" w:fill="auto"/>
          </w:tcPr>
          <w:p w14:paraId="0530AB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18B2EA39" w14:textId="77777777" w:rsidTr="00222C2E">
        <w:trPr>
          <w:cantSplit/>
          <w:trHeight w:val="283"/>
        </w:trPr>
        <w:tc>
          <w:tcPr>
            <w:tcW w:w="712" w:type="dxa"/>
            <w:vMerge/>
            <w:tcBorders>
              <w:top w:val="single" w:sz="8" w:space="0" w:color="152935"/>
              <w:left w:val="nil"/>
              <w:bottom w:val="single" w:sz="8" w:space="0" w:color="152935"/>
              <w:right w:val="nil"/>
            </w:tcBorders>
            <w:shd w:val="clear" w:color="auto" w:fill="auto"/>
          </w:tcPr>
          <w:p w14:paraId="1B0103C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50" w:type="dxa"/>
            <w:tcBorders>
              <w:top w:val="single" w:sz="8" w:space="0" w:color="AEAEAE"/>
              <w:left w:val="nil"/>
              <w:bottom w:val="single" w:sz="8" w:space="0" w:color="AEAEAE"/>
              <w:right w:val="nil"/>
            </w:tcBorders>
            <w:shd w:val="clear" w:color="auto" w:fill="auto"/>
          </w:tcPr>
          <w:p w14:paraId="10F99A9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30" w:type="dxa"/>
            <w:tcBorders>
              <w:top w:val="single" w:sz="8" w:space="0" w:color="AEAEAE"/>
              <w:left w:val="nil"/>
              <w:bottom w:val="single" w:sz="8" w:space="0" w:color="AEAEAE"/>
              <w:right w:val="single" w:sz="8" w:space="0" w:color="E0E0E0"/>
            </w:tcBorders>
            <w:shd w:val="clear" w:color="auto" w:fill="auto"/>
          </w:tcPr>
          <w:p w14:paraId="52AB80E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12.892</w:t>
            </w:r>
          </w:p>
        </w:tc>
        <w:tc>
          <w:tcPr>
            <w:tcW w:w="997" w:type="dxa"/>
            <w:tcBorders>
              <w:top w:val="single" w:sz="8" w:space="0" w:color="AEAEAE"/>
              <w:left w:val="single" w:sz="8" w:space="0" w:color="E0E0E0"/>
              <w:bottom w:val="single" w:sz="8" w:space="0" w:color="AEAEAE"/>
              <w:right w:val="single" w:sz="8" w:space="0" w:color="E0E0E0"/>
            </w:tcBorders>
            <w:shd w:val="clear" w:color="auto" w:fill="auto"/>
          </w:tcPr>
          <w:p w14:paraId="187CB1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w:t>
            </w:r>
          </w:p>
        </w:tc>
        <w:tc>
          <w:tcPr>
            <w:tcW w:w="1369" w:type="dxa"/>
            <w:tcBorders>
              <w:top w:val="single" w:sz="8" w:space="0" w:color="AEAEAE"/>
              <w:left w:val="single" w:sz="8" w:space="0" w:color="E0E0E0"/>
              <w:bottom w:val="single" w:sz="8" w:space="0" w:color="AEAEAE"/>
              <w:right w:val="single" w:sz="8" w:space="0" w:color="E0E0E0"/>
            </w:tcBorders>
            <w:shd w:val="clear" w:color="auto" w:fill="auto"/>
          </w:tcPr>
          <w:p w14:paraId="02AB98B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.129</w:t>
            </w:r>
          </w:p>
        </w:tc>
        <w:tc>
          <w:tcPr>
            <w:tcW w:w="997" w:type="dxa"/>
            <w:tcBorders>
              <w:top w:val="single" w:sz="8" w:space="0" w:color="AEAEAE"/>
              <w:left w:val="single" w:sz="8" w:space="0" w:color="E0E0E0"/>
              <w:bottom w:val="single" w:sz="8" w:space="0" w:color="AEAEAE"/>
              <w:right w:val="single" w:sz="8" w:space="0" w:color="E0E0E0"/>
            </w:tcBorders>
            <w:shd w:val="clear" w:color="auto" w:fill="auto"/>
            <w:vAlign w:val="center"/>
          </w:tcPr>
          <w:p w14:paraId="0C0E7CF9"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38" w:type="dxa"/>
            <w:tcBorders>
              <w:top w:val="single" w:sz="8" w:space="0" w:color="AEAEAE"/>
              <w:left w:val="single" w:sz="8" w:space="0" w:color="E0E0E0"/>
              <w:bottom w:val="single" w:sz="8" w:space="0" w:color="AEAEAE"/>
              <w:right w:val="nil"/>
            </w:tcBorders>
            <w:shd w:val="clear" w:color="auto" w:fill="auto"/>
            <w:vAlign w:val="center"/>
          </w:tcPr>
          <w:p w14:paraId="22DD23C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4041137D" w14:textId="77777777" w:rsidTr="00222C2E">
        <w:trPr>
          <w:cantSplit/>
          <w:trHeight w:val="283"/>
        </w:trPr>
        <w:tc>
          <w:tcPr>
            <w:tcW w:w="712" w:type="dxa"/>
            <w:vMerge/>
            <w:tcBorders>
              <w:top w:val="single" w:sz="8" w:space="0" w:color="152935"/>
              <w:left w:val="nil"/>
              <w:bottom w:val="single" w:sz="8" w:space="0" w:color="152935"/>
              <w:right w:val="nil"/>
            </w:tcBorders>
            <w:shd w:val="clear" w:color="auto" w:fill="auto"/>
          </w:tcPr>
          <w:p w14:paraId="22D03BE0"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250" w:type="dxa"/>
            <w:tcBorders>
              <w:top w:val="single" w:sz="8" w:space="0" w:color="AEAEAE"/>
              <w:left w:val="nil"/>
              <w:bottom w:val="single" w:sz="8" w:space="0" w:color="152935"/>
              <w:right w:val="nil"/>
            </w:tcBorders>
            <w:shd w:val="clear" w:color="auto" w:fill="auto"/>
          </w:tcPr>
          <w:p w14:paraId="2995D42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30" w:type="dxa"/>
            <w:tcBorders>
              <w:top w:val="single" w:sz="8" w:space="0" w:color="AEAEAE"/>
              <w:left w:val="nil"/>
              <w:bottom w:val="single" w:sz="8" w:space="0" w:color="152935"/>
              <w:right w:val="single" w:sz="8" w:space="0" w:color="E0E0E0"/>
            </w:tcBorders>
            <w:shd w:val="clear" w:color="auto" w:fill="auto"/>
          </w:tcPr>
          <w:p w14:paraId="73F9DC0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97" w:type="dxa"/>
            <w:tcBorders>
              <w:top w:val="single" w:sz="8" w:space="0" w:color="AEAEAE"/>
              <w:left w:val="single" w:sz="8" w:space="0" w:color="E0E0E0"/>
              <w:bottom w:val="single" w:sz="8" w:space="0" w:color="152935"/>
              <w:right w:val="single" w:sz="8" w:space="0" w:color="E0E0E0"/>
            </w:tcBorders>
            <w:shd w:val="clear" w:color="auto" w:fill="auto"/>
          </w:tcPr>
          <w:p w14:paraId="537C30D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69" w:type="dxa"/>
            <w:tcBorders>
              <w:top w:val="single" w:sz="8" w:space="0" w:color="AEAEAE"/>
              <w:left w:val="single" w:sz="8" w:space="0" w:color="E0E0E0"/>
              <w:bottom w:val="single" w:sz="8" w:space="0" w:color="152935"/>
              <w:right w:val="single" w:sz="8" w:space="0" w:color="E0E0E0"/>
            </w:tcBorders>
            <w:shd w:val="clear" w:color="auto" w:fill="auto"/>
            <w:vAlign w:val="center"/>
          </w:tcPr>
          <w:p w14:paraId="5E6B3E76"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997" w:type="dxa"/>
            <w:tcBorders>
              <w:top w:val="single" w:sz="8" w:space="0" w:color="AEAEAE"/>
              <w:left w:val="single" w:sz="8" w:space="0" w:color="E0E0E0"/>
              <w:bottom w:val="single" w:sz="8" w:space="0" w:color="152935"/>
              <w:right w:val="single" w:sz="8" w:space="0" w:color="E0E0E0"/>
            </w:tcBorders>
            <w:shd w:val="clear" w:color="auto" w:fill="auto"/>
            <w:vAlign w:val="center"/>
          </w:tcPr>
          <w:p w14:paraId="53482D3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2138" w:type="dxa"/>
            <w:tcBorders>
              <w:top w:val="single" w:sz="8" w:space="0" w:color="AEAEAE"/>
              <w:left w:val="single" w:sz="8" w:space="0" w:color="E0E0E0"/>
              <w:bottom w:val="single" w:sz="8" w:space="0" w:color="152935"/>
              <w:right w:val="nil"/>
            </w:tcBorders>
            <w:shd w:val="clear" w:color="auto" w:fill="auto"/>
            <w:vAlign w:val="center"/>
          </w:tcPr>
          <w:p w14:paraId="12FAF2CB"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r>
      <w:tr w:rsidR="006E3616" w:rsidRPr="00400193" w14:paraId="4EE98AA6" w14:textId="77777777" w:rsidTr="00222C2E">
        <w:trPr>
          <w:cantSplit/>
          <w:trHeight w:val="283"/>
        </w:trPr>
        <w:tc>
          <w:tcPr>
            <w:tcW w:w="8893" w:type="dxa"/>
            <w:gridSpan w:val="7"/>
            <w:tcBorders>
              <w:top w:val="nil"/>
              <w:left w:val="nil"/>
              <w:bottom w:val="nil"/>
              <w:right w:val="nil"/>
            </w:tcBorders>
            <w:shd w:val="clear" w:color="auto" w:fill="auto"/>
          </w:tcPr>
          <w:p w14:paraId="1B956FA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67D606C9" w14:textId="77777777" w:rsidTr="00222C2E">
        <w:trPr>
          <w:cantSplit/>
          <w:trHeight w:val="283"/>
        </w:trPr>
        <w:tc>
          <w:tcPr>
            <w:tcW w:w="8893" w:type="dxa"/>
            <w:gridSpan w:val="7"/>
            <w:tcBorders>
              <w:top w:val="nil"/>
              <w:left w:val="nil"/>
              <w:bottom w:val="nil"/>
              <w:right w:val="nil"/>
            </w:tcBorders>
            <w:shd w:val="clear" w:color="auto" w:fill="auto"/>
          </w:tcPr>
          <w:p w14:paraId="7078DD7D" w14:textId="63D67A29"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w:t>
            </w:r>
            <w:r w:rsidR="00DD07A5" w:rsidRPr="00400193">
              <w:rPr>
                <w:rFonts w:asciiTheme="minorHAnsi" w:hAnsiTheme="minorHAnsi" w:cstheme="minorHAnsi"/>
                <w:sz w:val="20"/>
                <w:szCs w:val="18"/>
                <w:lang w:eastAsia="zh-CN" w:bidi="hi-IN"/>
              </w:rPr>
              <w:t>IRF</w:t>
            </w:r>
            <w:r w:rsidRPr="00400193">
              <w:rPr>
                <w:rFonts w:asciiTheme="minorHAnsi" w:hAnsiTheme="minorHAnsi" w:cstheme="minorHAnsi"/>
                <w:sz w:val="20"/>
                <w:szCs w:val="18"/>
                <w:lang w:eastAsia="zh-CN" w:bidi="hi-IN"/>
              </w:rPr>
              <w:t xml:space="preserve">*RP, RP, </w:t>
            </w:r>
            <w:r w:rsidR="00DD07A5" w:rsidRPr="00400193">
              <w:rPr>
                <w:rFonts w:asciiTheme="minorHAnsi" w:hAnsiTheme="minorHAnsi" w:cstheme="minorHAnsi"/>
                <w:sz w:val="20"/>
                <w:szCs w:val="18"/>
                <w:lang w:eastAsia="zh-CN" w:bidi="hi-IN"/>
              </w:rPr>
              <w:t>IRF</w:t>
            </w:r>
          </w:p>
        </w:tc>
      </w:tr>
    </w:tbl>
    <w:p w14:paraId="18CF28F6" w14:textId="3714D1E6" w:rsidR="006E3616" w:rsidRPr="00400193" w:rsidRDefault="006E3616" w:rsidP="00222C2E">
      <w:pPr>
        <w:pStyle w:val="Caption"/>
        <w:spacing w:after="240"/>
      </w:pPr>
      <w:bookmarkStart w:id="778" w:name="_Ref51590251"/>
      <w:bookmarkStart w:id="779" w:name="_Toc5290164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101</w:t>
      </w:r>
      <w:r w:rsidRPr="00400193">
        <w:fldChar w:fldCharType="end"/>
      </w:r>
      <w:bookmarkEnd w:id="778"/>
      <w:r w:rsidRPr="00400193">
        <w:t>: Analysis of variance of the model for VW</w:t>
      </w:r>
      <w:bookmarkEnd w:id="779"/>
    </w:p>
    <w:tbl>
      <w:tblPr>
        <w:tblW w:w="89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1"/>
        <w:gridCol w:w="1060"/>
        <w:gridCol w:w="630"/>
        <w:gridCol w:w="1768"/>
        <w:gridCol w:w="2227"/>
        <w:gridCol w:w="599"/>
        <w:gridCol w:w="685"/>
        <w:gridCol w:w="1461"/>
      </w:tblGrid>
      <w:tr w:rsidR="006E3616" w:rsidRPr="00400193" w14:paraId="5C41A393" w14:textId="77777777" w:rsidTr="00EF2516">
        <w:trPr>
          <w:cantSplit/>
          <w:trHeight w:val="283"/>
        </w:trPr>
        <w:tc>
          <w:tcPr>
            <w:tcW w:w="8911" w:type="dxa"/>
            <w:gridSpan w:val="8"/>
            <w:tcBorders>
              <w:top w:val="nil"/>
              <w:left w:val="nil"/>
              <w:bottom w:val="nil"/>
              <w:right w:val="nil"/>
            </w:tcBorders>
            <w:shd w:val="clear" w:color="auto" w:fill="auto"/>
          </w:tcPr>
          <w:p w14:paraId="1A02108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Coefficients </w:t>
            </w:r>
            <w:r w:rsidRPr="00400193">
              <w:rPr>
                <w:rFonts w:asciiTheme="minorHAnsi" w:hAnsiTheme="minorHAnsi" w:cstheme="minorHAnsi"/>
                <w:b/>
                <w:bCs/>
                <w:sz w:val="20"/>
                <w:szCs w:val="20"/>
                <w:vertAlign w:val="superscript"/>
                <w:lang w:eastAsia="zh-CN" w:bidi="hi-IN"/>
              </w:rPr>
              <w:t>a</w:t>
            </w:r>
          </w:p>
        </w:tc>
      </w:tr>
      <w:tr w:rsidR="006E3616" w:rsidRPr="00400193" w14:paraId="4BBACB3E" w14:textId="77777777" w:rsidTr="00EF2516">
        <w:trPr>
          <w:cantSplit/>
          <w:trHeight w:val="283"/>
        </w:trPr>
        <w:tc>
          <w:tcPr>
            <w:tcW w:w="1541" w:type="dxa"/>
            <w:gridSpan w:val="2"/>
            <w:vMerge w:val="restart"/>
            <w:tcBorders>
              <w:top w:val="nil"/>
              <w:left w:val="nil"/>
              <w:bottom w:val="nil"/>
              <w:right w:val="nil"/>
            </w:tcBorders>
            <w:shd w:val="clear" w:color="auto" w:fill="auto"/>
          </w:tcPr>
          <w:p w14:paraId="5D2D1AA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2398" w:type="dxa"/>
            <w:gridSpan w:val="2"/>
            <w:tcBorders>
              <w:top w:val="nil"/>
              <w:left w:val="nil"/>
              <w:bottom w:val="nil"/>
              <w:right w:val="single" w:sz="8" w:space="0" w:color="E0E0E0"/>
            </w:tcBorders>
            <w:shd w:val="clear" w:color="auto" w:fill="auto"/>
          </w:tcPr>
          <w:p w14:paraId="2663D00F"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Unstandardised Coefficients</w:t>
            </w:r>
          </w:p>
        </w:tc>
        <w:tc>
          <w:tcPr>
            <w:tcW w:w="2227" w:type="dxa"/>
            <w:tcBorders>
              <w:top w:val="nil"/>
              <w:left w:val="single" w:sz="8" w:space="0" w:color="E0E0E0"/>
              <w:bottom w:val="nil"/>
              <w:right w:val="single" w:sz="8" w:space="0" w:color="E0E0E0"/>
            </w:tcBorders>
            <w:shd w:val="clear" w:color="auto" w:fill="auto"/>
          </w:tcPr>
          <w:p w14:paraId="5E31980E"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Standardised Coefficients</w:t>
            </w:r>
          </w:p>
        </w:tc>
        <w:tc>
          <w:tcPr>
            <w:tcW w:w="599" w:type="dxa"/>
            <w:vMerge w:val="restart"/>
            <w:tcBorders>
              <w:top w:val="nil"/>
              <w:left w:val="single" w:sz="8" w:space="0" w:color="E0E0E0"/>
              <w:bottom w:val="nil"/>
              <w:right w:val="single" w:sz="8" w:space="0" w:color="E0E0E0"/>
            </w:tcBorders>
            <w:shd w:val="clear" w:color="auto" w:fill="auto"/>
          </w:tcPr>
          <w:p w14:paraId="2FA32B4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w:t>
            </w:r>
          </w:p>
        </w:tc>
        <w:tc>
          <w:tcPr>
            <w:tcW w:w="685" w:type="dxa"/>
            <w:vMerge w:val="restart"/>
            <w:tcBorders>
              <w:top w:val="nil"/>
              <w:left w:val="single" w:sz="8" w:space="0" w:color="E0E0E0"/>
              <w:bottom w:val="nil"/>
              <w:right w:val="single" w:sz="8" w:space="0" w:color="E0E0E0"/>
            </w:tcBorders>
            <w:shd w:val="clear" w:color="auto" w:fill="auto"/>
          </w:tcPr>
          <w:p w14:paraId="21C0F72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Sig.</w:t>
            </w:r>
          </w:p>
        </w:tc>
        <w:tc>
          <w:tcPr>
            <w:tcW w:w="1461" w:type="dxa"/>
            <w:tcBorders>
              <w:top w:val="nil"/>
              <w:left w:val="single" w:sz="8" w:space="0" w:color="E0E0E0"/>
              <w:bottom w:val="nil"/>
              <w:right w:val="nil"/>
            </w:tcBorders>
            <w:shd w:val="clear" w:color="auto" w:fill="auto"/>
          </w:tcPr>
          <w:p w14:paraId="02D54B6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Correlations</w:t>
            </w:r>
          </w:p>
        </w:tc>
      </w:tr>
      <w:tr w:rsidR="006E3616" w:rsidRPr="00400193" w14:paraId="7C91149B" w14:textId="77777777" w:rsidTr="00EF2516">
        <w:trPr>
          <w:cantSplit/>
          <w:trHeight w:val="283"/>
        </w:trPr>
        <w:tc>
          <w:tcPr>
            <w:tcW w:w="1541" w:type="dxa"/>
            <w:gridSpan w:val="2"/>
            <w:vMerge/>
            <w:tcBorders>
              <w:top w:val="nil"/>
              <w:left w:val="nil"/>
              <w:bottom w:val="nil"/>
              <w:right w:val="nil"/>
            </w:tcBorders>
            <w:shd w:val="clear" w:color="auto" w:fill="auto"/>
          </w:tcPr>
          <w:p w14:paraId="5813EA0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630" w:type="dxa"/>
            <w:tcBorders>
              <w:top w:val="nil"/>
              <w:left w:val="nil"/>
              <w:bottom w:val="single" w:sz="8" w:space="0" w:color="152935"/>
              <w:right w:val="single" w:sz="8" w:space="0" w:color="E0E0E0"/>
            </w:tcBorders>
            <w:shd w:val="clear" w:color="auto" w:fill="auto"/>
          </w:tcPr>
          <w:p w14:paraId="0F0623F4"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w:t>
            </w:r>
          </w:p>
        </w:tc>
        <w:tc>
          <w:tcPr>
            <w:tcW w:w="1768" w:type="dxa"/>
            <w:tcBorders>
              <w:top w:val="nil"/>
              <w:left w:val="single" w:sz="8" w:space="0" w:color="E0E0E0"/>
              <w:bottom w:val="single" w:sz="8" w:space="0" w:color="152935"/>
              <w:right w:val="single" w:sz="8" w:space="0" w:color="E0E0E0"/>
            </w:tcBorders>
            <w:shd w:val="clear" w:color="auto" w:fill="auto"/>
          </w:tcPr>
          <w:p w14:paraId="799E027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Std. Error</w:t>
            </w:r>
          </w:p>
        </w:tc>
        <w:tc>
          <w:tcPr>
            <w:tcW w:w="2227" w:type="dxa"/>
            <w:tcBorders>
              <w:top w:val="nil"/>
              <w:left w:val="single" w:sz="8" w:space="0" w:color="E0E0E0"/>
              <w:bottom w:val="single" w:sz="8" w:space="0" w:color="152935"/>
              <w:right w:val="single" w:sz="8" w:space="0" w:color="E0E0E0"/>
            </w:tcBorders>
            <w:shd w:val="clear" w:color="auto" w:fill="auto"/>
          </w:tcPr>
          <w:p w14:paraId="3DD132E6"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Beta</w:t>
            </w:r>
          </w:p>
        </w:tc>
        <w:tc>
          <w:tcPr>
            <w:tcW w:w="599" w:type="dxa"/>
            <w:vMerge/>
            <w:tcBorders>
              <w:top w:val="nil"/>
              <w:left w:val="single" w:sz="8" w:space="0" w:color="E0E0E0"/>
              <w:bottom w:val="nil"/>
              <w:right w:val="single" w:sz="8" w:space="0" w:color="E0E0E0"/>
            </w:tcBorders>
            <w:shd w:val="clear" w:color="auto" w:fill="auto"/>
          </w:tcPr>
          <w:p w14:paraId="1D9A66B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685" w:type="dxa"/>
            <w:vMerge/>
            <w:tcBorders>
              <w:top w:val="nil"/>
              <w:left w:val="single" w:sz="8" w:space="0" w:color="E0E0E0"/>
              <w:bottom w:val="nil"/>
              <w:right w:val="single" w:sz="8" w:space="0" w:color="E0E0E0"/>
            </w:tcBorders>
            <w:shd w:val="clear" w:color="auto" w:fill="auto"/>
          </w:tcPr>
          <w:p w14:paraId="4763470F"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461" w:type="dxa"/>
            <w:tcBorders>
              <w:top w:val="nil"/>
              <w:left w:val="single" w:sz="8" w:space="0" w:color="E0E0E0"/>
              <w:bottom w:val="single" w:sz="8" w:space="0" w:color="152935"/>
              <w:right w:val="nil"/>
            </w:tcBorders>
            <w:shd w:val="clear" w:color="auto" w:fill="auto"/>
          </w:tcPr>
          <w:p w14:paraId="46A9D65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Zero-order</w:t>
            </w:r>
          </w:p>
        </w:tc>
      </w:tr>
      <w:tr w:rsidR="006E3616" w:rsidRPr="00400193" w14:paraId="64560456" w14:textId="77777777" w:rsidTr="00EF2516">
        <w:trPr>
          <w:cantSplit/>
          <w:trHeight w:val="283"/>
        </w:trPr>
        <w:tc>
          <w:tcPr>
            <w:tcW w:w="481" w:type="dxa"/>
            <w:vMerge w:val="restart"/>
            <w:tcBorders>
              <w:top w:val="single" w:sz="8" w:space="0" w:color="152935"/>
              <w:left w:val="nil"/>
              <w:bottom w:val="single" w:sz="8" w:space="0" w:color="152935"/>
              <w:right w:val="nil"/>
            </w:tcBorders>
            <w:shd w:val="clear" w:color="auto" w:fill="auto"/>
          </w:tcPr>
          <w:p w14:paraId="64D07D4F"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060" w:type="dxa"/>
            <w:tcBorders>
              <w:top w:val="single" w:sz="8" w:space="0" w:color="152935"/>
              <w:left w:val="nil"/>
              <w:bottom w:val="single" w:sz="8" w:space="0" w:color="AEAEAE"/>
              <w:right w:val="nil"/>
            </w:tcBorders>
            <w:shd w:val="clear" w:color="auto" w:fill="auto"/>
          </w:tcPr>
          <w:p w14:paraId="2D643B6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630" w:type="dxa"/>
            <w:tcBorders>
              <w:top w:val="single" w:sz="8" w:space="0" w:color="152935"/>
              <w:left w:val="nil"/>
              <w:bottom w:val="single" w:sz="8" w:space="0" w:color="AEAEAE"/>
              <w:right w:val="single" w:sz="8" w:space="0" w:color="E0E0E0"/>
            </w:tcBorders>
            <w:shd w:val="clear" w:color="auto" w:fill="auto"/>
          </w:tcPr>
          <w:p w14:paraId="7947DA5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1.069</w:t>
            </w:r>
          </w:p>
        </w:tc>
        <w:tc>
          <w:tcPr>
            <w:tcW w:w="1768" w:type="dxa"/>
            <w:tcBorders>
              <w:top w:val="single" w:sz="8" w:space="0" w:color="152935"/>
              <w:left w:val="single" w:sz="8" w:space="0" w:color="E0E0E0"/>
              <w:bottom w:val="single" w:sz="8" w:space="0" w:color="AEAEAE"/>
              <w:right w:val="single" w:sz="8" w:space="0" w:color="E0E0E0"/>
            </w:tcBorders>
            <w:shd w:val="clear" w:color="auto" w:fill="auto"/>
          </w:tcPr>
          <w:p w14:paraId="549072CE"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.280</w:t>
            </w:r>
          </w:p>
        </w:tc>
        <w:tc>
          <w:tcPr>
            <w:tcW w:w="2227" w:type="dxa"/>
            <w:tcBorders>
              <w:top w:val="single" w:sz="8" w:space="0" w:color="152935"/>
              <w:left w:val="single" w:sz="8" w:space="0" w:color="E0E0E0"/>
              <w:bottom w:val="single" w:sz="8" w:space="0" w:color="AEAEAE"/>
              <w:right w:val="single" w:sz="8" w:space="0" w:color="E0E0E0"/>
            </w:tcBorders>
            <w:shd w:val="clear" w:color="auto" w:fill="auto"/>
          </w:tcPr>
          <w:p w14:paraId="4491270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599" w:type="dxa"/>
            <w:tcBorders>
              <w:top w:val="single" w:sz="8" w:space="0" w:color="152935"/>
              <w:left w:val="single" w:sz="8" w:space="0" w:color="E0E0E0"/>
              <w:bottom w:val="single" w:sz="8" w:space="0" w:color="AEAEAE"/>
              <w:right w:val="single" w:sz="8" w:space="0" w:color="E0E0E0"/>
            </w:tcBorders>
            <w:shd w:val="clear" w:color="auto" w:fill="auto"/>
          </w:tcPr>
          <w:p w14:paraId="0F92D106"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3.816</w:t>
            </w:r>
          </w:p>
        </w:tc>
        <w:tc>
          <w:tcPr>
            <w:tcW w:w="685" w:type="dxa"/>
            <w:tcBorders>
              <w:top w:val="single" w:sz="8" w:space="0" w:color="152935"/>
              <w:left w:val="single" w:sz="8" w:space="0" w:color="E0E0E0"/>
              <w:bottom w:val="single" w:sz="8" w:space="0" w:color="AEAEAE"/>
              <w:right w:val="single" w:sz="8" w:space="0" w:color="E0E0E0"/>
            </w:tcBorders>
            <w:shd w:val="clear" w:color="auto" w:fill="auto"/>
          </w:tcPr>
          <w:p w14:paraId="0E697D5E"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.000</w:t>
            </w:r>
          </w:p>
        </w:tc>
        <w:tc>
          <w:tcPr>
            <w:tcW w:w="1461" w:type="dxa"/>
            <w:tcBorders>
              <w:top w:val="single" w:sz="8" w:space="0" w:color="152935"/>
              <w:left w:val="single" w:sz="8" w:space="0" w:color="E0E0E0"/>
              <w:bottom w:val="single" w:sz="8" w:space="0" w:color="AEAEAE"/>
              <w:right w:val="nil"/>
            </w:tcBorders>
            <w:shd w:val="clear" w:color="auto" w:fill="auto"/>
          </w:tcPr>
          <w:p w14:paraId="7FFB3CBC"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r>
      <w:tr w:rsidR="006E3616" w:rsidRPr="00400193" w14:paraId="0151AB43" w14:textId="77777777" w:rsidTr="00EF2516">
        <w:trPr>
          <w:cantSplit/>
          <w:trHeight w:val="283"/>
        </w:trPr>
        <w:tc>
          <w:tcPr>
            <w:tcW w:w="481" w:type="dxa"/>
            <w:vMerge/>
            <w:tcBorders>
              <w:top w:val="single" w:sz="8" w:space="0" w:color="152935"/>
              <w:left w:val="nil"/>
              <w:bottom w:val="single" w:sz="8" w:space="0" w:color="152935"/>
              <w:right w:val="nil"/>
            </w:tcBorders>
            <w:shd w:val="clear" w:color="auto" w:fill="auto"/>
          </w:tcPr>
          <w:p w14:paraId="52F143D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060" w:type="dxa"/>
            <w:tcBorders>
              <w:top w:val="single" w:sz="8" w:space="0" w:color="AEAEAE"/>
              <w:left w:val="nil"/>
              <w:bottom w:val="single" w:sz="8" w:space="0" w:color="AEAEAE"/>
              <w:right w:val="nil"/>
            </w:tcBorders>
            <w:shd w:val="clear" w:color="auto" w:fill="auto"/>
          </w:tcPr>
          <w:p w14:paraId="0CC363F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RP</w:t>
            </w:r>
          </w:p>
        </w:tc>
        <w:tc>
          <w:tcPr>
            <w:tcW w:w="630" w:type="dxa"/>
            <w:tcBorders>
              <w:top w:val="single" w:sz="8" w:space="0" w:color="AEAEAE"/>
              <w:left w:val="nil"/>
              <w:bottom w:val="single" w:sz="8" w:space="0" w:color="AEAEAE"/>
              <w:right w:val="single" w:sz="8" w:space="0" w:color="E0E0E0"/>
            </w:tcBorders>
            <w:shd w:val="clear" w:color="auto" w:fill="auto"/>
          </w:tcPr>
          <w:p w14:paraId="3EDF000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.147</w:t>
            </w:r>
          </w:p>
        </w:tc>
        <w:tc>
          <w:tcPr>
            <w:tcW w:w="1768" w:type="dxa"/>
            <w:tcBorders>
              <w:top w:val="single" w:sz="8" w:space="0" w:color="AEAEAE"/>
              <w:left w:val="single" w:sz="8" w:space="0" w:color="E0E0E0"/>
              <w:bottom w:val="single" w:sz="8" w:space="0" w:color="AEAEAE"/>
              <w:right w:val="single" w:sz="8" w:space="0" w:color="E0E0E0"/>
            </w:tcBorders>
            <w:shd w:val="clear" w:color="auto" w:fill="auto"/>
          </w:tcPr>
          <w:p w14:paraId="0C10EBB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.084</w:t>
            </w:r>
          </w:p>
        </w:tc>
        <w:tc>
          <w:tcPr>
            <w:tcW w:w="2227" w:type="dxa"/>
            <w:tcBorders>
              <w:top w:val="single" w:sz="8" w:space="0" w:color="AEAEAE"/>
              <w:left w:val="single" w:sz="8" w:space="0" w:color="E0E0E0"/>
              <w:bottom w:val="single" w:sz="8" w:space="0" w:color="AEAEAE"/>
              <w:right w:val="single" w:sz="8" w:space="0" w:color="E0E0E0"/>
            </w:tcBorders>
            <w:shd w:val="clear" w:color="auto" w:fill="auto"/>
          </w:tcPr>
          <w:p w14:paraId="002F261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.165</w:t>
            </w:r>
          </w:p>
        </w:tc>
        <w:tc>
          <w:tcPr>
            <w:tcW w:w="599" w:type="dxa"/>
            <w:tcBorders>
              <w:top w:val="single" w:sz="8" w:space="0" w:color="AEAEAE"/>
              <w:left w:val="single" w:sz="8" w:space="0" w:color="E0E0E0"/>
              <w:bottom w:val="single" w:sz="8" w:space="0" w:color="AEAEAE"/>
              <w:right w:val="single" w:sz="8" w:space="0" w:color="E0E0E0"/>
            </w:tcBorders>
            <w:shd w:val="clear" w:color="auto" w:fill="auto"/>
          </w:tcPr>
          <w:p w14:paraId="2BD5280F" w14:textId="22509CDE"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r w:rsidR="009D118F" w:rsidRPr="00400193">
              <w:rPr>
                <w:rFonts w:asciiTheme="minorHAnsi" w:hAnsiTheme="minorHAnsi" w:cstheme="minorHAnsi"/>
                <w:sz w:val="20"/>
                <w:szCs w:val="20"/>
                <w:lang w:eastAsia="zh-CN" w:bidi="hi-IN"/>
              </w:rPr>
              <w:t>1</w:t>
            </w:r>
            <w:r w:rsidRPr="00400193">
              <w:rPr>
                <w:rFonts w:asciiTheme="minorHAnsi" w:hAnsiTheme="minorHAnsi" w:cstheme="minorHAnsi"/>
                <w:sz w:val="20"/>
                <w:szCs w:val="20"/>
                <w:lang w:eastAsia="zh-CN" w:bidi="hi-IN"/>
              </w:rPr>
              <w:t>.759</w:t>
            </w:r>
          </w:p>
        </w:tc>
        <w:tc>
          <w:tcPr>
            <w:tcW w:w="685" w:type="dxa"/>
            <w:tcBorders>
              <w:top w:val="single" w:sz="8" w:space="0" w:color="AEAEAE"/>
              <w:left w:val="single" w:sz="8" w:space="0" w:color="E0E0E0"/>
              <w:bottom w:val="single" w:sz="8" w:space="0" w:color="AEAEAE"/>
              <w:right w:val="single" w:sz="8" w:space="0" w:color="E0E0E0"/>
            </w:tcBorders>
            <w:shd w:val="clear" w:color="auto" w:fill="auto"/>
          </w:tcPr>
          <w:p w14:paraId="2B6E89EA" w14:textId="1A3AB8C0"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9D118F"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082</w:t>
            </w:r>
          </w:p>
        </w:tc>
        <w:tc>
          <w:tcPr>
            <w:tcW w:w="1461" w:type="dxa"/>
            <w:tcBorders>
              <w:top w:val="single" w:sz="8" w:space="0" w:color="AEAEAE"/>
              <w:left w:val="single" w:sz="8" w:space="0" w:color="E0E0E0"/>
              <w:bottom w:val="single" w:sz="8" w:space="0" w:color="AEAEAE"/>
              <w:right w:val="nil"/>
            </w:tcBorders>
            <w:shd w:val="clear" w:color="auto" w:fill="auto"/>
          </w:tcPr>
          <w:p w14:paraId="4AAD9C4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.348</w:t>
            </w:r>
          </w:p>
        </w:tc>
      </w:tr>
      <w:tr w:rsidR="006E3616" w:rsidRPr="00400193" w14:paraId="16BF89B6" w14:textId="77777777" w:rsidTr="00EF2516">
        <w:trPr>
          <w:cantSplit/>
          <w:trHeight w:val="283"/>
        </w:trPr>
        <w:tc>
          <w:tcPr>
            <w:tcW w:w="481" w:type="dxa"/>
            <w:vMerge/>
            <w:tcBorders>
              <w:top w:val="single" w:sz="8" w:space="0" w:color="152935"/>
              <w:left w:val="nil"/>
              <w:bottom w:val="single" w:sz="8" w:space="0" w:color="152935"/>
              <w:right w:val="nil"/>
            </w:tcBorders>
            <w:shd w:val="clear" w:color="auto" w:fill="auto"/>
          </w:tcPr>
          <w:p w14:paraId="3523DDC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060" w:type="dxa"/>
            <w:tcBorders>
              <w:top w:val="single" w:sz="8" w:space="0" w:color="AEAEAE"/>
              <w:left w:val="nil"/>
              <w:bottom w:val="single" w:sz="8" w:space="0" w:color="AEAEAE"/>
              <w:right w:val="nil"/>
            </w:tcBorders>
            <w:shd w:val="clear" w:color="auto" w:fill="auto"/>
          </w:tcPr>
          <w:p w14:paraId="3C006DEB" w14:textId="0993506A" w:rsidR="006E3616" w:rsidRPr="00400193" w:rsidRDefault="00DD07A5"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p>
        </w:tc>
        <w:tc>
          <w:tcPr>
            <w:tcW w:w="630" w:type="dxa"/>
            <w:tcBorders>
              <w:top w:val="single" w:sz="8" w:space="0" w:color="AEAEAE"/>
              <w:left w:val="nil"/>
              <w:bottom w:val="single" w:sz="8" w:space="0" w:color="AEAEAE"/>
              <w:right w:val="single" w:sz="8" w:space="0" w:color="E0E0E0"/>
            </w:tcBorders>
            <w:shd w:val="clear" w:color="auto" w:fill="auto"/>
          </w:tcPr>
          <w:p w14:paraId="7785A60C"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.543</w:t>
            </w:r>
          </w:p>
        </w:tc>
        <w:tc>
          <w:tcPr>
            <w:tcW w:w="1768" w:type="dxa"/>
            <w:tcBorders>
              <w:top w:val="single" w:sz="8" w:space="0" w:color="AEAEAE"/>
              <w:left w:val="single" w:sz="8" w:space="0" w:color="E0E0E0"/>
              <w:bottom w:val="single" w:sz="8" w:space="0" w:color="AEAEAE"/>
              <w:right w:val="single" w:sz="8" w:space="0" w:color="E0E0E0"/>
            </w:tcBorders>
            <w:shd w:val="clear" w:color="auto" w:fill="auto"/>
          </w:tcPr>
          <w:p w14:paraId="5D40226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.079</w:t>
            </w:r>
          </w:p>
        </w:tc>
        <w:tc>
          <w:tcPr>
            <w:tcW w:w="2227" w:type="dxa"/>
            <w:tcBorders>
              <w:top w:val="single" w:sz="8" w:space="0" w:color="AEAEAE"/>
              <w:left w:val="single" w:sz="8" w:space="0" w:color="E0E0E0"/>
              <w:bottom w:val="single" w:sz="8" w:space="0" w:color="AEAEAE"/>
              <w:right w:val="single" w:sz="8" w:space="0" w:color="E0E0E0"/>
            </w:tcBorders>
            <w:shd w:val="clear" w:color="auto" w:fill="auto"/>
          </w:tcPr>
          <w:p w14:paraId="0075AA6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.795</w:t>
            </w:r>
          </w:p>
        </w:tc>
        <w:tc>
          <w:tcPr>
            <w:tcW w:w="599" w:type="dxa"/>
            <w:tcBorders>
              <w:top w:val="single" w:sz="8" w:space="0" w:color="AEAEAE"/>
              <w:left w:val="single" w:sz="8" w:space="0" w:color="E0E0E0"/>
              <w:bottom w:val="single" w:sz="8" w:space="0" w:color="AEAEAE"/>
              <w:right w:val="single" w:sz="8" w:space="0" w:color="E0E0E0"/>
            </w:tcBorders>
            <w:shd w:val="clear" w:color="auto" w:fill="auto"/>
          </w:tcPr>
          <w:p w14:paraId="3D17267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6.863</w:t>
            </w:r>
          </w:p>
        </w:tc>
        <w:tc>
          <w:tcPr>
            <w:tcW w:w="685" w:type="dxa"/>
            <w:tcBorders>
              <w:top w:val="single" w:sz="8" w:space="0" w:color="AEAEAE"/>
              <w:left w:val="single" w:sz="8" w:space="0" w:color="E0E0E0"/>
              <w:bottom w:val="single" w:sz="8" w:space="0" w:color="AEAEAE"/>
              <w:right w:val="single" w:sz="8" w:space="0" w:color="E0E0E0"/>
            </w:tcBorders>
            <w:shd w:val="clear" w:color="auto" w:fill="auto"/>
          </w:tcPr>
          <w:p w14:paraId="3C2B25B4"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.000</w:t>
            </w:r>
          </w:p>
        </w:tc>
        <w:tc>
          <w:tcPr>
            <w:tcW w:w="1461" w:type="dxa"/>
            <w:tcBorders>
              <w:top w:val="single" w:sz="8" w:space="0" w:color="AEAEAE"/>
              <w:left w:val="single" w:sz="8" w:space="0" w:color="E0E0E0"/>
              <w:bottom w:val="single" w:sz="8" w:space="0" w:color="AEAEAE"/>
              <w:right w:val="nil"/>
            </w:tcBorders>
            <w:shd w:val="clear" w:color="auto" w:fill="auto"/>
          </w:tcPr>
          <w:p w14:paraId="5E524F7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.792</w:t>
            </w:r>
          </w:p>
        </w:tc>
      </w:tr>
      <w:tr w:rsidR="006E3616" w:rsidRPr="00400193" w14:paraId="4B436EF5" w14:textId="77777777" w:rsidTr="00EF2516">
        <w:trPr>
          <w:cantSplit/>
          <w:trHeight w:val="283"/>
        </w:trPr>
        <w:tc>
          <w:tcPr>
            <w:tcW w:w="481" w:type="dxa"/>
            <w:vMerge/>
            <w:tcBorders>
              <w:top w:val="single" w:sz="8" w:space="0" w:color="152935"/>
              <w:left w:val="nil"/>
              <w:bottom w:val="single" w:sz="8" w:space="0" w:color="152935"/>
              <w:right w:val="nil"/>
            </w:tcBorders>
            <w:shd w:val="clear" w:color="auto" w:fill="auto"/>
          </w:tcPr>
          <w:p w14:paraId="4D12B9CC"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060" w:type="dxa"/>
            <w:tcBorders>
              <w:top w:val="single" w:sz="8" w:space="0" w:color="AEAEAE"/>
              <w:left w:val="nil"/>
              <w:bottom w:val="single" w:sz="8" w:space="0" w:color="AEAEAE"/>
              <w:right w:val="nil"/>
            </w:tcBorders>
            <w:shd w:val="clear" w:color="auto" w:fill="auto"/>
          </w:tcPr>
          <w:p w14:paraId="626EA72A" w14:textId="2897CFCA" w:rsidR="006E3616" w:rsidRPr="00400193" w:rsidRDefault="00DD07A5"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r w:rsidR="006E3616" w:rsidRPr="00400193">
              <w:rPr>
                <w:rFonts w:asciiTheme="minorHAnsi" w:hAnsiTheme="minorHAnsi" w:cstheme="minorHAnsi"/>
                <w:sz w:val="20"/>
                <w:szCs w:val="20"/>
                <w:lang w:eastAsia="zh-CN" w:bidi="hi-IN"/>
              </w:rPr>
              <w:t>*RP</w:t>
            </w:r>
          </w:p>
        </w:tc>
        <w:tc>
          <w:tcPr>
            <w:tcW w:w="630" w:type="dxa"/>
            <w:tcBorders>
              <w:top w:val="single" w:sz="8" w:space="0" w:color="AEAEAE"/>
              <w:left w:val="nil"/>
              <w:bottom w:val="single" w:sz="8" w:space="0" w:color="AEAEAE"/>
              <w:right w:val="single" w:sz="8" w:space="0" w:color="E0E0E0"/>
            </w:tcBorders>
            <w:shd w:val="clear" w:color="auto" w:fill="auto"/>
          </w:tcPr>
          <w:p w14:paraId="4A0FF137" w14:textId="74281333"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.009</w:t>
            </w:r>
          </w:p>
        </w:tc>
        <w:tc>
          <w:tcPr>
            <w:tcW w:w="1768" w:type="dxa"/>
            <w:tcBorders>
              <w:top w:val="single" w:sz="8" w:space="0" w:color="AEAEAE"/>
              <w:left w:val="single" w:sz="8" w:space="0" w:color="E0E0E0"/>
              <w:bottom w:val="single" w:sz="8" w:space="0" w:color="AEAEAE"/>
              <w:right w:val="single" w:sz="8" w:space="0" w:color="E0E0E0"/>
            </w:tcBorders>
            <w:shd w:val="clear" w:color="auto" w:fill="auto"/>
          </w:tcPr>
          <w:p w14:paraId="60A5A79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.022</w:t>
            </w:r>
          </w:p>
        </w:tc>
        <w:tc>
          <w:tcPr>
            <w:tcW w:w="2227" w:type="dxa"/>
            <w:tcBorders>
              <w:top w:val="single" w:sz="8" w:space="0" w:color="AEAEAE"/>
              <w:left w:val="single" w:sz="8" w:space="0" w:color="E0E0E0"/>
              <w:bottom w:val="single" w:sz="8" w:space="0" w:color="AEAEAE"/>
              <w:right w:val="single" w:sz="8" w:space="0" w:color="E0E0E0"/>
            </w:tcBorders>
            <w:shd w:val="clear" w:color="auto" w:fill="auto"/>
          </w:tcPr>
          <w:p w14:paraId="4E1B392D" w14:textId="40758702"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.062</w:t>
            </w:r>
          </w:p>
        </w:tc>
        <w:tc>
          <w:tcPr>
            <w:tcW w:w="599" w:type="dxa"/>
            <w:tcBorders>
              <w:top w:val="single" w:sz="8" w:space="0" w:color="AEAEAE"/>
              <w:left w:val="single" w:sz="8" w:space="0" w:color="E0E0E0"/>
              <w:bottom w:val="single" w:sz="8" w:space="0" w:color="AEAEAE"/>
              <w:right w:val="single" w:sz="8" w:space="0" w:color="E0E0E0"/>
            </w:tcBorders>
            <w:shd w:val="clear" w:color="auto" w:fill="auto"/>
          </w:tcPr>
          <w:p w14:paraId="056D4DB7" w14:textId="2AD979F2" w:rsidR="006E3616" w:rsidRPr="00400193" w:rsidRDefault="009D118F"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w:t>
            </w:r>
            <w:r w:rsidR="006E3616" w:rsidRPr="00400193">
              <w:rPr>
                <w:rFonts w:asciiTheme="minorHAnsi" w:hAnsiTheme="minorHAnsi" w:cstheme="minorHAnsi"/>
                <w:sz w:val="20"/>
                <w:szCs w:val="20"/>
                <w:lang w:eastAsia="zh-CN" w:bidi="hi-IN"/>
              </w:rPr>
              <w:t>.417</w:t>
            </w:r>
          </w:p>
        </w:tc>
        <w:tc>
          <w:tcPr>
            <w:tcW w:w="685" w:type="dxa"/>
            <w:tcBorders>
              <w:top w:val="single" w:sz="8" w:space="0" w:color="AEAEAE"/>
              <w:left w:val="single" w:sz="8" w:space="0" w:color="E0E0E0"/>
              <w:bottom w:val="single" w:sz="8" w:space="0" w:color="AEAEAE"/>
              <w:right w:val="single" w:sz="8" w:space="0" w:color="E0E0E0"/>
            </w:tcBorders>
            <w:shd w:val="clear" w:color="auto" w:fill="auto"/>
          </w:tcPr>
          <w:p w14:paraId="4D4B1B34" w14:textId="1076380A"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9D118F"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677</w:t>
            </w:r>
          </w:p>
        </w:tc>
        <w:tc>
          <w:tcPr>
            <w:tcW w:w="1461" w:type="dxa"/>
            <w:tcBorders>
              <w:top w:val="single" w:sz="8" w:space="0" w:color="AEAEAE"/>
              <w:left w:val="single" w:sz="8" w:space="0" w:color="E0E0E0"/>
              <w:bottom w:val="single" w:sz="8" w:space="0" w:color="AEAEAE"/>
              <w:right w:val="nil"/>
            </w:tcBorders>
            <w:shd w:val="clear" w:color="auto" w:fill="auto"/>
          </w:tcPr>
          <w:p w14:paraId="555F7CCC" w14:textId="77777777" w:rsidR="006E3616" w:rsidRPr="00400193" w:rsidRDefault="006E3616" w:rsidP="00EF2516">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.678</w:t>
            </w:r>
          </w:p>
        </w:tc>
      </w:tr>
      <w:tr w:rsidR="00222C2E" w:rsidRPr="00400193" w14:paraId="4CC43F0F" w14:textId="77777777" w:rsidTr="00EF2516">
        <w:trPr>
          <w:cantSplit/>
          <w:trHeight w:val="283"/>
        </w:trPr>
        <w:tc>
          <w:tcPr>
            <w:tcW w:w="8911" w:type="dxa"/>
            <w:gridSpan w:val="8"/>
            <w:tcBorders>
              <w:top w:val="single" w:sz="8" w:space="0" w:color="152935"/>
              <w:left w:val="nil"/>
              <w:bottom w:val="single" w:sz="4" w:space="0" w:color="FFFFFF" w:themeColor="background1"/>
              <w:right w:val="nil"/>
            </w:tcBorders>
            <w:shd w:val="clear" w:color="auto" w:fill="auto"/>
          </w:tcPr>
          <w:p w14:paraId="3D56FA11" w14:textId="47A04133" w:rsidR="00222C2E" w:rsidRPr="00400193" w:rsidRDefault="00222C2E" w:rsidP="00EF2516">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75048677" w14:textId="0245CCDF" w:rsidR="006E3616" w:rsidRPr="00400193" w:rsidRDefault="006E3616" w:rsidP="00EF2516">
      <w:pPr>
        <w:pStyle w:val="Caption"/>
        <w:spacing w:after="240"/>
      </w:pPr>
      <w:bookmarkStart w:id="780" w:name="_Ref51590464"/>
      <w:bookmarkStart w:id="781" w:name="_Toc5290164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102</w:t>
      </w:r>
      <w:r w:rsidRPr="00400193">
        <w:fldChar w:fldCharType="end"/>
      </w:r>
      <w:bookmarkEnd w:id="780"/>
      <w:r w:rsidRPr="00400193">
        <w:t>: Coefficients of the regression model for VW</w:t>
      </w:r>
      <w:bookmarkEnd w:id="781"/>
    </w:p>
    <w:p w14:paraId="39B7D317" w14:textId="77777777" w:rsidR="006E3616" w:rsidRPr="00400193" w:rsidRDefault="006E3616" w:rsidP="003C3496">
      <w:pPr>
        <w:pStyle w:val="Heading4"/>
        <w:rPr>
          <w:lang w:eastAsia="zh-CN" w:bidi="hi-IN"/>
        </w:rPr>
      </w:pPr>
      <w:bookmarkStart w:id="782" w:name="_Toc61894795"/>
      <w:r w:rsidRPr="00400193">
        <w:rPr>
          <w:lang w:eastAsia="zh-CN" w:bidi="hi-IN"/>
        </w:rPr>
        <w:t>Testing for Collinearity of the Independent Variables</w:t>
      </w:r>
      <w:bookmarkEnd w:id="782"/>
    </w:p>
    <w:p w14:paraId="5C29ECAD" w14:textId="7577779F" w:rsidR="006E3616" w:rsidRPr="00400193" w:rsidRDefault="006E3616" w:rsidP="006E3616">
      <w:pPr>
        <w:rPr>
          <w:lang w:eastAsia="zh-CN" w:bidi="hi-IN"/>
        </w:rPr>
      </w:pPr>
      <w:r w:rsidRPr="00400193">
        <w:rPr>
          <w:lang w:eastAsia="zh-CN" w:bidi="hi-IN"/>
        </w:rPr>
        <w:t xml:space="preserve">The collinearity results for the independent variables are in </w:t>
      </w:r>
      <w:r w:rsidR="00EF2516" w:rsidRPr="00400193">
        <w:rPr>
          <w:lang w:eastAsia="zh-CN" w:bidi="hi-IN"/>
        </w:rPr>
        <w:fldChar w:fldCharType="begin"/>
      </w:r>
      <w:r w:rsidR="00EF2516" w:rsidRPr="00400193">
        <w:rPr>
          <w:lang w:eastAsia="zh-CN" w:bidi="hi-IN"/>
        </w:rPr>
        <w:instrText xml:space="preserve"> REF _Ref51590715 \h </w:instrText>
      </w:r>
      <w:r w:rsidR="00EF2516" w:rsidRPr="00400193">
        <w:rPr>
          <w:lang w:eastAsia="zh-CN" w:bidi="hi-IN"/>
        </w:rPr>
      </w:r>
      <w:r w:rsidR="00EF25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103</w:t>
      </w:r>
      <w:r w:rsidR="00EF2516" w:rsidRPr="00400193">
        <w:rPr>
          <w:lang w:eastAsia="zh-CN" w:bidi="hi-IN"/>
        </w:rPr>
        <w:fldChar w:fldCharType="end"/>
      </w:r>
      <w:r w:rsidRPr="00400193">
        <w:rPr>
          <w:lang w:eastAsia="zh-CN" w:bidi="hi-IN"/>
        </w:rPr>
        <w:t>.</w:t>
      </w:r>
    </w:p>
    <w:tbl>
      <w:tblPr>
        <w:tblW w:w="89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5"/>
        <w:gridCol w:w="1192"/>
        <w:gridCol w:w="1191"/>
        <w:gridCol w:w="1430"/>
        <w:gridCol w:w="1146"/>
        <w:gridCol w:w="998"/>
        <w:gridCol w:w="998"/>
        <w:gridCol w:w="1209"/>
      </w:tblGrid>
      <w:tr w:rsidR="006E3616" w:rsidRPr="00400193" w14:paraId="1DB06CA5" w14:textId="77777777" w:rsidTr="00EF2516">
        <w:trPr>
          <w:cantSplit/>
          <w:trHeight w:val="283"/>
        </w:trPr>
        <w:tc>
          <w:tcPr>
            <w:tcW w:w="8939" w:type="dxa"/>
            <w:gridSpan w:val="8"/>
            <w:tcBorders>
              <w:top w:val="nil"/>
              <w:left w:val="nil"/>
              <w:bottom w:val="nil"/>
              <w:right w:val="nil"/>
            </w:tcBorders>
            <w:shd w:val="clear" w:color="auto" w:fill="auto"/>
          </w:tcPr>
          <w:p w14:paraId="4F698216"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Collinearity Diagnostics </w:t>
            </w:r>
            <w:r w:rsidRPr="00400193">
              <w:rPr>
                <w:rFonts w:asciiTheme="minorHAnsi" w:hAnsiTheme="minorHAnsi" w:cstheme="minorHAnsi"/>
                <w:b/>
                <w:bCs/>
                <w:sz w:val="20"/>
                <w:szCs w:val="20"/>
                <w:vertAlign w:val="superscript"/>
                <w:lang w:eastAsia="zh-CN" w:bidi="hi-IN"/>
              </w:rPr>
              <w:t>a</w:t>
            </w:r>
          </w:p>
        </w:tc>
      </w:tr>
      <w:tr w:rsidR="006E3616" w:rsidRPr="00400193" w14:paraId="1C6ECE76" w14:textId="77777777" w:rsidTr="00EF2516">
        <w:trPr>
          <w:cantSplit/>
          <w:trHeight w:val="283"/>
        </w:trPr>
        <w:tc>
          <w:tcPr>
            <w:tcW w:w="775" w:type="dxa"/>
            <w:vMerge w:val="restart"/>
            <w:tcBorders>
              <w:top w:val="nil"/>
              <w:left w:val="nil"/>
              <w:bottom w:val="nil"/>
              <w:right w:val="nil"/>
            </w:tcBorders>
            <w:shd w:val="clear" w:color="auto" w:fill="auto"/>
          </w:tcPr>
          <w:p w14:paraId="1444C9F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1192" w:type="dxa"/>
            <w:vMerge w:val="restart"/>
            <w:tcBorders>
              <w:top w:val="nil"/>
              <w:left w:val="nil"/>
              <w:bottom w:val="nil"/>
              <w:right w:val="nil"/>
            </w:tcBorders>
            <w:shd w:val="clear" w:color="auto" w:fill="auto"/>
          </w:tcPr>
          <w:p w14:paraId="2E03C76B"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Dimension</w:t>
            </w:r>
          </w:p>
        </w:tc>
        <w:tc>
          <w:tcPr>
            <w:tcW w:w="1191" w:type="dxa"/>
            <w:vMerge w:val="restart"/>
            <w:tcBorders>
              <w:top w:val="nil"/>
              <w:left w:val="nil"/>
              <w:bottom w:val="nil"/>
              <w:right w:val="single" w:sz="8" w:space="0" w:color="E0E0E0"/>
            </w:tcBorders>
            <w:shd w:val="clear" w:color="auto" w:fill="auto"/>
          </w:tcPr>
          <w:p w14:paraId="6206156E"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Eigenvalue</w:t>
            </w:r>
          </w:p>
        </w:tc>
        <w:tc>
          <w:tcPr>
            <w:tcW w:w="1430" w:type="dxa"/>
            <w:vMerge w:val="restart"/>
            <w:tcBorders>
              <w:top w:val="nil"/>
              <w:left w:val="single" w:sz="8" w:space="0" w:color="E0E0E0"/>
              <w:bottom w:val="nil"/>
              <w:right w:val="single" w:sz="8" w:space="0" w:color="E0E0E0"/>
            </w:tcBorders>
            <w:shd w:val="clear" w:color="auto" w:fill="auto"/>
          </w:tcPr>
          <w:p w14:paraId="1E711AB1"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 Index</w:t>
            </w:r>
          </w:p>
        </w:tc>
        <w:tc>
          <w:tcPr>
            <w:tcW w:w="4351" w:type="dxa"/>
            <w:gridSpan w:val="4"/>
            <w:tcBorders>
              <w:top w:val="nil"/>
              <w:left w:val="single" w:sz="8" w:space="0" w:color="E0E0E0"/>
              <w:bottom w:val="nil"/>
              <w:right w:val="nil"/>
            </w:tcBorders>
            <w:shd w:val="clear" w:color="auto" w:fill="auto"/>
          </w:tcPr>
          <w:p w14:paraId="7419CA32"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Variance Proportions</w:t>
            </w:r>
          </w:p>
        </w:tc>
      </w:tr>
      <w:tr w:rsidR="006E3616" w:rsidRPr="00400193" w14:paraId="43CFCCF4" w14:textId="77777777" w:rsidTr="00EF2516">
        <w:trPr>
          <w:cantSplit/>
          <w:trHeight w:val="283"/>
        </w:trPr>
        <w:tc>
          <w:tcPr>
            <w:tcW w:w="775" w:type="dxa"/>
            <w:vMerge/>
            <w:tcBorders>
              <w:top w:val="nil"/>
              <w:left w:val="nil"/>
              <w:bottom w:val="nil"/>
              <w:right w:val="nil"/>
            </w:tcBorders>
            <w:shd w:val="clear" w:color="auto" w:fill="auto"/>
          </w:tcPr>
          <w:p w14:paraId="61F346B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92" w:type="dxa"/>
            <w:vMerge/>
            <w:tcBorders>
              <w:top w:val="nil"/>
              <w:left w:val="nil"/>
              <w:bottom w:val="nil"/>
              <w:right w:val="nil"/>
            </w:tcBorders>
            <w:shd w:val="clear" w:color="auto" w:fill="auto"/>
          </w:tcPr>
          <w:p w14:paraId="4CED40CF"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91" w:type="dxa"/>
            <w:vMerge/>
            <w:tcBorders>
              <w:top w:val="nil"/>
              <w:left w:val="nil"/>
              <w:bottom w:val="nil"/>
              <w:right w:val="single" w:sz="8" w:space="0" w:color="E0E0E0"/>
            </w:tcBorders>
            <w:shd w:val="clear" w:color="auto" w:fill="auto"/>
          </w:tcPr>
          <w:p w14:paraId="44DC2CF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430" w:type="dxa"/>
            <w:vMerge/>
            <w:tcBorders>
              <w:top w:val="nil"/>
              <w:left w:val="single" w:sz="8" w:space="0" w:color="E0E0E0"/>
              <w:bottom w:val="nil"/>
              <w:right w:val="single" w:sz="8" w:space="0" w:color="E0E0E0"/>
            </w:tcBorders>
            <w:shd w:val="clear" w:color="auto" w:fill="auto"/>
          </w:tcPr>
          <w:p w14:paraId="4DB63C4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46" w:type="dxa"/>
            <w:tcBorders>
              <w:top w:val="nil"/>
              <w:left w:val="single" w:sz="8" w:space="0" w:color="E0E0E0"/>
              <w:bottom w:val="single" w:sz="8" w:space="0" w:color="152935"/>
              <w:right w:val="single" w:sz="8" w:space="0" w:color="E0E0E0"/>
            </w:tcBorders>
            <w:shd w:val="clear" w:color="auto" w:fill="auto"/>
          </w:tcPr>
          <w:p w14:paraId="63323D6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998" w:type="dxa"/>
            <w:tcBorders>
              <w:top w:val="nil"/>
              <w:left w:val="single" w:sz="8" w:space="0" w:color="E0E0E0"/>
              <w:bottom w:val="single" w:sz="8" w:space="0" w:color="152935"/>
              <w:right w:val="single" w:sz="8" w:space="0" w:color="E0E0E0"/>
            </w:tcBorders>
            <w:shd w:val="clear" w:color="auto" w:fill="auto"/>
          </w:tcPr>
          <w:p w14:paraId="1969EC8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RP</w:t>
            </w:r>
          </w:p>
        </w:tc>
        <w:tc>
          <w:tcPr>
            <w:tcW w:w="998" w:type="dxa"/>
            <w:tcBorders>
              <w:top w:val="nil"/>
              <w:left w:val="single" w:sz="8" w:space="0" w:color="E0E0E0"/>
              <w:bottom w:val="single" w:sz="8" w:space="0" w:color="152935"/>
              <w:right w:val="single" w:sz="8" w:space="0" w:color="E0E0E0"/>
            </w:tcBorders>
            <w:shd w:val="clear" w:color="auto" w:fill="auto"/>
          </w:tcPr>
          <w:p w14:paraId="0FA32680" w14:textId="44022A84" w:rsidR="006E3616" w:rsidRPr="00400193" w:rsidRDefault="00DD07A5"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p>
        </w:tc>
        <w:tc>
          <w:tcPr>
            <w:tcW w:w="1209" w:type="dxa"/>
            <w:tcBorders>
              <w:top w:val="nil"/>
              <w:left w:val="single" w:sz="8" w:space="0" w:color="E0E0E0"/>
              <w:bottom w:val="single" w:sz="8" w:space="0" w:color="152935"/>
              <w:right w:val="nil"/>
            </w:tcBorders>
            <w:shd w:val="clear" w:color="auto" w:fill="auto"/>
          </w:tcPr>
          <w:p w14:paraId="0108A5DD" w14:textId="2513583A" w:rsidR="006E3616" w:rsidRPr="00400193" w:rsidRDefault="00DD07A5"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r w:rsidR="006E3616" w:rsidRPr="00400193">
              <w:rPr>
                <w:rFonts w:asciiTheme="minorHAnsi" w:hAnsiTheme="minorHAnsi" w:cstheme="minorHAnsi"/>
                <w:sz w:val="20"/>
                <w:szCs w:val="20"/>
                <w:lang w:eastAsia="zh-CN" w:bidi="hi-IN"/>
              </w:rPr>
              <w:t>*RP</w:t>
            </w:r>
          </w:p>
        </w:tc>
      </w:tr>
      <w:tr w:rsidR="006E3616" w:rsidRPr="00400193" w14:paraId="6AF82FC7" w14:textId="77777777" w:rsidTr="00EF2516">
        <w:trPr>
          <w:cantSplit/>
          <w:trHeight w:val="283"/>
        </w:trPr>
        <w:tc>
          <w:tcPr>
            <w:tcW w:w="775" w:type="dxa"/>
            <w:vMerge w:val="restart"/>
            <w:tcBorders>
              <w:top w:val="single" w:sz="8" w:space="0" w:color="152935"/>
              <w:left w:val="nil"/>
              <w:bottom w:val="single" w:sz="8" w:space="0" w:color="152935"/>
              <w:right w:val="nil"/>
            </w:tcBorders>
            <w:shd w:val="clear" w:color="auto" w:fill="auto"/>
          </w:tcPr>
          <w:p w14:paraId="15F672E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92" w:type="dxa"/>
            <w:tcBorders>
              <w:top w:val="single" w:sz="8" w:space="0" w:color="152935"/>
              <w:left w:val="nil"/>
              <w:bottom w:val="single" w:sz="8" w:space="0" w:color="AEAEAE"/>
              <w:right w:val="nil"/>
            </w:tcBorders>
            <w:shd w:val="clear" w:color="auto" w:fill="auto"/>
          </w:tcPr>
          <w:p w14:paraId="2AA3BB9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91" w:type="dxa"/>
            <w:tcBorders>
              <w:top w:val="single" w:sz="8" w:space="0" w:color="152935"/>
              <w:left w:val="nil"/>
              <w:bottom w:val="single" w:sz="8" w:space="0" w:color="AEAEAE"/>
              <w:right w:val="single" w:sz="8" w:space="0" w:color="E0E0E0"/>
            </w:tcBorders>
            <w:shd w:val="clear" w:color="auto" w:fill="auto"/>
          </w:tcPr>
          <w:p w14:paraId="665FC932"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3.904</w:t>
            </w:r>
          </w:p>
        </w:tc>
        <w:tc>
          <w:tcPr>
            <w:tcW w:w="1430" w:type="dxa"/>
            <w:tcBorders>
              <w:top w:val="single" w:sz="8" w:space="0" w:color="152935"/>
              <w:left w:val="single" w:sz="8" w:space="0" w:color="E0E0E0"/>
              <w:bottom w:val="single" w:sz="8" w:space="0" w:color="AEAEAE"/>
              <w:right w:val="single" w:sz="8" w:space="0" w:color="E0E0E0"/>
            </w:tcBorders>
            <w:shd w:val="clear" w:color="auto" w:fill="auto"/>
          </w:tcPr>
          <w:p w14:paraId="03B6785B"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1.000</w:t>
            </w:r>
          </w:p>
        </w:tc>
        <w:tc>
          <w:tcPr>
            <w:tcW w:w="1146" w:type="dxa"/>
            <w:tcBorders>
              <w:top w:val="single" w:sz="8" w:space="0" w:color="152935"/>
              <w:left w:val="single" w:sz="8" w:space="0" w:color="E0E0E0"/>
              <w:bottom w:val="single" w:sz="8" w:space="0" w:color="AEAEAE"/>
              <w:right w:val="single" w:sz="8" w:space="0" w:color="E0E0E0"/>
            </w:tcBorders>
            <w:shd w:val="clear" w:color="auto" w:fill="auto"/>
          </w:tcPr>
          <w:p w14:paraId="0A33F1D6"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98" w:type="dxa"/>
            <w:tcBorders>
              <w:top w:val="single" w:sz="8" w:space="0" w:color="152935"/>
              <w:left w:val="single" w:sz="8" w:space="0" w:color="E0E0E0"/>
              <w:bottom w:val="single" w:sz="8" w:space="0" w:color="AEAEAE"/>
              <w:right w:val="single" w:sz="8" w:space="0" w:color="E0E0E0"/>
            </w:tcBorders>
            <w:shd w:val="clear" w:color="auto" w:fill="auto"/>
          </w:tcPr>
          <w:p w14:paraId="05D149C1"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98" w:type="dxa"/>
            <w:tcBorders>
              <w:top w:val="single" w:sz="8" w:space="0" w:color="152935"/>
              <w:left w:val="single" w:sz="8" w:space="0" w:color="E0E0E0"/>
              <w:bottom w:val="single" w:sz="8" w:space="0" w:color="AEAEAE"/>
              <w:right w:val="single" w:sz="8" w:space="0" w:color="E0E0E0"/>
            </w:tcBorders>
            <w:shd w:val="clear" w:color="auto" w:fill="auto"/>
          </w:tcPr>
          <w:p w14:paraId="49072EA1"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1209" w:type="dxa"/>
            <w:tcBorders>
              <w:top w:val="single" w:sz="8" w:space="0" w:color="152935"/>
              <w:left w:val="single" w:sz="8" w:space="0" w:color="E0E0E0"/>
              <w:bottom w:val="single" w:sz="8" w:space="0" w:color="AEAEAE"/>
              <w:right w:val="nil"/>
            </w:tcBorders>
            <w:shd w:val="clear" w:color="auto" w:fill="auto"/>
          </w:tcPr>
          <w:p w14:paraId="3394B53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r>
      <w:tr w:rsidR="006E3616" w:rsidRPr="00400193" w14:paraId="70084C88" w14:textId="77777777" w:rsidTr="00EF2516">
        <w:trPr>
          <w:cantSplit/>
          <w:trHeight w:val="283"/>
        </w:trPr>
        <w:tc>
          <w:tcPr>
            <w:tcW w:w="775" w:type="dxa"/>
            <w:vMerge/>
            <w:tcBorders>
              <w:top w:val="single" w:sz="8" w:space="0" w:color="152935"/>
              <w:left w:val="nil"/>
              <w:bottom w:val="single" w:sz="8" w:space="0" w:color="152935"/>
              <w:right w:val="nil"/>
            </w:tcBorders>
            <w:shd w:val="clear" w:color="auto" w:fill="auto"/>
          </w:tcPr>
          <w:p w14:paraId="4E4DE5B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92" w:type="dxa"/>
            <w:tcBorders>
              <w:top w:val="single" w:sz="8" w:space="0" w:color="AEAEAE"/>
              <w:left w:val="nil"/>
              <w:bottom w:val="single" w:sz="8" w:space="0" w:color="AEAEAE"/>
              <w:right w:val="nil"/>
            </w:tcBorders>
            <w:shd w:val="clear" w:color="auto" w:fill="auto"/>
          </w:tcPr>
          <w:p w14:paraId="1D72AA93"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1191" w:type="dxa"/>
            <w:tcBorders>
              <w:top w:val="single" w:sz="8" w:space="0" w:color="AEAEAE"/>
              <w:left w:val="nil"/>
              <w:bottom w:val="single" w:sz="8" w:space="0" w:color="AEAEAE"/>
              <w:right w:val="single" w:sz="8" w:space="0" w:color="E0E0E0"/>
            </w:tcBorders>
            <w:shd w:val="clear" w:color="auto" w:fill="auto"/>
          </w:tcPr>
          <w:p w14:paraId="53067E0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.063</w:t>
            </w:r>
          </w:p>
        </w:tc>
        <w:tc>
          <w:tcPr>
            <w:tcW w:w="1430" w:type="dxa"/>
            <w:tcBorders>
              <w:top w:val="single" w:sz="8" w:space="0" w:color="AEAEAE"/>
              <w:left w:val="single" w:sz="8" w:space="0" w:color="E0E0E0"/>
              <w:bottom w:val="single" w:sz="8" w:space="0" w:color="AEAEAE"/>
              <w:right w:val="single" w:sz="8" w:space="0" w:color="E0E0E0"/>
            </w:tcBorders>
            <w:shd w:val="clear" w:color="auto" w:fill="auto"/>
          </w:tcPr>
          <w:p w14:paraId="3B1CB37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7.890</w:t>
            </w:r>
          </w:p>
        </w:tc>
        <w:tc>
          <w:tcPr>
            <w:tcW w:w="1146" w:type="dxa"/>
            <w:tcBorders>
              <w:top w:val="single" w:sz="8" w:space="0" w:color="AEAEAE"/>
              <w:left w:val="single" w:sz="8" w:space="0" w:color="E0E0E0"/>
              <w:bottom w:val="single" w:sz="8" w:space="0" w:color="AEAEAE"/>
              <w:right w:val="single" w:sz="8" w:space="0" w:color="E0E0E0"/>
            </w:tcBorders>
            <w:shd w:val="clear" w:color="auto" w:fill="auto"/>
          </w:tcPr>
          <w:p w14:paraId="571DEAE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w:t>
            </w:r>
          </w:p>
        </w:tc>
        <w:tc>
          <w:tcPr>
            <w:tcW w:w="998" w:type="dxa"/>
            <w:tcBorders>
              <w:top w:val="single" w:sz="8" w:space="0" w:color="AEAEAE"/>
              <w:left w:val="single" w:sz="8" w:space="0" w:color="E0E0E0"/>
              <w:bottom w:val="single" w:sz="8" w:space="0" w:color="AEAEAE"/>
              <w:right w:val="single" w:sz="8" w:space="0" w:color="E0E0E0"/>
            </w:tcBorders>
            <w:shd w:val="clear" w:color="auto" w:fill="auto"/>
          </w:tcPr>
          <w:p w14:paraId="31C9270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w:t>
            </w:r>
          </w:p>
        </w:tc>
        <w:tc>
          <w:tcPr>
            <w:tcW w:w="998" w:type="dxa"/>
            <w:tcBorders>
              <w:top w:val="single" w:sz="8" w:space="0" w:color="AEAEAE"/>
              <w:left w:val="single" w:sz="8" w:space="0" w:color="E0E0E0"/>
              <w:bottom w:val="single" w:sz="8" w:space="0" w:color="AEAEAE"/>
              <w:right w:val="single" w:sz="8" w:space="0" w:color="E0E0E0"/>
            </w:tcBorders>
            <w:shd w:val="clear" w:color="auto" w:fill="auto"/>
          </w:tcPr>
          <w:p w14:paraId="0CEB67E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.05</w:t>
            </w:r>
          </w:p>
        </w:tc>
        <w:tc>
          <w:tcPr>
            <w:tcW w:w="1209" w:type="dxa"/>
            <w:tcBorders>
              <w:top w:val="single" w:sz="8" w:space="0" w:color="AEAEAE"/>
              <w:left w:val="single" w:sz="8" w:space="0" w:color="E0E0E0"/>
              <w:bottom w:val="single" w:sz="8" w:space="0" w:color="AEAEAE"/>
              <w:right w:val="nil"/>
            </w:tcBorders>
            <w:shd w:val="clear" w:color="auto" w:fill="auto"/>
          </w:tcPr>
          <w:p w14:paraId="3DFEB8E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.09</w:t>
            </w:r>
          </w:p>
        </w:tc>
      </w:tr>
      <w:tr w:rsidR="006E3616" w:rsidRPr="00400193" w14:paraId="093A971A" w14:textId="77777777" w:rsidTr="00EF2516">
        <w:trPr>
          <w:cantSplit/>
          <w:trHeight w:val="283"/>
        </w:trPr>
        <w:tc>
          <w:tcPr>
            <w:tcW w:w="775" w:type="dxa"/>
            <w:vMerge/>
            <w:tcBorders>
              <w:top w:val="single" w:sz="8" w:space="0" w:color="152935"/>
              <w:left w:val="nil"/>
              <w:bottom w:val="single" w:sz="8" w:space="0" w:color="152935"/>
              <w:right w:val="nil"/>
            </w:tcBorders>
            <w:shd w:val="clear" w:color="auto" w:fill="auto"/>
          </w:tcPr>
          <w:p w14:paraId="096CFCB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92" w:type="dxa"/>
            <w:tcBorders>
              <w:top w:val="single" w:sz="8" w:space="0" w:color="AEAEAE"/>
              <w:left w:val="nil"/>
              <w:bottom w:val="single" w:sz="8" w:space="0" w:color="AEAEAE"/>
              <w:right w:val="nil"/>
            </w:tcBorders>
            <w:shd w:val="clear" w:color="auto" w:fill="auto"/>
          </w:tcPr>
          <w:p w14:paraId="35279CF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1191" w:type="dxa"/>
            <w:tcBorders>
              <w:top w:val="single" w:sz="8" w:space="0" w:color="AEAEAE"/>
              <w:left w:val="nil"/>
              <w:bottom w:val="single" w:sz="8" w:space="0" w:color="AEAEAE"/>
              <w:right w:val="single" w:sz="8" w:space="0" w:color="E0E0E0"/>
            </w:tcBorders>
            <w:shd w:val="clear" w:color="auto" w:fill="auto"/>
          </w:tcPr>
          <w:p w14:paraId="4BBDC18A"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.028</w:t>
            </w:r>
          </w:p>
        </w:tc>
        <w:tc>
          <w:tcPr>
            <w:tcW w:w="1430" w:type="dxa"/>
            <w:tcBorders>
              <w:top w:val="single" w:sz="8" w:space="0" w:color="AEAEAE"/>
              <w:left w:val="single" w:sz="8" w:space="0" w:color="E0E0E0"/>
              <w:bottom w:val="single" w:sz="8" w:space="0" w:color="AEAEAE"/>
              <w:right w:val="single" w:sz="8" w:space="0" w:color="E0E0E0"/>
            </w:tcBorders>
            <w:shd w:val="clear" w:color="auto" w:fill="auto"/>
          </w:tcPr>
          <w:p w14:paraId="49B6B71B"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11.777</w:t>
            </w:r>
          </w:p>
        </w:tc>
        <w:tc>
          <w:tcPr>
            <w:tcW w:w="1146" w:type="dxa"/>
            <w:tcBorders>
              <w:top w:val="single" w:sz="8" w:space="0" w:color="AEAEAE"/>
              <w:left w:val="single" w:sz="8" w:space="0" w:color="E0E0E0"/>
              <w:bottom w:val="single" w:sz="8" w:space="0" w:color="AEAEAE"/>
              <w:right w:val="single" w:sz="8" w:space="0" w:color="E0E0E0"/>
            </w:tcBorders>
            <w:shd w:val="clear" w:color="auto" w:fill="auto"/>
          </w:tcPr>
          <w:p w14:paraId="019B56D6"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w:t>
            </w:r>
          </w:p>
        </w:tc>
        <w:tc>
          <w:tcPr>
            <w:tcW w:w="998" w:type="dxa"/>
            <w:tcBorders>
              <w:top w:val="single" w:sz="8" w:space="0" w:color="AEAEAE"/>
              <w:left w:val="single" w:sz="8" w:space="0" w:color="E0E0E0"/>
              <w:bottom w:val="single" w:sz="8" w:space="0" w:color="AEAEAE"/>
              <w:right w:val="single" w:sz="8" w:space="0" w:color="E0E0E0"/>
            </w:tcBorders>
            <w:shd w:val="clear" w:color="auto" w:fill="auto"/>
          </w:tcPr>
          <w:p w14:paraId="3F5F02EB"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w:t>
            </w:r>
          </w:p>
        </w:tc>
        <w:tc>
          <w:tcPr>
            <w:tcW w:w="998" w:type="dxa"/>
            <w:tcBorders>
              <w:top w:val="single" w:sz="8" w:space="0" w:color="AEAEAE"/>
              <w:left w:val="single" w:sz="8" w:space="0" w:color="E0E0E0"/>
              <w:bottom w:val="single" w:sz="8" w:space="0" w:color="AEAEAE"/>
              <w:right w:val="single" w:sz="8" w:space="0" w:color="E0E0E0"/>
            </w:tcBorders>
            <w:shd w:val="clear" w:color="auto" w:fill="auto"/>
          </w:tcPr>
          <w:p w14:paraId="3AFFCD89"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.27</w:t>
            </w:r>
          </w:p>
        </w:tc>
        <w:tc>
          <w:tcPr>
            <w:tcW w:w="1209" w:type="dxa"/>
            <w:tcBorders>
              <w:top w:val="single" w:sz="8" w:space="0" w:color="AEAEAE"/>
              <w:left w:val="single" w:sz="8" w:space="0" w:color="E0E0E0"/>
              <w:bottom w:val="single" w:sz="8" w:space="0" w:color="AEAEAE"/>
              <w:right w:val="nil"/>
            </w:tcBorders>
            <w:shd w:val="clear" w:color="auto" w:fill="auto"/>
          </w:tcPr>
          <w:p w14:paraId="027CCFBF"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.11</w:t>
            </w:r>
          </w:p>
        </w:tc>
      </w:tr>
      <w:tr w:rsidR="006E3616" w:rsidRPr="00400193" w14:paraId="5F030C69" w14:textId="77777777" w:rsidTr="00EF2516">
        <w:trPr>
          <w:cantSplit/>
          <w:trHeight w:val="283"/>
        </w:trPr>
        <w:tc>
          <w:tcPr>
            <w:tcW w:w="775" w:type="dxa"/>
            <w:vMerge/>
            <w:tcBorders>
              <w:top w:val="single" w:sz="8" w:space="0" w:color="152935"/>
              <w:left w:val="nil"/>
              <w:bottom w:val="single" w:sz="8" w:space="0" w:color="152935"/>
              <w:right w:val="nil"/>
            </w:tcBorders>
            <w:shd w:val="clear" w:color="auto" w:fill="auto"/>
          </w:tcPr>
          <w:p w14:paraId="27C36337"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p>
        </w:tc>
        <w:tc>
          <w:tcPr>
            <w:tcW w:w="1192" w:type="dxa"/>
            <w:tcBorders>
              <w:top w:val="single" w:sz="8" w:space="0" w:color="AEAEAE"/>
              <w:left w:val="nil"/>
              <w:bottom w:val="single" w:sz="8" w:space="0" w:color="152935"/>
              <w:right w:val="nil"/>
            </w:tcBorders>
            <w:shd w:val="clear" w:color="auto" w:fill="auto"/>
          </w:tcPr>
          <w:p w14:paraId="0DC20A3E"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1191" w:type="dxa"/>
            <w:tcBorders>
              <w:top w:val="single" w:sz="8" w:space="0" w:color="AEAEAE"/>
              <w:left w:val="nil"/>
              <w:bottom w:val="single" w:sz="8" w:space="0" w:color="152935"/>
              <w:right w:val="single" w:sz="8" w:space="0" w:color="E0E0E0"/>
            </w:tcBorders>
            <w:shd w:val="clear" w:color="auto" w:fill="auto"/>
          </w:tcPr>
          <w:p w14:paraId="680FABE0"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.005</w:t>
            </w:r>
          </w:p>
        </w:tc>
        <w:tc>
          <w:tcPr>
            <w:tcW w:w="1430" w:type="dxa"/>
            <w:tcBorders>
              <w:top w:val="single" w:sz="8" w:space="0" w:color="AEAEAE"/>
              <w:left w:val="single" w:sz="8" w:space="0" w:color="E0E0E0"/>
              <w:bottom w:val="single" w:sz="8" w:space="0" w:color="152935"/>
              <w:right w:val="single" w:sz="8" w:space="0" w:color="E0E0E0"/>
            </w:tcBorders>
            <w:shd w:val="clear" w:color="auto" w:fill="auto"/>
          </w:tcPr>
          <w:p w14:paraId="3C418D2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28.285</w:t>
            </w:r>
          </w:p>
        </w:tc>
        <w:tc>
          <w:tcPr>
            <w:tcW w:w="1146" w:type="dxa"/>
            <w:tcBorders>
              <w:top w:val="single" w:sz="8" w:space="0" w:color="AEAEAE"/>
              <w:left w:val="single" w:sz="8" w:space="0" w:color="E0E0E0"/>
              <w:bottom w:val="single" w:sz="8" w:space="0" w:color="152935"/>
              <w:right w:val="single" w:sz="8" w:space="0" w:color="E0E0E0"/>
            </w:tcBorders>
            <w:shd w:val="clear" w:color="auto" w:fill="auto"/>
          </w:tcPr>
          <w:p w14:paraId="39D1BC95"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.84</w:t>
            </w:r>
          </w:p>
        </w:tc>
        <w:tc>
          <w:tcPr>
            <w:tcW w:w="998" w:type="dxa"/>
            <w:tcBorders>
              <w:top w:val="single" w:sz="8" w:space="0" w:color="AEAEAE"/>
              <w:left w:val="single" w:sz="8" w:space="0" w:color="E0E0E0"/>
              <w:bottom w:val="single" w:sz="8" w:space="0" w:color="152935"/>
              <w:right w:val="single" w:sz="8" w:space="0" w:color="E0E0E0"/>
            </w:tcBorders>
            <w:shd w:val="clear" w:color="auto" w:fill="auto"/>
          </w:tcPr>
          <w:p w14:paraId="3E3C73AD"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.84</w:t>
            </w:r>
          </w:p>
        </w:tc>
        <w:tc>
          <w:tcPr>
            <w:tcW w:w="998" w:type="dxa"/>
            <w:tcBorders>
              <w:top w:val="single" w:sz="8" w:space="0" w:color="AEAEAE"/>
              <w:left w:val="single" w:sz="8" w:space="0" w:color="E0E0E0"/>
              <w:bottom w:val="single" w:sz="8" w:space="0" w:color="152935"/>
              <w:right w:val="single" w:sz="8" w:space="0" w:color="E0E0E0"/>
            </w:tcBorders>
            <w:shd w:val="clear" w:color="auto" w:fill="auto"/>
          </w:tcPr>
          <w:p w14:paraId="302E7BA1"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w:t>
            </w:r>
          </w:p>
        </w:tc>
        <w:tc>
          <w:tcPr>
            <w:tcW w:w="1209" w:type="dxa"/>
            <w:tcBorders>
              <w:top w:val="single" w:sz="8" w:space="0" w:color="AEAEAE"/>
              <w:left w:val="single" w:sz="8" w:space="0" w:color="E0E0E0"/>
              <w:bottom w:val="single" w:sz="8" w:space="0" w:color="152935"/>
              <w:right w:val="nil"/>
            </w:tcBorders>
            <w:shd w:val="clear" w:color="auto" w:fill="auto"/>
          </w:tcPr>
          <w:p w14:paraId="0249A9C8" w14:textId="77777777" w:rsidR="006E3616" w:rsidRPr="00400193" w:rsidRDefault="006E3616" w:rsidP="00EF2516">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.80</w:t>
            </w:r>
          </w:p>
        </w:tc>
      </w:tr>
      <w:tr w:rsidR="006E3616" w:rsidRPr="00400193" w14:paraId="01ED2277" w14:textId="77777777" w:rsidTr="00EF2516">
        <w:trPr>
          <w:cantSplit/>
          <w:trHeight w:val="283"/>
        </w:trPr>
        <w:tc>
          <w:tcPr>
            <w:tcW w:w="8939" w:type="dxa"/>
            <w:gridSpan w:val="8"/>
            <w:tcBorders>
              <w:top w:val="nil"/>
              <w:left w:val="nil"/>
              <w:bottom w:val="nil"/>
              <w:right w:val="nil"/>
            </w:tcBorders>
            <w:shd w:val="clear" w:color="auto" w:fill="auto"/>
          </w:tcPr>
          <w:p w14:paraId="12FFFF2D" w14:textId="77777777" w:rsidR="006E3616" w:rsidRPr="00400193" w:rsidRDefault="006E3616" w:rsidP="00EF2516">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014FDCCB" w14:textId="21C79EE0" w:rsidR="006E3616" w:rsidRPr="00400193" w:rsidRDefault="006E3616" w:rsidP="006E3616">
      <w:pPr>
        <w:pStyle w:val="Caption"/>
        <w:spacing w:after="240"/>
      </w:pPr>
      <w:bookmarkStart w:id="783" w:name="_Ref51590715"/>
      <w:bookmarkStart w:id="784" w:name="_Toc5290164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103</w:t>
      </w:r>
      <w:r w:rsidRPr="00400193">
        <w:fldChar w:fldCharType="end"/>
      </w:r>
      <w:bookmarkEnd w:id="783"/>
      <w:r w:rsidRPr="00400193">
        <w:t>: Testing the collinearity between variables for VW</w:t>
      </w:r>
      <w:bookmarkEnd w:id="784"/>
    </w:p>
    <w:p w14:paraId="6FD5F5A4" w14:textId="77777777" w:rsidR="006E3616" w:rsidRPr="00400193" w:rsidRDefault="006E3616" w:rsidP="006E3616">
      <w:pPr>
        <w:rPr>
          <w:lang w:eastAsia="zh-CN" w:bidi="hi-IN"/>
        </w:rPr>
      </w:pPr>
      <w:r w:rsidRPr="00400193">
        <w:rPr>
          <w:lang w:eastAsia="zh-CN" w:bidi="hi-IN"/>
        </w:rPr>
        <w:t>The condition index for all but two variables was less than 10. The other two dimensions had a condition index greater than 10 and less than 30, indicating moderate collinearity.</w:t>
      </w:r>
    </w:p>
    <w:p w14:paraId="7E3D979E" w14:textId="77777777" w:rsidR="006E3616" w:rsidRPr="00400193" w:rsidRDefault="006E3616" w:rsidP="003C3496">
      <w:pPr>
        <w:pStyle w:val="Heading4"/>
        <w:rPr>
          <w:lang w:eastAsia="zh-CN" w:bidi="hi-IN"/>
        </w:rPr>
      </w:pPr>
      <w:bookmarkStart w:id="785" w:name="_Toc61894796"/>
      <w:r w:rsidRPr="00400193">
        <w:rPr>
          <w:lang w:eastAsia="zh-CN" w:bidi="hi-IN"/>
        </w:rPr>
        <w:t>Examining Residuals using Scatter Plots</w:t>
      </w:r>
      <w:bookmarkEnd w:id="785"/>
      <w:r w:rsidRPr="00400193">
        <w:rPr>
          <w:lang w:eastAsia="zh-CN" w:bidi="hi-IN"/>
        </w:rPr>
        <w:t xml:space="preserve"> </w:t>
      </w:r>
    </w:p>
    <w:p w14:paraId="1BEE8FF2" w14:textId="44561109" w:rsidR="006E3616" w:rsidRPr="00400193" w:rsidRDefault="006E3616" w:rsidP="006E3616">
      <w:pPr>
        <w:rPr>
          <w:lang w:eastAsia="zh-CN" w:bidi="hi-IN"/>
        </w:rPr>
      </w:pPr>
      <w:r w:rsidRPr="00400193">
        <w:rPr>
          <w:lang w:eastAsia="zh-CN" w:bidi="hi-IN"/>
        </w:rPr>
        <w:t xml:space="preserve">The residual statistics from the regression analysis are in </w:t>
      </w:r>
      <w:r w:rsidR="00EF2516" w:rsidRPr="00400193">
        <w:rPr>
          <w:lang w:eastAsia="zh-CN" w:bidi="hi-IN"/>
        </w:rPr>
        <w:fldChar w:fldCharType="begin"/>
      </w:r>
      <w:r w:rsidR="00EF2516" w:rsidRPr="00400193">
        <w:rPr>
          <w:lang w:eastAsia="zh-CN" w:bidi="hi-IN"/>
        </w:rPr>
        <w:instrText xml:space="preserve"> REF _Ref51590806 \h </w:instrText>
      </w:r>
      <w:r w:rsidR="00EF2516" w:rsidRPr="00400193">
        <w:rPr>
          <w:lang w:eastAsia="zh-CN" w:bidi="hi-IN"/>
        </w:rPr>
      </w:r>
      <w:r w:rsidR="00EF25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104</w:t>
      </w:r>
      <w:r w:rsidR="00EF2516" w:rsidRPr="00400193">
        <w:rPr>
          <w:lang w:eastAsia="zh-CN" w:bidi="hi-IN"/>
        </w:rPr>
        <w:fldChar w:fldCharType="end"/>
      </w:r>
      <w:r w:rsidRPr="00400193">
        <w:rPr>
          <w:lang w:eastAsia="zh-CN" w:bidi="hi-IN"/>
        </w:rPr>
        <w:t xml:space="preserve">. The results check the residual mean is zero. </w:t>
      </w:r>
      <w:r w:rsidR="008B14A9" w:rsidRPr="00400193">
        <w:rPr>
          <w:lang w:eastAsia="zh-CN" w:bidi="hi-IN"/>
        </w:rPr>
        <w:fldChar w:fldCharType="begin"/>
      </w:r>
      <w:r w:rsidR="008B14A9" w:rsidRPr="00400193">
        <w:rPr>
          <w:lang w:eastAsia="zh-CN" w:bidi="hi-IN"/>
        </w:rPr>
        <w:instrText xml:space="preserve"> REF _Ref51350626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44</w:t>
      </w:r>
      <w:r w:rsidR="008B14A9" w:rsidRPr="00400193">
        <w:rPr>
          <w:lang w:eastAsia="zh-CN" w:bidi="hi-IN"/>
        </w:rPr>
        <w:fldChar w:fldCharType="end"/>
      </w:r>
      <w:r w:rsidR="008B14A9" w:rsidRPr="00400193">
        <w:rPr>
          <w:lang w:eastAsia="zh-CN" w:bidi="hi-IN"/>
        </w:rPr>
        <w:t xml:space="preserve">, </w:t>
      </w:r>
      <w:r w:rsidR="008B14A9" w:rsidRPr="00400193">
        <w:rPr>
          <w:lang w:eastAsia="zh-CN" w:bidi="hi-IN"/>
        </w:rPr>
        <w:fldChar w:fldCharType="begin"/>
      </w:r>
      <w:r w:rsidR="008B14A9" w:rsidRPr="00400193">
        <w:rPr>
          <w:lang w:eastAsia="zh-CN" w:bidi="hi-IN"/>
        </w:rPr>
        <w:instrText xml:space="preserve"> REF _Ref51350632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45</w:t>
      </w:r>
      <w:r w:rsidR="008B14A9" w:rsidRPr="00400193">
        <w:rPr>
          <w:lang w:eastAsia="zh-CN" w:bidi="hi-IN"/>
        </w:rPr>
        <w:fldChar w:fldCharType="end"/>
      </w:r>
      <w:r w:rsidR="008B14A9" w:rsidRPr="00400193">
        <w:rPr>
          <w:lang w:eastAsia="zh-CN" w:bidi="hi-IN"/>
        </w:rPr>
        <w:t xml:space="preserve">, and </w:t>
      </w:r>
      <w:r w:rsidR="008B14A9" w:rsidRPr="00400193">
        <w:rPr>
          <w:lang w:eastAsia="zh-CN" w:bidi="hi-IN"/>
        </w:rPr>
        <w:fldChar w:fldCharType="begin"/>
      </w:r>
      <w:r w:rsidR="008B14A9" w:rsidRPr="00400193">
        <w:rPr>
          <w:lang w:eastAsia="zh-CN" w:bidi="hi-IN"/>
        </w:rPr>
        <w:instrText xml:space="preserve"> REF _Ref51350639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46</w:t>
      </w:r>
      <w:r w:rsidR="008B14A9" w:rsidRPr="00400193">
        <w:rPr>
          <w:lang w:eastAsia="zh-CN" w:bidi="hi-IN"/>
        </w:rPr>
        <w:fldChar w:fldCharType="end"/>
      </w:r>
      <w:r w:rsidRPr="00400193">
        <w:rPr>
          <w:lang w:eastAsia="zh-CN" w:bidi="hi-IN"/>
        </w:rPr>
        <w:t xml:space="preserve"> show that there is no pattern of behaviour of the residuals with respect to Y. These variables were </w:t>
      </w:r>
      <w:r w:rsidR="003C3496" w:rsidRPr="00400193">
        <w:rPr>
          <w:lang w:eastAsia="zh-CN" w:bidi="hi-IN"/>
        </w:rPr>
        <w:t>systematic,</w:t>
      </w:r>
      <w:r w:rsidRPr="00400193">
        <w:rPr>
          <w:lang w:eastAsia="zh-CN" w:bidi="hi-IN"/>
        </w:rPr>
        <w:t xml:space="preserve"> and the assumption of error term independence is not violated.</w:t>
      </w:r>
    </w:p>
    <w:p w14:paraId="6F2CC893" w14:textId="09D3F0DC" w:rsidR="00EF2516" w:rsidRPr="00400193" w:rsidRDefault="00EF2516" w:rsidP="006E3616">
      <w:pPr>
        <w:rPr>
          <w:lang w:eastAsia="zh-CN" w:bidi="hi-IN"/>
        </w:rPr>
      </w:pPr>
    </w:p>
    <w:p w14:paraId="22CBD8C7" w14:textId="77777777" w:rsidR="00EF2516" w:rsidRPr="00400193" w:rsidRDefault="00EF2516" w:rsidP="006E3616">
      <w:pPr>
        <w:rPr>
          <w:lang w:eastAsia="zh-CN" w:bidi="hi-IN"/>
        </w:rPr>
      </w:pPr>
    </w:p>
    <w:tbl>
      <w:tblPr>
        <w:tblW w:w="88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05"/>
        <w:gridCol w:w="1032"/>
        <w:gridCol w:w="1061"/>
        <w:gridCol w:w="988"/>
        <w:gridCol w:w="1386"/>
        <w:gridCol w:w="2462"/>
      </w:tblGrid>
      <w:tr w:rsidR="006E3616" w:rsidRPr="00400193" w14:paraId="02D4E8F3" w14:textId="77777777" w:rsidTr="00EF2516">
        <w:trPr>
          <w:cantSplit/>
          <w:trHeight w:val="283"/>
        </w:trPr>
        <w:tc>
          <w:tcPr>
            <w:tcW w:w="8834" w:type="dxa"/>
            <w:gridSpan w:val="6"/>
            <w:tcBorders>
              <w:top w:val="nil"/>
              <w:left w:val="nil"/>
              <w:bottom w:val="nil"/>
              <w:right w:val="nil"/>
            </w:tcBorders>
            <w:shd w:val="clear" w:color="auto" w:fill="auto"/>
            <w:vAlign w:val="center"/>
          </w:tcPr>
          <w:p w14:paraId="2A15010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5433EA8A" w14:textId="77777777" w:rsidTr="00EF2516">
        <w:trPr>
          <w:cantSplit/>
          <w:trHeight w:val="283"/>
        </w:trPr>
        <w:tc>
          <w:tcPr>
            <w:tcW w:w="1905" w:type="dxa"/>
            <w:tcBorders>
              <w:top w:val="nil"/>
              <w:left w:val="nil"/>
              <w:bottom w:val="single" w:sz="8" w:space="0" w:color="152935"/>
              <w:right w:val="nil"/>
            </w:tcBorders>
            <w:shd w:val="clear" w:color="auto" w:fill="auto"/>
            <w:vAlign w:val="bottom"/>
          </w:tcPr>
          <w:p w14:paraId="3CF9545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2" w:type="dxa"/>
            <w:tcBorders>
              <w:top w:val="nil"/>
              <w:left w:val="nil"/>
              <w:bottom w:val="single" w:sz="8" w:space="0" w:color="152935"/>
              <w:right w:val="single" w:sz="8" w:space="0" w:color="E0E0E0"/>
            </w:tcBorders>
            <w:shd w:val="clear" w:color="auto" w:fill="auto"/>
            <w:vAlign w:val="bottom"/>
          </w:tcPr>
          <w:p w14:paraId="44268CC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1" w:type="dxa"/>
            <w:tcBorders>
              <w:top w:val="nil"/>
              <w:left w:val="single" w:sz="8" w:space="0" w:color="E0E0E0"/>
              <w:bottom w:val="single" w:sz="8" w:space="0" w:color="152935"/>
              <w:right w:val="single" w:sz="8" w:space="0" w:color="E0E0E0"/>
            </w:tcBorders>
            <w:shd w:val="clear" w:color="auto" w:fill="auto"/>
            <w:vAlign w:val="bottom"/>
          </w:tcPr>
          <w:p w14:paraId="15F40EC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8" w:type="dxa"/>
            <w:tcBorders>
              <w:top w:val="nil"/>
              <w:left w:val="single" w:sz="8" w:space="0" w:color="E0E0E0"/>
              <w:bottom w:val="single" w:sz="8" w:space="0" w:color="152935"/>
              <w:right w:val="single" w:sz="8" w:space="0" w:color="E0E0E0"/>
            </w:tcBorders>
            <w:shd w:val="clear" w:color="auto" w:fill="auto"/>
            <w:vAlign w:val="bottom"/>
          </w:tcPr>
          <w:p w14:paraId="4EE7C9A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86" w:type="dxa"/>
            <w:tcBorders>
              <w:top w:val="nil"/>
              <w:left w:val="single" w:sz="8" w:space="0" w:color="E0E0E0"/>
              <w:bottom w:val="single" w:sz="8" w:space="0" w:color="152935"/>
              <w:right w:val="single" w:sz="8" w:space="0" w:color="E0E0E0"/>
            </w:tcBorders>
            <w:shd w:val="clear" w:color="auto" w:fill="auto"/>
            <w:vAlign w:val="bottom"/>
          </w:tcPr>
          <w:p w14:paraId="2D2ED71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460" w:type="dxa"/>
            <w:tcBorders>
              <w:top w:val="nil"/>
              <w:left w:val="single" w:sz="8" w:space="0" w:color="E0E0E0"/>
              <w:bottom w:val="single" w:sz="8" w:space="0" w:color="152935"/>
              <w:right w:val="nil"/>
            </w:tcBorders>
            <w:shd w:val="clear" w:color="auto" w:fill="auto"/>
            <w:vAlign w:val="bottom"/>
          </w:tcPr>
          <w:p w14:paraId="78FE70A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1C83459A" w14:textId="77777777" w:rsidTr="00EF2516">
        <w:trPr>
          <w:cantSplit/>
          <w:trHeight w:val="283"/>
        </w:trPr>
        <w:tc>
          <w:tcPr>
            <w:tcW w:w="1905" w:type="dxa"/>
            <w:tcBorders>
              <w:top w:val="single" w:sz="8" w:space="0" w:color="152935"/>
              <w:left w:val="nil"/>
              <w:bottom w:val="single" w:sz="8" w:space="0" w:color="AEAEAE"/>
              <w:right w:val="nil"/>
            </w:tcBorders>
            <w:shd w:val="clear" w:color="auto" w:fill="auto"/>
          </w:tcPr>
          <w:p w14:paraId="66B99B5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2" w:type="dxa"/>
            <w:tcBorders>
              <w:top w:val="single" w:sz="8" w:space="0" w:color="152935"/>
              <w:left w:val="nil"/>
              <w:bottom w:val="single" w:sz="8" w:space="0" w:color="AEAEAE"/>
              <w:right w:val="single" w:sz="8" w:space="0" w:color="E0E0E0"/>
            </w:tcBorders>
            <w:shd w:val="clear" w:color="auto" w:fill="auto"/>
          </w:tcPr>
          <w:p w14:paraId="7989C9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1.7817</w:t>
            </w:r>
          </w:p>
        </w:tc>
        <w:tc>
          <w:tcPr>
            <w:tcW w:w="1061" w:type="dxa"/>
            <w:tcBorders>
              <w:top w:val="single" w:sz="8" w:space="0" w:color="152935"/>
              <w:left w:val="single" w:sz="8" w:space="0" w:color="E0E0E0"/>
              <w:bottom w:val="single" w:sz="8" w:space="0" w:color="AEAEAE"/>
              <w:right w:val="single" w:sz="8" w:space="0" w:color="E0E0E0"/>
            </w:tcBorders>
            <w:shd w:val="clear" w:color="auto" w:fill="auto"/>
          </w:tcPr>
          <w:p w14:paraId="35F5AD0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4.3063</w:t>
            </w:r>
          </w:p>
        </w:tc>
        <w:tc>
          <w:tcPr>
            <w:tcW w:w="988" w:type="dxa"/>
            <w:tcBorders>
              <w:top w:val="single" w:sz="8" w:space="0" w:color="152935"/>
              <w:left w:val="single" w:sz="8" w:space="0" w:color="E0E0E0"/>
              <w:bottom w:val="single" w:sz="8" w:space="0" w:color="AEAEAE"/>
              <w:right w:val="single" w:sz="8" w:space="0" w:color="E0E0E0"/>
            </w:tcBorders>
            <w:shd w:val="clear" w:color="auto" w:fill="auto"/>
          </w:tcPr>
          <w:p w14:paraId="2CFB249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86" w:type="dxa"/>
            <w:tcBorders>
              <w:top w:val="single" w:sz="8" w:space="0" w:color="152935"/>
              <w:left w:val="single" w:sz="8" w:space="0" w:color="E0E0E0"/>
              <w:bottom w:val="single" w:sz="8" w:space="0" w:color="AEAEAE"/>
              <w:right w:val="single" w:sz="8" w:space="0" w:color="E0E0E0"/>
            </w:tcBorders>
            <w:shd w:val="clear" w:color="auto" w:fill="auto"/>
          </w:tcPr>
          <w:p w14:paraId="39B72F7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.47689</w:t>
            </w:r>
          </w:p>
        </w:tc>
        <w:tc>
          <w:tcPr>
            <w:tcW w:w="2460" w:type="dxa"/>
            <w:tcBorders>
              <w:top w:val="single" w:sz="8" w:space="0" w:color="152935"/>
              <w:left w:val="single" w:sz="8" w:space="0" w:color="E0E0E0"/>
              <w:bottom w:val="single" w:sz="8" w:space="0" w:color="AEAEAE"/>
              <w:right w:val="nil"/>
            </w:tcBorders>
            <w:shd w:val="clear" w:color="auto" w:fill="auto"/>
          </w:tcPr>
          <w:p w14:paraId="43A498B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A5A8159" w14:textId="77777777" w:rsidTr="00EF2516">
        <w:trPr>
          <w:cantSplit/>
          <w:trHeight w:val="283"/>
        </w:trPr>
        <w:tc>
          <w:tcPr>
            <w:tcW w:w="1905" w:type="dxa"/>
            <w:tcBorders>
              <w:top w:val="single" w:sz="8" w:space="0" w:color="AEAEAE"/>
              <w:left w:val="nil"/>
              <w:bottom w:val="single" w:sz="8" w:space="0" w:color="AEAEAE"/>
              <w:right w:val="nil"/>
            </w:tcBorders>
            <w:shd w:val="clear" w:color="auto" w:fill="auto"/>
          </w:tcPr>
          <w:p w14:paraId="7311E35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2" w:type="dxa"/>
            <w:tcBorders>
              <w:top w:val="single" w:sz="8" w:space="0" w:color="AEAEAE"/>
              <w:left w:val="nil"/>
              <w:bottom w:val="single" w:sz="8" w:space="0" w:color="AEAEAE"/>
              <w:right w:val="single" w:sz="8" w:space="0" w:color="E0E0E0"/>
            </w:tcBorders>
            <w:shd w:val="clear" w:color="auto" w:fill="auto"/>
          </w:tcPr>
          <w:p w14:paraId="104C260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−.85570</w:t>
            </w:r>
          </w:p>
        </w:tc>
        <w:tc>
          <w:tcPr>
            <w:tcW w:w="1061" w:type="dxa"/>
            <w:tcBorders>
              <w:top w:val="single" w:sz="8" w:space="0" w:color="AEAEAE"/>
              <w:left w:val="single" w:sz="8" w:space="0" w:color="E0E0E0"/>
              <w:bottom w:val="single" w:sz="8" w:space="0" w:color="AEAEAE"/>
              <w:right w:val="single" w:sz="8" w:space="0" w:color="E0E0E0"/>
            </w:tcBorders>
            <w:shd w:val="clear" w:color="auto" w:fill="auto"/>
          </w:tcPr>
          <w:p w14:paraId="545B99B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.69369</w:t>
            </w:r>
          </w:p>
        </w:tc>
        <w:tc>
          <w:tcPr>
            <w:tcW w:w="988" w:type="dxa"/>
            <w:tcBorders>
              <w:top w:val="single" w:sz="8" w:space="0" w:color="AEAEAE"/>
              <w:left w:val="single" w:sz="8" w:space="0" w:color="E0E0E0"/>
              <w:bottom w:val="single" w:sz="8" w:space="0" w:color="AEAEAE"/>
              <w:right w:val="single" w:sz="8" w:space="0" w:color="E0E0E0"/>
            </w:tcBorders>
            <w:shd w:val="clear" w:color="auto" w:fill="auto"/>
          </w:tcPr>
          <w:p w14:paraId="5924935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86" w:type="dxa"/>
            <w:tcBorders>
              <w:top w:val="single" w:sz="8" w:space="0" w:color="AEAEAE"/>
              <w:left w:val="single" w:sz="8" w:space="0" w:color="E0E0E0"/>
              <w:bottom w:val="single" w:sz="8" w:space="0" w:color="AEAEAE"/>
              <w:right w:val="single" w:sz="8" w:space="0" w:color="E0E0E0"/>
            </w:tcBorders>
            <w:shd w:val="clear" w:color="auto" w:fill="auto"/>
          </w:tcPr>
          <w:p w14:paraId="6B3446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.35378</w:t>
            </w:r>
          </w:p>
        </w:tc>
        <w:tc>
          <w:tcPr>
            <w:tcW w:w="2460" w:type="dxa"/>
            <w:tcBorders>
              <w:top w:val="single" w:sz="8" w:space="0" w:color="AEAEAE"/>
              <w:left w:val="single" w:sz="8" w:space="0" w:color="E0E0E0"/>
              <w:bottom w:val="single" w:sz="8" w:space="0" w:color="AEAEAE"/>
              <w:right w:val="nil"/>
            </w:tcBorders>
            <w:shd w:val="clear" w:color="auto" w:fill="auto"/>
          </w:tcPr>
          <w:p w14:paraId="4F8AC9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7DEF692" w14:textId="77777777" w:rsidTr="00EF2516">
        <w:trPr>
          <w:cantSplit/>
          <w:trHeight w:val="283"/>
        </w:trPr>
        <w:tc>
          <w:tcPr>
            <w:tcW w:w="1905" w:type="dxa"/>
            <w:tcBorders>
              <w:top w:val="single" w:sz="8" w:space="0" w:color="AEAEAE"/>
              <w:left w:val="nil"/>
              <w:bottom w:val="single" w:sz="8" w:space="0" w:color="AEAEAE"/>
              <w:right w:val="nil"/>
            </w:tcBorders>
            <w:shd w:val="clear" w:color="auto" w:fill="auto"/>
          </w:tcPr>
          <w:p w14:paraId="1D20E1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2" w:type="dxa"/>
            <w:tcBorders>
              <w:top w:val="single" w:sz="8" w:space="0" w:color="AEAEAE"/>
              <w:left w:val="nil"/>
              <w:bottom w:val="single" w:sz="8" w:space="0" w:color="AEAEAE"/>
              <w:right w:val="single" w:sz="8" w:space="0" w:color="E0E0E0"/>
            </w:tcBorders>
            <w:shd w:val="clear" w:color="auto" w:fill="auto"/>
          </w:tcPr>
          <w:p w14:paraId="11660ED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−2.979</w:t>
            </w:r>
          </w:p>
        </w:tc>
        <w:tc>
          <w:tcPr>
            <w:tcW w:w="1061" w:type="dxa"/>
            <w:tcBorders>
              <w:top w:val="single" w:sz="8" w:space="0" w:color="AEAEAE"/>
              <w:left w:val="single" w:sz="8" w:space="0" w:color="E0E0E0"/>
              <w:bottom w:val="single" w:sz="8" w:space="0" w:color="AEAEAE"/>
              <w:right w:val="single" w:sz="8" w:space="0" w:color="E0E0E0"/>
            </w:tcBorders>
            <w:shd w:val="clear" w:color="auto" w:fill="auto"/>
          </w:tcPr>
          <w:p w14:paraId="1353BED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2.315</w:t>
            </w:r>
          </w:p>
        </w:tc>
        <w:tc>
          <w:tcPr>
            <w:tcW w:w="988" w:type="dxa"/>
            <w:tcBorders>
              <w:top w:val="single" w:sz="8" w:space="0" w:color="AEAEAE"/>
              <w:left w:val="single" w:sz="8" w:space="0" w:color="E0E0E0"/>
              <w:bottom w:val="single" w:sz="8" w:space="0" w:color="AEAEAE"/>
              <w:right w:val="single" w:sz="8" w:space="0" w:color="E0E0E0"/>
            </w:tcBorders>
            <w:shd w:val="clear" w:color="auto" w:fill="auto"/>
          </w:tcPr>
          <w:p w14:paraId="0ECC560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6" w:type="dxa"/>
            <w:tcBorders>
              <w:top w:val="single" w:sz="8" w:space="0" w:color="AEAEAE"/>
              <w:left w:val="single" w:sz="8" w:space="0" w:color="E0E0E0"/>
              <w:bottom w:val="single" w:sz="8" w:space="0" w:color="AEAEAE"/>
              <w:right w:val="single" w:sz="8" w:space="0" w:color="E0E0E0"/>
            </w:tcBorders>
            <w:shd w:val="clear" w:color="auto" w:fill="auto"/>
          </w:tcPr>
          <w:p w14:paraId="500D3F4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460" w:type="dxa"/>
            <w:tcBorders>
              <w:top w:val="single" w:sz="8" w:space="0" w:color="AEAEAE"/>
              <w:left w:val="single" w:sz="8" w:space="0" w:color="E0E0E0"/>
              <w:bottom w:val="single" w:sz="8" w:space="0" w:color="AEAEAE"/>
              <w:right w:val="nil"/>
            </w:tcBorders>
            <w:shd w:val="clear" w:color="auto" w:fill="auto"/>
          </w:tcPr>
          <w:p w14:paraId="274186D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0A615768" w14:textId="77777777" w:rsidTr="00EF2516">
        <w:trPr>
          <w:cantSplit/>
          <w:trHeight w:val="283"/>
        </w:trPr>
        <w:tc>
          <w:tcPr>
            <w:tcW w:w="1905" w:type="dxa"/>
            <w:tcBorders>
              <w:top w:val="single" w:sz="8" w:space="0" w:color="AEAEAE"/>
              <w:left w:val="nil"/>
              <w:bottom w:val="single" w:sz="8" w:space="0" w:color="152935"/>
              <w:right w:val="nil"/>
            </w:tcBorders>
            <w:shd w:val="clear" w:color="auto" w:fill="auto"/>
          </w:tcPr>
          <w:p w14:paraId="5FA5FA4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2" w:type="dxa"/>
            <w:tcBorders>
              <w:top w:val="single" w:sz="8" w:space="0" w:color="AEAEAE"/>
              <w:left w:val="nil"/>
              <w:bottom w:val="single" w:sz="8" w:space="0" w:color="152935"/>
              <w:right w:val="single" w:sz="8" w:space="0" w:color="E0E0E0"/>
            </w:tcBorders>
            <w:shd w:val="clear" w:color="auto" w:fill="auto"/>
          </w:tcPr>
          <w:p w14:paraId="7D80762C"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−2.383</w:t>
            </w:r>
          </w:p>
        </w:tc>
        <w:tc>
          <w:tcPr>
            <w:tcW w:w="1061" w:type="dxa"/>
            <w:tcBorders>
              <w:top w:val="single" w:sz="8" w:space="0" w:color="AEAEAE"/>
              <w:left w:val="single" w:sz="8" w:space="0" w:color="E0E0E0"/>
              <w:bottom w:val="single" w:sz="8" w:space="0" w:color="152935"/>
              <w:right w:val="single" w:sz="8" w:space="0" w:color="E0E0E0"/>
            </w:tcBorders>
            <w:shd w:val="clear" w:color="auto" w:fill="auto"/>
          </w:tcPr>
          <w:p w14:paraId="44426F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1.932</w:t>
            </w:r>
          </w:p>
        </w:tc>
        <w:tc>
          <w:tcPr>
            <w:tcW w:w="988" w:type="dxa"/>
            <w:tcBorders>
              <w:top w:val="single" w:sz="8" w:space="0" w:color="AEAEAE"/>
              <w:left w:val="single" w:sz="8" w:space="0" w:color="E0E0E0"/>
              <w:bottom w:val="single" w:sz="8" w:space="0" w:color="152935"/>
              <w:right w:val="single" w:sz="8" w:space="0" w:color="E0E0E0"/>
            </w:tcBorders>
            <w:shd w:val="clear" w:color="auto" w:fill="auto"/>
          </w:tcPr>
          <w:p w14:paraId="43AEAD5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6" w:type="dxa"/>
            <w:tcBorders>
              <w:top w:val="single" w:sz="8" w:space="0" w:color="AEAEAE"/>
              <w:left w:val="single" w:sz="8" w:space="0" w:color="E0E0E0"/>
              <w:bottom w:val="single" w:sz="8" w:space="0" w:color="152935"/>
              <w:right w:val="single" w:sz="8" w:space="0" w:color="E0E0E0"/>
            </w:tcBorders>
            <w:shd w:val="clear" w:color="auto" w:fill="auto"/>
          </w:tcPr>
          <w:p w14:paraId="1F3CC6B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.985</w:t>
            </w:r>
          </w:p>
        </w:tc>
        <w:tc>
          <w:tcPr>
            <w:tcW w:w="2460" w:type="dxa"/>
            <w:tcBorders>
              <w:top w:val="single" w:sz="8" w:space="0" w:color="AEAEAE"/>
              <w:left w:val="single" w:sz="8" w:space="0" w:color="E0E0E0"/>
              <w:bottom w:val="single" w:sz="8" w:space="0" w:color="152935"/>
              <w:right w:val="nil"/>
            </w:tcBorders>
            <w:shd w:val="clear" w:color="auto" w:fill="auto"/>
          </w:tcPr>
          <w:p w14:paraId="79A0015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4150711" w14:textId="77777777" w:rsidTr="00EF2516">
        <w:trPr>
          <w:cantSplit/>
          <w:trHeight w:val="283"/>
        </w:trPr>
        <w:tc>
          <w:tcPr>
            <w:tcW w:w="8834" w:type="dxa"/>
            <w:gridSpan w:val="6"/>
            <w:tcBorders>
              <w:top w:val="nil"/>
              <w:left w:val="nil"/>
              <w:bottom w:val="nil"/>
              <w:right w:val="nil"/>
            </w:tcBorders>
            <w:shd w:val="clear" w:color="auto" w:fill="auto"/>
          </w:tcPr>
          <w:p w14:paraId="5362E5C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05BCC483" w14:textId="6C63B5EF" w:rsidR="006E3616" w:rsidRPr="00400193" w:rsidRDefault="006E3616" w:rsidP="00EF2516">
      <w:pPr>
        <w:pStyle w:val="Caption"/>
        <w:spacing w:line="360" w:lineRule="auto"/>
      </w:pPr>
      <w:bookmarkStart w:id="786" w:name="_Ref51590806"/>
      <w:bookmarkStart w:id="787" w:name="_Toc5290164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104</w:t>
      </w:r>
      <w:r w:rsidRPr="00400193">
        <w:fldChar w:fldCharType="end"/>
      </w:r>
      <w:bookmarkEnd w:id="786"/>
      <w:r w:rsidRPr="00400193">
        <w:t>: Residual statistics of the model regression for VW</w:t>
      </w:r>
      <w:bookmarkEnd w:id="787"/>
    </w:p>
    <w:p w14:paraId="35CB84F2" w14:textId="155C68D6" w:rsidR="006E3616" w:rsidRPr="00400193" w:rsidRDefault="00F319CB" w:rsidP="00EF2516">
      <w:pPr>
        <w:spacing w:after="0"/>
        <w:rPr>
          <w:lang w:eastAsia="zh-CN" w:bidi="hi-IN"/>
        </w:rPr>
      </w:pPr>
      <w:r w:rsidRPr="00400193">
        <w:rPr>
          <w:lang w:eastAsia="zh-CN" w:bidi="hi-IN"/>
        </w:rPr>
        <w:fldChar w:fldCharType="begin"/>
      </w:r>
      <w:r w:rsidRPr="00400193">
        <w:rPr>
          <w:lang w:eastAsia="zh-CN" w:bidi="hi-IN"/>
        </w:rPr>
        <w:instrText xml:space="preserve"> REF _Ref52821722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47</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 </w:t>
      </w:r>
    </w:p>
    <w:p w14:paraId="5BB809F6"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03E6C6C3" wp14:editId="17745B3C">
            <wp:extent cx="5760000" cy="3132000"/>
            <wp:effectExtent l="19050" t="19050" r="12700" b="11430"/>
            <wp:docPr id="167"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60000" cy="3132000"/>
                    </a:xfrm>
                    <a:prstGeom prst="rect">
                      <a:avLst/>
                    </a:prstGeom>
                    <a:noFill/>
                    <a:ln w="19050">
                      <a:solidFill>
                        <a:schemeClr val="tx1"/>
                      </a:solidFill>
                    </a:ln>
                  </pic:spPr>
                </pic:pic>
              </a:graphicData>
            </a:graphic>
          </wp:inline>
        </w:drawing>
      </w:r>
    </w:p>
    <w:p w14:paraId="3E62F83C" w14:textId="4F06C59E" w:rsidR="006E3616" w:rsidRPr="00400193" w:rsidRDefault="006E3616" w:rsidP="006E3616">
      <w:pPr>
        <w:pStyle w:val="Caption"/>
      </w:pPr>
      <w:bookmarkStart w:id="788" w:name="_Ref51350626"/>
      <w:bookmarkStart w:id="789" w:name="_Toc5538762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44</w:t>
      </w:r>
      <w:r w:rsidR="00E35E8C" w:rsidRPr="00400193">
        <w:fldChar w:fldCharType="end"/>
      </w:r>
      <w:bookmarkEnd w:id="788"/>
      <w:r w:rsidRPr="00400193">
        <w:t>: Scatter plot for residual results from the model for VW and RP</w:t>
      </w:r>
      <w:bookmarkEnd w:id="789"/>
    </w:p>
    <w:p w14:paraId="45B6C748"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5DA6DC7E" wp14:editId="2FD68EE7">
            <wp:extent cx="5760000" cy="3132000"/>
            <wp:effectExtent l="19050" t="19050" r="12700" b="11430"/>
            <wp:docPr id="168" name="Pictur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60000" cy="3132000"/>
                    </a:xfrm>
                    <a:prstGeom prst="rect">
                      <a:avLst/>
                    </a:prstGeom>
                    <a:noFill/>
                    <a:ln w="19050">
                      <a:solidFill>
                        <a:schemeClr val="tx1"/>
                      </a:solidFill>
                    </a:ln>
                  </pic:spPr>
                </pic:pic>
              </a:graphicData>
            </a:graphic>
          </wp:inline>
        </w:drawing>
      </w:r>
    </w:p>
    <w:p w14:paraId="1007F5E4" w14:textId="5124C1A4" w:rsidR="006E3616" w:rsidRPr="00400193" w:rsidRDefault="006E3616" w:rsidP="006E3616">
      <w:pPr>
        <w:pStyle w:val="Caption"/>
      </w:pPr>
      <w:bookmarkStart w:id="790" w:name="_Ref51350632"/>
      <w:bookmarkStart w:id="791" w:name="_Toc5538762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45</w:t>
      </w:r>
      <w:r w:rsidR="00E35E8C" w:rsidRPr="00400193">
        <w:fldChar w:fldCharType="end"/>
      </w:r>
      <w:bookmarkEnd w:id="790"/>
      <w:r w:rsidRPr="00400193">
        <w:t xml:space="preserve">: Scatter plot for residual results from the model for VW and </w:t>
      </w:r>
      <w:r w:rsidR="00EF2516" w:rsidRPr="00400193">
        <w:t>IRF</w:t>
      </w:r>
      <w:bookmarkEnd w:id="791"/>
    </w:p>
    <w:p w14:paraId="71C1E80D" w14:textId="77777777" w:rsidR="00EF2516" w:rsidRPr="00400193" w:rsidRDefault="00EF2516" w:rsidP="00EF2516"/>
    <w:p w14:paraId="34108408"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08E477D0" wp14:editId="41D9B58D">
            <wp:extent cx="5760000" cy="3240000"/>
            <wp:effectExtent l="19050" t="19050" r="12700" b="17780"/>
            <wp:docPr id="169"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8A5F13B" w14:textId="64D8B6AA" w:rsidR="006E3616" w:rsidRPr="00400193" w:rsidRDefault="006E3616" w:rsidP="00EF2516">
      <w:pPr>
        <w:pStyle w:val="Caption"/>
        <w:spacing w:after="240"/>
      </w:pPr>
      <w:bookmarkStart w:id="792" w:name="_Ref51350639"/>
      <w:bookmarkStart w:id="793" w:name="_Toc5538762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46</w:t>
      </w:r>
      <w:r w:rsidR="00E35E8C" w:rsidRPr="00400193">
        <w:fldChar w:fldCharType="end"/>
      </w:r>
      <w:bookmarkEnd w:id="792"/>
      <w:r w:rsidRPr="00400193">
        <w:t xml:space="preserve">: Scatter plot for residual results from the model for VW and </w:t>
      </w:r>
      <w:r w:rsidR="00EF2516" w:rsidRPr="00400193">
        <w:t>IRF</w:t>
      </w:r>
      <w:r w:rsidRPr="00400193">
        <w:t>*RP</w:t>
      </w:r>
      <w:bookmarkEnd w:id="793"/>
    </w:p>
    <w:p w14:paraId="37FA9477" w14:textId="77777777" w:rsidR="00EF2516" w:rsidRPr="00400193" w:rsidRDefault="00EF2516" w:rsidP="00EF2516"/>
    <w:p w14:paraId="48BB7D3A"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6DEFFC52" wp14:editId="5F1DF21E">
            <wp:extent cx="5760000" cy="3240000"/>
            <wp:effectExtent l="19050" t="19050" r="12700" b="17780"/>
            <wp:docPr id="170"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BC00823" w14:textId="38A90B3B" w:rsidR="006E3616" w:rsidRPr="00400193" w:rsidRDefault="006E3616" w:rsidP="006E3616">
      <w:pPr>
        <w:pStyle w:val="Caption"/>
      </w:pPr>
      <w:bookmarkStart w:id="794" w:name="_Ref52821722"/>
      <w:bookmarkStart w:id="795" w:name="_Toc5538762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47</w:t>
      </w:r>
      <w:r w:rsidR="00E35E8C" w:rsidRPr="00400193">
        <w:fldChar w:fldCharType="end"/>
      </w:r>
      <w:bookmarkEnd w:id="794"/>
      <w:r w:rsidRPr="00400193">
        <w:t>: Histogram of the frequency of the standardised residuals for VW</w:t>
      </w:r>
      <w:bookmarkEnd w:id="795"/>
    </w:p>
    <w:p w14:paraId="71052065" w14:textId="77777777" w:rsidR="006E3616" w:rsidRPr="00400193" w:rsidRDefault="006E3616" w:rsidP="006E3616">
      <w:pPr>
        <w:spacing w:line="240" w:lineRule="auto"/>
        <w:rPr>
          <w:lang w:eastAsia="zh-CN" w:bidi="hi-IN"/>
        </w:rPr>
      </w:pPr>
    </w:p>
    <w:p w14:paraId="6CB8C24B" w14:textId="1A8916B2"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_Ref52821757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48</w:t>
      </w:r>
      <w:r w:rsidR="00F319CB" w:rsidRPr="00400193">
        <w:rPr>
          <w:lang w:eastAsia="zh-CN" w:bidi="hi-IN"/>
        </w:rPr>
        <w:fldChar w:fldCharType="end"/>
      </w:r>
      <w:r w:rsidRPr="00400193">
        <w:rPr>
          <w:lang w:eastAsia="zh-CN" w:bidi="hi-IN"/>
        </w:rPr>
        <w:t>) shows that there is a normal distribution.</w:t>
      </w:r>
    </w:p>
    <w:p w14:paraId="07029DFA"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320578D2" wp14:editId="65476B2B">
            <wp:extent cx="5760000" cy="3240000"/>
            <wp:effectExtent l="19050" t="19050" r="12700" b="17780"/>
            <wp:docPr id="171"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0A733480" w14:textId="4B3D4930" w:rsidR="006E3616" w:rsidRPr="00400193" w:rsidRDefault="006E3616" w:rsidP="006E3616">
      <w:pPr>
        <w:pStyle w:val="Caption"/>
      </w:pPr>
      <w:bookmarkStart w:id="796" w:name="_Ref52821757"/>
      <w:bookmarkStart w:id="797" w:name="_Toc5538762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48</w:t>
      </w:r>
      <w:r w:rsidR="00E35E8C" w:rsidRPr="00400193">
        <w:fldChar w:fldCharType="end"/>
      </w:r>
      <w:bookmarkEnd w:id="796"/>
      <w:r w:rsidRPr="00400193">
        <w:t>: Normal P–P plot of regression standardised residual for the dependent variable</w:t>
      </w:r>
      <w:bookmarkEnd w:id="797"/>
    </w:p>
    <w:p w14:paraId="00B1BA37" w14:textId="77777777" w:rsidR="006E3616" w:rsidRPr="00400193" w:rsidRDefault="006E3616" w:rsidP="006E3616">
      <w:pPr>
        <w:spacing w:line="240" w:lineRule="auto"/>
        <w:rPr>
          <w:lang w:eastAsia="zh-CN" w:bidi="hi-IN"/>
        </w:rPr>
      </w:pPr>
    </w:p>
    <w:p w14:paraId="3D418DCC" w14:textId="4EE3DF54" w:rsidR="006E3616" w:rsidRPr="00400193" w:rsidRDefault="006E3616" w:rsidP="003C3496">
      <w:pPr>
        <w:pStyle w:val="Heading4"/>
        <w:rPr>
          <w:lang w:eastAsia="zh-CN" w:bidi="hi-IN"/>
        </w:rPr>
      </w:pPr>
      <w:bookmarkStart w:id="798" w:name="_Toc61894797"/>
      <w:r w:rsidRPr="00400193">
        <w:rPr>
          <w:lang w:eastAsia="zh-CN" w:bidi="hi-IN"/>
        </w:rPr>
        <w:t>Regression</w:t>
      </w:r>
      <w:bookmarkEnd w:id="798"/>
      <w:r w:rsidRPr="00400193">
        <w:rPr>
          <w:lang w:eastAsia="zh-CN" w:bidi="hi-IN"/>
        </w:rPr>
        <w:t xml:space="preserve"> </w:t>
      </w:r>
    </w:p>
    <w:p w14:paraId="16FB8497" w14:textId="77777777" w:rsidR="00EF2516" w:rsidRPr="00400193" w:rsidRDefault="00EF2516" w:rsidP="00EF2516">
      <w:pPr>
        <w:rPr>
          <w:lang w:eastAsia="zh-CN" w:bidi="hi-IN"/>
        </w:rPr>
      </w:pPr>
    </w:p>
    <w:p w14:paraId="16E99F55" w14:textId="15FA09CA" w:rsidR="006E3616" w:rsidRPr="00400193" w:rsidRDefault="006E3616" w:rsidP="006E3616">
      <w:pPr>
        <w:jc w:val="left"/>
        <w:rPr>
          <w:i/>
          <w:iCs/>
          <w:lang w:eastAsia="zh-CN" w:bidi="hi-IN"/>
        </w:rPr>
      </w:pPr>
      <w:r w:rsidRPr="00400193">
        <w:rPr>
          <w:lang w:eastAsia="zh-CN" w:bidi="hi-IN"/>
        </w:rPr>
        <w:fldChar w:fldCharType="begin"/>
      </w:r>
      <w:r w:rsidRPr="00400193">
        <w:rPr>
          <w:i/>
          <w:iCs/>
          <w:lang w:eastAsia="zh-CN" w:bidi="hi-IN"/>
        </w:rPr>
        <w:instrText xml:space="preserve"> REF _Ref43828794 \h </w:instrText>
      </w:r>
      <w:r w:rsidRPr="00400193">
        <w:rPr>
          <w:lang w:eastAsia="zh-CN" w:bidi="hi-IN"/>
        </w:rPr>
        <w:instrText xml:space="preserve"> \* MERGEFORMAT </w:instrText>
      </w:r>
      <w:r w:rsidRPr="00400193">
        <w:rPr>
          <w:lang w:eastAsia="zh-CN" w:bidi="hi-IN"/>
        </w:rPr>
      </w:r>
      <w:r w:rsidRPr="00400193">
        <w:rPr>
          <w:lang w:eastAsia="zh-CN" w:bidi="hi-IN"/>
        </w:rPr>
        <w:fldChar w:fldCharType="separate"/>
      </w:r>
      <w:r w:rsidR="00BB7C18" w:rsidRPr="00400193">
        <w:t>11– (External + Proportionate Organisational Resilience)</w:t>
      </w:r>
      <w:r w:rsidRPr="00400193">
        <w:rPr>
          <w:lang w:eastAsia="zh-CN" w:bidi="hi-IN"/>
        </w:rPr>
        <w:fldChar w:fldCharType="end"/>
      </w:r>
      <w:r w:rsidRPr="00400193">
        <w:rPr>
          <w:i/>
          <w:iCs/>
          <w:lang w:eastAsia="zh-CN" w:bidi="hi-IN"/>
        </w:rPr>
        <w:t xml:space="preserve"> VW = </w:t>
      </w:r>
      <w:r w:rsidR="00DD07A5" w:rsidRPr="00400193">
        <w:rPr>
          <w:i/>
          <w:iCs/>
          <w:lang w:eastAsia="zh-CN" w:bidi="hi-IN"/>
        </w:rPr>
        <w:t>ERF</w:t>
      </w:r>
      <w:r w:rsidRPr="00400193">
        <w:rPr>
          <w:i/>
          <w:iCs/>
          <w:lang w:eastAsia="zh-CN" w:bidi="hi-IN"/>
        </w:rPr>
        <w:t xml:space="preserve"> + OR + OR*</w:t>
      </w:r>
      <w:r w:rsidR="00DD07A5" w:rsidRPr="00400193">
        <w:rPr>
          <w:i/>
          <w:iCs/>
          <w:lang w:eastAsia="zh-CN" w:bidi="hi-IN"/>
        </w:rPr>
        <w:t>ERF</w:t>
      </w:r>
    </w:p>
    <w:p w14:paraId="1B92451D" w14:textId="42F1D5AF" w:rsidR="006E3616" w:rsidRPr="00400193" w:rsidRDefault="006E3616" w:rsidP="006E3616">
      <w:pPr>
        <w:rPr>
          <w:lang w:eastAsia="zh-CN" w:bidi="hi-IN"/>
        </w:rPr>
      </w:pPr>
      <w:r w:rsidRPr="00400193">
        <w:rPr>
          <w:lang w:eastAsia="zh-CN" w:bidi="hi-IN"/>
        </w:rPr>
        <w:t xml:space="preserve">Multiple regressions were used to estimate the parameters in model equation VW = </w:t>
      </w:r>
      <w:r w:rsidR="00DD07A5" w:rsidRPr="00400193">
        <w:rPr>
          <w:lang w:eastAsia="zh-CN" w:bidi="hi-IN"/>
        </w:rPr>
        <w:t>ERF</w:t>
      </w:r>
      <w:r w:rsidRPr="00400193">
        <w:rPr>
          <w:lang w:eastAsia="zh-CN" w:bidi="hi-IN"/>
        </w:rPr>
        <w:t xml:space="preserve"> + OR + OR*</w:t>
      </w:r>
      <w:r w:rsidR="00DD07A5" w:rsidRPr="00400193">
        <w:rPr>
          <w:lang w:eastAsia="zh-CN" w:bidi="hi-IN"/>
        </w:rPr>
        <w:t>ERF</w:t>
      </w:r>
      <w:r w:rsidRPr="00400193">
        <w:rPr>
          <w:lang w:eastAsia="zh-CN" w:bidi="hi-IN"/>
        </w:rPr>
        <w:t xml:space="preserve">. The purpose of the multi-linear models was to map the variation in OR against the relationship between vulnerabilities and weaknesses and external threats in the UAE public sector organisations. The variation variables were all entered at different stages of the simulation. </w:t>
      </w:r>
    </w:p>
    <w:p w14:paraId="55723D14" w14:textId="798676E8" w:rsidR="006E3616" w:rsidRPr="00400193" w:rsidRDefault="006E3616" w:rsidP="006E3616">
      <w:pPr>
        <w:rPr>
          <w:lang w:eastAsia="zh-CN" w:bidi="hi-IN"/>
        </w:rPr>
      </w:pPr>
      <w:r w:rsidRPr="00400193">
        <w:rPr>
          <w:lang w:eastAsia="zh-CN" w:bidi="hi-IN"/>
        </w:rPr>
        <w:t xml:space="preserve">The regression results in </w:t>
      </w:r>
      <w:r w:rsidR="00EF2516" w:rsidRPr="00400193">
        <w:rPr>
          <w:lang w:eastAsia="zh-CN" w:bidi="hi-IN"/>
        </w:rPr>
        <w:fldChar w:fldCharType="begin"/>
      </w:r>
      <w:r w:rsidR="00EF2516" w:rsidRPr="00400193">
        <w:rPr>
          <w:lang w:eastAsia="zh-CN" w:bidi="hi-IN"/>
        </w:rPr>
        <w:instrText xml:space="preserve"> REF _Ref51591213 \h </w:instrText>
      </w:r>
      <w:r w:rsidR="00EF2516" w:rsidRPr="00400193">
        <w:rPr>
          <w:lang w:eastAsia="zh-CN" w:bidi="hi-IN"/>
        </w:rPr>
      </w:r>
      <w:r w:rsidR="00EF25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105</w:t>
      </w:r>
      <w:r w:rsidR="00EF2516" w:rsidRPr="00400193">
        <w:rPr>
          <w:lang w:eastAsia="zh-CN" w:bidi="hi-IN"/>
        </w:rPr>
        <w:fldChar w:fldCharType="end"/>
      </w:r>
      <w:r w:rsidRPr="00400193">
        <w:rPr>
          <w:lang w:eastAsia="zh-CN" w:bidi="hi-IN"/>
        </w:rPr>
        <w:t xml:space="preserve"> show that </w:t>
      </w:r>
      <w:r w:rsidR="00DD07A5" w:rsidRPr="00400193">
        <w:rPr>
          <w:lang w:eastAsia="zh-CN" w:bidi="hi-IN"/>
        </w:rPr>
        <w:t>ERF</w:t>
      </w:r>
      <w:r w:rsidRPr="00400193">
        <w:rPr>
          <w:lang w:eastAsia="zh-CN" w:bidi="hi-IN"/>
        </w:rPr>
        <w:t xml:space="preserve"> moderated by OR explained 45.0% of the variance in VW. This variance proportion was statistically significant because the F-value was 27.307, with three degrees of freedom and p-value of 0.000 (</w:t>
      </w:r>
      <w:r w:rsidR="00EF2516" w:rsidRPr="00400193">
        <w:rPr>
          <w:lang w:eastAsia="zh-CN" w:bidi="hi-IN"/>
        </w:rPr>
        <w:fldChar w:fldCharType="begin"/>
      </w:r>
      <w:r w:rsidR="00EF2516" w:rsidRPr="00400193">
        <w:rPr>
          <w:lang w:eastAsia="zh-CN" w:bidi="hi-IN"/>
        </w:rPr>
        <w:instrText xml:space="preserve"> REF _Ref51591423 \h </w:instrText>
      </w:r>
      <w:r w:rsidR="00EF2516" w:rsidRPr="00400193">
        <w:rPr>
          <w:lang w:eastAsia="zh-CN" w:bidi="hi-IN"/>
        </w:rPr>
      </w:r>
      <w:r w:rsidR="00EF2516"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106</w:t>
      </w:r>
      <w:r w:rsidR="00EF2516" w:rsidRPr="00400193">
        <w:rPr>
          <w:lang w:eastAsia="zh-CN" w:bidi="hi-IN"/>
        </w:rPr>
        <w:fldChar w:fldCharType="end"/>
      </w:r>
      <w:r w:rsidRPr="00400193">
        <w:rPr>
          <w:lang w:eastAsia="zh-CN" w:bidi="hi-IN"/>
        </w:rPr>
        <w:t>). The results also indicate that all the variation variables in the model were significant and goodness-of-fit of the estimated regression equation for the model was supported by an R-square value of 0.450</w:t>
      </w:r>
      <w:r w:rsidR="00E724BF" w:rsidRPr="00400193">
        <w:rPr>
          <w:rFonts w:cstheme="minorHAnsi"/>
        </w:rPr>
        <w:t xml:space="preserve"> </w:t>
      </w:r>
      <w:r w:rsidR="00E724BF" w:rsidRPr="00400193">
        <w:rPr>
          <w:lang w:eastAsia="zh-CN" w:bidi="hi-IN"/>
        </w:rPr>
        <w:t xml:space="preserve">(See also </w:t>
      </w:r>
      <w:r w:rsidR="00E724BF" w:rsidRPr="00400193">
        <w:rPr>
          <w:lang w:eastAsia="zh-CN" w:bidi="hi-IN"/>
        </w:rPr>
        <w:fldChar w:fldCharType="begin"/>
      </w:r>
      <w:r w:rsidR="00E724BF" w:rsidRPr="00400193">
        <w:rPr>
          <w:lang w:eastAsia="zh-CN" w:bidi="hi-IN"/>
        </w:rPr>
        <w:instrText xml:space="preserve"> REF _Ref51591980 \h </w:instrText>
      </w:r>
      <w:r w:rsidR="00E724BF" w:rsidRPr="00400193">
        <w:rPr>
          <w:lang w:eastAsia="zh-CN" w:bidi="hi-IN"/>
        </w:rPr>
      </w:r>
      <w:r w:rsidR="00E724BF"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107</w:t>
      </w:r>
      <w:r w:rsidR="00E724BF" w:rsidRPr="00400193">
        <w:rPr>
          <w:lang w:eastAsia="zh-CN" w:bidi="hi-IN"/>
        </w:rPr>
        <w:fldChar w:fldCharType="end"/>
      </w:r>
      <w:r w:rsidR="00E724BF" w:rsidRPr="00400193">
        <w:rPr>
          <w:lang w:eastAsia="zh-CN" w:bidi="hi-IN"/>
        </w:rPr>
        <w:t>)</w:t>
      </w:r>
      <w:r w:rsidRPr="00400193">
        <w:rPr>
          <w:lang w:eastAsia="zh-CN" w:bidi="hi-IN"/>
        </w:rPr>
        <w:t>.</w:t>
      </w:r>
    </w:p>
    <w:p w14:paraId="1B93B371" w14:textId="0C57B598" w:rsidR="00EF2516" w:rsidRPr="00400193" w:rsidRDefault="00EF2516" w:rsidP="006E3616">
      <w:pPr>
        <w:rPr>
          <w:lang w:eastAsia="zh-CN" w:bidi="hi-IN"/>
        </w:rPr>
      </w:pPr>
    </w:p>
    <w:p w14:paraId="1BDE3CE5" w14:textId="77777777" w:rsidR="00EF2516" w:rsidRPr="00400193" w:rsidRDefault="00EF2516" w:rsidP="006E3616">
      <w:pPr>
        <w:rPr>
          <w:lang w:eastAsia="zh-CN" w:bidi="hi-IN"/>
        </w:rPr>
      </w:pPr>
    </w:p>
    <w:tbl>
      <w:tblPr>
        <w:tblW w:w="89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6"/>
        <w:gridCol w:w="769"/>
        <w:gridCol w:w="815"/>
        <w:gridCol w:w="1101"/>
        <w:gridCol w:w="1100"/>
        <w:gridCol w:w="1100"/>
        <w:gridCol w:w="837"/>
        <w:gridCol w:w="2638"/>
      </w:tblGrid>
      <w:tr w:rsidR="006E3616" w:rsidRPr="00400193" w14:paraId="3DCE946F" w14:textId="77777777" w:rsidTr="00EF2516">
        <w:trPr>
          <w:cantSplit/>
          <w:trHeight w:val="283"/>
        </w:trPr>
        <w:tc>
          <w:tcPr>
            <w:tcW w:w="8956" w:type="dxa"/>
            <w:gridSpan w:val="8"/>
            <w:tcBorders>
              <w:top w:val="nil"/>
              <w:left w:val="nil"/>
              <w:bottom w:val="nil"/>
              <w:right w:val="nil"/>
            </w:tcBorders>
            <w:shd w:val="clear" w:color="auto" w:fill="auto"/>
            <w:vAlign w:val="center"/>
          </w:tcPr>
          <w:p w14:paraId="1A9E166A" w14:textId="09C6A304"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lastRenderedPageBreak/>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47EB229E" w14:textId="77777777" w:rsidTr="00EF2516">
        <w:trPr>
          <w:cantSplit/>
          <w:trHeight w:val="283"/>
        </w:trPr>
        <w:tc>
          <w:tcPr>
            <w:tcW w:w="596" w:type="dxa"/>
            <w:vMerge w:val="restart"/>
            <w:tcBorders>
              <w:top w:val="nil"/>
              <w:left w:val="nil"/>
              <w:bottom w:val="nil"/>
              <w:right w:val="nil"/>
            </w:tcBorders>
            <w:shd w:val="clear" w:color="auto" w:fill="auto"/>
            <w:vAlign w:val="bottom"/>
          </w:tcPr>
          <w:p w14:paraId="39213B7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69" w:type="dxa"/>
            <w:vMerge w:val="restart"/>
            <w:tcBorders>
              <w:top w:val="nil"/>
              <w:left w:val="nil"/>
              <w:bottom w:val="nil"/>
              <w:right w:val="single" w:sz="8" w:space="0" w:color="E0E0E0"/>
            </w:tcBorders>
            <w:shd w:val="clear" w:color="auto" w:fill="auto"/>
            <w:vAlign w:val="bottom"/>
          </w:tcPr>
          <w:p w14:paraId="4AF2451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15" w:type="dxa"/>
            <w:vMerge w:val="restart"/>
            <w:tcBorders>
              <w:top w:val="nil"/>
              <w:left w:val="single" w:sz="8" w:space="0" w:color="E0E0E0"/>
              <w:bottom w:val="nil"/>
              <w:right w:val="single" w:sz="8" w:space="0" w:color="E0E0E0"/>
            </w:tcBorders>
            <w:shd w:val="clear" w:color="auto" w:fill="auto"/>
            <w:vAlign w:val="bottom"/>
          </w:tcPr>
          <w:p w14:paraId="4B50E0B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101" w:type="dxa"/>
            <w:vMerge w:val="restart"/>
            <w:tcBorders>
              <w:top w:val="nil"/>
              <w:left w:val="single" w:sz="8" w:space="0" w:color="E0E0E0"/>
              <w:bottom w:val="nil"/>
              <w:right w:val="single" w:sz="8" w:space="0" w:color="E0E0E0"/>
            </w:tcBorders>
            <w:shd w:val="clear" w:color="auto" w:fill="auto"/>
            <w:vAlign w:val="bottom"/>
          </w:tcPr>
          <w:p w14:paraId="78CA8FA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100" w:type="dxa"/>
            <w:vMerge w:val="restart"/>
            <w:tcBorders>
              <w:top w:val="nil"/>
              <w:left w:val="single" w:sz="8" w:space="0" w:color="E0E0E0"/>
              <w:bottom w:val="nil"/>
              <w:right w:val="single" w:sz="8" w:space="0" w:color="E0E0E0"/>
            </w:tcBorders>
            <w:shd w:val="clear" w:color="auto" w:fill="auto"/>
            <w:vAlign w:val="bottom"/>
          </w:tcPr>
          <w:p w14:paraId="0DF596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75" w:type="dxa"/>
            <w:gridSpan w:val="3"/>
            <w:tcBorders>
              <w:top w:val="nil"/>
              <w:left w:val="single" w:sz="8" w:space="0" w:color="E0E0E0"/>
              <w:bottom w:val="nil"/>
              <w:right w:val="nil"/>
            </w:tcBorders>
            <w:shd w:val="clear" w:color="auto" w:fill="auto"/>
            <w:vAlign w:val="bottom"/>
          </w:tcPr>
          <w:p w14:paraId="21A4BCC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0FF58ED7" w14:textId="77777777" w:rsidTr="00EF2516">
        <w:trPr>
          <w:cantSplit/>
          <w:trHeight w:val="283"/>
        </w:trPr>
        <w:tc>
          <w:tcPr>
            <w:tcW w:w="596" w:type="dxa"/>
            <w:vMerge/>
            <w:tcBorders>
              <w:top w:val="nil"/>
              <w:left w:val="nil"/>
              <w:bottom w:val="nil"/>
              <w:right w:val="nil"/>
            </w:tcBorders>
            <w:shd w:val="clear" w:color="auto" w:fill="auto"/>
            <w:vAlign w:val="bottom"/>
          </w:tcPr>
          <w:p w14:paraId="229BD8B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769" w:type="dxa"/>
            <w:vMerge/>
            <w:tcBorders>
              <w:top w:val="nil"/>
              <w:left w:val="nil"/>
              <w:bottom w:val="nil"/>
              <w:right w:val="single" w:sz="8" w:space="0" w:color="E0E0E0"/>
            </w:tcBorders>
            <w:shd w:val="clear" w:color="auto" w:fill="auto"/>
            <w:vAlign w:val="bottom"/>
          </w:tcPr>
          <w:p w14:paraId="4FD50193"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815" w:type="dxa"/>
            <w:vMerge/>
            <w:tcBorders>
              <w:top w:val="nil"/>
              <w:left w:val="single" w:sz="8" w:space="0" w:color="E0E0E0"/>
              <w:bottom w:val="nil"/>
              <w:right w:val="single" w:sz="8" w:space="0" w:color="E0E0E0"/>
            </w:tcBorders>
            <w:shd w:val="clear" w:color="auto" w:fill="auto"/>
            <w:vAlign w:val="bottom"/>
          </w:tcPr>
          <w:p w14:paraId="39AA473C"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1" w:type="dxa"/>
            <w:vMerge/>
            <w:tcBorders>
              <w:top w:val="nil"/>
              <w:left w:val="single" w:sz="8" w:space="0" w:color="E0E0E0"/>
              <w:bottom w:val="nil"/>
              <w:right w:val="single" w:sz="8" w:space="0" w:color="E0E0E0"/>
            </w:tcBorders>
            <w:shd w:val="clear" w:color="auto" w:fill="auto"/>
            <w:vAlign w:val="bottom"/>
          </w:tcPr>
          <w:p w14:paraId="547B92AD"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0" w:type="dxa"/>
            <w:vMerge/>
            <w:tcBorders>
              <w:top w:val="nil"/>
              <w:left w:val="single" w:sz="8" w:space="0" w:color="E0E0E0"/>
              <w:bottom w:val="nil"/>
              <w:right w:val="single" w:sz="8" w:space="0" w:color="E0E0E0"/>
            </w:tcBorders>
            <w:shd w:val="clear" w:color="auto" w:fill="auto"/>
            <w:vAlign w:val="bottom"/>
          </w:tcPr>
          <w:p w14:paraId="23B6D46F"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100" w:type="dxa"/>
            <w:tcBorders>
              <w:top w:val="nil"/>
              <w:left w:val="single" w:sz="8" w:space="0" w:color="E0E0E0"/>
              <w:bottom w:val="single" w:sz="8" w:space="0" w:color="152935"/>
              <w:right w:val="single" w:sz="8" w:space="0" w:color="E0E0E0"/>
            </w:tcBorders>
            <w:shd w:val="clear" w:color="auto" w:fill="auto"/>
            <w:vAlign w:val="bottom"/>
          </w:tcPr>
          <w:p w14:paraId="38007B2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37" w:type="dxa"/>
            <w:tcBorders>
              <w:top w:val="nil"/>
              <w:left w:val="single" w:sz="8" w:space="0" w:color="E0E0E0"/>
              <w:bottom w:val="single" w:sz="8" w:space="0" w:color="152935"/>
              <w:right w:val="single" w:sz="8" w:space="0" w:color="E0E0E0"/>
            </w:tcBorders>
            <w:shd w:val="clear" w:color="auto" w:fill="auto"/>
            <w:vAlign w:val="bottom"/>
          </w:tcPr>
          <w:p w14:paraId="0581059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38" w:type="dxa"/>
            <w:tcBorders>
              <w:top w:val="nil"/>
              <w:left w:val="single" w:sz="8" w:space="0" w:color="E0E0E0"/>
              <w:bottom w:val="single" w:sz="8" w:space="0" w:color="152935"/>
              <w:right w:val="nil"/>
            </w:tcBorders>
            <w:shd w:val="clear" w:color="auto" w:fill="auto"/>
            <w:vAlign w:val="bottom"/>
          </w:tcPr>
          <w:p w14:paraId="41C0792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7ED2174F" w14:textId="77777777" w:rsidTr="00EF2516">
        <w:trPr>
          <w:cantSplit/>
          <w:trHeight w:val="283"/>
        </w:trPr>
        <w:tc>
          <w:tcPr>
            <w:tcW w:w="596" w:type="dxa"/>
            <w:tcBorders>
              <w:top w:val="single" w:sz="8" w:space="0" w:color="152935"/>
              <w:left w:val="nil"/>
              <w:bottom w:val="single" w:sz="8" w:space="0" w:color="152935"/>
              <w:right w:val="nil"/>
            </w:tcBorders>
            <w:shd w:val="clear" w:color="auto" w:fill="auto"/>
          </w:tcPr>
          <w:p w14:paraId="5A75794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69" w:type="dxa"/>
            <w:tcBorders>
              <w:top w:val="single" w:sz="8" w:space="0" w:color="152935"/>
              <w:left w:val="nil"/>
              <w:bottom w:val="single" w:sz="8" w:space="0" w:color="152935"/>
              <w:right w:val="single" w:sz="8" w:space="0" w:color="E0E0E0"/>
            </w:tcBorders>
            <w:shd w:val="clear" w:color="auto" w:fill="auto"/>
          </w:tcPr>
          <w:p w14:paraId="67B9F12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.671</w:t>
            </w:r>
            <w:r w:rsidRPr="00400193">
              <w:rPr>
                <w:rFonts w:asciiTheme="minorHAnsi" w:hAnsiTheme="minorHAnsi" w:cstheme="minorHAnsi"/>
                <w:sz w:val="20"/>
                <w:szCs w:val="18"/>
                <w:vertAlign w:val="superscript"/>
                <w:lang w:eastAsia="zh-CN" w:bidi="hi-IN"/>
              </w:rPr>
              <w:t>a</w:t>
            </w:r>
          </w:p>
        </w:tc>
        <w:tc>
          <w:tcPr>
            <w:tcW w:w="815" w:type="dxa"/>
            <w:tcBorders>
              <w:top w:val="single" w:sz="8" w:space="0" w:color="152935"/>
              <w:left w:val="single" w:sz="8" w:space="0" w:color="E0E0E0"/>
              <w:bottom w:val="single" w:sz="8" w:space="0" w:color="152935"/>
              <w:right w:val="single" w:sz="8" w:space="0" w:color="E0E0E0"/>
            </w:tcBorders>
            <w:shd w:val="clear" w:color="auto" w:fill="auto"/>
          </w:tcPr>
          <w:p w14:paraId="636561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.450</w:t>
            </w:r>
          </w:p>
        </w:tc>
        <w:tc>
          <w:tcPr>
            <w:tcW w:w="1101" w:type="dxa"/>
            <w:tcBorders>
              <w:top w:val="single" w:sz="8" w:space="0" w:color="152935"/>
              <w:left w:val="single" w:sz="8" w:space="0" w:color="E0E0E0"/>
              <w:bottom w:val="single" w:sz="8" w:space="0" w:color="152935"/>
              <w:right w:val="single" w:sz="8" w:space="0" w:color="E0E0E0"/>
            </w:tcBorders>
            <w:shd w:val="clear" w:color="auto" w:fill="auto"/>
          </w:tcPr>
          <w:p w14:paraId="436D650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.434</w:t>
            </w:r>
          </w:p>
        </w:tc>
        <w:tc>
          <w:tcPr>
            <w:tcW w:w="1100" w:type="dxa"/>
            <w:tcBorders>
              <w:top w:val="single" w:sz="8" w:space="0" w:color="152935"/>
              <w:left w:val="single" w:sz="8" w:space="0" w:color="E0E0E0"/>
              <w:bottom w:val="single" w:sz="8" w:space="0" w:color="152935"/>
              <w:right w:val="single" w:sz="8" w:space="0" w:color="E0E0E0"/>
            </w:tcBorders>
            <w:shd w:val="clear" w:color="auto" w:fill="auto"/>
          </w:tcPr>
          <w:p w14:paraId="56C8AA6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.44680</w:t>
            </w:r>
          </w:p>
        </w:tc>
        <w:tc>
          <w:tcPr>
            <w:tcW w:w="1100" w:type="dxa"/>
            <w:tcBorders>
              <w:top w:val="single" w:sz="8" w:space="0" w:color="152935"/>
              <w:left w:val="single" w:sz="8" w:space="0" w:color="E0E0E0"/>
              <w:bottom w:val="single" w:sz="8" w:space="0" w:color="152935"/>
              <w:right w:val="single" w:sz="8" w:space="0" w:color="E0E0E0"/>
            </w:tcBorders>
            <w:shd w:val="clear" w:color="auto" w:fill="auto"/>
          </w:tcPr>
          <w:p w14:paraId="6B3D555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.450</w:t>
            </w:r>
          </w:p>
        </w:tc>
        <w:tc>
          <w:tcPr>
            <w:tcW w:w="837" w:type="dxa"/>
            <w:tcBorders>
              <w:top w:val="single" w:sz="8" w:space="0" w:color="152935"/>
              <w:left w:val="single" w:sz="8" w:space="0" w:color="E0E0E0"/>
              <w:bottom w:val="single" w:sz="8" w:space="0" w:color="152935"/>
              <w:right w:val="single" w:sz="8" w:space="0" w:color="E0E0E0"/>
            </w:tcBorders>
            <w:shd w:val="clear" w:color="auto" w:fill="auto"/>
          </w:tcPr>
          <w:p w14:paraId="2AFF6E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27.307</w:t>
            </w:r>
          </w:p>
        </w:tc>
        <w:tc>
          <w:tcPr>
            <w:tcW w:w="2638" w:type="dxa"/>
            <w:tcBorders>
              <w:top w:val="single" w:sz="8" w:space="0" w:color="152935"/>
              <w:left w:val="single" w:sz="8" w:space="0" w:color="E0E0E0"/>
              <w:bottom w:val="single" w:sz="8" w:space="0" w:color="152935"/>
              <w:right w:val="nil"/>
            </w:tcBorders>
            <w:shd w:val="clear" w:color="auto" w:fill="auto"/>
          </w:tcPr>
          <w:p w14:paraId="2444CF5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r>
      <w:tr w:rsidR="00EF2516" w:rsidRPr="00400193" w14:paraId="300C5C15" w14:textId="77777777" w:rsidTr="00EF2516">
        <w:trPr>
          <w:cantSplit/>
          <w:trHeight w:val="283"/>
        </w:trPr>
        <w:tc>
          <w:tcPr>
            <w:tcW w:w="8956" w:type="dxa"/>
            <w:gridSpan w:val="8"/>
            <w:tcBorders>
              <w:top w:val="single" w:sz="8" w:space="0" w:color="152935"/>
              <w:left w:val="nil"/>
              <w:bottom w:val="single" w:sz="4" w:space="0" w:color="FFFFFF" w:themeColor="background1"/>
              <w:right w:val="nil"/>
            </w:tcBorders>
            <w:shd w:val="clear" w:color="auto" w:fill="auto"/>
          </w:tcPr>
          <w:p w14:paraId="35BFD670" w14:textId="77777777" w:rsidR="00EF2516" w:rsidRPr="00400193" w:rsidRDefault="00EF25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p w14:paraId="4B059405" w14:textId="618A307B" w:rsidR="00EF2516" w:rsidRPr="00400193" w:rsidRDefault="00EF25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ERF*OR, OR, ERF</w:t>
            </w:r>
          </w:p>
        </w:tc>
      </w:tr>
    </w:tbl>
    <w:p w14:paraId="5CD53D70" w14:textId="304C8A2E" w:rsidR="006E3616" w:rsidRPr="00400193" w:rsidRDefault="006E3616" w:rsidP="00EF2516">
      <w:pPr>
        <w:pStyle w:val="Caption"/>
        <w:spacing w:after="240"/>
      </w:pPr>
      <w:bookmarkStart w:id="799" w:name="_Ref51591213"/>
      <w:bookmarkStart w:id="800" w:name="_Toc52901650"/>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105</w:t>
      </w:r>
      <w:r w:rsidRPr="00400193">
        <w:fldChar w:fldCharType="end"/>
      </w:r>
      <w:bookmarkEnd w:id="799"/>
      <w:r w:rsidRPr="00400193">
        <w:t>: Regression Model Summary for VW</w:t>
      </w:r>
      <w:bookmarkEnd w:id="800"/>
    </w:p>
    <w:tbl>
      <w:tblPr>
        <w:tblW w:w="90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6"/>
        <w:gridCol w:w="1255"/>
        <w:gridCol w:w="1435"/>
        <w:gridCol w:w="1002"/>
        <w:gridCol w:w="1376"/>
        <w:gridCol w:w="1002"/>
        <w:gridCol w:w="2258"/>
      </w:tblGrid>
      <w:tr w:rsidR="006E3616" w:rsidRPr="00400193" w14:paraId="14E7563B" w14:textId="77777777" w:rsidTr="00EF2516">
        <w:trPr>
          <w:cantSplit/>
          <w:trHeight w:val="283"/>
        </w:trPr>
        <w:tc>
          <w:tcPr>
            <w:tcW w:w="9044" w:type="dxa"/>
            <w:gridSpan w:val="7"/>
            <w:tcBorders>
              <w:top w:val="nil"/>
              <w:left w:val="nil"/>
              <w:bottom w:val="nil"/>
              <w:right w:val="nil"/>
            </w:tcBorders>
            <w:shd w:val="clear" w:color="auto" w:fill="auto"/>
          </w:tcPr>
          <w:p w14:paraId="33C7D947"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495A5F14" w14:textId="77777777" w:rsidTr="00EF2516">
        <w:trPr>
          <w:cantSplit/>
          <w:trHeight w:val="283"/>
        </w:trPr>
        <w:tc>
          <w:tcPr>
            <w:tcW w:w="1971" w:type="dxa"/>
            <w:gridSpan w:val="2"/>
            <w:tcBorders>
              <w:top w:val="nil"/>
              <w:left w:val="nil"/>
              <w:bottom w:val="single" w:sz="8" w:space="0" w:color="152935"/>
              <w:right w:val="nil"/>
            </w:tcBorders>
            <w:shd w:val="clear" w:color="auto" w:fill="auto"/>
          </w:tcPr>
          <w:p w14:paraId="09E3DC52"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35" w:type="dxa"/>
            <w:tcBorders>
              <w:top w:val="nil"/>
              <w:left w:val="nil"/>
              <w:bottom w:val="single" w:sz="8" w:space="0" w:color="152935"/>
              <w:right w:val="single" w:sz="8" w:space="0" w:color="E0E0E0"/>
            </w:tcBorders>
            <w:shd w:val="clear" w:color="auto" w:fill="auto"/>
          </w:tcPr>
          <w:p w14:paraId="0587E2D3"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1002" w:type="dxa"/>
            <w:tcBorders>
              <w:top w:val="nil"/>
              <w:left w:val="single" w:sz="8" w:space="0" w:color="E0E0E0"/>
              <w:bottom w:val="single" w:sz="8" w:space="0" w:color="152935"/>
              <w:right w:val="single" w:sz="8" w:space="0" w:color="E0E0E0"/>
            </w:tcBorders>
            <w:shd w:val="clear" w:color="auto" w:fill="auto"/>
          </w:tcPr>
          <w:p w14:paraId="4915727F"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76" w:type="dxa"/>
            <w:tcBorders>
              <w:top w:val="nil"/>
              <w:left w:val="single" w:sz="8" w:space="0" w:color="E0E0E0"/>
              <w:bottom w:val="single" w:sz="8" w:space="0" w:color="152935"/>
              <w:right w:val="single" w:sz="8" w:space="0" w:color="E0E0E0"/>
            </w:tcBorders>
            <w:shd w:val="clear" w:color="auto" w:fill="auto"/>
          </w:tcPr>
          <w:p w14:paraId="56D654AB"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1002" w:type="dxa"/>
            <w:tcBorders>
              <w:top w:val="nil"/>
              <w:left w:val="single" w:sz="8" w:space="0" w:color="E0E0E0"/>
              <w:bottom w:val="single" w:sz="8" w:space="0" w:color="152935"/>
              <w:right w:val="single" w:sz="8" w:space="0" w:color="E0E0E0"/>
            </w:tcBorders>
            <w:shd w:val="clear" w:color="auto" w:fill="auto"/>
          </w:tcPr>
          <w:p w14:paraId="777AF87D"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58" w:type="dxa"/>
            <w:tcBorders>
              <w:top w:val="nil"/>
              <w:left w:val="single" w:sz="8" w:space="0" w:color="E0E0E0"/>
              <w:bottom w:val="single" w:sz="8" w:space="0" w:color="152935"/>
              <w:right w:val="nil"/>
            </w:tcBorders>
            <w:shd w:val="clear" w:color="auto" w:fill="auto"/>
          </w:tcPr>
          <w:p w14:paraId="439BC17B"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393029D3" w14:textId="77777777" w:rsidTr="00EF2516">
        <w:trPr>
          <w:cantSplit/>
          <w:trHeight w:val="283"/>
        </w:trPr>
        <w:tc>
          <w:tcPr>
            <w:tcW w:w="716" w:type="dxa"/>
            <w:vMerge w:val="restart"/>
            <w:tcBorders>
              <w:top w:val="single" w:sz="8" w:space="0" w:color="152935"/>
              <w:left w:val="nil"/>
              <w:bottom w:val="single" w:sz="8" w:space="0" w:color="152935"/>
              <w:right w:val="nil"/>
            </w:tcBorders>
            <w:shd w:val="clear" w:color="auto" w:fill="auto"/>
          </w:tcPr>
          <w:p w14:paraId="2AFE627A"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55" w:type="dxa"/>
            <w:tcBorders>
              <w:top w:val="single" w:sz="8" w:space="0" w:color="152935"/>
              <w:left w:val="nil"/>
              <w:bottom w:val="single" w:sz="8" w:space="0" w:color="AEAEAE"/>
              <w:right w:val="nil"/>
            </w:tcBorders>
            <w:shd w:val="clear" w:color="auto" w:fill="auto"/>
          </w:tcPr>
          <w:p w14:paraId="7C149E7C"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35" w:type="dxa"/>
            <w:tcBorders>
              <w:top w:val="single" w:sz="8" w:space="0" w:color="152935"/>
              <w:left w:val="nil"/>
              <w:bottom w:val="single" w:sz="8" w:space="0" w:color="AEAEAE"/>
              <w:right w:val="single" w:sz="8" w:space="0" w:color="E0E0E0"/>
            </w:tcBorders>
            <w:shd w:val="clear" w:color="auto" w:fill="auto"/>
          </w:tcPr>
          <w:p w14:paraId="3E10F5C8"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16.354</w:t>
            </w:r>
          </w:p>
        </w:tc>
        <w:tc>
          <w:tcPr>
            <w:tcW w:w="1002" w:type="dxa"/>
            <w:tcBorders>
              <w:top w:val="single" w:sz="8" w:space="0" w:color="152935"/>
              <w:left w:val="single" w:sz="8" w:space="0" w:color="E0E0E0"/>
              <w:bottom w:val="single" w:sz="8" w:space="0" w:color="AEAEAE"/>
              <w:right w:val="single" w:sz="8" w:space="0" w:color="E0E0E0"/>
            </w:tcBorders>
            <w:shd w:val="clear" w:color="auto" w:fill="auto"/>
          </w:tcPr>
          <w:p w14:paraId="2BB1C184"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376" w:type="dxa"/>
            <w:tcBorders>
              <w:top w:val="single" w:sz="8" w:space="0" w:color="152935"/>
              <w:left w:val="single" w:sz="8" w:space="0" w:color="E0E0E0"/>
              <w:bottom w:val="single" w:sz="8" w:space="0" w:color="AEAEAE"/>
              <w:right w:val="single" w:sz="8" w:space="0" w:color="E0E0E0"/>
            </w:tcBorders>
            <w:shd w:val="clear" w:color="auto" w:fill="auto"/>
          </w:tcPr>
          <w:p w14:paraId="5D599FD8"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5.451</w:t>
            </w:r>
          </w:p>
        </w:tc>
        <w:tc>
          <w:tcPr>
            <w:tcW w:w="1002" w:type="dxa"/>
            <w:tcBorders>
              <w:top w:val="single" w:sz="8" w:space="0" w:color="152935"/>
              <w:left w:val="single" w:sz="8" w:space="0" w:color="E0E0E0"/>
              <w:bottom w:val="single" w:sz="8" w:space="0" w:color="AEAEAE"/>
              <w:right w:val="single" w:sz="8" w:space="0" w:color="E0E0E0"/>
            </w:tcBorders>
            <w:shd w:val="clear" w:color="auto" w:fill="auto"/>
          </w:tcPr>
          <w:p w14:paraId="525618D4"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27.307</w:t>
            </w:r>
          </w:p>
        </w:tc>
        <w:tc>
          <w:tcPr>
            <w:tcW w:w="2258" w:type="dxa"/>
            <w:tcBorders>
              <w:top w:val="single" w:sz="8" w:space="0" w:color="152935"/>
              <w:left w:val="single" w:sz="8" w:space="0" w:color="E0E0E0"/>
              <w:bottom w:val="single" w:sz="8" w:space="0" w:color="AEAEAE"/>
              <w:right w:val="nil"/>
            </w:tcBorders>
            <w:shd w:val="clear" w:color="auto" w:fill="auto"/>
          </w:tcPr>
          <w:p w14:paraId="4C03646B"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44653788" w14:textId="77777777" w:rsidTr="00EF2516">
        <w:trPr>
          <w:cantSplit/>
          <w:trHeight w:val="283"/>
        </w:trPr>
        <w:tc>
          <w:tcPr>
            <w:tcW w:w="716" w:type="dxa"/>
            <w:vMerge/>
            <w:tcBorders>
              <w:top w:val="single" w:sz="8" w:space="0" w:color="152935"/>
              <w:left w:val="nil"/>
              <w:bottom w:val="single" w:sz="8" w:space="0" w:color="152935"/>
              <w:right w:val="nil"/>
            </w:tcBorders>
            <w:shd w:val="clear" w:color="auto" w:fill="auto"/>
          </w:tcPr>
          <w:p w14:paraId="07C14C09"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c>
          <w:tcPr>
            <w:tcW w:w="1255" w:type="dxa"/>
            <w:tcBorders>
              <w:top w:val="single" w:sz="8" w:space="0" w:color="AEAEAE"/>
              <w:left w:val="nil"/>
              <w:bottom w:val="single" w:sz="8" w:space="0" w:color="AEAEAE"/>
              <w:right w:val="nil"/>
            </w:tcBorders>
            <w:shd w:val="clear" w:color="auto" w:fill="auto"/>
          </w:tcPr>
          <w:p w14:paraId="1D8EBA95"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35" w:type="dxa"/>
            <w:tcBorders>
              <w:top w:val="single" w:sz="8" w:space="0" w:color="AEAEAE"/>
              <w:left w:val="nil"/>
              <w:bottom w:val="single" w:sz="8" w:space="0" w:color="AEAEAE"/>
              <w:right w:val="single" w:sz="8" w:space="0" w:color="E0E0E0"/>
            </w:tcBorders>
            <w:shd w:val="clear" w:color="auto" w:fill="auto"/>
          </w:tcPr>
          <w:p w14:paraId="07989A48"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19.963</w:t>
            </w:r>
          </w:p>
        </w:tc>
        <w:tc>
          <w:tcPr>
            <w:tcW w:w="1002" w:type="dxa"/>
            <w:tcBorders>
              <w:top w:val="single" w:sz="8" w:space="0" w:color="AEAEAE"/>
              <w:left w:val="single" w:sz="8" w:space="0" w:color="E0E0E0"/>
              <w:bottom w:val="single" w:sz="8" w:space="0" w:color="AEAEAE"/>
              <w:right w:val="single" w:sz="8" w:space="0" w:color="E0E0E0"/>
            </w:tcBorders>
            <w:shd w:val="clear" w:color="auto" w:fill="auto"/>
          </w:tcPr>
          <w:p w14:paraId="04637FD2"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w:t>
            </w:r>
          </w:p>
        </w:tc>
        <w:tc>
          <w:tcPr>
            <w:tcW w:w="1376" w:type="dxa"/>
            <w:tcBorders>
              <w:top w:val="single" w:sz="8" w:space="0" w:color="AEAEAE"/>
              <w:left w:val="single" w:sz="8" w:space="0" w:color="E0E0E0"/>
              <w:bottom w:val="single" w:sz="8" w:space="0" w:color="AEAEAE"/>
              <w:right w:val="single" w:sz="8" w:space="0" w:color="E0E0E0"/>
            </w:tcBorders>
            <w:shd w:val="clear" w:color="auto" w:fill="auto"/>
          </w:tcPr>
          <w:p w14:paraId="782B4F96"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.200</w:t>
            </w:r>
          </w:p>
        </w:tc>
        <w:tc>
          <w:tcPr>
            <w:tcW w:w="1002" w:type="dxa"/>
            <w:tcBorders>
              <w:top w:val="single" w:sz="8" w:space="0" w:color="AEAEAE"/>
              <w:left w:val="single" w:sz="8" w:space="0" w:color="E0E0E0"/>
              <w:bottom w:val="single" w:sz="8" w:space="0" w:color="AEAEAE"/>
              <w:right w:val="single" w:sz="8" w:space="0" w:color="E0E0E0"/>
            </w:tcBorders>
            <w:shd w:val="clear" w:color="auto" w:fill="auto"/>
          </w:tcPr>
          <w:p w14:paraId="30992574"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c>
          <w:tcPr>
            <w:tcW w:w="2258" w:type="dxa"/>
            <w:tcBorders>
              <w:top w:val="single" w:sz="8" w:space="0" w:color="AEAEAE"/>
              <w:left w:val="single" w:sz="8" w:space="0" w:color="E0E0E0"/>
              <w:bottom w:val="single" w:sz="8" w:space="0" w:color="AEAEAE"/>
              <w:right w:val="nil"/>
            </w:tcBorders>
            <w:shd w:val="clear" w:color="auto" w:fill="auto"/>
          </w:tcPr>
          <w:p w14:paraId="7E3EA5A2"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r>
      <w:tr w:rsidR="006E3616" w:rsidRPr="00400193" w14:paraId="6E1F1274" w14:textId="77777777" w:rsidTr="00EF2516">
        <w:trPr>
          <w:cantSplit/>
          <w:trHeight w:val="283"/>
        </w:trPr>
        <w:tc>
          <w:tcPr>
            <w:tcW w:w="716" w:type="dxa"/>
            <w:vMerge/>
            <w:tcBorders>
              <w:top w:val="single" w:sz="8" w:space="0" w:color="152935"/>
              <w:left w:val="nil"/>
              <w:bottom w:val="single" w:sz="8" w:space="0" w:color="152935"/>
              <w:right w:val="nil"/>
            </w:tcBorders>
            <w:shd w:val="clear" w:color="auto" w:fill="auto"/>
          </w:tcPr>
          <w:p w14:paraId="7A1023A9"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c>
          <w:tcPr>
            <w:tcW w:w="1255" w:type="dxa"/>
            <w:tcBorders>
              <w:top w:val="single" w:sz="8" w:space="0" w:color="AEAEAE"/>
              <w:left w:val="nil"/>
              <w:bottom w:val="single" w:sz="8" w:space="0" w:color="152935"/>
              <w:right w:val="nil"/>
            </w:tcBorders>
            <w:shd w:val="clear" w:color="auto" w:fill="auto"/>
          </w:tcPr>
          <w:p w14:paraId="583500A1"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35" w:type="dxa"/>
            <w:tcBorders>
              <w:top w:val="single" w:sz="8" w:space="0" w:color="AEAEAE"/>
              <w:left w:val="nil"/>
              <w:bottom w:val="single" w:sz="8" w:space="0" w:color="152935"/>
              <w:right w:val="single" w:sz="8" w:space="0" w:color="E0E0E0"/>
            </w:tcBorders>
            <w:shd w:val="clear" w:color="auto" w:fill="auto"/>
          </w:tcPr>
          <w:p w14:paraId="0466129C"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1002" w:type="dxa"/>
            <w:tcBorders>
              <w:top w:val="single" w:sz="8" w:space="0" w:color="AEAEAE"/>
              <w:left w:val="single" w:sz="8" w:space="0" w:color="E0E0E0"/>
              <w:bottom w:val="single" w:sz="8" w:space="0" w:color="152935"/>
              <w:right w:val="single" w:sz="8" w:space="0" w:color="E0E0E0"/>
            </w:tcBorders>
            <w:shd w:val="clear" w:color="auto" w:fill="auto"/>
          </w:tcPr>
          <w:p w14:paraId="5AE49049"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76" w:type="dxa"/>
            <w:tcBorders>
              <w:top w:val="single" w:sz="8" w:space="0" w:color="AEAEAE"/>
              <w:left w:val="single" w:sz="8" w:space="0" w:color="E0E0E0"/>
              <w:bottom w:val="single" w:sz="8" w:space="0" w:color="152935"/>
              <w:right w:val="single" w:sz="8" w:space="0" w:color="E0E0E0"/>
            </w:tcBorders>
            <w:shd w:val="clear" w:color="auto" w:fill="auto"/>
          </w:tcPr>
          <w:p w14:paraId="0D802168"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c>
          <w:tcPr>
            <w:tcW w:w="1002" w:type="dxa"/>
            <w:tcBorders>
              <w:top w:val="single" w:sz="8" w:space="0" w:color="AEAEAE"/>
              <w:left w:val="single" w:sz="8" w:space="0" w:color="E0E0E0"/>
              <w:bottom w:val="single" w:sz="8" w:space="0" w:color="152935"/>
              <w:right w:val="single" w:sz="8" w:space="0" w:color="E0E0E0"/>
            </w:tcBorders>
            <w:shd w:val="clear" w:color="auto" w:fill="auto"/>
          </w:tcPr>
          <w:p w14:paraId="078E40F1"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c>
          <w:tcPr>
            <w:tcW w:w="2258" w:type="dxa"/>
            <w:tcBorders>
              <w:top w:val="single" w:sz="8" w:space="0" w:color="AEAEAE"/>
              <w:left w:val="single" w:sz="8" w:space="0" w:color="E0E0E0"/>
              <w:bottom w:val="single" w:sz="8" w:space="0" w:color="152935"/>
              <w:right w:val="nil"/>
            </w:tcBorders>
            <w:shd w:val="clear" w:color="auto" w:fill="auto"/>
          </w:tcPr>
          <w:p w14:paraId="775E0CD4"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p>
        </w:tc>
      </w:tr>
      <w:tr w:rsidR="006E3616" w:rsidRPr="00400193" w14:paraId="4C6A3D33" w14:textId="77777777" w:rsidTr="00EF2516">
        <w:trPr>
          <w:cantSplit/>
          <w:trHeight w:val="283"/>
        </w:trPr>
        <w:tc>
          <w:tcPr>
            <w:tcW w:w="9044" w:type="dxa"/>
            <w:gridSpan w:val="7"/>
            <w:tcBorders>
              <w:top w:val="nil"/>
              <w:left w:val="nil"/>
              <w:bottom w:val="nil"/>
              <w:right w:val="nil"/>
            </w:tcBorders>
            <w:shd w:val="clear" w:color="auto" w:fill="auto"/>
          </w:tcPr>
          <w:p w14:paraId="3913ECA5" w14:textId="77777777" w:rsidR="006E3616" w:rsidRPr="00400193" w:rsidRDefault="006E3616" w:rsidP="00EF2516">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r w:rsidR="006E3616" w:rsidRPr="00400193" w14:paraId="6C354405" w14:textId="77777777" w:rsidTr="00EF2516">
        <w:trPr>
          <w:cantSplit/>
          <w:trHeight w:val="283"/>
        </w:trPr>
        <w:tc>
          <w:tcPr>
            <w:tcW w:w="9044" w:type="dxa"/>
            <w:gridSpan w:val="7"/>
            <w:tcBorders>
              <w:top w:val="nil"/>
              <w:left w:val="nil"/>
              <w:bottom w:val="nil"/>
              <w:right w:val="nil"/>
            </w:tcBorders>
            <w:shd w:val="clear" w:color="auto" w:fill="auto"/>
          </w:tcPr>
          <w:p w14:paraId="22BA9D67" w14:textId="1D4978CF" w:rsidR="006E3616" w:rsidRPr="00400193" w:rsidRDefault="006E3616" w:rsidP="00EF2516">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w:t>
            </w:r>
            <w:r w:rsidR="00DD07A5" w:rsidRPr="00400193">
              <w:rPr>
                <w:rFonts w:asciiTheme="minorHAnsi" w:hAnsiTheme="minorHAnsi" w:cstheme="minorHAnsi"/>
                <w:sz w:val="20"/>
                <w:szCs w:val="18"/>
                <w:lang w:eastAsia="zh-CN" w:bidi="hi-IN"/>
              </w:rPr>
              <w:t>ERF</w:t>
            </w:r>
            <w:r w:rsidRPr="00400193">
              <w:rPr>
                <w:rFonts w:asciiTheme="minorHAnsi" w:hAnsiTheme="minorHAnsi" w:cstheme="minorHAnsi"/>
                <w:sz w:val="20"/>
                <w:szCs w:val="18"/>
                <w:lang w:eastAsia="zh-CN" w:bidi="hi-IN"/>
              </w:rPr>
              <w:t xml:space="preserve">*OR, OR, </w:t>
            </w:r>
            <w:r w:rsidR="00DD07A5" w:rsidRPr="00400193">
              <w:rPr>
                <w:rFonts w:asciiTheme="minorHAnsi" w:hAnsiTheme="minorHAnsi" w:cstheme="minorHAnsi"/>
                <w:sz w:val="20"/>
                <w:szCs w:val="18"/>
                <w:lang w:eastAsia="zh-CN" w:bidi="hi-IN"/>
              </w:rPr>
              <w:t>ERF</w:t>
            </w:r>
          </w:p>
        </w:tc>
      </w:tr>
    </w:tbl>
    <w:p w14:paraId="527F5838" w14:textId="51AE5D70" w:rsidR="006E3616" w:rsidRPr="00400193" w:rsidRDefault="006E3616" w:rsidP="00EF2516">
      <w:pPr>
        <w:pStyle w:val="Caption"/>
        <w:spacing w:after="240"/>
      </w:pPr>
      <w:bookmarkStart w:id="801" w:name="_Ref51591423"/>
      <w:bookmarkStart w:id="802" w:name="_Toc5290165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106</w:t>
      </w:r>
      <w:r w:rsidRPr="00400193">
        <w:fldChar w:fldCharType="end"/>
      </w:r>
      <w:bookmarkEnd w:id="801"/>
      <w:r w:rsidRPr="00400193">
        <w:t>: Analysis of variance of the model for VW</w:t>
      </w:r>
      <w:bookmarkEnd w:id="802"/>
    </w:p>
    <w:tbl>
      <w:tblPr>
        <w:tblW w:w="90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33"/>
        <w:gridCol w:w="1219"/>
        <w:gridCol w:w="1217"/>
        <w:gridCol w:w="1565"/>
        <w:gridCol w:w="2766"/>
        <w:gridCol w:w="798"/>
        <w:gridCol w:w="1046"/>
      </w:tblGrid>
      <w:tr w:rsidR="006E3616" w:rsidRPr="00400193" w14:paraId="19D52CA0" w14:textId="77777777" w:rsidTr="00E724BF">
        <w:trPr>
          <w:cantSplit/>
          <w:trHeight w:val="283"/>
        </w:trPr>
        <w:tc>
          <w:tcPr>
            <w:tcW w:w="9044" w:type="dxa"/>
            <w:gridSpan w:val="7"/>
            <w:tcBorders>
              <w:top w:val="nil"/>
              <w:left w:val="nil"/>
              <w:bottom w:val="nil"/>
              <w:right w:val="nil"/>
            </w:tcBorders>
            <w:shd w:val="clear" w:color="auto" w:fill="auto"/>
          </w:tcPr>
          <w:p w14:paraId="0D3DE05E"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Coefficients </w:t>
            </w:r>
            <w:r w:rsidRPr="00400193">
              <w:rPr>
                <w:rFonts w:asciiTheme="minorHAnsi" w:hAnsiTheme="minorHAnsi" w:cstheme="minorHAnsi"/>
                <w:b/>
                <w:bCs/>
                <w:sz w:val="20"/>
                <w:szCs w:val="18"/>
                <w:vertAlign w:val="superscript"/>
                <w:lang w:eastAsia="zh-CN" w:bidi="hi-IN"/>
              </w:rPr>
              <w:t>a</w:t>
            </w:r>
          </w:p>
        </w:tc>
      </w:tr>
      <w:tr w:rsidR="006E3616" w:rsidRPr="00400193" w14:paraId="3ED41F0D" w14:textId="77777777" w:rsidTr="00E724BF">
        <w:trPr>
          <w:cantSplit/>
          <w:trHeight w:val="283"/>
        </w:trPr>
        <w:tc>
          <w:tcPr>
            <w:tcW w:w="1652" w:type="dxa"/>
            <w:gridSpan w:val="2"/>
            <w:vMerge w:val="restart"/>
            <w:tcBorders>
              <w:top w:val="nil"/>
              <w:left w:val="nil"/>
              <w:bottom w:val="nil"/>
              <w:right w:val="nil"/>
            </w:tcBorders>
            <w:shd w:val="clear" w:color="auto" w:fill="auto"/>
          </w:tcPr>
          <w:p w14:paraId="221DABA0"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2782" w:type="dxa"/>
            <w:gridSpan w:val="2"/>
            <w:tcBorders>
              <w:top w:val="nil"/>
              <w:left w:val="nil"/>
              <w:bottom w:val="nil"/>
              <w:right w:val="single" w:sz="8" w:space="0" w:color="E0E0E0"/>
            </w:tcBorders>
            <w:shd w:val="clear" w:color="auto" w:fill="auto"/>
          </w:tcPr>
          <w:p w14:paraId="674DE720"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Unstandardised Coefficients</w:t>
            </w:r>
          </w:p>
        </w:tc>
        <w:tc>
          <w:tcPr>
            <w:tcW w:w="2766" w:type="dxa"/>
            <w:tcBorders>
              <w:top w:val="nil"/>
              <w:left w:val="single" w:sz="8" w:space="0" w:color="E0E0E0"/>
              <w:bottom w:val="nil"/>
              <w:right w:val="single" w:sz="8" w:space="0" w:color="E0E0E0"/>
            </w:tcBorders>
            <w:shd w:val="clear" w:color="auto" w:fill="auto"/>
          </w:tcPr>
          <w:p w14:paraId="32A893D6"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Standardised Coefficients</w:t>
            </w:r>
          </w:p>
        </w:tc>
        <w:tc>
          <w:tcPr>
            <w:tcW w:w="798" w:type="dxa"/>
            <w:vMerge w:val="restart"/>
            <w:tcBorders>
              <w:top w:val="nil"/>
              <w:left w:val="single" w:sz="8" w:space="0" w:color="E0E0E0"/>
              <w:bottom w:val="nil"/>
              <w:right w:val="single" w:sz="8" w:space="0" w:color="E0E0E0"/>
            </w:tcBorders>
            <w:shd w:val="clear" w:color="auto" w:fill="auto"/>
          </w:tcPr>
          <w:p w14:paraId="083C5116"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w:t>
            </w:r>
          </w:p>
        </w:tc>
        <w:tc>
          <w:tcPr>
            <w:tcW w:w="1046" w:type="dxa"/>
            <w:vMerge w:val="restart"/>
            <w:tcBorders>
              <w:top w:val="nil"/>
              <w:left w:val="single" w:sz="8" w:space="0" w:color="E0E0E0"/>
              <w:bottom w:val="nil"/>
              <w:right w:val="nil"/>
            </w:tcBorders>
            <w:shd w:val="clear" w:color="auto" w:fill="auto"/>
          </w:tcPr>
          <w:p w14:paraId="0CFF726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60963CEC" w14:textId="77777777" w:rsidTr="00E724BF">
        <w:trPr>
          <w:cantSplit/>
          <w:trHeight w:val="283"/>
        </w:trPr>
        <w:tc>
          <w:tcPr>
            <w:tcW w:w="1652" w:type="dxa"/>
            <w:gridSpan w:val="2"/>
            <w:vMerge/>
            <w:tcBorders>
              <w:top w:val="nil"/>
              <w:left w:val="nil"/>
              <w:bottom w:val="nil"/>
              <w:right w:val="nil"/>
            </w:tcBorders>
            <w:shd w:val="clear" w:color="auto" w:fill="auto"/>
          </w:tcPr>
          <w:p w14:paraId="6AB7FC7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17" w:type="dxa"/>
            <w:tcBorders>
              <w:top w:val="nil"/>
              <w:left w:val="nil"/>
              <w:bottom w:val="single" w:sz="8" w:space="0" w:color="152935"/>
              <w:right w:val="single" w:sz="8" w:space="0" w:color="E0E0E0"/>
            </w:tcBorders>
            <w:shd w:val="clear" w:color="auto" w:fill="auto"/>
          </w:tcPr>
          <w:p w14:paraId="2F5CD9F7"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w:t>
            </w:r>
          </w:p>
        </w:tc>
        <w:tc>
          <w:tcPr>
            <w:tcW w:w="1565" w:type="dxa"/>
            <w:tcBorders>
              <w:top w:val="nil"/>
              <w:left w:val="single" w:sz="8" w:space="0" w:color="E0E0E0"/>
              <w:bottom w:val="single" w:sz="8" w:space="0" w:color="152935"/>
              <w:right w:val="single" w:sz="8" w:space="0" w:color="E0E0E0"/>
            </w:tcBorders>
            <w:shd w:val="clear" w:color="auto" w:fill="auto"/>
          </w:tcPr>
          <w:p w14:paraId="18229AD2"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w:t>
            </w:r>
          </w:p>
        </w:tc>
        <w:tc>
          <w:tcPr>
            <w:tcW w:w="2766" w:type="dxa"/>
            <w:tcBorders>
              <w:top w:val="nil"/>
              <w:left w:val="single" w:sz="8" w:space="0" w:color="E0E0E0"/>
              <w:bottom w:val="single" w:sz="8" w:space="0" w:color="152935"/>
              <w:right w:val="single" w:sz="8" w:space="0" w:color="E0E0E0"/>
            </w:tcBorders>
            <w:shd w:val="clear" w:color="auto" w:fill="auto"/>
          </w:tcPr>
          <w:p w14:paraId="029A25B6"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Beta</w:t>
            </w:r>
          </w:p>
        </w:tc>
        <w:tc>
          <w:tcPr>
            <w:tcW w:w="798" w:type="dxa"/>
            <w:vMerge/>
            <w:tcBorders>
              <w:top w:val="nil"/>
              <w:left w:val="single" w:sz="8" w:space="0" w:color="E0E0E0"/>
              <w:bottom w:val="nil"/>
              <w:right w:val="single" w:sz="8" w:space="0" w:color="E0E0E0"/>
            </w:tcBorders>
            <w:shd w:val="clear" w:color="auto" w:fill="auto"/>
          </w:tcPr>
          <w:p w14:paraId="6EA56C2A"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046" w:type="dxa"/>
            <w:vMerge/>
            <w:tcBorders>
              <w:top w:val="nil"/>
              <w:left w:val="single" w:sz="8" w:space="0" w:color="E0E0E0"/>
              <w:bottom w:val="nil"/>
              <w:right w:val="nil"/>
            </w:tcBorders>
            <w:shd w:val="clear" w:color="auto" w:fill="auto"/>
          </w:tcPr>
          <w:p w14:paraId="5B33782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r>
      <w:tr w:rsidR="006E3616" w:rsidRPr="00400193" w14:paraId="5A34D90A" w14:textId="77777777" w:rsidTr="00E724BF">
        <w:trPr>
          <w:cantSplit/>
          <w:trHeight w:val="283"/>
        </w:trPr>
        <w:tc>
          <w:tcPr>
            <w:tcW w:w="433" w:type="dxa"/>
            <w:vMerge w:val="restart"/>
            <w:tcBorders>
              <w:top w:val="single" w:sz="8" w:space="0" w:color="152935"/>
              <w:left w:val="nil"/>
              <w:bottom w:val="single" w:sz="8" w:space="0" w:color="152935"/>
              <w:right w:val="nil"/>
            </w:tcBorders>
            <w:shd w:val="clear" w:color="auto" w:fill="auto"/>
          </w:tcPr>
          <w:p w14:paraId="7EAC1D1F"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19" w:type="dxa"/>
            <w:tcBorders>
              <w:top w:val="single" w:sz="8" w:space="0" w:color="152935"/>
              <w:left w:val="nil"/>
              <w:bottom w:val="single" w:sz="8" w:space="0" w:color="AEAEAE"/>
              <w:right w:val="nil"/>
            </w:tcBorders>
            <w:shd w:val="clear" w:color="auto" w:fill="auto"/>
          </w:tcPr>
          <w:p w14:paraId="2BE623FA"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(Constant)</w:t>
            </w:r>
          </w:p>
        </w:tc>
        <w:tc>
          <w:tcPr>
            <w:tcW w:w="1217" w:type="dxa"/>
            <w:tcBorders>
              <w:top w:val="single" w:sz="8" w:space="0" w:color="152935"/>
              <w:left w:val="nil"/>
              <w:bottom w:val="single" w:sz="8" w:space="0" w:color="AEAEAE"/>
              <w:right w:val="single" w:sz="8" w:space="0" w:color="E0E0E0"/>
            </w:tcBorders>
            <w:shd w:val="clear" w:color="auto" w:fill="auto"/>
          </w:tcPr>
          <w:p w14:paraId="36FEEF1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1.736</w:t>
            </w:r>
          </w:p>
        </w:tc>
        <w:tc>
          <w:tcPr>
            <w:tcW w:w="1565" w:type="dxa"/>
            <w:tcBorders>
              <w:top w:val="single" w:sz="8" w:space="0" w:color="152935"/>
              <w:left w:val="single" w:sz="8" w:space="0" w:color="E0E0E0"/>
              <w:bottom w:val="single" w:sz="8" w:space="0" w:color="AEAEAE"/>
              <w:right w:val="single" w:sz="8" w:space="0" w:color="E0E0E0"/>
            </w:tcBorders>
            <w:shd w:val="clear" w:color="auto" w:fill="auto"/>
          </w:tcPr>
          <w:p w14:paraId="6D26DA7C"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.850</w:t>
            </w:r>
          </w:p>
        </w:tc>
        <w:tc>
          <w:tcPr>
            <w:tcW w:w="2766" w:type="dxa"/>
            <w:tcBorders>
              <w:top w:val="single" w:sz="8" w:space="0" w:color="152935"/>
              <w:left w:val="single" w:sz="8" w:space="0" w:color="E0E0E0"/>
              <w:bottom w:val="single" w:sz="8" w:space="0" w:color="AEAEAE"/>
              <w:right w:val="single" w:sz="8" w:space="0" w:color="E0E0E0"/>
            </w:tcBorders>
            <w:shd w:val="clear" w:color="auto" w:fill="auto"/>
          </w:tcPr>
          <w:p w14:paraId="0698A96E"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798" w:type="dxa"/>
            <w:tcBorders>
              <w:top w:val="single" w:sz="8" w:space="0" w:color="152935"/>
              <w:left w:val="single" w:sz="8" w:space="0" w:color="E0E0E0"/>
              <w:bottom w:val="single" w:sz="8" w:space="0" w:color="AEAEAE"/>
              <w:right w:val="single" w:sz="8" w:space="0" w:color="E0E0E0"/>
            </w:tcBorders>
            <w:shd w:val="clear" w:color="auto" w:fill="auto"/>
          </w:tcPr>
          <w:p w14:paraId="29A8A778"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2.042</w:t>
            </w:r>
          </w:p>
        </w:tc>
        <w:tc>
          <w:tcPr>
            <w:tcW w:w="1046" w:type="dxa"/>
            <w:tcBorders>
              <w:top w:val="single" w:sz="8" w:space="0" w:color="152935"/>
              <w:left w:val="single" w:sz="8" w:space="0" w:color="E0E0E0"/>
              <w:bottom w:val="single" w:sz="8" w:space="0" w:color="AEAEAE"/>
              <w:right w:val="nil"/>
            </w:tcBorders>
            <w:shd w:val="clear" w:color="auto" w:fill="auto"/>
          </w:tcPr>
          <w:p w14:paraId="462D7D83"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.044</w:t>
            </w:r>
          </w:p>
        </w:tc>
      </w:tr>
      <w:tr w:rsidR="006E3616" w:rsidRPr="00400193" w14:paraId="0F23AC35" w14:textId="77777777" w:rsidTr="00E724BF">
        <w:trPr>
          <w:cantSplit/>
          <w:trHeight w:val="283"/>
        </w:trPr>
        <w:tc>
          <w:tcPr>
            <w:tcW w:w="433" w:type="dxa"/>
            <w:vMerge/>
            <w:tcBorders>
              <w:top w:val="single" w:sz="8" w:space="0" w:color="152935"/>
              <w:left w:val="nil"/>
              <w:bottom w:val="single" w:sz="8" w:space="0" w:color="152935"/>
              <w:right w:val="nil"/>
            </w:tcBorders>
            <w:shd w:val="clear" w:color="auto" w:fill="auto"/>
          </w:tcPr>
          <w:p w14:paraId="3877354B"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19" w:type="dxa"/>
            <w:tcBorders>
              <w:top w:val="single" w:sz="8" w:space="0" w:color="AEAEAE"/>
              <w:left w:val="nil"/>
              <w:bottom w:val="single" w:sz="8" w:space="0" w:color="AEAEAE"/>
              <w:right w:val="nil"/>
            </w:tcBorders>
            <w:shd w:val="clear" w:color="auto" w:fill="auto"/>
          </w:tcPr>
          <w:p w14:paraId="50443DDC"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ORe</w:t>
            </w:r>
          </w:p>
        </w:tc>
        <w:tc>
          <w:tcPr>
            <w:tcW w:w="1217" w:type="dxa"/>
            <w:tcBorders>
              <w:top w:val="single" w:sz="8" w:space="0" w:color="AEAEAE"/>
              <w:left w:val="nil"/>
              <w:bottom w:val="single" w:sz="8" w:space="0" w:color="AEAEAE"/>
              <w:right w:val="single" w:sz="8" w:space="0" w:color="E0E0E0"/>
            </w:tcBorders>
            <w:shd w:val="clear" w:color="auto" w:fill="auto"/>
          </w:tcPr>
          <w:p w14:paraId="650602ED" w14:textId="54599302"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.020</w:t>
            </w:r>
          </w:p>
        </w:tc>
        <w:tc>
          <w:tcPr>
            <w:tcW w:w="1565" w:type="dxa"/>
            <w:tcBorders>
              <w:top w:val="single" w:sz="8" w:space="0" w:color="AEAEAE"/>
              <w:left w:val="single" w:sz="8" w:space="0" w:color="E0E0E0"/>
              <w:bottom w:val="single" w:sz="8" w:space="0" w:color="AEAEAE"/>
              <w:right w:val="single" w:sz="8" w:space="0" w:color="E0E0E0"/>
            </w:tcBorders>
            <w:shd w:val="clear" w:color="auto" w:fill="auto"/>
          </w:tcPr>
          <w:p w14:paraId="32AB2E6B"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.203</w:t>
            </w:r>
          </w:p>
        </w:tc>
        <w:tc>
          <w:tcPr>
            <w:tcW w:w="2766" w:type="dxa"/>
            <w:tcBorders>
              <w:top w:val="single" w:sz="8" w:space="0" w:color="AEAEAE"/>
              <w:left w:val="single" w:sz="8" w:space="0" w:color="E0E0E0"/>
              <w:bottom w:val="single" w:sz="8" w:space="0" w:color="AEAEAE"/>
              <w:right w:val="single" w:sz="8" w:space="0" w:color="E0E0E0"/>
            </w:tcBorders>
            <w:shd w:val="clear" w:color="auto" w:fill="auto"/>
          </w:tcPr>
          <w:p w14:paraId="6C207D0F" w14:textId="5C76CB14"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.025</w:t>
            </w:r>
          </w:p>
        </w:tc>
        <w:tc>
          <w:tcPr>
            <w:tcW w:w="798" w:type="dxa"/>
            <w:tcBorders>
              <w:top w:val="single" w:sz="8" w:space="0" w:color="AEAEAE"/>
              <w:left w:val="single" w:sz="8" w:space="0" w:color="E0E0E0"/>
              <w:bottom w:val="single" w:sz="8" w:space="0" w:color="AEAEAE"/>
              <w:right w:val="single" w:sz="8" w:space="0" w:color="E0E0E0"/>
            </w:tcBorders>
            <w:shd w:val="clear" w:color="auto" w:fill="auto"/>
          </w:tcPr>
          <w:p w14:paraId="356A9F83" w14:textId="1AD965CC" w:rsidR="006E3616" w:rsidRPr="00400193" w:rsidRDefault="00733D9D"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w:t>
            </w:r>
            <w:r w:rsidR="006E3616" w:rsidRPr="00400193">
              <w:rPr>
                <w:rFonts w:asciiTheme="minorHAnsi" w:hAnsiTheme="minorHAnsi" w:cstheme="minorHAnsi"/>
                <w:sz w:val="20"/>
                <w:szCs w:val="18"/>
                <w:lang w:eastAsia="zh-CN" w:bidi="hi-IN"/>
              </w:rPr>
              <w:t>.097</w:t>
            </w:r>
          </w:p>
        </w:tc>
        <w:tc>
          <w:tcPr>
            <w:tcW w:w="1046" w:type="dxa"/>
            <w:tcBorders>
              <w:top w:val="single" w:sz="8" w:space="0" w:color="AEAEAE"/>
              <w:left w:val="single" w:sz="8" w:space="0" w:color="E0E0E0"/>
              <w:bottom w:val="single" w:sz="8" w:space="0" w:color="AEAEAE"/>
              <w:right w:val="nil"/>
            </w:tcBorders>
            <w:shd w:val="clear" w:color="auto" w:fill="auto"/>
          </w:tcPr>
          <w:p w14:paraId="56763031" w14:textId="3CBDFE5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w:t>
            </w:r>
            <w:r w:rsidR="00733D9D"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lang w:eastAsia="zh-CN" w:bidi="hi-IN"/>
              </w:rPr>
              <w:t>923</w:t>
            </w:r>
          </w:p>
        </w:tc>
      </w:tr>
      <w:tr w:rsidR="006E3616" w:rsidRPr="00400193" w14:paraId="7D0A1DCC" w14:textId="77777777" w:rsidTr="00E724BF">
        <w:trPr>
          <w:cantSplit/>
          <w:trHeight w:val="283"/>
        </w:trPr>
        <w:tc>
          <w:tcPr>
            <w:tcW w:w="433" w:type="dxa"/>
            <w:vMerge/>
            <w:tcBorders>
              <w:top w:val="single" w:sz="8" w:space="0" w:color="152935"/>
              <w:left w:val="nil"/>
              <w:bottom w:val="single" w:sz="8" w:space="0" w:color="152935"/>
              <w:right w:val="nil"/>
            </w:tcBorders>
            <w:shd w:val="clear" w:color="auto" w:fill="auto"/>
          </w:tcPr>
          <w:p w14:paraId="66923003"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19" w:type="dxa"/>
            <w:tcBorders>
              <w:top w:val="single" w:sz="8" w:space="0" w:color="AEAEAE"/>
              <w:left w:val="nil"/>
              <w:bottom w:val="single" w:sz="8" w:space="0" w:color="AEAEAE"/>
              <w:right w:val="nil"/>
            </w:tcBorders>
            <w:shd w:val="clear" w:color="auto" w:fill="auto"/>
          </w:tcPr>
          <w:p w14:paraId="1148DD3A" w14:textId="3B6EF0B8" w:rsidR="006E3616" w:rsidRPr="00400193" w:rsidRDefault="00DD07A5"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p>
        </w:tc>
        <w:tc>
          <w:tcPr>
            <w:tcW w:w="1217" w:type="dxa"/>
            <w:tcBorders>
              <w:top w:val="single" w:sz="8" w:space="0" w:color="AEAEAE"/>
              <w:left w:val="nil"/>
              <w:bottom w:val="single" w:sz="8" w:space="0" w:color="AEAEAE"/>
              <w:right w:val="single" w:sz="8" w:space="0" w:color="E0E0E0"/>
            </w:tcBorders>
            <w:shd w:val="clear" w:color="auto" w:fill="auto"/>
          </w:tcPr>
          <w:p w14:paraId="335BB06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.344</w:t>
            </w:r>
          </w:p>
        </w:tc>
        <w:tc>
          <w:tcPr>
            <w:tcW w:w="1565" w:type="dxa"/>
            <w:tcBorders>
              <w:top w:val="single" w:sz="8" w:space="0" w:color="AEAEAE"/>
              <w:left w:val="single" w:sz="8" w:space="0" w:color="E0E0E0"/>
              <w:bottom w:val="single" w:sz="8" w:space="0" w:color="AEAEAE"/>
              <w:right w:val="single" w:sz="8" w:space="0" w:color="E0E0E0"/>
            </w:tcBorders>
            <w:shd w:val="clear" w:color="auto" w:fill="auto"/>
          </w:tcPr>
          <w:p w14:paraId="5F8AE09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.269</w:t>
            </w:r>
          </w:p>
        </w:tc>
        <w:tc>
          <w:tcPr>
            <w:tcW w:w="2766" w:type="dxa"/>
            <w:tcBorders>
              <w:top w:val="single" w:sz="8" w:space="0" w:color="AEAEAE"/>
              <w:left w:val="single" w:sz="8" w:space="0" w:color="E0E0E0"/>
              <w:bottom w:val="single" w:sz="8" w:space="0" w:color="AEAEAE"/>
              <w:right w:val="single" w:sz="8" w:space="0" w:color="E0E0E0"/>
            </w:tcBorders>
            <w:shd w:val="clear" w:color="auto" w:fill="auto"/>
          </w:tcPr>
          <w:p w14:paraId="6DD7E3A3"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.451</w:t>
            </w:r>
          </w:p>
        </w:tc>
        <w:tc>
          <w:tcPr>
            <w:tcW w:w="798" w:type="dxa"/>
            <w:tcBorders>
              <w:top w:val="single" w:sz="8" w:space="0" w:color="AEAEAE"/>
              <w:left w:val="single" w:sz="8" w:space="0" w:color="E0E0E0"/>
              <w:bottom w:val="single" w:sz="8" w:space="0" w:color="AEAEAE"/>
              <w:right w:val="single" w:sz="8" w:space="0" w:color="E0E0E0"/>
            </w:tcBorders>
            <w:shd w:val="clear" w:color="auto" w:fill="auto"/>
          </w:tcPr>
          <w:p w14:paraId="0E44E70B" w14:textId="2122FB75"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r w:rsidR="00733D9D" w:rsidRPr="00400193">
              <w:rPr>
                <w:rFonts w:asciiTheme="minorHAnsi" w:hAnsiTheme="minorHAnsi" w:cstheme="minorHAnsi"/>
                <w:sz w:val="20"/>
                <w:szCs w:val="18"/>
                <w:lang w:eastAsia="zh-CN" w:bidi="hi-IN"/>
              </w:rPr>
              <w:t>1</w:t>
            </w:r>
            <w:r w:rsidRPr="00400193">
              <w:rPr>
                <w:rFonts w:asciiTheme="minorHAnsi" w:hAnsiTheme="minorHAnsi" w:cstheme="minorHAnsi"/>
                <w:sz w:val="20"/>
                <w:szCs w:val="18"/>
                <w:lang w:eastAsia="zh-CN" w:bidi="hi-IN"/>
              </w:rPr>
              <w:t>.277</w:t>
            </w:r>
          </w:p>
        </w:tc>
        <w:tc>
          <w:tcPr>
            <w:tcW w:w="1046" w:type="dxa"/>
            <w:tcBorders>
              <w:top w:val="single" w:sz="8" w:space="0" w:color="AEAEAE"/>
              <w:left w:val="single" w:sz="8" w:space="0" w:color="E0E0E0"/>
              <w:bottom w:val="single" w:sz="8" w:space="0" w:color="AEAEAE"/>
              <w:right w:val="nil"/>
            </w:tcBorders>
            <w:shd w:val="clear" w:color="auto" w:fill="auto"/>
          </w:tcPr>
          <w:p w14:paraId="04604A2C" w14:textId="0CACC862"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w:t>
            </w:r>
            <w:r w:rsidR="00733D9D"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lang w:eastAsia="zh-CN" w:bidi="hi-IN"/>
              </w:rPr>
              <w:t>204</w:t>
            </w:r>
          </w:p>
        </w:tc>
      </w:tr>
      <w:tr w:rsidR="006E3616" w:rsidRPr="00400193" w14:paraId="5710100B" w14:textId="77777777" w:rsidTr="00E724BF">
        <w:trPr>
          <w:cantSplit/>
          <w:trHeight w:val="283"/>
        </w:trPr>
        <w:tc>
          <w:tcPr>
            <w:tcW w:w="433" w:type="dxa"/>
            <w:vMerge/>
            <w:tcBorders>
              <w:top w:val="single" w:sz="8" w:space="0" w:color="152935"/>
              <w:left w:val="nil"/>
              <w:bottom w:val="single" w:sz="8" w:space="0" w:color="152935"/>
              <w:right w:val="nil"/>
            </w:tcBorders>
            <w:shd w:val="clear" w:color="auto" w:fill="auto"/>
          </w:tcPr>
          <w:p w14:paraId="08261492"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19" w:type="dxa"/>
            <w:tcBorders>
              <w:top w:val="single" w:sz="8" w:space="0" w:color="AEAEAE"/>
              <w:left w:val="nil"/>
              <w:bottom w:val="single" w:sz="8" w:space="0" w:color="AEAEAE"/>
              <w:right w:val="nil"/>
            </w:tcBorders>
            <w:shd w:val="clear" w:color="auto" w:fill="auto"/>
          </w:tcPr>
          <w:p w14:paraId="37EFE973" w14:textId="1917A389" w:rsidR="006E3616" w:rsidRPr="00400193" w:rsidRDefault="00DD07A5"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ERF</w:t>
            </w:r>
            <w:r w:rsidR="006E3616" w:rsidRPr="00400193">
              <w:rPr>
                <w:rFonts w:asciiTheme="minorHAnsi" w:hAnsiTheme="minorHAnsi" w:cstheme="minorHAnsi"/>
                <w:sz w:val="20"/>
                <w:szCs w:val="18"/>
                <w:lang w:eastAsia="zh-CN" w:bidi="hi-IN"/>
              </w:rPr>
              <w:t>*ORe</w:t>
            </w:r>
          </w:p>
        </w:tc>
        <w:tc>
          <w:tcPr>
            <w:tcW w:w="1217" w:type="dxa"/>
            <w:tcBorders>
              <w:top w:val="single" w:sz="8" w:space="0" w:color="AEAEAE"/>
              <w:left w:val="nil"/>
              <w:bottom w:val="single" w:sz="8" w:space="0" w:color="AEAEAE"/>
              <w:right w:val="single" w:sz="8" w:space="0" w:color="E0E0E0"/>
            </w:tcBorders>
            <w:shd w:val="clear" w:color="auto" w:fill="auto"/>
          </w:tcPr>
          <w:p w14:paraId="09DBB467"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.038</w:t>
            </w:r>
          </w:p>
        </w:tc>
        <w:tc>
          <w:tcPr>
            <w:tcW w:w="1565" w:type="dxa"/>
            <w:tcBorders>
              <w:top w:val="single" w:sz="8" w:space="0" w:color="AEAEAE"/>
              <w:left w:val="single" w:sz="8" w:space="0" w:color="E0E0E0"/>
              <w:bottom w:val="single" w:sz="8" w:space="0" w:color="AEAEAE"/>
              <w:right w:val="single" w:sz="8" w:space="0" w:color="E0E0E0"/>
            </w:tcBorders>
            <w:shd w:val="clear" w:color="auto" w:fill="auto"/>
          </w:tcPr>
          <w:p w14:paraId="4CA47BCE"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.064</w:t>
            </w:r>
          </w:p>
        </w:tc>
        <w:tc>
          <w:tcPr>
            <w:tcW w:w="2766" w:type="dxa"/>
            <w:tcBorders>
              <w:top w:val="single" w:sz="8" w:space="0" w:color="AEAEAE"/>
              <w:left w:val="single" w:sz="8" w:space="0" w:color="E0E0E0"/>
              <w:bottom w:val="single" w:sz="8" w:space="0" w:color="AEAEAE"/>
              <w:right w:val="single" w:sz="8" w:space="0" w:color="E0E0E0"/>
            </w:tcBorders>
            <w:shd w:val="clear" w:color="auto" w:fill="auto"/>
          </w:tcPr>
          <w:p w14:paraId="5D2E6401"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.258</w:t>
            </w:r>
          </w:p>
        </w:tc>
        <w:tc>
          <w:tcPr>
            <w:tcW w:w="798" w:type="dxa"/>
            <w:tcBorders>
              <w:top w:val="single" w:sz="8" w:space="0" w:color="AEAEAE"/>
              <w:left w:val="single" w:sz="8" w:space="0" w:color="E0E0E0"/>
              <w:bottom w:val="single" w:sz="8" w:space="0" w:color="AEAEAE"/>
              <w:right w:val="single" w:sz="8" w:space="0" w:color="E0E0E0"/>
            </w:tcBorders>
            <w:shd w:val="clear" w:color="auto" w:fill="auto"/>
          </w:tcPr>
          <w:p w14:paraId="57BF4FDB" w14:textId="7EFA1EA6" w:rsidR="006E3616" w:rsidRPr="00400193" w:rsidRDefault="00733D9D"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w:t>
            </w:r>
            <w:r w:rsidR="006E3616" w:rsidRPr="00400193">
              <w:rPr>
                <w:rFonts w:asciiTheme="minorHAnsi" w:hAnsiTheme="minorHAnsi" w:cstheme="minorHAnsi"/>
                <w:sz w:val="20"/>
                <w:szCs w:val="18"/>
                <w:lang w:eastAsia="zh-CN" w:bidi="hi-IN"/>
              </w:rPr>
              <w:t>.590</w:t>
            </w:r>
          </w:p>
        </w:tc>
        <w:tc>
          <w:tcPr>
            <w:tcW w:w="1046" w:type="dxa"/>
            <w:tcBorders>
              <w:top w:val="single" w:sz="8" w:space="0" w:color="AEAEAE"/>
              <w:left w:val="single" w:sz="8" w:space="0" w:color="E0E0E0"/>
              <w:bottom w:val="single" w:sz="8" w:space="0" w:color="AEAEAE"/>
              <w:right w:val="nil"/>
            </w:tcBorders>
            <w:shd w:val="clear" w:color="auto" w:fill="auto"/>
          </w:tcPr>
          <w:p w14:paraId="61676810" w14:textId="2A345188" w:rsidR="006E3616" w:rsidRPr="00400193" w:rsidRDefault="006E3616" w:rsidP="00E724BF">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w:t>
            </w:r>
            <w:r w:rsidR="00733D9D"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lang w:eastAsia="zh-CN" w:bidi="hi-IN"/>
              </w:rPr>
              <w:t>557</w:t>
            </w:r>
          </w:p>
        </w:tc>
      </w:tr>
      <w:tr w:rsidR="00EF2516" w:rsidRPr="00400193" w14:paraId="42A38ABA" w14:textId="77777777" w:rsidTr="00E724BF">
        <w:trPr>
          <w:cantSplit/>
          <w:trHeight w:val="283"/>
        </w:trPr>
        <w:tc>
          <w:tcPr>
            <w:tcW w:w="9044" w:type="dxa"/>
            <w:gridSpan w:val="7"/>
            <w:tcBorders>
              <w:top w:val="single" w:sz="8" w:space="0" w:color="152935"/>
              <w:left w:val="nil"/>
              <w:bottom w:val="single" w:sz="4" w:space="0" w:color="FFFFFF" w:themeColor="background1"/>
              <w:right w:val="nil"/>
            </w:tcBorders>
            <w:shd w:val="clear" w:color="auto" w:fill="auto"/>
          </w:tcPr>
          <w:p w14:paraId="76735C29" w14:textId="68C0E759" w:rsidR="00EF2516" w:rsidRPr="00400193" w:rsidRDefault="00EF2516" w:rsidP="00E724BF">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 xml:space="preserve">a. </w:t>
            </w:r>
            <w:r w:rsidRPr="00400193">
              <w:rPr>
                <w:rFonts w:asciiTheme="minorHAnsi" w:hAnsiTheme="minorHAnsi" w:cstheme="minorHAnsi"/>
                <w:sz w:val="20"/>
                <w:szCs w:val="18"/>
                <w:lang w:eastAsia="zh-CN" w:bidi="hi-IN"/>
              </w:rPr>
              <w:t>Dependent Variable: VW</w:t>
            </w:r>
          </w:p>
        </w:tc>
      </w:tr>
    </w:tbl>
    <w:p w14:paraId="1E4454DC" w14:textId="204E66F3" w:rsidR="006E3616" w:rsidRPr="00400193" w:rsidRDefault="006E3616" w:rsidP="00E724BF">
      <w:pPr>
        <w:pStyle w:val="Caption"/>
        <w:spacing w:after="240"/>
      </w:pPr>
      <w:bookmarkStart w:id="803" w:name="_Ref51591980"/>
      <w:bookmarkStart w:id="804" w:name="_Toc52901652"/>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107</w:t>
      </w:r>
      <w:r w:rsidRPr="00400193">
        <w:fldChar w:fldCharType="end"/>
      </w:r>
      <w:bookmarkEnd w:id="803"/>
      <w:r w:rsidRPr="00400193">
        <w:t xml:space="preserve">: Coefficients </w:t>
      </w:r>
      <w:r w:rsidRPr="00400193">
        <w:rPr>
          <w:vertAlign w:val="superscript"/>
        </w:rPr>
        <w:t>a</w:t>
      </w:r>
      <w:r w:rsidRPr="00400193">
        <w:t xml:space="preserve"> of the regression model for VW</w:t>
      </w:r>
      <w:bookmarkEnd w:id="804"/>
    </w:p>
    <w:p w14:paraId="237FF093" w14:textId="77777777" w:rsidR="006E3616" w:rsidRPr="00400193" w:rsidRDefault="006E3616" w:rsidP="003C3496">
      <w:pPr>
        <w:pStyle w:val="Heading4"/>
        <w:rPr>
          <w:lang w:eastAsia="zh-CN" w:bidi="hi-IN"/>
        </w:rPr>
      </w:pPr>
      <w:bookmarkStart w:id="805" w:name="_Toc61894798"/>
      <w:r w:rsidRPr="00400193">
        <w:rPr>
          <w:lang w:eastAsia="zh-CN" w:bidi="hi-IN"/>
        </w:rPr>
        <w:t>Testing for Collinearity of the Independent Variables</w:t>
      </w:r>
      <w:bookmarkEnd w:id="805"/>
    </w:p>
    <w:p w14:paraId="7E3CF85D" w14:textId="30D7EF95" w:rsidR="006E3616" w:rsidRPr="00400193" w:rsidRDefault="006E3616" w:rsidP="006E3616">
      <w:pPr>
        <w:rPr>
          <w:lang w:eastAsia="zh-CN" w:bidi="hi-IN"/>
        </w:rPr>
      </w:pPr>
      <w:r w:rsidRPr="00400193">
        <w:rPr>
          <w:lang w:eastAsia="zh-CN" w:bidi="hi-IN"/>
        </w:rPr>
        <w:t xml:space="preserve">The collinearity results for the independent variables are in </w:t>
      </w:r>
      <w:r w:rsidR="00E724BF" w:rsidRPr="00400193">
        <w:rPr>
          <w:lang w:eastAsia="zh-CN" w:bidi="hi-IN"/>
        </w:rPr>
        <w:fldChar w:fldCharType="begin"/>
      </w:r>
      <w:r w:rsidR="00E724BF" w:rsidRPr="00400193">
        <w:rPr>
          <w:lang w:eastAsia="zh-CN" w:bidi="hi-IN"/>
        </w:rPr>
        <w:instrText xml:space="preserve"> REF _Ref51592100 \h </w:instrText>
      </w:r>
      <w:r w:rsidR="00E724BF" w:rsidRPr="00400193">
        <w:rPr>
          <w:lang w:eastAsia="zh-CN" w:bidi="hi-IN"/>
        </w:rPr>
      </w:r>
      <w:r w:rsidR="00E724BF"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108</w:t>
      </w:r>
      <w:r w:rsidR="00E724BF" w:rsidRPr="00400193">
        <w:rPr>
          <w:lang w:eastAsia="zh-CN" w:bidi="hi-IN"/>
        </w:rPr>
        <w:fldChar w:fldCharType="end"/>
      </w:r>
      <w:r w:rsidRPr="00400193">
        <w:rPr>
          <w:lang w:eastAsia="zh-CN" w:bidi="hi-IN"/>
        </w:rPr>
        <w:t>.</w:t>
      </w:r>
    </w:p>
    <w:tbl>
      <w:tblPr>
        <w:tblW w:w="88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7"/>
        <w:gridCol w:w="1166"/>
        <w:gridCol w:w="1166"/>
        <w:gridCol w:w="1400"/>
        <w:gridCol w:w="1123"/>
        <w:gridCol w:w="976"/>
        <w:gridCol w:w="976"/>
        <w:gridCol w:w="1332"/>
      </w:tblGrid>
      <w:tr w:rsidR="006E3616" w:rsidRPr="00400193" w14:paraId="19728902" w14:textId="77777777" w:rsidTr="00E724BF">
        <w:trPr>
          <w:cantSplit/>
          <w:trHeight w:val="283"/>
        </w:trPr>
        <w:tc>
          <w:tcPr>
            <w:tcW w:w="8896" w:type="dxa"/>
            <w:gridSpan w:val="8"/>
            <w:tcBorders>
              <w:top w:val="nil"/>
              <w:left w:val="nil"/>
              <w:bottom w:val="nil"/>
              <w:right w:val="nil"/>
            </w:tcBorders>
            <w:shd w:val="clear" w:color="auto" w:fill="auto"/>
          </w:tcPr>
          <w:p w14:paraId="0410F423"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Collinearity Diagnostics </w:t>
            </w:r>
            <w:r w:rsidRPr="00400193">
              <w:rPr>
                <w:rFonts w:asciiTheme="minorHAnsi" w:hAnsiTheme="minorHAnsi" w:cstheme="minorHAnsi"/>
                <w:b/>
                <w:bCs/>
                <w:sz w:val="20"/>
                <w:szCs w:val="20"/>
                <w:vertAlign w:val="superscript"/>
                <w:lang w:eastAsia="zh-CN" w:bidi="hi-IN"/>
              </w:rPr>
              <w:t>a</w:t>
            </w:r>
          </w:p>
        </w:tc>
      </w:tr>
      <w:tr w:rsidR="006E3616" w:rsidRPr="00400193" w14:paraId="373C67D9" w14:textId="77777777" w:rsidTr="00E724BF">
        <w:trPr>
          <w:cantSplit/>
          <w:trHeight w:val="283"/>
        </w:trPr>
        <w:tc>
          <w:tcPr>
            <w:tcW w:w="757" w:type="dxa"/>
            <w:vMerge w:val="restart"/>
            <w:tcBorders>
              <w:top w:val="nil"/>
              <w:left w:val="nil"/>
              <w:bottom w:val="nil"/>
              <w:right w:val="nil"/>
            </w:tcBorders>
            <w:shd w:val="clear" w:color="auto" w:fill="auto"/>
          </w:tcPr>
          <w:p w14:paraId="59FEBE3C"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1166" w:type="dxa"/>
            <w:vMerge w:val="restart"/>
            <w:tcBorders>
              <w:top w:val="nil"/>
              <w:left w:val="nil"/>
              <w:bottom w:val="nil"/>
              <w:right w:val="nil"/>
            </w:tcBorders>
            <w:shd w:val="clear" w:color="auto" w:fill="auto"/>
          </w:tcPr>
          <w:p w14:paraId="1CD4D998"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Dimension</w:t>
            </w:r>
          </w:p>
        </w:tc>
        <w:tc>
          <w:tcPr>
            <w:tcW w:w="1166" w:type="dxa"/>
            <w:vMerge w:val="restart"/>
            <w:tcBorders>
              <w:top w:val="nil"/>
              <w:left w:val="nil"/>
              <w:bottom w:val="nil"/>
              <w:right w:val="single" w:sz="8" w:space="0" w:color="E0E0E0"/>
            </w:tcBorders>
            <w:shd w:val="clear" w:color="auto" w:fill="auto"/>
          </w:tcPr>
          <w:p w14:paraId="2CAC4EDF"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Eigenvalue</w:t>
            </w:r>
          </w:p>
        </w:tc>
        <w:tc>
          <w:tcPr>
            <w:tcW w:w="1400" w:type="dxa"/>
            <w:vMerge w:val="restart"/>
            <w:tcBorders>
              <w:top w:val="nil"/>
              <w:left w:val="single" w:sz="8" w:space="0" w:color="E0E0E0"/>
              <w:bottom w:val="nil"/>
              <w:right w:val="single" w:sz="8" w:space="0" w:color="E0E0E0"/>
            </w:tcBorders>
            <w:shd w:val="clear" w:color="auto" w:fill="auto"/>
          </w:tcPr>
          <w:p w14:paraId="695A92C2"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 Index</w:t>
            </w:r>
          </w:p>
        </w:tc>
        <w:tc>
          <w:tcPr>
            <w:tcW w:w="4404" w:type="dxa"/>
            <w:gridSpan w:val="4"/>
            <w:tcBorders>
              <w:top w:val="nil"/>
              <w:left w:val="single" w:sz="8" w:space="0" w:color="E0E0E0"/>
              <w:bottom w:val="nil"/>
              <w:right w:val="nil"/>
            </w:tcBorders>
            <w:shd w:val="clear" w:color="auto" w:fill="auto"/>
          </w:tcPr>
          <w:p w14:paraId="52BCFCD5"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Variance Proportions</w:t>
            </w:r>
          </w:p>
        </w:tc>
      </w:tr>
      <w:tr w:rsidR="006E3616" w:rsidRPr="00400193" w14:paraId="2A1F4BF7" w14:textId="77777777" w:rsidTr="00E724BF">
        <w:trPr>
          <w:cantSplit/>
          <w:trHeight w:val="283"/>
        </w:trPr>
        <w:tc>
          <w:tcPr>
            <w:tcW w:w="757" w:type="dxa"/>
            <w:vMerge/>
            <w:tcBorders>
              <w:top w:val="nil"/>
              <w:left w:val="nil"/>
              <w:bottom w:val="nil"/>
              <w:right w:val="nil"/>
            </w:tcBorders>
            <w:shd w:val="clear" w:color="auto" w:fill="auto"/>
          </w:tcPr>
          <w:p w14:paraId="2368BBF6"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66" w:type="dxa"/>
            <w:vMerge/>
            <w:tcBorders>
              <w:top w:val="nil"/>
              <w:left w:val="nil"/>
              <w:bottom w:val="nil"/>
              <w:right w:val="nil"/>
            </w:tcBorders>
            <w:shd w:val="clear" w:color="auto" w:fill="auto"/>
          </w:tcPr>
          <w:p w14:paraId="03FF94D4"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66" w:type="dxa"/>
            <w:vMerge/>
            <w:tcBorders>
              <w:top w:val="nil"/>
              <w:left w:val="nil"/>
              <w:bottom w:val="nil"/>
              <w:right w:val="single" w:sz="8" w:space="0" w:color="E0E0E0"/>
            </w:tcBorders>
            <w:shd w:val="clear" w:color="auto" w:fill="auto"/>
          </w:tcPr>
          <w:p w14:paraId="7EFD2EED"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400" w:type="dxa"/>
            <w:vMerge/>
            <w:tcBorders>
              <w:top w:val="nil"/>
              <w:left w:val="single" w:sz="8" w:space="0" w:color="E0E0E0"/>
              <w:bottom w:val="nil"/>
              <w:right w:val="single" w:sz="8" w:space="0" w:color="E0E0E0"/>
            </w:tcBorders>
            <w:shd w:val="clear" w:color="auto" w:fill="auto"/>
          </w:tcPr>
          <w:p w14:paraId="51FE36DA"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23" w:type="dxa"/>
            <w:tcBorders>
              <w:top w:val="nil"/>
              <w:left w:val="single" w:sz="8" w:space="0" w:color="E0E0E0"/>
              <w:bottom w:val="single" w:sz="8" w:space="0" w:color="152935"/>
              <w:right w:val="single" w:sz="8" w:space="0" w:color="E0E0E0"/>
            </w:tcBorders>
            <w:shd w:val="clear" w:color="auto" w:fill="auto"/>
          </w:tcPr>
          <w:p w14:paraId="208B33AC"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976" w:type="dxa"/>
            <w:tcBorders>
              <w:top w:val="nil"/>
              <w:left w:val="single" w:sz="8" w:space="0" w:color="E0E0E0"/>
              <w:bottom w:val="single" w:sz="8" w:space="0" w:color="152935"/>
              <w:right w:val="single" w:sz="8" w:space="0" w:color="E0E0E0"/>
            </w:tcBorders>
            <w:shd w:val="clear" w:color="auto" w:fill="auto"/>
          </w:tcPr>
          <w:p w14:paraId="174A053C"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ORe</w:t>
            </w:r>
          </w:p>
        </w:tc>
        <w:tc>
          <w:tcPr>
            <w:tcW w:w="976" w:type="dxa"/>
            <w:tcBorders>
              <w:top w:val="nil"/>
              <w:left w:val="single" w:sz="8" w:space="0" w:color="E0E0E0"/>
              <w:bottom w:val="single" w:sz="8" w:space="0" w:color="152935"/>
              <w:right w:val="single" w:sz="8" w:space="0" w:color="E0E0E0"/>
            </w:tcBorders>
            <w:shd w:val="clear" w:color="auto" w:fill="auto"/>
          </w:tcPr>
          <w:p w14:paraId="0DB787AC" w14:textId="29ED3FC2" w:rsidR="006E3616" w:rsidRPr="00400193" w:rsidRDefault="00DD07A5"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p>
        </w:tc>
        <w:tc>
          <w:tcPr>
            <w:tcW w:w="1327" w:type="dxa"/>
            <w:tcBorders>
              <w:top w:val="nil"/>
              <w:left w:val="single" w:sz="8" w:space="0" w:color="E0E0E0"/>
              <w:bottom w:val="single" w:sz="8" w:space="0" w:color="152935"/>
              <w:right w:val="nil"/>
            </w:tcBorders>
            <w:shd w:val="clear" w:color="auto" w:fill="auto"/>
          </w:tcPr>
          <w:p w14:paraId="54DC7FCA" w14:textId="426DB2E8" w:rsidR="006E3616" w:rsidRPr="00400193" w:rsidRDefault="00DD07A5"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ERF</w:t>
            </w:r>
            <w:r w:rsidR="006E3616" w:rsidRPr="00400193">
              <w:rPr>
                <w:rFonts w:asciiTheme="minorHAnsi" w:hAnsiTheme="minorHAnsi" w:cstheme="minorHAnsi"/>
                <w:sz w:val="20"/>
                <w:szCs w:val="20"/>
                <w:lang w:eastAsia="zh-CN" w:bidi="hi-IN"/>
              </w:rPr>
              <w:t>*ORe</w:t>
            </w:r>
          </w:p>
        </w:tc>
      </w:tr>
      <w:tr w:rsidR="006E3616" w:rsidRPr="00400193" w14:paraId="3D714D3E" w14:textId="77777777" w:rsidTr="00E724BF">
        <w:trPr>
          <w:cantSplit/>
          <w:trHeight w:val="283"/>
        </w:trPr>
        <w:tc>
          <w:tcPr>
            <w:tcW w:w="757" w:type="dxa"/>
            <w:vMerge w:val="restart"/>
            <w:tcBorders>
              <w:top w:val="single" w:sz="8" w:space="0" w:color="152935"/>
              <w:left w:val="nil"/>
              <w:bottom w:val="single" w:sz="8" w:space="0" w:color="152935"/>
              <w:right w:val="nil"/>
            </w:tcBorders>
            <w:shd w:val="clear" w:color="auto" w:fill="auto"/>
          </w:tcPr>
          <w:p w14:paraId="0DB20592"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66" w:type="dxa"/>
            <w:tcBorders>
              <w:top w:val="single" w:sz="8" w:space="0" w:color="152935"/>
              <w:left w:val="nil"/>
              <w:bottom w:val="single" w:sz="8" w:space="0" w:color="AEAEAE"/>
              <w:right w:val="nil"/>
            </w:tcBorders>
            <w:shd w:val="clear" w:color="auto" w:fill="auto"/>
          </w:tcPr>
          <w:p w14:paraId="018C666B"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66" w:type="dxa"/>
            <w:tcBorders>
              <w:top w:val="single" w:sz="8" w:space="0" w:color="152935"/>
              <w:left w:val="nil"/>
              <w:bottom w:val="single" w:sz="8" w:space="0" w:color="AEAEAE"/>
              <w:right w:val="single" w:sz="8" w:space="0" w:color="E0E0E0"/>
            </w:tcBorders>
            <w:shd w:val="clear" w:color="auto" w:fill="auto"/>
          </w:tcPr>
          <w:p w14:paraId="0241C914"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3.900</w:t>
            </w:r>
          </w:p>
        </w:tc>
        <w:tc>
          <w:tcPr>
            <w:tcW w:w="1400" w:type="dxa"/>
            <w:tcBorders>
              <w:top w:val="single" w:sz="8" w:space="0" w:color="152935"/>
              <w:left w:val="single" w:sz="8" w:space="0" w:color="E0E0E0"/>
              <w:bottom w:val="single" w:sz="8" w:space="0" w:color="AEAEAE"/>
              <w:right w:val="single" w:sz="8" w:space="0" w:color="E0E0E0"/>
            </w:tcBorders>
            <w:shd w:val="clear" w:color="auto" w:fill="auto"/>
          </w:tcPr>
          <w:p w14:paraId="30CBAC34"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1.000</w:t>
            </w:r>
          </w:p>
        </w:tc>
        <w:tc>
          <w:tcPr>
            <w:tcW w:w="1123" w:type="dxa"/>
            <w:tcBorders>
              <w:top w:val="single" w:sz="8" w:space="0" w:color="152935"/>
              <w:left w:val="single" w:sz="8" w:space="0" w:color="E0E0E0"/>
              <w:bottom w:val="single" w:sz="8" w:space="0" w:color="AEAEAE"/>
              <w:right w:val="single" w:sz="8" w:space="0" w:color="E0E0E0"/>
            </w:tcBorders>
            <w:shd w:val="clear" w:color="auto" w:fill="auto"/>
          </w:tcPr>
          <w:p w14:paraId="109A251D"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76" w:type="dxa"/>
            <w:tcBorders>
              <w:top w:val="single" w:sz="8" w:space="0" w:color="152935"/>
              <w:left w:val="single" w:sz="8" w:space="0" w:color="E0E0E0"/>
              <w:bottom w:val="single" w:sz="8" w:space="0" w:color="AEAEAE"/>
              <w:right w:val="single" w:sz="8" w:space="0" w:color="E0E0E0"/>
            </w:tcBorders>
            <w:shd w:val="clear" w:color="auto" w:fill="auto"/>
          </w:tcPr>
          <w:p w14:paraId="048E890A"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76" w:type="dxa"/>
            <w:tcBorders>
              <w:top w:val="single" w:sz="8" w:space="0" w:color="152935"/>
              <w:left w:val="single" w:sz="8" w:space="0" w:color="E0E0E0"/>
              <w:bottom w:val="single" w:sz="8" w:space="0" w:color="AEAEAE"/>
              <w:right w:val="single" w:sz="8" w:space="0" w:color="E0E0E0"/>
            </w:tcBorders>
            <w:shd w:val="clear" w:color="auto" w:fill="auto"/>
          </w:tcPr>
          <w:p w14:paraId="6B2C0901"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1327" w:type="dxa"/>
            <w:tcBorders>
              <w:top w:val="single" w:sz="8" w:space="0" w:color="152935"/>
              <w:left w:val="single" w:sz="8" w:space="0" w:color="E0E0E0"/>
              <w:bottom w:val="single" w:sz="8" w:space="0" w:color="AEAEAE"/>
              <w:right w:val="nil"/>
            </w:tcBorders>
            <w:shd w:val="clear" w:color="auto" w:fill="auto"/>
          </w:tcPr>
          <w:p w14:paraId="13624EAF"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r>
      <w:tr w:rsidR="006E3616" w:rsidRPr="00400193" w14:paraId="7364B3F3" w14:textId="77777777" w:rsidTr="00E724BF">
        <w:trPr>
          <w:cantSplit/>
          <w:trHeight w:val="283"/>
        </w:trPr>
        <w:tc>
          <w:tcPr>
            <w:tcW w:w="757" w:type="dxa"/>
            <w:vMerge/>
            <w:tcBorders>
              <w:top w:val="single" w:sz="8" w:space="0" w:color="152935"/>
              <w:left w:val="nil"/>
              <w:bottom w:val="single" w:sz="8" w:space="0" w:color="152935"/>
              <w:right w:val="nil"/>
            </w:tcBorders>
            <w:shd w:val="clear" w:color="auto" w:fill="auto"/>
          </w:tcPr>
          <w:p w14:paraId="3EAD09CE"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66" w:type="dxa"/>
            <w:tcBorders>
              <w:top w:val="single" w:sz="8" w:space="0" w:color="AEAEAE"/>
              <w:left w:val="nil"/>
              <w:bottom w:val="single" w:sz="8" w:space="0" w:color="AEAEAE"/>
              <w:right w:val="nil"/>
            </w:tcBorders>
            <w:shd w:val="clear" w:color="auto" w:fill="auto"/>
          </w:tcPr>
          <w:p w14:paraId="0F5E0C37"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1166" w:type="dxa"/>
            <w:tcBorders>
              <w:top w:val="single" w:sz="8" w:space="0" w:color="AEAEAE"/>
              <w:left w:val="nil"/>
              <w:bottom w:val="single" w:sz="8" w:space="0" w:color="AEAEAE"/>
              <w:right w:val="single" w:sz="8" w:space="0" w:color="E0E0E0"/>
            </w:tcBorders>
            <w:shd w:val="clear" w:color="auto" w:fill="auto"/>
          </w:tcPr>
          <w:p w14:paraId="26074E6F"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.063</w:t>
            </w:r>
          </w:p>
        </w:tc>
        <w:tc>
          <w:tcPr>
            <w:tcW w:w="1400" w:type="dxa"/>
            <w:tcBorders>
              <w:top w:val="single" w:sz="8" w:space="0" w:color="AEAEAE"/>
              <w:left w:val="single" w:sz="8" w:space="0" w:color="E0E0E0"/>
              <w:bottom w:val="single" w:sz="8" w:space="0" w:color="AEAEAE"/>
              <w:right w:val="single" w:sz="8" w:space="0" w:color="E0E0E0"/>
            </w:tcBorders>
            <w:shd w:val="clear" w:color="auto" w:fill="auto"/>
          </w:tcPr>
          <w:p w14:paraId="0158B180"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7.874</w:t>
            </w:r>
          </w:p>
        </w:tc>
        <w:tc>
          <w:tcPr>
            <w:tcW w:w="1123" w:type="dxa"/>
            <w:tcBorders>
              <w:top w:val="single" w:sz="8" w:space="0" w:color="AEAEAE"/>
              <w:left w:val="single" w:sz="8" w:space="0" w:color="E0E0E0"/>
              <w:bottom w:val="single" w:sz="8" w:space="0" w:color="AEAEAE"/>
              <w:right w:val="single" w:sz="8" w:space="0" w:color="E0E0E0"/>
            </w:tcBorders>
            <w:shd w:val="clear" w:color="auto" w:fill="auto"/>
          </w:tcPr>
          <w:p w14:paraId="429E1F51"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976" w:type="dxa"/>
            <w:tcBorders>
              <w:top w:val="single" w:sz="8" w:space="0" w:color="AEAEAE"/>
              <w:left w:val="single" w:sz="8" w:space="0" w:color="E0E0E0"/>
              <w:bottom w:val="single" w:sz="8" w:space="0" w:color="AEAEAE"/>
              <w:right w:val="single" w:sz="8" w:space="0" w:color="E0E0E0"/>
            </w:tcBorders>
            <w:shd w:val="clear" w:color="auto" w:fill="auto"/>
          </w:tcPr>
          <w:p w14:paraId="47243986"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976" w:type="dxa"/>
            <w:tcBorders>
              <w:top w:val="single" w:sz="8" w:space="0" w:color="AEAEAE"/>
              <w:left w:val="single" w:sz="8" w:space="0" w:color="E0E0E0"/>
              <w:bottom w:val="single" w:sz="8" w:space="0" w:color="AEAEAE"/>
              <w:right w:val="single" w:sz="8" w:space="0" w:color="E0E0E0"/>
            </w:tcBorders>
            <w:shd w:val="clear" w:color="auto" w:fill="auto"/>
          </w:tcPr>
          <w:p w14:paraId="53BF997A"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1327" w:type="dxa"/>
            <w:tcBorders>
              <w:top w:val="single" w:sz="8" w:space="0" w:color="AEAEAE"/>
              <w:left w:val="single" w:sz="8" w:space="0" w:color="E0E0E0"/>
              <w:bottom w:val="single" w:sz="8" w:space="0" w:color="AEAEAE"/>
              <w:right w:val="nil"/>
            </w:tcBorders>
            <w:shd w:val="clear" w:color="auto" w:fill="auto"/>
          </w:tcPr>
          <w:p w14:paraId="786FC851"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r>
      <w:tr w:rsidR="006E3616" w:rsidRPr="00400193" w14:paraId="0A8A435F" w14:textId="77777777" w:rsidTr="00E724BF">
        <w:trPr>
          <w:cantSplit/>
          <w:trHeight w:val="283"/>
        </w:trPr>
        <w:tc>
          <w:tcPr>
            <w:tcW w:w="757" w:type="dxa"/>
            <w:vMerge/>
            <w:tcBorders>
              <w:top w:val="single" w:sz="8" w:space="0" w:color="152935"/>
              <w:left w:val="nil"/>
              <w:bottom w:val="single" w:sz="8" w:space="0" w:color="152935"/>
              <w:right w:val="nil"/>
            </w:tcBorders>
            <w:shd w:val="clear" w:color="auto" w:fill="auto"/>
          </w:tcPr>
          <w:p w14:paraId="79585A19"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66" w:type="dxa"/>
            <w:tcBorders>
              <w:top w:val="single" w:sz="8" w:space="0" w:color="AEAEAE"/>
              <w:left w:val="nil"/>
              <w:bottom w:val="single" w:sz="8" w:space="0" w:color="AEAEAE"/>
              <w:right w:val="nil"/>
            </w:tcBorders>
            <w:shd w:val="clear" w:color="auto" w:fill="auto"/>
          </w:tcPr>
          <w:p w14:paraId="4D8575C8"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1166" w:type="dxa"/>
            <w:tcBorders>
              <w:top w:val="single" w:sz="8" w:space="0" w:color="AEAEAE"/>
              <w:left w:val="nil"/>
              <w:bottom w:val="single" w:sz="8" w:space="0" w:color="AEAEAE"/>
              <w:right w:val="single" w:sz="8" w:space="0" w:color="E0E0E0"/>
            </w:tcBorders>
            <w:shd w:val="clear" w:color="auto" w:fill="auto"/>
          </w:tcPr>
          <w:p w14:paraId="14044782"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.037</w:t>
            </w:r>
          </w:p>
        </w:tc>
        <w:tc>
          <w:tcPr>
            <w:tcW w:w="1400" w:type="dxa"/>
            <w:tcBorders>
              <w:top w:val="single" w:sz="8" w:space="0" w:color="AEAEAE"/>
              <w:left w:val="single" w:sz="8" w:space="0" w:color="E0E0E0"/>
              <w:bottom w:val="single" w:sz="8" w:space="0" w:color="AEAEAE"/>
              <w:right w:val="single" w:sz="8" w:space="0" w:color="E0E0E0"/>
            </w:tcBorders>
            <w:shd w:val="clear" w:color="auto" w:fill="auto"/>
          </w:tcPr>
          <w:p w14:paraId="03381581"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10.294</w:t>
            </w:r>
          </w:p>
        </w:tc>
        <w:tc>
          <w:tcPr>
            <w:tcW w:w="1123" w:type="dxa"/>
            <w:tcBorders>
              <w:top w:val="single" w:sz="8" w:space="0" w:color="AEAEAE"/>
              <w:left w:val="single" w:sz="8" w:space="0" w:color="E0E0E0"/>
              <w:bottom w:val="single" w:sz="8" w:space="0" w:color="AEAEAE"/>
              <w:right w:val="single" w:sz="8" w:space="0" w:color="E0E0E0"/>
            </w:tcBorders>
            <w:shd w:val="clear" w:color="auto" w:fill="auto"/>
          </w:tcPr>
          <w:p w14:paraId="199DB016"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976" w:type="dxa"/>
            <w:tcBorders>
              <w:top w:val="single" w:sz="8" w:space="0" w:color="AEAEAE"/>
              <w:left w:val="single" w:sz="8" w:space="0" w:color="E0E0E0"/>
              <w:bottom w:val="single" w:sz="8" w:space="0" w:color="AEAEAE"/>
              <w:right w:val="single" w:sz="8" w:space="0" w:color="E0E0E0"/>
            </w:tcBorders>
            <w:shd w:val="clear" w:color="auto" w:fill="auto"/>
          </w:tcPr>
          <w:p w14:paraId="5178F4A4"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w:t>
            </w:r>
          </w:p>
        </w:tc>
        <w:tc>
          <w:tcPr>
            <w:tcW w:w="976" w:type="dxa"/>
            <w:tcBorders>
              <w:top w:val="single" w:sz="8" w:space="0" w:color="AEAEAE"/>
              <w:left w:val="single" w:sz="8" w:space="0" w:color="E0E0E0"/>
              <w:bottom w:val="single" w:sz="8" w:space="0" w:color="AEAEAE"/>
              <w:right w:val="single" w:sz="8" w:space="0" w:color="E0E0E0"/>
            </w:tcBorders>
            <w:shd w:val="clear" w:color="auto" w:fill="auto"/>
          </w:tcPr>
          <w:p w14:paraId="284E0E59"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c>
          <w:tcPr>
            <w:tcW w:w="1327" w:type="dxa"/>
            <w:tcBorders>
              <w:top w:val="single" w:sz="8" w:space="0" w:color="AEAEAE"/>
              <w:left w:val="single" w:sz="8" w:space="0" w:color="E0E0E0"/>
              <w:bottom w:val="single" w:sz="8" w:space="0" w:color="AEAEAE"/>
              <w:right w:val="nil"/>
            </w:tcBorders>
            <w:shd w:val="clear" w:color="auto" w:fill="auto"/>
          </w:tcPr>
          <w:p w14:paraId="55892CD8"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r>
      <w:tr w:rsidR="006E3616" w:rsidRPr="00400193" w14:paraId="7BD955A2" w14:textId="77777777" w:rsidTr="00E724BF">
        <w:trPr>
          <w:cantSplit/>
          <w:trHeight w:val="283"/>
        </w:trPr>
        <w:tc>
          <w:tcPr>
            <w:tcW w:w="757" w:type="dxa"/>
            <w:vMerge/>
            <w:tcBorders>
              <w:top w:val="single" w:sz="8" w:space="0" w:color="152935"/>
              <w:left w:val="nil"/>
              <w:bottom w:val="single" w:sz="8" w:space="0" w:color="152935"/>
              <w:right w:val="nil"/>
            </w:tcBorders>
            <w:shd w:val="clear" w:color="auto" w:fill="auto"/>
          </w:tcPr>
          <w:p w14:paraId="75475260"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p>
        </w:tc>
        <w:tc>
          <w:tcPr>
            <w:tcW w:w="1166" w:type="dxa"/>
            <w:tcBorders>
              <w:top w:val="single" w:sz="8" w:space="0" w:color="AEAEAE"/>
              <w:left w:val="nil"/>
              <w:bottom w:val="single" w:sz="8" w:space="0" w:color="152935"/>
              <w:right w:val="nil"/>
            </w:tcBorders>
            <w:shd w:val="clear" w:color="auto" w:fill="auto"/>
          </w:tcPr>
          <w:p w14:paraId="4C3015ED"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1166" w:type="dxa"/>
            <w:tcBorders>
              <w:top w:val="single" w:sz="8" w:space="0" w:color="AEAEAE"/>
              <w:left w:val="nil"/>
              <w:bottom w:val="single" w:sz="8" w:space="0" w:color="152935"/>
              <w:right w:val="single" w:sz="8" w:space="0" w:color="E0E0E0"/>
            </w:tcBorders>
            <w:shd w:val="clear" w:color="auto" w:fill="auto"/>
          </w:tcPr>
          <w:p w14:paraId="6BC5F20C"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.001</w:t>
            </w:r>
          </w:p>
        </w:tc>
        <w:tc>
          <w:tcPr>
            <w:tcW w:w="1400" w:type="dxa"/>
            <w:tcBorders>
              <w:top w:val="single" w:sz="8" w:space="0" w:color="AEAEAE"/>
              <w:left w:val="single" w:sz="8" w:space="0" w:color="E0E0E0"/>
              <w:bottom w:val="single" w:sz="8" w:space="0" w:color="152935"/>
              <w:right w:val="single" w:sz="8" w:space="0" w:color="E0E0E0"/>
            </w:tcBorders>
            <w:shd w:val="clear" w:color="auto" w:fill="auto"/>
          </w:tcPr>
          <w:p w14:paraId="23E3A51B"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73.354</w:t>
            </w:r>
          </w:p>
        </w:tc>
        <w:tc>
          <w:tcPr>
            <w:tcW w:w="1123" w:type="dxa"/>
            <w:tcBorders>
              <w:top w:val="single" w:sz="8" w:space="0" w:color="AEAEAE"/>
              <w:left w:val="single" w:sz="8" w:space="0" w:color="E0E0E0"/>
              <w:bottom w:val="single" w:sz="8" w:space="0" w:color="152935"/>
              <w:right w:val="single" w:sz="8" w:space="0" w:color="E0E0E0"/>
            </w:tcBorders>
            <w:shd w:val="clear" w:color="auto" w:fill="auto"/>
          </w:tcPr>
          <w:p w14:paraId="6F41C244"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.97</w:t>
            </w:r>
          </w:p>
        </w:tc>
        <w:tc>
          <w:tcPr>
            <w:tcW w:w="976" w:type="dxa"/>
            <w:tcBorders>
              <w:top w:val="single" w:sz="8" w:space="0" w:color="AEAEAE"/>
              <w:left w:val="single" w:sz="8" w:space="0" w:color="E0E0E0"/>
              <w:bottom w:val="single" w:sz="8" w:space="0" w:color="152935"/>
              <w:right w:val="single" w:sz="8" w:space="0" w:color="E0E0E0"/>
            </w:tcBorders>
            <w:shd w:val="clear" w:color="auto" w:fill="auto"/>
          </w:tcPr>
          <w:p w14:paraId="48C69327"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.96</w:t>
            </w:r>
          </w:p>
        </w:tc>
        <w:tc>
          <w:tcPr>
            <w:tcW w:w="976" w:type="dxa"/>
            <w:tcBorders>
              <w:top w:val="single" w:sz="8" w:space="0" w:color="AEAEAE"/>
              <w:left w:val="single" w:sz="8" w:space="0" w:color="E0E0E0"/>
              <w:bottom w:val="single" w:sz="8" w:space="0" w:color="152935"/>
              <w:right w:val="single" w:sz="8" w:space="0" w:color="E0E0E0"/>
            </w:tcBorders>
            <w:shd w:val="clear" w:color="auto" w:fill="auto"/>
          </w:tcPr>
          <w:p w14:paraId="0508211A"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.97</w:t>
            </w:r>
          </w:p>
        </w:tc>
        <w:tc>
          <w:tcPr>
            <w:tcW w:w="1327" w:type="dxa"/>
            <w:tcBorders>
              <w:top w:val="single" w:sz="8" w:space="0" w:color="AEAEAE"/>
              <w:left w:val="single" w:sz="8" w:space="0" w:color="E0E0E0"/>
              <w:bottom w:val="single" w:sz="8" w:space="0" w:color="152935"/>
              <w:right w:val="nil"/>
            </w:tcBorders>
            <w:shd w:val="clear" w:color="auto" w:fill="auto"/>
          </w:tcPr>
          <w:p w14:paraId="23EAA56F" w14:textId="77777777" w:rsidR="006E3616" w:rsidRPr="00400193" w:rsidRDefault="006E3616" w:rsidP="00E724BF">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.97</w:t>
            </w:r>
          </w:p>
        </w:tc>
      </w:tr>
      <w:tr w:rsidR="006E3616" w:rsidRPr="00400193" w14:paraId="1B1B632F" w14:textId="77777777" w:rsidTr="00E724BF">
        <w:trPr>
          <w:cantSplit/>
          <w:trHeight w:val="283"/>
        </w:trPr>
        <w:tc>
          <w:tcPr>
            <w:tcW w:w="8896" w:type="dxa"/>
            <w:gridSpan w:val="8"/>
            <w:tcBorders>
              <w:top w:val="nil"/>
              <w:left w:val="nil"/>
              <w:bottom w:val="nil"/>
              <w:right w:val="nil"/>
            </w:tcBorders>
            <w:shd w:val="clear" w:color="auto" w:fill="auto"/>
          </w:tcPr>
          <w:p w14:paraId="5BB71E89" w14:textId="77777777" w:rsidR="006E3616" w:rsidRPr="00400193" w:rsidRDefault="006E3616" w:rsidP="00E724BF">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04B8CDC1" w14:textId="1A56ACCF" w:rsidR="006E3616" w:rsidRPr="00400193" w:rsidRDefault="006E3616" w:rsidP="006E3616">
      <w:pPr>
        <w:pStyle w:val="Caption"/>
        <w:spacing w:after="160" w:line="360" w:lineRule="auto"/>
      </w:pPr>
      <w:bookmarkStart w:id="806" w:name="_Ref51592100"/>
      <w:bookmarkStart w:id="807" w:name="_Toc5290165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108</w:t>
      </w:r>
      <w:r w:rsidRPr="00400193">
        <w:fldChar w:fldCharType="end"/>
      </w:r>
      <w:bookmarkEnd w:id="806"/>
      <w:r w:rsidRPr="00400193">
        <w:t>: Testing the collinearity between variables for VW</w:t>
      </w:r>
      <w:bookmarkEnd w:id="807"/>
    </w:p>
    <w:p w14:paraId="40BA2A1F" w14:textId="412BD4DF" w:rsidR="006E3616" w:rsidRPr="00400193" w:rsidRDefault="00E724BF" w:rsidP="006E3616">
      <w:pPr>
        <w:rPr>
          <w:lang w:eastAsia="zh-CN" w:bidi="hi-IN"/>
        </w:rPr>
      </w:pPr>
      <w:r w:rsidRPr="00400193">
        <w:rPr>
          <w:lang w:eastAsia="zh-CN" w:bidi="hi-IN"/>
        </w:rPr>
        <w:fldChar w:fldCharType="begin"/>
      </w:r>
      <w:r w:rsidRPr="00400193">
        <w:rPr>
          <w:lang w:eastAsia="zh-CN" w:bidi="hi-IN"/>
        </w:rPr>
        <w:instrText xml:space="preserve"> REF _Ref51592100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108</w:t>
      </w:r>
      <w:r w:rsidRPr="00400193">
        <w:rPr>
          <w:lang w:eastAsia="zh-CN" w:bidi="hi-IN"/>
        </w:rPr>
        <w:fldChar w:fldCharType="end"/>
      </w:r>
      <w:r w:rsidR="006E3616" w:rsidRPr="00400193">
        <w:rPr>
          <w:lang w:eastAsia="zh-CN" w:bidi="hi-IN"/>
        </w:rPr>
        <w:t xml:space="preserve"> shows that the condition index for all but two variables was less than 10. One dimension showed a condition index greater than 10 and less than 30, indicating moderate collinearity, and one was greater than 30, indicating high collinearity.</w:t>
      </w:r>
    </w:p>
    <w:p w14:paraId="40EECC44" w14:textId="77777777" w:rsidR="006E3616" w:rsidRPr="00400193" w:rsidRDefault="006E3616" w:rsidP="003C3496">
      <w:pPr>
        <w:pStyle w:val="Heading4"/>
        <w:rPr>
          <w:lang w:eastAsia="zh-CN" w:bidi="hi-IN"/>
        </w:rPr>
      </w:pPr>
      <w:bookmarkStart w:id="808" w:name="_Toc61894799"/>
      <w:r w:rsidRPr="00400193">
        <w:rPr>
          <w:lang w:eastAsia="zh-CN" w:bidi="hi-IN"/>
        </w:rPr>
        <w:lastRenderedPageBreak/>
        <w:t>Examining Residuals using Scatter Plots</w:t>
      </w:r>
      <w:bookmarkEnd w:id="808"/>
      <w:r w:rsidRPr="00400193">
        <w:rPr>
          <w:lang w:eastAsia="zh-CN" w:bidi="hi-IN"/>
        </w:rPr>
        <w:t xml:space="preserve"> </w:t>
      </w:r>
    </w:p>
    <w:p w14:paraId="241F20DA" w14:textId="5A5FA0B1" w:rsidR="006E3616" w:rsidRPr="00400193" w:rsidRDefault="00E724BF" w:rsidP="006E3616">
      <w:pPr>
        <w:rPr>
          <w:lang w:eastAsia="zh-CN" w:bidi="hi-IN"/>
        </w:rPr>
      </w:pPr>
      <w:r w:rsidRPr="00400193">
        <w:rPr>
          <w:lang w:eastAsia="zh-CN" w:bidi="hi-IN"/>
        </w:rPr>
        <w:fldChar w:fldCharType="begin"/>
      </w:r>
      <w:r w:rsidRPr="00400193">
        <w:rPr>
          <w:lang w:eastAsia="zh-CN" w:bidi="hi-IN"/>
        </w:rPr>
        <w:instrText xml:space="preserve"> REF _Ref51592372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109</w:t>
      </w:r>
      <w:r w:rsidRPr="00400193">
        <w:rPr>
          <w:lang w:eastAsia="zh-CN" w:bidi="hi-IN"/>
        </w:rPr>
        <w:fldChar w:fldCharType="end"/>
      </w:r>
      <w:r w:rsidRPr="00400193">
        <w:rPr>
          <w:lang w:eastAsia="zh-CN" w:bidi="hi-IN"/>
        </w:rPr>
        <w:t xml:space="preserve">, </w:t>
      </w:r>
      <w:r w:rsidR="008B14A9" w:rsidRPr="00400193">
        <w:rPr>
          <w:lang w:eastAsia="zh-CN" w:bidi="hi-IN"/>
        </w:rPr>
        <w:fldChar w:fldCharType="begin"/>
      </w:r>
      <w:r w:rsidR="008B14A9" w:rsidRPr="00400193">
        <w:rPr>
          <w:lang w:eastAsia="zh-CN" w:bidi="hi-IN"/>
        </w:rPr>
        <w:instrText xml:space="preserve"> REF _Ref51350975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49</w:t>
      </w:r>
      <w:r w:rsidR="008B14A9" w:rsidRPr="00400193">
        <w:rPr>
          <w:lang w:eastAsia="zh-CN" w:bidi="hi-IN"/>
        </w:rPr>
        <w:fldChar w:fldCharType="end"/>
      </w:r>
      <w:r w:rsidR="008B14A9" w:rsidRPr="00400193">
        <w:rPr>
          <w:lang w:eastAsia="zh-CN" w:bidi="hi-IN"/>
        </w:rPr>
        <w:t xml:space="preserve">, </w:t>
      </w:r>
      <w:r w:rsidR="008B14A9" w:rsidRPr="00400193">
        <w:rPr>
          <w:lang w:eastAsia="zh-CN" w:bidi="hi-IN"/>
        </w:rPr>
        <w:fldChar w:fldCharType="begin"/>
      </w:r>
      <w:r w:rsidR="008B14A9" w:rsidRPr="00400193">
        <w:rPr>
          <w:lang w:eastAsia="zh-CN" w:bidi="hi-IN"/>
        </w:rPr>
        <w:instrText xml:space="preserve"> REF _Ref51350978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50</w:t>
      </w:r>
      <w:r w:rsidR="008B14A9" w:rsidRPr="00400193">
        <w:rPr>
          <w:lang w:eastAsia="zh-CN" w:bidi="hi-IN"/>
        </w:rPr>
        <w:fldChar w:fldCharType="end"/>
      </w:r>
      <w:r w:rsidR="008B14A9" w:rsidRPr="00400193">
        <w:rPr>
          <w:lang w:eastAsia="zh-CN" w:bidi="hi-IN"/>
        </w:rPr>
        <w:t xml:space="preserve">, and </w:t>
      </w:r>
      <w:r w:rsidR="008B14A9" w:rsidRPr="00400193">
        <w:rPr>
          <w:lang w:eastAsia="zh-CN" w:bidi="hi-IN"/>
        </w:rPr>
        <w:fldChar w:fldCharType="begin"/>
      </w:r>
      <w:r w:rsidR="008B14A9" w:rsidRPr="00400193">
        <w:rPr>
          <w:lang w:eastAsia="zh-CN" w:bidi="hi-IN"/>
        </w:rPr>
        <w:instrText xml:space="preserve"> REF _Ref51350981 \h </w:instrText>
      </w:r>
      <w:r w:rsidR="008B14A9" w:rsidRPr="00400193">
        <w:rPr>
          <w:lang w:eastAsia="zh-CN" w:bidi="hi-IN"/>
        </w:rPr>
      </w:r>
      <w:r w:rsidR="008B14A9"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51</w:t>
      </w:r>
      <w:r w:rsidR="008B14A9" w:rsidRPr="00400193">
        <w:rPr>
          <w:lang w:eastAsia="zh-CN" w:bidi="hi-IN"/>
        </w:rPr>
        <w:fldChar w:fldCharType="end"/>
      </w:r>
      <w:r w:rsidR="006E3616" w:rsidRPr="00400193">
        <w:rPr>
          <w:lang w:eastAsia="zh-CN" w:bidi="hi-IN"/>
        </w:rPr>
        <w:t xml:space="preserve"> show that there is no pattern of behaviour of the residuals with respect to Y. These variables were </w:t>
      </w:r>
      <w:r w:rsidR="00FA4434" w:rsidRPr="00400193">
        <w:rPr>
          <w:lang w:eastAsia="zh-CN" w:bidi="hi-IN"/>
        </w:rPr>
        <w:t>systematic,</w:t>
      </w:r>
      <w:r w:rsidR="006E3616" w:rsidRPr="00400193">
        <w:rPr>
          <w:lang w:eastAsia="zh-CN" w:bidi="hi-IN"/>
        </w:rPr>
        <w:t xml:space="preserve"> and the assumption of error term independence is not violated.</w:t>
      </w:r>
    </w:p>
    <w:tbl>
      <w:tblPr>
        <w:tblW w:w="89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05"/>
        <w:gridCol w:w="1032"/>
        <w:gridCol w:w="1062"/>
        <w:gridCol w:w="988"/>
        <w:gridCol w:w="1387"/>
        <w:gridCol w:w="2550"/>
      </w:tblGrid>
      <w:tr w:rsidR="006E3616" w:rsidRPr="00400193" w14:paraId="6D8BFF51" w14:textId="77777777" w:rsidTr="00E724BF">
        <w:trPr>
          <w:cantSplit/>
          <w:trHeight w:val="283"/>
        </w:trPr>
        <w:tc>
          <w:tcPr>
            <w:tcW w:w="8924" w:type="dxa"/>
            <w:gridSpan w:val="6"/>
            <w:tcBorders>
              <w:top w:val="nil"/>
              <w:left w:val="nil"/>
              <w:bottom w:val="nil"/>
              <w:right w:val="nil"/>
            </w:tcBorders>
            <w:shd w:val="clear" w:color="auto" w:fill="auto"/>
            <w:vAlign w:val="center"/>
          </w:tcPr>
          <w:p w14:paraId="593BFDF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2E2EFA6B" w14:textId="77777777" w:rsidTr="00E724BF">
        <w:trPr>
          <w:cantSplit/>
          <w:trHeight w:val="283"/>
        </w:trPr>
        <w:tc>
          <w:tcPr>
            <w:tcW w:w="1905" w:type="dxa"/>
            <w:tcBorders>
              <w:top w:val="nil"/>
              <w:left w:val="nil"/>
              <w:bottom w:val="single" w:sz="8" w:space="0" w:color="152935"/>
              <w:right w:val="nil"/>
            </w:tcBorders>
            <w:shd w:val="clear" w:color="auto" w:fill="auto"/>
            <w:vAlign w:val="bottom"/>
          </w:tcPr>
          <w:p w14:paraId="2ECEC4E8" w14:textId="77777777" w:rsidR="006E3616" w:rsidRPr="00400193" w:rsidRDefault="006E3616" w:rsidP="003B5486">
            <w:pPr>
              <w:spacing w:after="0" w:line="240" w:lineRule="auto"/>
              <w:rPr>
                <w:rFonts w:asciiTheme="minorHAnsi" w:hAnsiTheme="minorHAnsi" w:cstheme="minorHAnsi"/>
                <w:sz w:val="20"/>
                <w:szCs w:val="18"/>
                <w:lang w:eastAsia="zh-CN" w:bidi="hi-IN"/>
              </w:rPr>
            </w:pPr>
          </w:p>
        </w:tc>
        <w:tc>
          <w:tcPr>
            <w:tcW w:w="1032" w:type="dxa"/>
            <w:tcBorders>
              <w:top w:val="nil"/>
              <w:left w:val="nil"/>
              <w:bottom w:val="single" w:sz="8" w:space="0" w:color="152935"/>
              <w:right w:val="single" w:sz="8" w:space="0" w:color="E0E0E0"/>
            </w:tcBorders>
            <w:shd w:val="clear" w:color="auto" w:fill="auto"/>
            <w:vAlign w:val="bottom"/>
          </w:tcPr>
          <w:p w14:paraId="4D64C3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62" w:type="dxa"/>
            <w:tcBorders>
              <w:top w:val="nil"/>
              <w:left w:val="single" w:sz="8" w:space="0" w:color="E0E0E0"/>
              <w:bottom w:val="single" w:sz="8" w:space="0" w:color="152935"/>
              <w:right w:val="single" w:sz="8" w:space="0" w:color="E0E0E0"/>
            </w:tcBorders>
            <w:shd w:val="clear" w:color="auto" w:fill="auto"/>
            <w:vAlign w:val="bottom"/>
          </w:tcPr>
          <w:p w14:paraId="2D9EDAC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8" w:type="dxa"/>
            <w:tcBorders>
              <w:top w:val="nil"/>
              <w:left w:val="single" w:sz="8" w:space="0" w:color="E0E0E0"/>
              <w:bottom w:val="single" w:sz="8" w:space="0" w:color="152935"/>
              <w:right w:val="single" w:sz="8" w:space="0" w:color="E0E0E0"/>
            </w:tcBorders>
            <w:shd w:val="clear" w:color="auto" w:fill="auto"/>
            <w:vAlign w:val="bottom"/>
          </w:tcPr>
          <w:p w14:paraId="423CB015"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87" w:type="dxa"/>
            <w:tcBorders>
              <w:top w:val="nil"/>
              <w:left w:val="single" w:sz="8" w:space="0" w:color="E0E0E0"/>
              <w:bottom w:val="single" w:sz="8" w:space="0" w:color="152935"/>
              <w:right w:val="single" w:sz="8" w:space="0" w:color="E0E0E0"/>
            </w:tcBorders>
            <w:shd w:val="clear" w:color="auto" w:fill="auto"/>
            <w:vAlign w:val="bottom"/>
          </w:tcPr>
          <w:p w14:paraId="2D3BE5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547" w:type="dxa"/>
            <w:tcBorders>
              <w:top w:val="nil"/>
              <w:left w:val="single" w:sz="8" w:space="0" w:color="E0E0E0"/>
              <w:bottom w:val="single" w:sz="8" w:space="0" w:color="152935"/>
              <w:right w:val="nil"/>
            </w:tcBorders>
            <w:shd w:val="clear" w:color="auto" w:fill="auto"/>
            <w:vAlign w:val="bottom"/>
          </w:tcPr>
          <w:p w14:paraId="6DE6113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1369604E" w14:textId="77777777" w:rsidTr="00E724BF">
        <w:trPr>
          <w:cantSplit/>
          <w:trHeight w:val="283"/>
        </w:trPr>
        <w:tc>
          <w:tcPr>
            <w:tcW w:w="1905" w:type="dxa"/>
            <w:tcBorders>
              <w:top w:val="single" w:sz="8" w:space="0" w:color="152935"/>
              <w:left w:val="nil"/>
              <w:bottom w:val="single" w:sz="8" w:space="0" w:color="AEAEAE"/>
              <w:right w:val="nil"/>
            </w:tcBorders>
            <w:shd w:val="clear" w:color="auto" w:fill="auto"/>
          </w:tcPr>
          <w:p w14:paraId="5B499E8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32" w:type="dxa"/>
            <w:tcBorders>
              <w:top w:val="single" w:sz="8" w:space="0" w:color="152935"/>
              <w:left w:val="nil"/>
              <w:bottom w:val="single" w:sz="8" w:space="0" w:color="AEAEAE"/>
              <w:right w:val="single" w:sz="8" w:space="0" w:color="E0E0E0"/>
            </w:tcBorders>
            <w:shd w:val="clear" w:color="auto" w:fill="auto"/>
          </w:tcPr>
          <w:p w14:paraId="3253A21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2.1699</w:t>
            </w:r>
          </w:p>
        </w:tc>
        <w:tc>
          <w:tcPr>
            <w:tcW w:w="1062" w:type="dxa"/>
            <w:tcBorders>
              <w:top w:val="single" w:sz="8" w:space="0" w:color="152935"/>
              <w:left w:val="single" w:sz="8" w:space="0" w:color="E0E0E0"/>
              <w:bottom w:val="single" w:sz="8" w:space="0" w:color="AEAEAE"/>
              <w:right w:val="single" w:sz="8" w:space="0" w:color="E0E0E0"/>
            </w:tcBorders>
            <w:shd w:val="clear" w:color="auto" w:fill="auto"/>
          </w:tcPr>
          <w:p w14:paraId="4D7D5E2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4.1644</w:t>
            </w:r>
          </w:p>
        </w:tc>
        <w:tc>
          <w:tcPr>
            <w:tcW w:w="988" w:type="dxa"/>
            <w:tcBorders>
              <w:top w:val="single" w:sz="8" w:space="0" w:color="152935"/>
              <w:left w:val="single" w:sz="8" w:space="0" w:color="E0E0E0"/>
              <w:bottom w:val="single" w:sz="8" w:space="0" w:color="AEAEAE"/>
              <w:right w:val="single" w:sz="8" w:space="0" w:color="E0E0E0"/>
            </w:tcBorders>
            <w:shd w:val="clear" w:color="auto" w:fill="auto"/>
          </w:tcPr>
          <w:p w14:paraId="5D91372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87" w:type="dxa"/>
            <w:tcBorders>
              <w:top w:val="single" w:sz="8" w:space="0" w:color="152935"/>
              <w:left w:val="single" w:sz="8" w:space="0" w:color="E0E0E0"/>
              <w:bottom w:val="single" w:sz="8" w:space="0" w:color="AEAEAE"/>
              <w:right w:val="single" w:sz="8" w:space="0" w:color="E0E0E0"/>
            </w:tcBorders>
            <w:shd w:val="clear" w:color="auto" w:fill="auto"/>
          </w:tcPr>
          <w:p w14:paraId="26FD0C1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.39846</w:t>
            </w:r>
          </w:p>
        </w:tc>
        <w:tc>
          <w:tcPr>
            <w:tcW w:w="2547" w:type="dxa"/>
            <w:tcBorders>
              <w:top w:val="single" w:sz="8" w:space="0" w:color="152935"/>
              <w:left w:val="single" w:sz="8" w:space="0" w:color="E0E0E0"/>
              <w:bottom w:val="single" w:sz="8" w:space="0" w:color="AEAEAE"/>
              <w:right w:val="nil"/>
            </w:tcBorders>
            <w:shd w:val="clear" w:color="auto" w:fill="auto"/>
          </w:tcPr>
          <w:p w14:paraId="54C48D30"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90B5179" w14:textId="77777777" w:rsidTr="00E724BF">
        <w:trPr>
          <w:cantSplit/>
          <w:trHeight w:val="283"/>
        </w:trPr>
        <w:tc>
          <w:tcPr>
            <w:tcW w:w="1905" w:type="dxa"/>
            <w:tcBorders>
              <w:top w:val="single" w:sz="8" w:space="0" w:color="AEAEAE"/>
              <w:left w:val="nil"/>
              <w:bottom w:val="single" w:sz="8" w:space="0" w:color="AEAEAE"/>
              <w:right w:val="nil"/>
            </w:tcBorders>
            <w:shd w:val="clear" w:color="auto" w:fill="auto"/>
          </w:tcPr>
          <w:p w14:paraId="4CA0391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32" w:type="dxa"/>
            <w:tcBorders>
              <w:top w:val="single" w:sz="8" w:space="0" w:color="AEAEAE"/>
              <w:left w:val="nil"/>
              <w:bottom w:val="single" w:sz="8" w:space="0" w:color="AEAEAE"/>
              <w:right w:val="single" w:sz="8" w:space="0" w:color="E0E0E0"/>
            </w:tcBorders>
            <w:shd w:val="clear" w:color="auto" w:fill="auto"/>
          </w:tcPr>
          <w:p w14:paraId="39BB46BB"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−1.68042</w:t>
            </w:r>
          </w:p>
        </w:tc>
        <w:tc>
          <w:tcPr>
            <w:tcW w:w="1062" w:type="dxa"/>
            <w:tcBorders>
              <w:top w:val="single" w:sz="8" w:space="0" w:color="AEAEAE"/>
              <w:left w:val="single" w:sz="8" w:space="0" w:color="E0E0E0"/>
              <w:bottom w:val="single" w:sz="8" w:space="0" w:color="AEAEAE"/>
              <w:right w:val="single" w:sz="8" w:space="0" w:color="E0E0E0"/>
            </w:tcBorders>
            <w:shd w:val="clear" w:color="auto" w:fill="auto"/>
          </w:tcPr>
          <w:p w14:paraId="609534D2"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1.09024</w:t>
            </w:r>
          </w:p>
        </w:tc>
        <w:tc>
          <w:tcPr>
            <w:tcW w:w="988" w:type="dxa"/>
            <w:tcBorders>
              <w:top w:val="single" w:sz="8" w:space="0" w:color="AEAEAE"/>
              <w:left w:val="single" w:sz="8" w:space="0" w:color="E0E0E0"/>
              <w:bottom w:val="single" w:sz="8" w:space="0" w:color="AEAEAE"/>
              <w:right w:val="single" w:sz="8" w:space="0" w:color="E0E0E0"/>
            </w:tcBorders>
            <w:shd w:val="clear" w:color="auto" w:fill="auto"/>
          </w:tcPr>
          <w:p w14:paraId="571841A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87" w:type="dxa"/>
            <w:tcBorders>
              <w:top w:val="single" w:sz="8" w:space="0" w:color="AEAEAE"/>
              <w:left w:val="single" w:sz="8" w:space="0" w:color="E0E0E0"/>
              <w:bottom w:val="single" w:sz="8" w:space="0" w:color="AEAEAE"/>
              <w:right w:val="single" w:sz="8" w:space="0" w:color="E0E0E0"/>
            </w:tcBorders>
            <w:shd w:val="clear" w:color="auto" w:fill="auto"/>
          </w:tcPr>
          <w:p w14:paraId="589C0DBE"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.44025</w:t>
            </w:r>
          </w:p>
        </w:tc>
        <w:tc>
          <w:tcPr>
            <w:tcW w:w="2547" w:type="dxa"/>
            <w:tcBorders>
              <w:top w:val="single" w:sz="8" w:space="0" w:color="AEAEAE"/>
              <w:left w:val="single" w:sz="8" w:space="0" w:color="E0E0E0"/>
              <w:bottom w:val="single" w:sz="8" w:space="0" w:color="AEAEAE"/>
              <w:right w:val="nil"/>
            </w:tcBorders>
            <w:shd w:val="clear" w:color="auto" w:fill="auto"/>
          </w:tcPr>
          <w:p w14:paraId="75C81CF1"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59E42CD4" w14:textId="77777777" w:rsidTr="00E724BF">
        <w:trPr>
          <w:cantSplit/>
          <w:trHeight w:val="283"/>
        </w:trPr>
        <w:tc>
          <w:tcPr>
            <w:tcW w:w="1905" w:type="dxa"/>
            <w:tcBorders>
              <w:top w:val="single" w:sz="8" w:space="0" w:color="AEAEAE"/>
              <w:left w:val="nil"/>
              <w:bottom w:val="single" w:sz="8" w:space="0" w:color="AEAEAE"/>
              <w:right w:val="nil"/>
            </w:tcBorders>
            <w:shd w:val="clear" w:color="auto" w:fill="auto"/>
          </w:tcPr>
          <w:p w14:paraId="6241559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32" w:type="dxa"/>
            <w:tcBorders>
              <w:top w:val="single" w:sz="8" w:space="0" w:color="AEAEAE"/>
              <w:left w:val="nil"/>
              <w:bottom w:val="single" w:sz="8" w:space="0" w:color="AEAEAE"/>
              <w:right w:val="single" w:sz="8" w:space="0" w:color="E0E0E0"/>
            </w:tcBorders>
            <w:shd w:val="clear" w:color="auto" w:fill="auto"/>
          </w:tcPr>
          <w:p w14:paraId="7F7E4CE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−2.591</w:t>
            </w:r>
          </w:p>
        </w:tc>
        <w:tc>
          <w:tcPr>
            <w:tcW w:w="1062" w:type="dxa"/>
            <w:tcBorders>
              <w:top w:val="single" w:sz="8" w:space="0" w:color="AEAEAE"/>
              <w:left w:val="single" w:sz="8" w:space="0" w:color="E0E0E0"/>
              <w:bottom w:val="single" w:sz="8" w:space="0" w:color="AEAEAE"/>
              <w:right w:val="single" w:sz="8" w:space="0" w:color="E0E0E0"/>
            </w:tcBorders>
            <w:shd w:val="clear" w:color="auto" w:fill="auto"/>
          </w:tcPr>
          <w:p w14:paraId="2B588D0A"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2.414</w:t>
            </w:r>
          </w:p>
        </w:tc>
        <w:tc>
          <w:tcPr>
            <w:tcW w:w="988" w:type="dxa"/>
            <w:tcBorders>
              <w:top w:val="single" w:sz="8" w:space="0" w:color="AEAEAE"/>
              <w:left w:val="single" w:sz="8" w:space="0" w:color="E0E0E0"/>
              <w:bottom w:val="single" w:sz="8" w:space="0" w:color="AEAEAE"/>
              <w:right w:val="single" w:sz="8" w:space="0" w:color="E0E0E0"/>
            </w:tcBorders>
            <w:shd w:val="clear" w:color="auto" w:fill="auto"/>
          </w:tcPr>
          <w:p w14:paraId="7F2773B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7" w:type="dxa"/>
            <w:tcBorders>
              <w:top w:val="single" w:sz="8" w:space="0" w:color="AEAEAE"/>
              <w:left w:val="single" w:sz="8" w:space="0" w:color="E0E0E0"/>
              <w:bottom w:val="single" w:sz="8" w:space="0" w:color="AEAEAE"/>
              <w:right w:val="single" w:sz="8" w:space="0" w:color="E0E0E0"/>
            </w:tcBorders>
            <w:shd w:val="clear" w:color="auto" w:fill="auto"/>
          </w:tcPr>
          <w:p w14:paraId="279072A7"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547" w:type="dxa"/>
            <w:tcBorders>
              <w:top w:val="single" w:sz="8" w:space="0" w:color="AEAEAE"/>
              <w:left w:val="single" w:sz="8" w:space="0" w:color="E0E0E0"/>
              <w:bottom w:val="single" w:sz="8" w:space="0" w:color="AEAEAE"/>
              <w:right w:val="nil"/>
            </w:tcBorders>
            <w:shd w:val="clear" w:color="auto" w:fill="auto"/>
          </w:tcPr>
          <w:p w14:paraId="6B8B4BB4"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A41C739" w14:textId="77777777" w:rsidTr="00E724BF">
        <w:trPr>
          <w:cantSplit/>
          <w:trHeight w:val="283"/>
        </w:trPr>
        <w:tc>
          <w:tcPr>
            <w:tcW w:w="1905" w:type="dxa"/>
            <w:tcBorders>
              <w:top w:val="single" w:sz="8" w:space="0" w:color="AEAEAE"/>
              <w:left w:val="nil"/>
              <w:bottom w:val="single" w:sz="8" w:space="0" w:color="152935"/>
              <w:right w:val="nil"/>
            </w:tcBorders>
            <w:shd w:val="clear" w:color="auto" w:fill="auto"/>
          </w:tcPr>
          <w:p w14:paraId="2198A559"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32" w:type="dxa"/>
            <w:tcBorders>
              <w:top w:val="single" w:sz="8" w:space="0" w:color="AEAEAE"/>
              <w:left w:val="nil"/>
              <w:bottom w:val="single" w:sz="8" w:space="0" w:color="152935"/>
              <w:right w:val="single" w:sz="8" w:space="0" w:color="E0E0E0"/>
            </w:tcBorders>
            <w:shd w:val="clear" w:color="auto" w:fill="auto"/>
          </w:tcPr>
          <w:p w14:paraId="780C031F"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−3.761</w:t>
            </w:r>
          </w:p>
        </w:tc>
        <w:tc>
          <w:tcPr>
            <w:tcW w:w="1062" w:type="dxa"/>
            <w:tcBorders>
              <w:top w:val="single" w:sz="8" w:space="0" w:color="AEAEAE"/>
              <w:left w:val="single" w:sz="8" w:space="0" w:color="E0E0E0"/>
              <w:bottom w:val="single" w:sz="8" w:space="0" w:color="152935"/>
              <w:right w:val="single" w:sz="8" w:space="0" w:color="E0E0E0"/>
            </w:tcBorders>
            <w:shd w:val="clear" w:color="auto" w:fill="auto"/>
          </w:tcPr>
          <w:p w14:paraId="7FE0BA83"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2.440</w:t>
            </w:r>
          </w:p>
        </w:tc>
        <w:tc>
          <w:tcPr>
            <w:tcW w:w="988" w:type="dxa"/>
            <w:tcBorders>
              <w:top w:val="single" w:sz="8" w:space="0" w:color="AEAEAE"/>
              <w:left w:val="single" w:sz="8" w:space="0" w:color="E0E0E0"/>
              <w:bottom w:val="single" w:sz="8" w:space="0" w:color="152935"/>
              <w:right w:val="single" w:sz="8" w:space="0" w:color="E0E0E0"/>
            </w:tcBorders>
            <w:shd w:val="clear" w:color="auto" w:fill="auto"/>
          </w:tcPr>
          <w:p w14:paraId="6B603656"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87" w:type="dxa"/>
            <w:tcBorders>
              <w:top w:val="single" w:sz="8" w:space="0" w:color="AEAEAE"/>
              <w:left w:val="single" w:sz="8" w:space="0" w:color="E0E0E0"/>
              <w:bottom w:val="single" w:sz="8" w:space="0" w:color="152935"/>
              <w:right w:val="single" w:sz="8" w:space="0" w:color="E0E0E0"/>
            </w:tcBorders>
            <w:shd w:val="clear" w:color="auto" w:fill="auto"/>
          </w:tcPr>
          <w:p w14:paraId="65118018"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.985</w:t>
            </w:r>
          </w:p>
        </w:tc>
        <w:tc>
          <w:tcPr>
            <w:tcW w:w="2547" w:type="dxa"/>
            <w:tcBorders>
              <w:top w:val="single" w:sz="8" w:space="0" w:color="AEAEAE"/>
              <w:left w:val="single" w:sz="8" w:space="0" w:color="E0E0E0"/>
              <w:bottom w:val="single" w:sz="8" w:space="0" w:color="152935"/>
              <w:right w:val="nil"/>
            </w:tcBorders>
            <w:shd w:val="clear" w:color="auto" w:fill="auto"/>
          </w:tcPr>
          <w:p w14:paraId="6B6C067D" w14:textId="77777777" w:rsidR="006E3616" w:rsidRPr="00400193" w:rsidRDefault="006E3616" w:rsidP="003B5486">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51F10654" w14:textId="77777777" w:rsidTr="00E724BF">
        <w:trPr>
          <w:cantSplit/>
          <w:trHeight w:val="283"/>
        </w:trPr>
        <w:tc>
          <w:tcPr>
            <w:tcW w:w="8924" w:type="dxa"/>
            <w:gridSpan w:val="6"/>
            <w:tcBorders>
              <w:top w:val="nil"/>
              <w:left w:val="nil"/>
              <w:bottom w:val="nil"/>
              <w:right w:val="nil"/>
            </w:tcBorders>
            <w:shd w:val="clear" w:color="auto" w:fill="auto"/>
          </w:tcPr>
          <w:p w14:paraId="38849911" w14:textId="77777777" w:rsidR="006E3616" w:rsidRPr="00400193" w:rsidRDefault="006E3616" w:rsidP="003B5486">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268CA699" w14:textId="5EBE7683" w:rsidR="006E3616" w:rsidRPr="00400193" w:rsidRDefault="006E3616" w:rsidP="006E3616">
      <w:pPr>
        <w:pStyle w:val="Caption"/>
        <w:spacing w:after="160" w:line="360" w:lineRule="auto"/>
      </w:pPr>
      <w:bookmarkStart w:id="809" w:name="_Ref51592372"/>
      <w:bookmarkStart w:id="810" w:name="_Toc5290165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109</w:t>
      </w:r>
      <w:r w:rsidRPr="00400193">
        <w:fldChar w:fldCharType="end"/>
      </w:r>
      <w:bookmarkEnd w:id="809"/>
      <w:r w:rsidRPr="00400193">
        <w:t>: Residual statistics of the model regression for VW</w:t>
      </w:r>
      <w:bookmarkEnd w:id="810"/>
    </w:p>
    <w:p w14:paraId="21B281C7" w14:textId="77777777" w:rsidR="00E724BF" w:rsidRPr="00400193" w:rsidRDefault="00E724BF" w:rsidP="00E724BF"/>
    <w:p w14:paraId="7CE00C80" w14:textId="14812EF4" w:rsidR="006E3616" w:rsidRPr="00400193" w:rsidRDefault="00F319CB" w:rsidP="006E3616">
      <w:pPr>
        <w:rPr>
          <w:lang w:eastAsia="zh-CN" w:bidi="hi-IN"/>
        </w:rPr>
      </w:pPr>
      <w:r w:rsidRPr="00400193">
        <w:rPr>
          <w:lang w:eastAsia="zh-CN" w:bidi="hi-IN"/>
        </w:rPr>
        <w:fldChar w:fldCharType="begin"/>
      </w:r>
      <w:r w:rsidRPr="00400193">
        <w:rPr>
          <w:lang w:eastAsia="zh-CN" w:bidi="hi-IN"/>
        </w:rPr>
        <w:instrText xml:space="preserve"> REF _Ref52821798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52</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w:t>
      </w:r>
    </w:p>
    <w:p w14:paraId="4BE935BF" w14:textId="77777777" w:rsidR="00E724BF" w:rsidRPr="00400193" w:rsidRDefault="00E724BF" w:rsidP="006E3616">
      <w:pPr>
        <w:rPr>
          <w:lang w:eastAsia="zh-CN" w:bidi="hi-IN"/>
        </w:rPr>
      </w:pPr>
    </w:p>
    <w:p w14:paraId="3A4C914C"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6568EF19" wp14:editId="364A820C">
            <wp:extent cx="5760000" cy="3240000"/>
            <wp:effectExtent l="19050" t="19050" r="12700" b="17780"/>
            <wp:docPr id="172"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66EE1C2" w14:textId="1583619F" w:rsidR="006E3616" w:rsidRPr="00400193" w:rsidRDefault="006E3616" w:rsidP="006E3616">
      <w:pPr>
        <w:pStyle w:val="Caption"/>
      </w:pPr>
      <w:bookmarkStart w:id="811" w:name="_Ref51350975"/>
      <w:bookmarkStart w:id="812" w:name="_Toc55387627"/>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49</w:t>
      </w:r>
      <w:r w:rsidR="00E35E8C" w:rsidRPr="00400193">
        <w:fldChar w:fldCharType="end"/>
      </w:r>
      <w:bookmarkEnd w:id="811"/>
      <w:r w:rsidRPr="00400193">
        <w:t>: Scatter plot for residual results from the model for VW</w:t>
      </w:r>
      <w:bookmarkEnd w:id="812"/>
    </w:p>
    <w:p w14:paraId="06D79E74" w14:textId="77777777" w:rsidR="006E3616" w:rsidRPr="00400193" w:rsidRDefault="006E3616" w:rsidP="006E3616">
      <w:pPr>
        <w:spacing w:line="240" w:lineRule="auto"/>
        <w:rPr>
          <w:lang w:eastAsia="zh-CN" w:bidi="hi-IN"/>
        </w:rPr>
      </w:pPr>
    </w:p>
    <w:p w14:paraId="18E68CDA" w14:textId="77777777" w:rsidR="006E3616" w:rsidRPr="00400193" w:rsidRDefault="006E3616" w:rsidP="006E3616">
      <w:pPr>
        <w:spacing w:line="240" w:lineRule="auto"/>
        <w:rPr>
          <w:lang w:eastAsia="zh-CN" w:bidi="hi-IN"/>
        </w:rPr>
      </w:pPr>
    </w:p>
    <w:p w14:paraId="5FB65053"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5463B771" wp14:editId="175B599C">
            <wp:extent cx="5760000" cy="3240000"/>
            <wp:effectExtent l="19050" t="19050" r="12700" b="17780"/>
            <wp:docPr id="173" name="Pictur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703464C7" w14:textId="0377F9A7" w:rsidR="006E3616" w:rsidRPr="00400193" w:rsidRDefault="006E3616" w:rsidP="006E3616">
      <w:pPr>
        <w:pStyle w:val="Caption"/>
      </w:pPr>
      <w:bookmarkStart w:id="813" w:name="_Ref51350978"/>
      <w:bookmarkStart w:id="814" w:name="_Toc55387628"/>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50</w:t>
      </w:r>
      <w:r w:rsidR="00E35E8C" w:rsidRPr="00400193">
        <w:fldChar w:fldCharType="end"/>
      </w:r>
      <w:bookmarkEnd w:id="813"/>
      <w:r w:rsidRPr="00400193">
        <w:t>: Scatter plot for residual results from the model for VW</w:t>
      </w:r>
      <w:bookmarkEnd w:id="814"/>
    </w:p>
    <w:p w14:paraId="250B2453" w14:textId="77777777" w:rsidR="006E3616" w:rsidRPr="00400193" w:rsidRDefault="006E3616" w:rsidP="006E3616">
      <w:pPr>
        <w:keepNext/>
        <w:spacing w:after="0" w:line="240" w:lineRule="auto"/>
        <w:jc w:val="center"/>
        <w:rPr>
          <w:lang w:eastAsia="zh-CN" w:bidi="hi-IN"/>
        </w:rPr>
      </w:pPr>
    </w:p>
    <w:p w14:paraId="377D4BB6"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4C01DD63" wp14:editId="59BE1EEE">
            <wp:extent cx="5760000" cy="3240000"/>
            <wp:effectExtent l="19050" t="19050" r="12700" b="17780"/>
            <wp:docPr id="174" name="Pictur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CCE4A80" w14:textId="172B0C05" w:rsidR="006E3616" w:rsidRPr="00400193" w:rsidRDefault="006E3616" w:rsidP="006E3616">
      <w:pPr>
        <w:pStyle w:val="Caption"/>
      </w:pPr>
      <w:bookmarkStart w:id="815" w:name="_Ref51350981"/>
      <w:bookmarkStart w:id="816" w:name="_Toc55387629"/>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51</w:t>
      </w:r>
      <w:r w:rsidR="00E35E8C" w:rsidRPr="00400193">
        <w:fldChar w:fldCharType="end"/>
      </w:r>
      <w:bookmarkEnd w:id="815"/>
      <w:r w:rsidRPr="00400193">
        <w:t>: Scatter plot for residual results from the model for VW</w:t>
      </w:r>
      <w:bookmarkEnd w:id="816"/>
    </w:p>
    <w:p w14:paraId="710CF1FB" w14:textId="77777777" w:rsidR="006E3616" w:rsidRPr="00400193" w:rsidRDefault="006E3616" w:rsidP="006E3616">
      <w:pPr>
        <w:spacing w:line="240" w:lineRule="auto"/>
        <w:rPr>
          <w:lang w:eastAsia="zh-CN" w:bidi="hi-IN"/>
        </w:rPr>
      </w:pPr>
    </w:p>
    <w:p w14:paraId="18AC1017" w14:textId="77777777" w:rsidR="006E3616" w:rsidRPr="00400193" w:rsidRDefault="006E3616" w:rsidP="006E3616">
      <w:pPr>
        <w:spacing w:line="240" w:lineRule="auto"/>
        <w:rPr>
          <w:b/>
          <w:bCs/>
          <w:lang w:eastAsia="zh-CN" w:bidi="hi-IN"/>
        </w:rPr>
      </w:pPr>
    </w:p>
    <w:p w14:paraId="1BF1F708"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7EA341B9" wp14:editId="2FF4B0D1">
            <wp:extent cx="5760000" cy="3240000"/>
            <wp:effectExtent l="19050" t="19050" r="12700" b="17780"/>
            <wp:docPr id="175" name="Pictur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2C9EBBFC" w14:textId="31989D88" w:rsidR="006E3616" w:rsidRPr="00400193" w:rsidRDefault="006E3616" w:rsidP="006E3616">
      <w:pPr>
        <w:pStyle w:val="Caption"/>
        <w:spacing w:after="240"/>
      </w:pPr>
      <w:bookmarkStart w:id="817" w:name="_Ref52821798"/>
      <w:bookmarkStart w:id="818" w:name="_Toc55387630"/>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52</w:t>
      </w:r>
      <w:r w:rsidR="00E35E8C" w:rsidRPr="00400193">
        <w:fldChar w:fldCharType="end"/>
      </w:r>
      <w:bookmarkEnd w:id="817"/>
      <w:r w:rsidRPr="00400193">
        <w:t>: Histogram of the frequency of the standardised residuals for VW</w:t>
      </w:r>
      <w:bookmarkEnd w:id="818"/>
    </w:p>
    <w:p w14:paraId="609E705C" w14:textId="7FEFF7EC"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_Ref52821825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53</w:t>
      </w:r>
      <w:r w:rsidR="00F319CB" w:rsidRPr="00400193">
        <w:rPr>
          <w:lang w:eastAsia="zh-CN" w:bidi="hi-IN"/>
        </w:rPr>
        <w:fldChar w:fldCharType="end"/>
      </w:r>
      <w:r w:rsidRPr="00400193">
        <w:rPr>
          <w:lang w:eastAsia="zh-CN" w:bidi="hi-IN"/>
        </w:rPr>
        <w:t>) shows that there is a normal distribution.</w:t>
      </w:r>
    </w:p>
    <w:p w14:paraId="39497401"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782CD007" wp14:editId="480FBA65">
            <wp:extent cx="5760000" cy="3240000"/>
            <wp:effectExtent l="19050" t="19050" r="12700" b="17780"/>
            <wp:docPr id="176"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51F42A7F" w14:textId="1F3CB3D2" w:rsidR="006E3616" w:rsidRPr="00400193" w:rsidRDefault="006E3616" w:rsidP="006E3616">
      <w:pPr>
        <w:pStyle w:val="Caption"/>
        <w:spacing w:after="240"/>
      </w:pPr>
      <w:bookmarkStart w:id="819" w:name="_Ref52821825"/>
      <w:bookmarkStart w:id="820" w:name="_Toc55387631"/>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53</w:t>
      </w:r>
      <w:r w:rsidR="00E35E8C" w:rsidRPr="00400193">
        <w:fldChar w:fldCharType="end"/>
      </w:r>
      <w:bookmarkEnd w:id="819"/>
      <w:r w:rsidRPr="00400193">
        <w:t>: Normal P–P plot of regression standardised residual for the dependent variable</w:t>
      </w:r>
      <w:bookmarkEnd w:id="820"/>
    </w:p>
    <w:p w14:paraId="1F0F25B4" w14:textId="77777777" w:rsidR="006E3616" w:rsidRPr="00400193" w:rsidRDefault="006E3616" w:rsidP="006E3616">
      <w:pPr>
        <w:spacing w:line="240" w:lineRule="auto"/>
        <w:rPr>
          <w:b/>
          <w:bCs/>
          <w:lang w:eastAsia="zh-CN" w:bidi="hi-IN"/>
        </w:rPr>
      </w:pPr>
      <w:r w:rsidRPr="00400193">
        <w:rPr>
          <w:b/>
          <w:bCs/>
          <w:lang w:eastAsia="zh-CN" w:bidi="hi-IN"/>
        </w:rPr>
        <w:t xml:space="preserve">Regression </w:t>
      </w:r>
    </w:p>
    <w:p w14:paraId="23261C85" w14:textId="626D3DC1" w:rsidR="006E3616" w:rsidRPr="00400193" w:rsidRDefault="006E3616" w:rsidP="006E3616">
      <w:pPr>
        <w:jc w:val="left"/>
        <w:rPr>
          <w:i/>
          <w:iCs/>
          <w:lang w:eastAsia="zh-CN" w:bidi="hi-IN"/>
        </w:rPr>
      </w:pPr>
      <w:r w:rsidRPr="00400193">
        <w:rPr>
          <w:lang w:eastAsia="zh-CN" w:bidi="hi-IN"/>
        </w:rPr>
        <w:fldChar w:fldCharType="begin"/>
      </w:r>
      <w:r w:rsidRPr="00400193">
        <w:rPr>
          <w:i/>
          <w:iCs/>
          <w:lang w:eastAsia="zh-CN" w:bidi="hi-IN"/>
        </w:rPr>
        <w:instrText xml:space="preserve"> REF _Ref43828902 \h </w:instrText>
      </w:r>
      <w:r w:rsidRPr="00400193">
        <w:rPr>
          <w:lang w:eastAsia="zh-CN" w:bidi="hi-IN"/>
        </w:rPr>
        <w:instrText xml:space="preserve"> \* MERGEFORMAT </w:instrText>
      </w:r>
      <w:r w:rsidRPr="00400193">
        <w:rPr>
          <w:lang w:eastAsia="zh-CN" w:bidi="hi-IN"/>
        </w:rPr>
      </w:r>
      <w:r w:rsidRPr="00400193">
        <w:rPr>
          <w:lang w:eastAsia="zh-CN" w:bidi="hi-IN"/>
        </w:rPr>
        <w:fldChar w:fldCharType="separate"/>
      </w:r>
      <w:r w:rsidR="00BB7C18" w:rsidRPr="00400193">
        <w:t>12 – (Internal + Proportionate Organisational Resilience)</w:t>
      </w:r>
      <w:r w:rsidRPr="00400193">
        <w:rPr>
          <w:lang w:eastAsia="zh-CN" w:bidi="hi-IN"/>
        </w:rPr>
        <w:fldChar w:fldCharType="end"/>
      </w:r>
      <w:r w:rsidRPr="00400193">
        <w:rPr>
          <w:i/>
          <w:iCs/>
          <w:lang w:eastAsia="zh-CN" w:bidi="hi-IN"/>
        </w:rPr>
        <w:t xml:space="preserve"> VW = </w:t>
      </w:r>
      <w:r w:rsidR="00DD07A5" w:rsidRPr="00400193">
        <w:rPr>
          <w:i/>
          <w:iCs/>
          <w:lang w:eastAsia="zh-CN" w:bidi="hi-IN"/>
        </w:rPr>
        <w:t>IRF</w:t>
      </w:r>
      <w:r w:rsidRPr="00400193">
        <w:rPr>
          <w:i/>
          <w:iCs/>
          <w:lang w:eastAsia="zh-CN" w:bidi="hi-IN"/>
        </w:rPr>
        <w:t xml:space="preserve"> + OR + OR*</w:t>
      </w:r>
      <w:r w:rsidR="00DD07A5" w:rsidRPr="00400193">
        <w:rPr>
          <w:i/>
          <w:iCs/>
          <w:lang w:eastAsia="zh-CN" w:bidi="hi-IN"/>
        </w:rPr>
        <w:t>IRF</w:t>
      </w:r>
    </w:p>
    <w:p w14:paraId="0820E1A7" w14:textId="48D0BC40" w:rsidR="006E3616" w:rsidRPr="00400193" w:rsidRDefault="006E3616" w:rsidP="006E3616">
      <w:pPr>
        <w:rPr>
          <w:lang w:eastAsia="zh-CN" w:bidi="hi-IN"/>
        </w:rPr>
      </w:pPr>
      <w:r w:rsidRPr="00400193">
        <w:rPr>
          <w:lang w:eastAsia="zh-CN" w:bidi="hi-IN"/>
        </w:rPr>
        <w:t xml:space="preserve">This section describes the use of multiple regressions to estimate the parameters in model equation </w:t>
      </w:r>
      <w:r w:rsidRPr="00400193">
        <w:rPr>
          <w:i/>
          <w:iCs/>
          <w:lang w:eastAsia="zh-CN" w:bidi="hi-IN"/>
        </w:rPr>
        <w:t xml:space="preserve">VW = </w:t>
      </w:r>
      <w:r w:rsidR="00DD07A5" w:rsidRPr="00400193">
        <w:rPr>
          <w:i/>
          <w:iCs/>
          <w:lang w:eastAsia="zh-CN" w:bidi="hi-IN"/>
        </w:rPr>
        <w:t>IRF</w:t>
      </w:r>
      <w:r w:rsidRPr="00400193">
        <w:rPr>
          <w:i/>
          <w:iCs/>
          <w:lang w:eastAsia="zh-CN" w:bidi="hi-IN"/>
        </w:rPr>
        <w:t xml:space="preserve"> + OR + OR*</w:t>
      </w:r>
      <w:r w:rsidR="00DD07A5" w:rsidRPr="00400193">
        <w:rPr>
          <w:i/>
          <w:iCs/>
          <w:lang w:eastAsia="zh-CN" w:bidi="hi-IN"/>
        </w:rPr>
        <w:t>IRF</w:t>
      </w:r>
      <w:r w:rsidRPr="00400193">
        <w:rPr>
          <w:lang w:eastAsia="zh-CN" w:bidi="hi-IN"/>
        </w:rPr>
        <w:t xml:space="preserve">. The purpose of the multi-linear models </w:t>
      </w:r>
      <w:r w:rsidRPr="00400193">
        <w:rPr>
          <w:lang w:eastAsia="zh-CN" w:bidi="hi-IN"/>
        </w:rPr>
        <w:lastRenderedPageBreak/>
        <w:t xml:space="preserve">was to map variation in OR to the relationship between vulnerabilities and weaknesses and Internal threats in UAE public sector organisations. The variation variables were all entered at different stages of the simulation. </w:t>
      </w:r>
    </w:p>
    <w:p w14:paraId="707D7425" w14:textId="6449D73A" w:rsidR="006E3616" w:rsidRPr="00400193" w:rsidRDefault="006E3616" w:rsidP="006E3616">
      <w:pPr>
        <w:rPr>
          <w:lang w:eastAsia="zh-CN" w:bidi="hi-IN"/>
        </w:rPr>
      </w:pPr>
      <w:r w:rsidRPr="00400193">
        <w:rPr>
          <w:lang w:eastAsia="zh-CN" w:bidi="hi-IN"/>
        </w:rPr>
        <w:t xml:space="preserve">The regression results in </w:t>
      </w:r>
      <w:r w:rsidR="00E724BF" w:rsidRPr="00400193">
        <w:rPr>
          <w:lang w:eastAsia="zh-CN" w:bidi="hi-IN"/>
        </w:rPr>
        <w:fldChar w:fldCharType="begin"/>
      </w:r>
      <w:r w:rsidR="00E724BF" w:rsidRPr="00400193">
        <w:rPr>
          <w:lang w:eastAsia="zh-CN" w:bidi="hi-IN"/>
        </w:rPr>
        <w:instrText xml:space="preserve"> REF _Ref51592494 \h </w:instrText>
      </w:r>
      <w:r w:rsidR="00E724BF" w:rsidRPr="00400193">
        <w:rPr>
          <w:lang w:eastAsia="zh-CN" w:bidi="hi-IN"/>
        </w:rPr>
      </w:r>
      <w:r w:rsidR="00E724BF"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110</w:t>
      </w:r>
      <w:r w:rsidR="00E724BF" w:rsidRPr="00400193">
        <w:rPr>
          <w:lang w:eastAsia="zh-CN" w:bidi="hi-IN"/>
        </w:rPr>
        <w:fldChar w:fldCharType="end"/>
      </w:r>
      <w:r w:rsidRPr="00400193">
        <w:rPr>
          <w:lang w:eastAsia="zh-CN" w:bidi="hi-IN"/>
        </w:rPr>
        <w:t xml:space="preserve"> show that </w:t>
      </w:r>
      <w:r w:rsidR="00DD07A5" w:rsidRPr="00400193">
        <w:rPr>
          <w:lang w:eastAsia="zh-CN" w:bidi="hi-IN"/>
        </w:rPr>
        <w:t>IRF</w:t>
      </w:r>
      <w:r w:rsidRPr="00400193">
        <w:rPr>
          <w:lang w:eastAsia="zh-CN" w:bidi="hi-IN"/>
        </w:rPr>
        <w:t xml:space="preserve"> moderated by OR explained 64.8% of the variance in VW. This variance proportion was statistically significant because the F-value was 61.258 with three degrees of freedom and p-value of 0.000 (</w:t>
      </w:r>
      <w:r w:rsidR="00E724BF" w:rsidRPr="00400193">
        <w:rPr>
          <w:lang w:eastAsia="zh-CN" w:bidi="hi-IN"/>
        </w:rPr>
        <w:fldChar w:fldCharType="begin"/>
      </w:r>
      <w:r w:rsidR="00E724BF" w:rsidRPr="00400193">
        <w:rPr>
          <w:lang w:eastAsia="zh-CN" w:bidi="hi-IN"/>
        </w:rPr>
        <w:instrText xml:space="preserve"> REF _Ref51592516 \h </w:instrText>
      </w:r>
      <w:r w:rsidR="00E724BF" w:rsidRPr="00400193">
        <w:rPr>
          <w:lang w:eastAsia="zh-CN" w:bidi="hi-IN"/>
        </w:rPr>
      </w:r>
      <w:r w:rsidR="00E724BF"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111</w:t>
      </w:r>
      <w:r w:rsidR="00E724BF" w:rsidRPr="00400193">
        <w:rPr>
          <w:lang w:eastAsia="zh-CN" w:bidi="hi-IN"/>
        </w:rPr>
        <w:fldChar w:fldCharType="end"/>
      </w:r>
      <w:r w:rsidRPr="00400193">
        <w:rPr>
          <w:lang w:eastAsia="zh-CN" w:bidi="hi-IN"/>
        </w:rPr>
        <w:t>). The results show that all the variation variables in the model are significant and the goodness-of-fit of the estimated regression equation for the generated model was supported by an R-square value of 0.648</w:t>
      </w:r>
      <w:r w:rsidR="00E724BF" w:rsidRPr="00400193">
        <w:rPr>
          <w:lang w:eastAsia="zh-CN" w:bidi="hi-IN"/>
        </w:rPr>
        <w:t xml:space="preserve"> ( See also </w:t>
      </w:r>
      <w:r w:rsidR="00E724BF" w:rsidRPr="00400193">
        <w:rPr>
          <w:lang w:eastAsia="zh-CN" w:bidi="hi-IN"/>
        </w:rPr>
        <w:fldChar w:fldCharType="begin"/>
      </w:r>
      <w:r w:rsidR="00E724BF" w:rsidRPr="00400193">
        <w:rPr>
          <w:lang w:eastAsia="zh-CN" w:bidi="hi-IN"/>
        </w:rPr>
        <w:instrText xml:space="preserve"> REF _Ref51592859 \h </w:instrText>
      </w:r>
      <w:r w:rsidR="00E724BF" w:rsidRPr="00400193">
        <w:rPr>
          <w:lang w:eastAsia="zh-CN" w:bidi="hi-IN"/>
        </w:rPr>
      </w:r>
      <w:r w:rsidR="00E724BF"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112</w:t>
      </w:r>
      <w:r w:rsidR="00E724BF" w:rsidRPr="00400193">
        <w:rPr>
          <w:lang w:eastAsia="zh-CN" w:bidi="hi-IN"/>
        </w:rPr>
        <w:fldChar w:fldCharType="end"/>
      </w:r>
      <w:r w:rsidR="00E724BF" w:rsidRPr="00400193">
        <w:rPr>
          <w:lang w:eastAsia="zh-CN" w:bidi="hi-IN"/>
        </w:rPr>
        <w:t>)</w:t>
      </w:r>
      <w:r w:rsidRPr="00400193">
        <w:rPr>
          <w:lang w:eastAsia="zh-CN" w:bidi="hi-IN"/>
        </w:rPr>
        <w:t>.</w:t>
      </w:r>
    </w:p>
    <w:p w14:paraId="659127FB" w14:textId="77777777" w:rsidR="004E0865" w:rsidRPr="00400193" w:rsidRDefault="004E0865" w:rsidP="006E3616">
      <w:pPr>
        <w:rPr>
          <w:lang w:eastAsia="zh-CN" w:bidi="hi-IN"/>
        </w:rPr>
      </w:pPr>
    </w:p>
    <w:tbl>
      <w:tblPr>
        <w:tblW w:w="88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1"/>
        <w:gridCol w:w="763"/>
        <w:gridCol w:w="809"/>
        <w:gridCol w:w="1093"/>
        <w:gridCol w:w="1092"/>
        <w:gridCol w:w="1092"/>
        <w:gridCol w:w="831"/>
        <w:gridCol w:w="2619"/>
        <w:gridCol w:w="6"/>
      </w:tblGrid>
      <w:tr w:rsidR="006E3616" w:rsidRPr="00400193" w14:paraId="2BE7DE73" w14:textId="77777777" w:rsidTr="00E724BF">
        <w:trPr>
          <w:cantSplit/>
          <w:trHeight w:val="283"/>
        </w:trPr>
        <w:tc>
          <w:tcPr>
            <w:tcW w:w="8896" w:type="dxa"/>
            <w:gridSpan w:val="9"/>
            <w:tcBorders>
              <w:top w:val="nil"/>
              <w:left w:val="nil"/>
              <w:bottom w:val="nil"/>
              <w:right w:val="nil"/>
            </w:tcBorders>
            <w:shd w:val="clear" w:color="auto" w:fill="auto"/>
            <w:vAlign w:val="center"/>
          </w:tcPr>
          <w:p w14:paraId="17DD9D4A"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Model Summary </w:t>
            </w:r>
            <w:r w:rsidRPr="00400193">
              <w:rPr>
                <w:rFonts w:asciiTheme="minorHAnsi" w:hAnsiTheme="minorHAnsi" w:cstheme="minorHAnsi"/>
                <w:b/>
                <w:bCs/>
                <w:sz w:val="20"/>
                <w:szCs w:val="18"/>
                <w:vertAlign w:val="superscript"/>
                <w:lang w:eastAsia="zh-CN" w:bidi="hi-IN"/>
              </w:rPr>
              <w:t>b</w:t>
            </w:r>
          </w:p>
        </w:tc>
      </w:tr>
      <w:tr w:rsidR="006E3616" w:rsidRPr="00400193" w14:paraId="53DEB7F1" w14:textId="77777777" w:rsidTr="00E724BF">
        <w:trPr>
          <w:gridAfter w:val="1"/>
          <w:wAfter w:w="6" w:type="dxa"/>
          <w:cantSplit/>
          <w:trHeight w:val="283"/>
        </w:trPr>
        <w:tc>
          <w:tcPr>
            <w:tcW w:w="591" w:type="dxa"/>
            <w:vMerge w:val="restart"/>
            <w:tcBorders>
              <w:top w:val="nil"/>
              <w:left w:val="nil"/>
              <w:bottom w:val="nil"/>
              <w:right w:val="nil"/>
            </w:tcBorders>
            <w:shd w:val="clear" w:color="auto" w:fill="auto"/>
            <w:vAlign w:val="bottom"/>
          </w:tcPr>
          <w:p w14:paraId="794DAEF3"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763" w:type="dxa"/>
            <w:vMerge w:val="restart"/>
            <w:tcBorders>
              <w:top w:val="nil"/>
              <w:left w:val="nil"/>
              <w:bottom w:val="nil"/>
              <w:right w:val="single" w:sz="8" w:space="0" w:color="E0E0E0"/>
            </w:tcBorders>
            <w:shd w:val="clear" w:color="auto" w:fill="auto"/>
            <w:vAlign w:val="bottom"/>
          </w:tcPr>
          <w:p w14:paraId="343DA3ED"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w:t>
            </w:r>
          </w:p>
        </w:tc>
        <w:tc>
          <w:tcPr>
            <w:tcW w:w="809" w:type="dxa"/>
            <w:vMerge w:val="restart"/>
            <w:tcBorders>
              <w:top w:val="nil"/>
              <w:left w:val="single" w:sz="8" w:space="0" w:color="E0E0E0"/>
              <w:bottom w:val="nil"/>
              <w:right w:val="single" w:sz="8" w:space="0" w:color="E0E0E0"/>
            </w:tcBorders>
            <w:shd w:val="clear" w:color="auto" w:fill="auto"/>
            <w:vAlign w:val="bottom"/>
          </w:tcPr>
          <w:p w14:paraId="3BC69A7B"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w:t>
            </w:r>
          </w:p>
        </w:tc>
        <w:tc>
          <w:tcPr>
            <w:tcW w:w="1093" w:type="dxa"/>
            <w:vMerge w:val="restart"/>
            <w:tcBorders>
              <w:top w:val="nil"/>
              <w:left w:val="single" w:sz="8" w:space="0" w:color="E0E0E0"/>
              <w:bottom w:val="nil"/>
              <w:right w:val="single" w:sz="8" w:space="0" w:color="E0E0E0"/>
            </w:tcBorders>
            <w:shd w:val="clear" w:color="auto" w:fill="auto"/>
            <w:vAlign w:val="bottom"/>
          </w:tcPr>
          <w:p w14:paraId="4D21434A"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Adjusted R Square</w:t>
            </w:r>
          </w:p>
        </w:tc>
        <w:tc>
          <w:tcPr>
            <w:tcW w:w="1092" w:type="dxa"/>
            <w:vMerge w:val="restart"/>
            <w:tcBorders>
              <w:top w:val="nil"/>
              <w:left w:val="single" w:sz="8" w:space="0" w:color="E0E0E0"/>
              <w:bottom w:val="nil"/>
              <w:right w:val="single" w:sz="8" w:space="0" w:color="E0E0E0"/>
            </w:tcBorders>
            <w:shd w:val="clear" w:color="auto" w:fill="auto"/>
            <w:vAlign w:val="bottom"/>
          </w:tcPr>
          <w:p w14:paraId="101F4939"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Error of the Estimate</w:t>
            </w:r>
          </w:p>
        </w:tc>
        <w:tc>
          <w:tcPr>
            <w:tcW w:w="4542" w:type="dxa"/>
            <w:gridSpan w:val="3"/>
            <w:tcBorders>
              <w:top w:val="nil"/>
              <w:left w:val="single" w:sz="8" w:space="0" w:color="E0E0E0"/>
              <w:bottom w:val="nil"/>
              <w:right w:val="nil"/>
            </w:tcBorders>
            <w:shd w:val="clear" w:color="auto" w:fill="auto"/>
            <w:vAlign w:val="bottom"/>
          </w:tcPr>
          <w:p w14:paraId="1B48D34B"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Change Statistics</w:t>
            </w:r>
          </w:p>
        </w:tc>
      </w:tr>
      <w:tr w:rsidR="006E3616" w:rsidRPr="00400193" w14:paraId="07C8B683" w14:textId="77777777" w:rsidTr="00E724BF">
        <w:trPr>
          <w:gridAfter w:val="1"/>
          <w:wAfter w:w="6" w:type="dxa"/>
          <w:cantSplit/>
          <w:trHeight w:val="283"/>
        </w:trPr>
        <w:tc>
          <w:tcPr>
            <w:tcW w:w="591" w:type="dxa"/>
            <w:vMerge/>
            <w:tcBorders>
              <w:top w:val="nil"/>
              <w:left w:val="nil"/>
              <w:bottom w:val="nil"/>
              <w:right w:val="nil"/>
            </w:tcBorders>
            <w:shd w:val="clear" w:color="auto" w:fill="auto"/>
            <w:vAlign w:val="bottom"/>
          </w:tcPr>
          <w:p w14:paraId="22436E45" w14:textId="77777777" w:rsidR="006E3616" w:rsidRPr="00400193" w:rsidRDefault="006E3616" w:rsidP="00E724BF">
            <w:pPr>
              <w:spacing w:after="0" w:line="240" w:lineRule="auto"/>
              <w:rPr>
                <w:rFonts w:asciiTheme="minorHAnsi" w:hAnsiTheme="minorHAnsi" w:cstheme="minorHAnsi"/>
                <w:sz w:val="20"/>
                <w:szCs w:val="18"/>
                <w:lang w:eastAsia="zh-CN" w:bidi="hi-IN"/>
              </w:rPr>
            </w:pPr>
          </w:p>
        </w:tc>
        <w:tc>
          <w:tcPr>
            <w:tcW w:w="763" w:type="dxa"/>
            <w:vMerge/>
            <w:tcBorders>
              <w:top w:val="nil"/>
              <w:left w:val="nil"/>
              <w:bottom w:val="nil"/>
              <w:right w:val="single" w:sz="8" w:space="0" w:color="E0E0E0"/>
            </w:tcBorders>
            <w:shd w:val="clear" w:color="auto" w:fill="auto"/>
            <w:vAlign w:val="bottom"/>
          </w:tcPr>
          <w:p w14:paraId="0FEA1F1E" w14:textId="77777777" w:rsidR="006E3616" w:rsidRPr="00400193" w:rsidRDefault="006E3616" w:rsidP="00E724BF">
            <w:pPr>
              <w:spacing w:after="0" w:line="240" w:lineRule="auto"/>
              <w:rPr>
                <w:rFonts w:asciiTheme="minorHAnsi" w:hAnsiTheme="minorHAnsi" w:cstheme="minorHAnsi"/>
                <w:sz w:val="20"/>
                <w:szCs w:val="18"/>
                <w:lang w:eastAsia="zh-CN" w:bidi="hi-IN"/>
              </w:rPr>
            </w:pPr>
          </w:p>
        </w:tc>
        <w:tc>
          <w:tcPr>
            <w:tcW w:w="809" w:type="dxa"/>
            <w:vMerge/>
            <w:tcBorders>
              <w:top w:val="nil"/>
              <w:left w:val="single" w:sz="8" w:space="0" w:color="E0E0E0"/>
              <w:bottom w:val="nil"/>
              <w:right w:val="single" w:sz="8" w:space="0" w:color="E0E0E0"/>
            </w:tcBorders>
            <w:shd w:val="clear" w:color="auto" w:fill="auto"/>
            <w:vAlign w:val="bottom"/>
          </w:tcPr>
          <w:p w14:paraId="23B87168" w14:textId="77777777" w:rsidR="006E3616" w:rsidRPr="00400193" w:rsidRDefault="006E3616" w:rsidP="00E724BF">
            <w:pPr>
              <w:spacing w:after="0" w:line="240" w:lineRule="auto"/>
              <w:rPr>
                <w:rFonts w:asciiTheme="minorHAnsi" w:hAnsiTheme="minorHAnsi" w:cstheme="minorHAnsi"/>
                <w:sz w:val="20"/>
                <w:szCs w:val="18"/>
                <w:lang w:eastAsia="zh-CN" w:bidi="hi-IN"/>
              </w:rPr>
            </w:pPr>
          </w:p>
        </w:tc>
        <w:tc>
          <w:tcPr>
            <w:tcW w:w="1093" w:type="dxa"/>
            <w:vMerge/>
            <w:tcBorders>
              <w:top w:val="nil"/>
              <w:left w:val="single" w:sz="8" w:space="0" w:color="E0E0E0"/>
              <w:bottom w:val="nil"/>
              <w:right w:val="single" w:sz="8" w:space="0" w:color="E0E0E0"/>
            </w:tcBorders>
            <w:shd w:val="clear" w:color="auto" w:fill="auto"/>
            <w:vAlign w:val="bottom"/>
          </w:tcPr>
          <w:p w14:paraId="75E35C66" w14:textId="77777777" w:rsidR="006E3616" w:rsidRPr="00400193" w:rsidRDefault="006E3616" w:rsidP="00E724BF">
            <w:pPr>
              <w:spacing w:after="0" w:line="240" w:lineRule="auto"/>
              <w:rPr>
                <w:rFonts w:asciiTheme="minorHAnsi" w:hAnsiTheme="minorHAnsi" w:cstheme="minorHAnsi"/>
                <w:sz w:val="20"/>
                <w:szCs w:val="18"/>
                <w:lang w:eastAsia="zh-CN" w:bidi="hi-IN"/>
              </w:rPr>
            </w:pPr>
          </w:p>
        </w:tc>
        <w:tc>
          <w:tcPr>
            <w:tcW w:w="1092" w:type="dxa"/>
            <w:vMerge/>
            <w:tcBorders>
              <w:top w:val="nil"/>
              <w:left w:val="single" w:sz="8" w:space="0" w:color="E0E0E0"/>
              <w:bottom w:val="nil"/>
              <w:right w:val="single" w:sz="8" w:space="0" w:color="E0E0E0"/>
            </w:tcBorders>
            <w:shd w:val="clear" w:color="auto" w:fill="auto"/>
            <w:vAlign w:val="bottom"/>
          </w:tcPr>
          <w:p w14:paraId="2E5CA90C" w14:textId="77777777" w:rsidR="006E3616" w:rsidRPr="00400193" w:rsidRDefault="006E3616" w:rsidP="00E724BF">
            <w:pPr>
              <w:spacing w:after="0" w:line="240" w:lineRule="auto"/>
              <w:rPr>
                <w:rFonts w:asciiTheme="minorHAnsi" w:hAnsiTheme="minorHAnsi" w:cstheme="minorHAnsi"/>
                <w:sz w:val="20"/>
                <w:szCs w:val="18"/>
                <w:lang w:eastAsia="zh-CN" w:bidi="hi-IN"/>
              </w:rPr>
            </w:pPr>
          </w:p>
        </w:tc>
        <w:tc>
          <w:tcPr>
            <w:tcW w:w="1092" w:type="dxa"/>
            <w:tcBorders>
              <w:top w:val="nil"/>
              <w:left w:val="single" w:sz="8" w:space="0" w:color="E0E0E0"/>
              <w:bottom w:val="single" w:sz="8" w:space="0" w:color="152935"/>
              <w:right w:val="single" w:sz="8" w:space="0" w:color="E0E0E0"/>
            </w:tcBorders>
            <w:shd w:val="clear" w:color="auto" w:fill="auto"/>
            <w:vAlign w:val="bottom"/>
          </w:tcPr>
          <w:p w14:paraId="33CDEBBB"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 Square Change</w:t>
            </w:r>
          </w:p>
        </w:tc>
        <w:tc>
          <w:tcPr>
            <w:tcW w:w="831" w:type="dxa"/>
            <w:tcBorders>
              <w:top w:val="nil"/>
              <w:left w:val="single" w:sz="8" w:space="0" w:color="E0E0E0"/>
              <w:bottom w:val="single" w:sz="8" w:space="0" w:color="152935"/>
              <w:right w:val="single" w:sz="8" w:space="0" w:color="E0E0E0"/>
            </w:tcBorders>
            <w:shd w:val="clear" w:color="auto" w:fill="auto"/>
            <w:vAlign w:val="bottom"/>
          </w:tcPr>
          <w:p w14:paraId="7DD92B83"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 Change</w:t>
            </w:r>
          </w:p>
        </w:tc>
        <w:tc>
          <w:tcPr>
            <w:tcW w:w="2619" w:type="dxa"/>
            <w:tcBorders>
              <w:top w:val="nil"/>
              <w:left w:val="single" w:sz="8" w:space="0" w:color="E0E0E0"/>
              <w:bottom w:val="single" w:sz="8" w:space="0" w:color="152935"/>
              <w:right w:val="nil"/>
            </w:tcBorders>
            <w:shd w:val="clear" w:color="auto" w:fill="auto"/>
            <w:vAlign w:val="bottom"/>
          </w:tcPr>
          <w:p w14:paraId="0F6744D7"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df1</w:t>
            </w:r>
          </w:p>
        </w:tc>
      </w:tr>
      <w:tr w:rsidR="006E3616" w:rsidRPr="00400193" w14:paraId="2EB621E8" w14:textId="77777777" w:rsidTr="00E724BF">
        <w:trPr>
          <w:gridAfter w:val="1"/>
          <w:wAfter w:w="6" w:type="dxa"/>
          <w:cantSplit/>
          <w:trHeight w:val="283"/>
        </w:trPr>
        <w:tc>
          <w:tcPr>
            <w:tcW w:w="591" w:type="dxa"/>
            <w:tcBorders>
              <w:top w:val="single" w:sz="8" w:space="0" w:color="152935"/>
              <w:left w:val="nil"/>
              <w:bottom w:val="single" w:sz="8" w:space="0" w:color="152935"/>
              <w:right w:val="nil"/>
            </w:tcBorders>
            <w:shd w:val="clear" w:color="auto" w:fill="auto"/>
          </w:tcPr>
          <w:p w14:paraId="3A0E813A"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763" w:type="dxa"/>
            <w:tcBorders>
              <w:top w:val="single" w:sz="8" w:space="0" w:color="152935"/>
              <w:left w:val="nil"/>
              <w:bottom w:val="single" w:sz="8" w:space="0" w:color="152935"/>
              <w:right w:val="single" w:sz="8" w:space="0" w:color="E0E0E0"/>
            </w:tcBorders>
            <w:shd w:val="clear" w:color="auto" w:fill="auto"/>
          </w:tcPr>
          <w:p w14:paraId="59806C67"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.805</w:t>
            </w:r>
            <w:r w:rsidRPr="00400193">
              <w:rPr>
                <w:rFonts w:asciiTheme="minorHAnsi" w:hAnsiTheme="minorHAnsi" w:cstheme="minorHAnsi"/>
                <w:sz w:val="20"/>
                <w:szCs w:val="18"/>
                <w:vertAlign w:val="superscript"/>
                <w:lang w:eastAsia="zh-CN" w:bidi="hi-IN"/>
              </w:rPr>
              <w:t>a</w:t>
            </w:r>
          </w:p>
        </w:tc>
        <w:tc>
          <w:tcPr>
            <w:tcW w:w="809" w:type="dxa"/>
            <w:tcBorders>
              <w:top w:val="single" w:sz="8" w:space="0" w:color="152935"/>
              <w:left w:val="single" w:sz="8" w:space="0" w:color="E0E0E0"/>
              <w:bottom w:val="single" w:sz="8" w:space="0" w:color="152935"/>
              <w:right w:val="single" w:sz="8" w:space="0" w:color="E0E0E0"/>
            </w:tcBorders>
            <w:shd w:val="clear" w:color="auto" w:fill="auto"/>
          </w:tcPr>
          <w:p w14:paraId="2ECB9F8F"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.648</w:t>
            </w:r>
          </w:p>
        </w:tc>
        <w:tc>
          <w:tcPr>
            <w:tcW w:w="1093" w:type="dxa"/>
            <w:tcBorders>
              <w:top w:val="single" w:sz="8" w:space="0" w:color="152935"/>
              <w:left w:val="single" w:sz="8" w:space="0" w:color="E0E0E0"/>
              <w:bottom w:val="single" w:sz="8" w:space="0" w:color="152935"/>
              <w:right w:val="single" w:sz="8" w:space="0" w:color="E0E0E0"/>
            </w:tcBorders>
            <w:shd w:val="clear" w:color="auto" w:fill="auto"/>
          </w:tcPr>
          <w:p w14:paraId="54B4F941"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.637</w:t>
            </w:r>
          </w:p>
        </w:tc>
        <w:tc>
          <w:tcPr>
            <w:tcW w:w="1092" w:type="dxa"/>
            <w:tcBorders>
              <w:top w:val="single" w:sz="8" w:space="0" w:color="152935"/>
              <w:left w:val="single" w:sz="8" w:space="0" w:color="E0E0E0"/>
              <w:bottom w:val="single" w:sz="8" w:space="0" w:color="152935"/>
              <w:right w:val="single" w:sz="8" w:space="0" w:color="E0E0E0"/>
            </w:tcBorders>
            <w:shd w:val="clear" w:color="auto" w:fill="auto"/>
          </w:tcPr>
          <w:p w14:paraId="3DCB1751"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.35774</w:t>
            </w:r>
          </w:p>
        </w:tc>
        <w:tc>
          <w:tcPr>
            <w:tcW w:w="1092" w:type="dxa"/>
            <w:tcBorders>
              <w:top w:val="single" w:sz="8" w:space="0" w:color="152935"/>
              <w:left w:val="single" w:sz="8" w:space="0" w:color="E0E0E0"/>
              <w:bottom w:val="single" w:sz="8" w:space="0" w:color="152935"/>
              <w:right w:val="single" w:sz="8" w:space="0" w:color="E0E0E0"/>
            </w:tcBorders>
            <w:shd w:val="clear" w:color="auto" w:fill="auto"/>
          </w:tcPr>
          <w:p w14:paraId="334A5D10"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.648</w:t>
            </w:r>
          </w:p>
        </w:tc>
        <w:tc>
          <w:tcPr>
            <w:tcW w:w="831" w:type="dxa"/>
            <w:tcBorders>
              <w:top w:val="single" w:sz="8" w:space="0" w:color="152935"/>
              <w:left w:val="single" w:sz="8" w:space="0" w:color="E0E0E0"/>
              <w:bottom w:val="single" w:sz="8" w:space="0" w:color="152935"/>
              <w:right w:val="single" w:sz="8" w:space="0" w:color="E0E0E0"/>
            </w:tcBorders>
            <w:shd w:val="clear" w:color="auto" w:fill="auto"/>
          </w:tcPr>
          <w:p w14:paraId="46E0F219" w14:textId="77777777" w:rsidR="006E3616" w:rsidRPr="00400193" w:rsidRDefault="006E3616" w:rsidP="00E724BF">
            <w:pPr>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61.258</w:t>
            </w:r>
          </w:p>
        </w:tc>
        <w:tc>
          <w:tcPr>
            <w:tcW w:w="2619" w:type="dxa"/>
            <w:tcBorders>
              <w:top w:val="single" w:sz="8" w:space="0" w:color="152935"/>
              <w:left w:val="single" w:sz="8" w:space="0" w:color="E0E0E0"/>
              <w:bottom w:val="single" w:sz="8" w:space="0" w:color="152935"/>
              <w:right w:val="nil"/>
            </w:tcBorders>
            <w:shd w:val="clear" w:color="auto" w:fill="auto"/>
          </w:tcPr>
          <w:p w14:paraId="3EB48744" w14:textId="77777777" w:rsidR="006E3616" w:rsidRPr="00400193" w:rsidRDefault="006E3616" w:rsidP="00E724BF">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r>
      <w:tr w:rsidR="00E724BF" w:rsidRPr="00400193" w14:paraId="35CA4A15" w14:textId="77777777" w:rsidTr="00E724BF">
        <w:trPr>
          <w:gridAfter w:val="1"/>
          <w:wAfter w:w="6" w:type="dxa"/>
          <w:cantSplit/>
          <w:trHeight w:val="283"/>
        </w:trPr>
        <w:tc>
          <w:tcPr>
            <w:tcW w:w="8890" w:type="dxa"/>
            <w:gridSpan w:val="8"/>
            <w:tcBorders>
              <w:top w:val="single" w:sz="8" w:space="0" w:color="152935"/>
              <w:left w:val="nil"/>
              <w:bottom w:val="single" w:sz="4" w:space="0" w:color="FFFFFF" w:themeColor="background1"/>
              <w:right w:val="nil"/>
            </w:tcBorders>
            <w:shd w:val="clear" w:color="auto" w:fill="auto"/>
          </w:tcPr>
          <w:p w14:paraId="188CAA58" w14:textId="77777777" w:rsidR="00E724BF" w:rsidRPr="00400193" w:rsidRDefault="00E724BF" w:rsidP="00E724BF">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p w14:paraId="4AFF0E09" w14:textId="5F8249E2" w:rsidR="00E724BF" w:rsidRPr="00400193" w:rsidRDefault="00E724BF" w:rsidP="00E724BF">
            <w:pPr>
              <w:keepNext/>
              <w:spacing w:after="0" w:line="240" w:lineRule="auto"/>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b.</w:t>
            </w:r>
            <w:r w:rsidRPr="00400193">
              <w:rPr>
                <w:rFonts w:asciiTheme="minorHAnsi" w:hAnsiTheme="minorHAnsi" w:cstheme="minorHAnsi"/>
                <w:sz w:val="20"/>
                <w:szCs w:val="18"/>
                <w:lang w:eastAsia="zh-CN" w:bidi="hi-IN"/>
              </w:rPr>
              <w:t xml:space="preserve"> Predictors: (Constant), IRF*ORe, ORe, IRF</w:t>
            </w:r>
          </w:p>
        </w:tc>
      </w:tr>
    </w:tbl>
    <w:p w14:paraId="1C3F91D5" w14:textId="27D58852" w:rsidR="006E3616" w:rsidRPr="00400193" w:rsidRDefault="006E3616" w:rsidP="00E724BF">
      <w:pPr>
        <w:pStyle w:val="Caption"/>
        <w:spacing w:after="240"/>
      </w:pPr>
      <w:bookmarkStart w:id="821" w:name="_Ref51592494"/>
      <w:bookmarkStart w:id="822" w:name="_Toc5290165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110</w:t>
      </w:r>
      <w:r w:rsidRPr="00400193">
        <w:fldChar w:fldCharType="end"/>
      </w:r>
      <w:bookmarkEnd w:id="821"/>
      <w:r w:rsidRPr="00400193">
        <w:t>: Regression model summary for VW</w:t>
      </w:r>
      <w:bookmarkEnd w:id="822"/>
    </w:p>
    <w:tbl>
      <w:tblPr>
        <w:tblW w:w="88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4"/>
        <w:gridCol w:w="1234"/>
        <w:gridCol w:w="1412"/>
        <w:gridCol w:w="985"/>
        <w:gridCol w:w="1353"/>
        <w:gridCol w:w="985"/>
        <w:gridCol w:w="2221"/>
      </w:tblGrid>
      <w:tr w:rsidR="006E3616" w:rsidRPr="00400193" w14:paraId="4A31A210" w14:textId="77777777" w:rsidTr="00E724BF">
        <w:trPr>
          <w:cantSplit/>
          <w:trHeight w:val="283"/>
        </w:trPr>
        <w:tc>
          <w:tcPr>
            <w:tcW w:w="8894" w:type="dxa"/>
            <w:gridSpan w:val="7"/>
            <w:tcBorders>
              <w:top w:val="nil"/>
              <w:left w:val="nil"/>
              <w:bottom w:val="nil"/>
              <w:right w:val="nil"/>
            </w:tcBorders>
            <w:shd w:val="clear" w:color="auto" w:fill="auto"/>
          </w:tcPr>
          <w:p w14:paraId="6650F0C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ANOVA </w:t>
            </w:r>
            <w:r w:rsidRPr="00400193">
              <w:rPr>
                <w:rFonts w:asciiTheme="minorHAnsi" w:hAnsiTheme="minorHAnsi" w:cstheme="minorHAnsi"/>
                <w:b/>
                <w:bCs/>
                <w:sz w:val="20"/>
                <w:szCs w:val="18"/>
                <w:vertAlign w:val="superscript"/>
                <w:lang w:eastAsia="zh-CN" w:bidi="hi-IN"/>
              </w:rPr>
              <w:t>a</w:t>
            </w:r>
          </w:p>
        </w:tc>
      </w:tr>
      <w:tr w:rsidR="006E3616" w:rsidRPr="00400193" w14:paraId="2A14F979" w14:textId="77777777" w:rsidTr="00E724BF">
        <w:trPr>
          <w:cantSplit/>
          <w:trHeight w:val="283"/>
        </w:trPr>
        <w:tc>
          <w:tcPr>
            <w:tcW w:w="1938" w:type="dxa"/>
            <w:gridSpan w:val="2"/>
            <w:tcBorders>
              <w:top w:val="nil"/>
              <w:left w:val="nil"/>
              <w:bottom w:val="single" w:sz="8" w:space="0" w:color="152935"/>
              <w:right w:val="nil"/>
            </w:tcBorders>
            <w:shd w:val="clear" w:color="auto" w:fill="auto"/>
          </w:tcPr>
          <w:p w14:paraId="6D231A40"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Model</w:t>
            </w:r>
          </w:p>
        </w:tc>
        <w:tc>
          <w:tcPr>
            <w:tcW w:w="1412" w:type="dxa"/>
            <w:tcBorders>
              <w:top w:val="nil"/>
              <w:left w:val="nil"/>
              <w:bottom w:val="single" w:sz="8" w:space="0" w:color="152935"/>
              <w:right w:val="single" w:sz="8" w:space="0" w:color="E0E0E0"/>
            </w:tcBorders>
            <w:shd w:val="clear" w:color="auto" w:fill="auto"/>
          </w:tcPr>
          <w:p w14:paraId="76B2EC4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Sum of Squares</w:t>
            </w:r>
          </w:p>
        </w:tc>
        <w:tc>
          <w:tcPr>
            <w:tcW w:w="985" w:type="dxa"/>
            <w:tcBorders>
              <w:top w:val="nil"/>
              <w:left w:val="single" w:sz="8" w:space="0" w:color="E0E0E0"/>
              <w:bottom w:val="single" w:sz="8" w:space="0" w:color="152935"/>
              <w:right w:val="single" w:sz="8" w:space="0" w:color="E0E0E0"/>
            </w:tcBorders>
            <w:shd w:val="clear" w:color="auto" w:fill="auto"/>
          </w:tcPr>
          <w:p w14:paraId="49204B4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df</w:t>
            </w:r>
          </w:p>
        </w:tc>
        <w:tc>
          <w:tcPr>
            <w:tcW w:w="1353" w:type="dxa"/>
            <w:tcBorders>
              <w:top w:val="nil"/>
              <w:left w:val="single" w:sz="8" w:space="0" w:color="E0E0E0"/>
              <w:bottom w:val="single" w:sz="8" w:space="0" w:color="152935"/>
              <w:right w:val="single" w:sz="8" w:space="0" w:color="E0E0E0"/>
            </w:tcBorders>
            <w:shd w:val="clear" w:color="auto" w:fill="auto"/>
          </w:tcPr>
          <w:p w14:paraId="76F4754C"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 Square</w:t>
            </w:r>
          </w:p>
        </w:tc>
        <w:tc>
          <w:tcPr>
            <w:tcW w:w="985" w:type="dxa"/>
            <w:tcBorders>
              <w:top w:val="nil"/>
              <w:left w:val="single" w:sz="8" w:space="0" w:color="E0E0E0"/>
              <w:bottom w:val="single" w:sz="8" w:space="0" w:color="152935"/>
              <w:right w:val="single" w:sz="8" w:space="0" w:color="E0E0E0"/>
            </w:tcBorders>
            <w:shd w:val="clear" w:color="auto" w:fill="auto"/>
          </w:tcPr>
          <w:p w14:paraId="1B44DFA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F</w:t>
            </w:r>
          </w:p>
        </w:tc>
        <w:tc>
          <w:tcPr>
            <w:tcW w:w="2221" w:type="dxa"/>
            <w:tcBorders>
              <w:top w:val="nil"/>
              <w:left w:val="single" w:sz="8" w:space="0" w:color="E0E0E0"/>
              <w:bottom w:val="single" w:sz="8" w:space="0" w:color="152935"/>
              <w:right w:val="nil"/>
            </w:tcBorders>
            <w:shd w:val="clear" w:color="auto" w:fill="auto"/>
          </w:tcPr>
          <w:p w14:paraId="3C447A4F"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Sig.</w:t>
            </w:r>
          </w:p>
        </w:tc>
      </w:tr>
      <w:tr w:rsidR="006E3616" w:rsidRPr="00400193" w14:paraId="265975F6" w14:textId="77777777" w:rsidTr="00E724BF">
        <w:trPr>
          <w:cantSplit/>
          <w:trHeight w:val="283"/>
        </w:trPr>
        <w:tc>
          <w:tcPr>
            <w:tcW w:w="704" w:type="dxa"/>
            <w:vMerge w:val="restart"/>
            <w:tcBorders>
              <w:top w:val="single" w:sz="8" w:space="0" w:color="152935"/>
              <w:left w:val="nil"/>
              <w:bottom w:val="single" w:sz="8" w:space="0" w:color="152935"/>
              <w:right w:val="nil"/>
            </w:tcBorders>
            <w:shd w:val="clear" w:color="auto" w:fill="auto"/>
          </w:tcPr>
          <w:p w14:paraId="01B36975"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w:t>
            </w:r>
          </w:p>
        </w:tc>
        <w:tc>
          <w:tcPr>
            <w:tcW w:w="1234" w:type="dxa"/>
            <w:tcBorders>
              <w:top w:val="single" w:sz="8" w:space="0" w:color="152935"/>
              <w:left w:val="nil"/>
              <w:bottom w:val="single" w:sz="8" w:space="0" w:color="AEAEAE"/>
              <w:right w:val="nil"/>
            </w:tcBorders>
            <w:shd w:val="clear" w:color="auto" w:fill="auto"/>
          </w:tcPr>
          <w:p w14:paraId="5AE1607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Regression</w:t>
            </w:r>
          </w:p>
        </w:tc>
        <w:tc>
          <w:tcPr>
            <w:tcW w:w="1412" w:type="dxa"/>
            <w:tcBorders>
              <w:top w:val="single" w:sz="8" w:space="0" w:color="152935"/>
              <w:left w:val="nil"/>
              <w:bottom w:val="single" w:sz="8" w:space="0" w:color="AEAEAE"/>
              <w:right w:val="single" w:sz="8" w:space="0" w:color="E0E0E0"/>
            </w:tcBorders>
            <w:shd w:val="clear" w:color="auto" w:fill="auto"/>
          </w:tcPr>
          <w:p w14:paraId="133E2FC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23.519</w:t>
            </w:r>
          </w:p>
        </w:tc>
        <w:tc>
          <w:tcPr>
            <w:tcW w:w="985" w:type="dxa"/>
            <w:tcBorders>
              <w:top w:val="single" w:sz="8" w:space="0" w:color="152935"/>
              <w:left w:val="single" w:sz="8" w:space="0" w:color="E0E0E0"/>
              <w:bottom w:val="single" w:sz="8" w:space="0" w:color="AEAEAE"/>
              <w:right w:val="single" w:sz="8" w:space="0" w:color="E0E0E0"/>
            </w:tcBorders>
            <w:shd w:val="clear" w:color="auto" w:fill="auto"/>
          </w:tcPr>
          <w:p w14:paraId="53BB32B7"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w:t>
            </w:r>
          </w:p>
        </w:tc>
        <w:tc>
          <w:tcPr>
            <w:tcW w:w="1353" w:type="dxa"/>
            <w:tcBorders>
              <w:top w:val="single" w:sz="8" w:space="0" w:color="152935"/>
              <w:left w:val="single" w:sz="8" w:space="0" w:color="E0E0E0"/>
              <w:bottom w:val="single" w:sz="8" w:space="0" w:color="AEAEAE"/>
              <w:right w:val="single" w:sz="8" w:space="0" w:color="E0E0E0"/>
            </w:tcBorders>
            <w:shd w:val="clear" w:color="auto" w:fill="auto"/>
          </w:tcPr>
          <w:p w14:paraId="4F957F61"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7.840</w:t>
            </w:r>
          </w:p>
        </w:tc>
        <w:tc>
          <w:tcPr>
            <w:tcW w:w="985" w:type="dxa"/>
            <w:tcBorders>
              <w:top w:val="single" w:sz="8" w:space="0" w:color="152935"/>
              <w:left w:val="single" w:sz="8" w:space="0" w:color="E0E0E0"/>
              <w:bottom w:val="single" w:sz="8" w:space="0" w:color="AEAEAE"/>
              <w:right w:val="single" w:sz="8" w:space="0" w:color="E0E0E0"/>
            </w:tcBorders>
            <w:shd w:val="clear" w:color="auto" w:fill="auto"/>
          </w:tcPr>
          <w:p w14:paraId="35449178"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61.258</w:t>
            </w:r>
          </w:p>
        </w:tc>
        <w:tc>
          <w:tcPr>
            <w:tcW w:w="2221" w:type="dxa"/>
            <w:tcBorders>
              <w:top w:val="single" w:sz="8" w:space="0" w:color="152935"/>
              <w:left w:val="single" w:sz="8" w:space="0" w:color="E0E0E0"/>
              <w:bottom w:val="single" w:sz="8" w:space="0" w:color="AEAEAE"/>
              <w:right w:val="nil"/>
            </w:tcBorders>
            <w:shd w:val="clear" w:color="auto" w:fill="auto"/>
          </w:tcPr>
          <w:p w14:paraId="228D6B48"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r w:rsidRPr="00400193">
              <w:rPr>
                <w:rFonts w:asciiTheme="minorHAnsi" w:hAnsiTheme="minorHAnsi" w:cstheme="minorHAnsi"/>
                <w:sz w:val="20"/>
                <w:szCs w:val="18"/>
                <w:vertAlign w:val="superscript"/>
                <w:lang w:eastAsia="zh-CN" w:bidi="hi-IN"/>
              </w:rPr>
              <w:t>b</w:t>
            </w:r>
          </w:p>
        </w:tc>
      </w:tr>
      <w:tr w:rsidR="006E3616" w:rsidRPr="00400193" w14:paraId="6F601DF8" w14:textId="77777777" w:rsidTr="00E724BF">
        <w:trPr>
          <w:cantSplit/>
          <w:trHeight w:val="283"/>
        </w:trPr>
        <w:tc>
          <w:tcPr>
            <w:tcW w:w="704" w:type="dxa"/>
            <w:vMerge/>
            <w:tcBorders>
              <w:top w:val="single" w:sz="8" w:space="0" w:color="152935"/>
              <w:left w:val="nil"/>
              <w:bottom w:val="single" w:sz="8" w:space="0" w:color="152935"/>
              <w:right w:val="nil"/>
            </w:tcBorders>
            <w:shd w:val="clear" w:color="auto" w:fill="auto"/>
          </w:tcPr>
          <w:p w14:paraId="510F18CF"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34" w:type="dxa"/>
            <w:tcBorders>
              <w:top w:val="single" w:sz="8" w:space="0" w:color="AEAEAE"/>
              <w:left w:val="nil"/>
              <w:bottom w:val="single" w:sz="8" w:space="0" w:color="AEAEAE"/>
              <w:right w:val="nil"/>
            </w:tcBorders>
            <w:shd w:val="clear" w:color="auto" w:fill="auto"/>
          </w:tcPr>
          <w:p w14:paraId="4B37B11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412" w:type="dxa"/>
            <w:tcBorders>
              <w:top w:val="single" w:sz="8" w:space="0" w:color="AEAEAE"/>
              <w:left w:val="nil"/>
              <w:bottom w:val="single" w:sz="8" w:space="0" w:color="AEAEAE"/>
              <w:right w:val="single" w:sz="8" w:space="0" w:color="E0E0E0"/>
            </w:tcBorders>
            <w:shd w:val="clear" w:color="auto" w:fill="auto"/>
          </w:tcPr>
          <w:p w14:paraId="32927F4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12.798</w:t>
            </w:r>
          </w:p>
        </w:tc>
        <w:tc>
          <w:tcPr>
            <w:tcW w:w="985" w:type="dxa"/>
            <w:tcBorders>
              <w:top w:val="single" w:sz="8" w:space="0" w:color="AEAEAE"/>
              <w:left w:val="single" w:sz="8" w:space="0" w:color="E0E0E0"/>
              <w:bottom w:val="single" w:sz="8" w:space="0" w:color="AEAEAE"/>
              <w:right w:val="single" w:sz="8" w:space="0" w:color="E0E0E0"/>
            </w:tcBorders>
            <w:shd w:val="clear" w:color="auto" w:fill="auto"/>
          </w:tcPr>
          <w:p w14:paraId="392A77A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w:t>
            </w:r>
          </w:p>
        </w:tc>
        <w:tc>
          <w:tcPr>
            <w:tcW w:w="1353" w:type="dxa"/>
            <w:tcBorders>
              <w:top w:val="single" w:sz="8" w:space="0" w:color="AEAEAE"/>
              <w:left w:val="single" w:sz="8" w:space="0" w:color="E0E0E0"/>
              <w:bottom w:val="single" w:sz="8" w:space="0" w:color="AEAEAE"/>
              <w:right w:val="single" w:sz="8" w:space="0" w:color="E0E0E0"/>
            </w:tcBorders>
            <w:shd w:val="clear" w:color="auto" w:fill="auto"/>
          </w:tcPr>
          <w:p w14:paraId="2D3E055C"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.128</w:t>
            </w:r>
          </w:p>
        </w:tc>
        <w:tc>
          <w:tcPr>
            <w:tcW w:w="985" w:type="dxa"/>
            <w:tcBorders>
              <w:top w:val="single" w:sz="8" w:space="0" w:color="AEAEAE"/>
              <w:left w:val="single" w:sz="8" w:space="0" w:color="E0E0E0"/>
              <w:bottom w:val="single" w:sz="8" w:space="0" w:color="AEAEAE"/>
              <w:right w:val="single" w:sz="8" w:space="0" w:color="E0E0E0"/>
            </w:tcBorders>
            <w:shd w:val="clear" w:color="auto" w:fill="auto"/>
          </w:tcPr>
          <w:p w14:paraId="3F606846"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2221" w:type="dxa"/>
            <w:tcBorders>
              <w:top w:val="single" w:sz="8" w:space="0" w:color="AEAEAE"/>
              <w:left w:val="single" w:sz="8" w:space="0" w:color="E0E0E0"/>
              <w:bottom w:val="single" w:sz="8" w:space="0" w:color="AEAEAE"/>
              <w:right w:val="nil"/>
            </w:tcBorders>
            <w:shd w:val="clear" w:color="auto" w:fill="auto"/>
          </w:tcPr>
          <w:p w14:paraId="708D14B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r>
      <w:tr w:rsidR="006E3616" w:rsidRPr="00400193" w14:paraId="1C635F6A" w14:textId="77777777" w:rsidTr="00E724BF">
        <w:trPr>
          <w:cantSplit/>
          <w:trHeight w:val="283"/>
        </w:trPr>
        <w:tc>
          <w:tcPr>
            <w:tcW w:w="704" w:type="dxa"/>
            <w:vMerge/>
            <w:tcBorders>
              <w:top w:val="single" w:sz="8" w:space="0" w:color="152935"/>
              <w:left w:val="nil"/>
              <w:bottom w:val="single" w:sz="8" w:space="0" w:color="152935"/>
              <w:right w:val="nil"/>
            </w:tcBorders>
            <w:shd w:val="clear" w:color="auto" w:fill="auto"/>
          </w:tcPr>
          <w:p w14:paraId="556AB88A"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1234" w:type="dxa"/>
            <w:tcBorders>
              <w:top w:val="single" w:sz="8" w:space="0" w:color="AEAEAE"/>
              <w:left w:val="nil"/>
              <w:bottom w:val="single" w:sz="8" w:space="0" w:color="152935"/>
              <w:right w:val="nil"/>
            </w:tcBorders>
            <w:shd w:val="clear" w:color="auto" w:fill="auto"/>
          </w:tcPr>
          <w:p w14:paraId="7A36734D"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Total</w:t>
            </w:r>
          </w:p>
        </w:tc>
        <w:tc>
          <w:tcPr>
            <w:tcW w:w="1412" w:type="dxa"/>
            <w:tcBorders>
              <w:top w:val="single" w:sz="8" w:space="0" w:color="AEAEAE"/>
              <w:left w:val="nil"/>
              <w:bottom w:val="single" w:sz="8" w:space="0" w:color="152935"/>
              <w:right w:val="single" w:sz="8" w:space="0" w:color="E0E0E0"/>
            </w:tcBorders>
            <w:shd w:val="clear" w:color="auto" w:fill="auto"/>
          </w:tcPr>
          <w:p w14:paraId="15F243C4"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36.317</w:t>
            </w:r>
          </w:p>
        </w:tc>
        <w:tc>
          <w:tcPr>
            <w:tcW w:w="985" w:type="dxa"/>
            <w:tcBorders>
              <w:top w:val="single" w:sz="8" w:space="0" w:color="AEAEAE"/>
              <w:left w:val="single" w:sz="8" w:space="0" w:color="E0E0E0"/>
              <w:bottom w:val="single" w:sz="8" w:space="0" w:color="152935"/>
              <w:right w:val="single" w:sz="8" w:space="0" w:color="E0E0E0"/>
            </w:tcBorders>
            <w:shd w:val="clear" w:color="auto" w:fill="auto"/>
          </w:tcPr>
          <w:p w14:paraId="0A1E742C"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103</w:t>
            </w:r>
          </w:p>
        </w:tc>
        <w:tc>
          <w:tcPr>
            <w:tcW w:w="1353" w:type="dxa"/>
            <w:tcBorders>
              <w:top w:val="single" w:sz="8" w:space="0" w:color="AEAEAE"/>
              <w:left w:val="single" w:sz="8" w:space="0" w:color="E0E0E0"/>
              <w:bottom w:val="single" w:sz="8" w:space="0" w:color="152935"/>
              <w:right w:val="single" w:sz="8" w:space="0" w:color="E0E0E0"/>
            </w:tcBorders>
            <w:shd w:val="clear" w:color="auto" w:fill="auto"/>
          </w:tcPr>
          <w:p w14:paraId="4D5B77C7"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985" w:type="dxa"/>
            <w:tcBorders>
              <w:top w:val="single" w:sz="8" w:space="0" w:color="AEAEAE"/>
              <w:left w:val="single" w:sz="8" w:space="0" w:color="E0E0E0"/>
              <w:bottom w:val="single" w:sz="8" w:space="0" w:color="152935"/>
              <w:right w:val="single" w:sz="8" w:space="0" w:color="E0E0E0"/>
            </w:tcBorders>
            <w:shd w:val="clear" w:color="auto" w:fill="auto"/>
          </w:tcPr>
          <w:p w14:paraId="490EE52F"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c>
          <w:tcPr>
            <w:tcW w:w="2221" w:type="dxa"/>
            <w:tcBorders>
              <w:top w:val="single" w:sz="8" w:space="0" w:color="AEAEAE"/>
              <w:left w:val="single" w:sz="8" w:space="0" w:color="E0E0E0"/>
              <w:bottom w:val="single" w:sz="8" w:space="0" w:color="152935"/>
              <w:right w:val="nil"/>
            </w:tcBorders>
            <w:shd w:val="clear" w:color="auto" w:fill="auto"/>
          </w:tcPr>
          <w:p w14:paraId="5B7B1862"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p>
        </w:tc>
      </w:tr>
      <w:tr w:rsidR="006E3616" w:rsidRPr="00400193" w14:paraId="3D67CFDD" w14:textId="77777777" w:rsidTr="00E724BF">
        <w:trPr>
          <w:cantSplit/>
          <w:trHeight w:val="283"/>
        </w:trPr>
        <w:tc>
          <w:tcPr>
            <w:tcW w:w="8894" w:type="dxa"/>
            <w:gridSpan w:val="7"/>
            <w:tcBorders>
              <w:top w:val="nil"/>
              <w:left w:val="nil"/>
              <w:bottom w:val="nil"/>
              <w:right w:val="nil"/>
            </w:tcBorders>
            <w:shd w:val="clear" w:color="auto" w:fill="auto"/>
          </w:tcPr>
          <w:p w14:paraId="2B5029FE" w14:textId="77777777" w:rsidR="006E3616" w:rsidRPr="00400193" w:rsidRDefault="006E3616" w:rsidP="00E724BF">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a. Dependent Variable: VW</w:t>
            </w:r>
          </w:p>
        </w:tc>
      </w:tr>
      <w:tr w:rsidR="006E3616" w:rsidRPr="00400193" w14:paraId="16A1B68E" w14:textId="77777777" w:rsidTr="00E724BF">
        <w:trPr>
          <w:cantSplit/>
          <w:trHeight w:val="283"/>
        </w:trPr>
        <w:tc>
          <w:tcPr>
            <w:tcW w:w="8894" w:type="dxa"/>
            <w:gridSpan w:val="7"/>
            <w:tcBorders>
              <w:top w:val="nil"/>
              <w:left w:val="nil"/>
              <w:bottom w:val="nil"/>
              <w:right w:val="nil"/>
            </w:tcBorders>
            <w:shd w:val="clear" w:color="auto" w:fill="auto"/>
          </w:tcPr>
          <w:p w14:paraId="529E1BEA" w14:textId="7E485000" w:rsidR="006E3616" w:rsidRPr="00400193" w:rsidRDefault="006E3616" w:rsidP="00E724BF">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 xml:space="preserve">b. Predictors: (Constant), </w:t>
            </w:r>
            <w:r w:rsidR="00DD07A5" w:rsidRPr="00400193">
              <w:rPr>
                <w:rFonts w:asciiTheme="minorHAnsi" w:hAnsiTheme="minorHAnsi" w:cstheme="minorHAnsi"/>
                <w:sz w:val="20"/>
                <w:szCs w:val="18"/>
                <w:lang w:eastAsia="zh-CN" w:bidi="hi-IN"/>
              </w:rPr>
              <w:t>IRF</w:t>
            </w:r>
            <w:r w:rsidRPr="00400193">
              <w:rPr>
                <w:rFonts w:asciiTheme="minorHAnsi" w:hAnsiTheme="minorHAnsi" w:cstheme="minorHAnsi"/>
                <w:sz w:val="20"/>
                <w:szCs w:val="18"/>
                <w:lang w:eastAsia="zh-CN" w:bidi="hi-IN"/>
              </w:rPr>
              <w:t>*ORe, OR</w:t>
            </w:r>
            <w:r w:rsidR="00E724BF" w:rsidRPr="00400193">
              <w:rPr>
                <w:rFonts w:asciiTheme="minorHAnsi" w:hAnsiTheme="minorHAnsi" w:cstheme="minorHAnsi"/>
                <w:sz w:val="20"/>
                <w:szCs w:val="18"/>
                <w:lang w:eastAsia="zh-CN" w:bidi="hi-IN"/>
              </w:rPr>
              <w:t>e</w:t>
            </w:r>
            <w:r w:rsidRPr="00400193">
              <w:rPr>
                <w:rFonts w:asciiTheme="minorHAnsi" w:hAnsiTheme="minorHAnsi" w:cstheme="minorHAnsi"/>
                <w:sz w:val="20"/>
                <w:szCs w:val="18"/>
                <w:lang w:eastAsia="zh-CN" w:bidi="hi-IN"/>
              </w:rPr>
              <w:t xml:space="preserve">, </w:t>
            </w:r>
            <w:r w:rsidR="00DD07A5" w:rsidRPr="00400193">
              <w:rPr>
                <w:rFonts w:asciiTheme="minorHAnsi" w:hAnsiTheme="minorHAnsi" w:cstheme="minorHAnsi"/>
                <w:sz w:val="20"/>
                <w:szCs w:val="18"/>
                <w:lang w:eastAsia="zh-CN" w:bidi="hi-IN"/>
              </w:rPr>
              <w:t>IRF</w:t>
            </w:r>
          </w:p>
        </w:tc>
      </w:tr>
    </w:tbl>
    <w:p w14:paraId="54E51131" w14:textId="51F83090" w:rsidR="006E3616" w:rsidRPr="00400193" w:rsidRDefault="006E3616" w:rsidP="00E724BF">
      <w:pPr>
        <w:pStyle w:val="Caption"/>
        <w:spacing w:after="240"/>
      </w:pPr>
      <w:bookmarkStart w:id="823" w:name="_Ref51592516"/>
      <w:bookmarkStart w:id="824" w:name="_Toc5290165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111</w:t>
      </w:r>
      <w:r w:rsidRPr="00400193">
        <w:fldChar w:fldCharType="end"/>
      </w:r>
      <w:bookmarkEnd w:id="823"/>
      <w:r w:rsidRPr="00400193">
        <w:t>: Analysis of variance of the model for VW</w:t>
      </w:r>
      <w:bookmarkEnd w:id="824"/>
    </w:p>
    <w:tbl>
      <w:tblPr>
        <w:tblW w:w="90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5"/>
        <w:gridCol w:w="1161"/>
        <w:gridCol w:w="953"/>
        <w:gridCol w:w="1387"/>
        <w:gridCol w:w="2166"/>
        <w:gridCol w:w="688"/>
        <w:gridCol w:w="698"/>
        <w:gridCol w:w="1478"/>
      </w:tblGrid>
      <w:tr w:rsidR="006E3616" w:rsidRPr="00400193" w14:paraId="081E53A0" w14:textId="77777777" w:rsidTr="004E0865">
        <w:trPr>
          <w:cantSplit/>
          <w:trHeight w:val="283"/>
        </w:trPr>
        <w:tc>
          <w:tcPr>
            <w:tcW w:w="9016" w:type="dxa"/>
            <w:gridSpan w:val="8"/>
            <w:tcBorders>
              <w:top w:val="nil"/>
              <w:left w:val="nil"/>
              <w:bottom w:val="nil"/>
              <w:right w:val="nil"/>
            </w:tcBorders>
            <w:shd w:val="clear" w:color="auto" w:fill="auto"/>
          </w:tcPr>
          <w:p w14:paraId="69449BE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Coefficients </w:t>
            </w:r>
            <w:r w:rsidRPr="00400193">
              <w:rPr>
                <w:rFonts w:asciiTheme="minorHAnsi" w:hAnsiTheme="minorHAnsi" w:cstheme="minorHAnsi"/>
                <w:b/>
                <w:bCs/>
                <w:sz w:val="20"/>
                <w:szCs w:val="20"/>
                <w:vertAlign w:val="superscript"/>
                <w:lang w:eastAsia="zh-CN" w:bidi="hi-IN"/>
              </w:rPr>
              <w:t>a</w:t>
            </w:r>
          </w:p>
        </w:tc>
      </w:tr>
      <w:tr w:rsidR="006E3616" w:rsidRPr="00400193" w14:paraId="62D540C1" w14:textId="77777777" w:rsidTr="004E0865">
        <w:trPr>
          <w:cantSplit/>
          <w:trHeight w:val="283"/>
        </w:trPr>
        <w:tc>
          <w:tcPr>
            <w:tcW w:w="1646" w:type="dxa"/>
            <w:gridSpan w:val="2"/>
            <w:vMerge w:val="restart"/>
            <w:tcBorders>
              <w:top w:val="nil"/>
              <w:left w:val="nil"/>
              <w:bottom w:val="nil"/>
              <w:right w:val="nil"/>
            </w:tcBorders>
            <w:shd w:val="clear" w:color="auto" w:fill="auto"/>
          </w:tcPr>
          <w:p w14:paraId="0E7ADF0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2340" w:type="dxa"/>
            <w:gridSpan w:val="2"/>
            <w:tcBorders>
              <w:top w:val="nil"/>
              <w:left w:val="nil"/>
              <w:bottom w:val="nil"/>
              <w:right w:val="single" w:sz="8" w:space="0" w:color="E0E0E0"/>
            </w:tcBorders>
            <w:shd w:val="clear" w:color="auto" w:fill="auto"/>
          </w:tcPr>
          <w:p w14:paraId="1ACA77A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Unstandardised Coefficients</w:t>
            </w:r>
          </w:p>
        </w:tc>
        <w:tc>
          <w:tcPr>
            <w:tcW w:w="2166" w:type="dxa"/>
            <w:tcBorders>
              <w:top w:val="nil"/>
              <w:left w:val="single" w:sz="8" w:space="0" w:color="E0E0E0"/>
              <w:bottom w:val="nil"/>
              <w:right w:val="single" w:sz="8" w:space="0" w:color="E0E0E0"/>
            </w:tcBorders>
            <w:shd w:val="clear" w:color="auto" w:fill="auto"/>
          </w:tcPr>
          <w:p w14:paraId="645CAA9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Standardised Coefficients</w:t>
            </w:r>
          </w:p>
        </w:tc>
        <w:tc>
          <w:tcPr>
            <w:tcW w:w="688" w:type="dxa"/>
            <w:vMerge w:val="restart"/>
            <w:tcBorders>
              <w:top w:val="nil"/>
              <w:left w:val="single" w:sz="8" w:space="0" w:color="E0E0E0"/>
              <w:bottom w:val="nil"/>
              <w:right w:val="single" w:sz="8" w:space="0" w:color="E0E0E0"/>
            </w:tcBorders>
            <w:shd w:val="clear" w:color="auto" w:fill="auto"/>
          </w:tcPr>
          <w:p w14:paraId="52093ECB" w14:textId="2D2228D7" w:rsidR="006E3616" w:rsidRPr="00400193" w:rsidRDefault="004E0865"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T</w:t>
            </w:r>
          </w:p>
        </w:tc>
        <w:tc>
          <w:tcPr>
            <w:tcW w:w="698" w:type="dxa"/>
            <w:vMerge w:val="restart"/>
            <w:tcBorders>
              <w:top w:val="nil"/>
              <w:left w:val="single" w:sz="8" w:space="0" w:color="E0E0E0"/>
              <w:bottom w:val="nil"/>
              <w:right w:val="single" w:sz="8" w:space="0" w:color="E0E0E0"/>
            </w:tcBorders>
            <w:shd w:val="clear" w:color="auto" w:fill="auto"/>
          </w:tcPr>
          <w:p w14:paraId="47BAC6B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Sig.</w:t>
            </w:r>
          </w:p>
        </w:tc>
        <w:tc>
          <w:tcPr>
            <w:tcW w:w="1478" w:type="dxa"/>
            <w:tcBorders>
              <w:top w:val="nil"/>
              <w:left w:val="single" w:sz="8" w:space="0" w:color="E0E0E0"/>
              <w:bottom w:val="nil"/>
              <w:right w:val="nil"/>
            </w:tcBorders>
            <w:shd w:val="clear" w:color="auto" w:fill="auto"/>
          </w:tcPr>
          <w:p w14:paraId="63663392"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Correlations</w:t>
            </w:r>
          </w:p>
        </w:tc>
      </w:tr>
      <w:tr w:rsidR="006E3616" w:rsidRPr="00400193" w14:paraId="45276B54" w14:textId="77777777" w:rsidTr="004E0865">
        <w:trPr>
          <w:cantSplit/>
          <w:trHeight w:val="283"/>
        </w:trPr>
        <w:tc>
          <w:tcPr>
            <w:tcW w:w="1646" w:type="dxa"/>
            <w:gridSpan w:val="2"/>
            <w:vMerge/>
            <w:tcBorders>
              <w:top w:val="nil"/>
              <w:left w:val="nil"/>
              <w:bottom w:val="nil"/>
              <w:right w:val="nil"/>
            </w:tcBorders>
            <w:shd w:val="clear" w:color="auto" w:fill="auto"/>
          </w:tcPr>
          <w:p w14:paraId="2A22085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953" w:type="dxa"/>
            <w:tcBorders>
              <w:top w:val="nil"/>
              <w:left w:val="nil"/>
              <w:bottom w:val="single" w:sz="8" w:space="0" w:color="152935"/>
              <w:right w:val="single" w:sz="8" w:space="0" w:color="E0E0E0"/>
            </w:tcBorders>
            <w:shd w:val="clear" w:color="auto" w:fill="auto"/>
          </w:tcPr>
          <w:p w14:paraId="76A72F2C"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w:t>
            </w:r>
          </w:p>
        </w:tc>
        <w:tc>
          <w:tcPr>
            <w:tcW w:w="1387" w:type="dxa"/>
            <w:tcBorders>
              <w:top w:val="nil"/>
              <w:left w:val="single" w:sz="8" w:space="0" w:color="E0E0E0"/>
              <w:bottom w:val="single" w:sz="8" w:space="0" w:color="152935"/>
              <w:right w:val="single" w:sz="8" w:space="0" w:color="E0E0E0"/>
            </w:tcBorders>
            <w:shd w:val="clear" w:color="auto" w:fill="auto"/>
          </w:tcPr>
          <w:p w14:paraId="06C999F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Std. Error</w:t>
            </w:r>
          </w:p>
        </w:tc>
        <w:tc>
          <w:tcPr>
            <w:tcW w:w="2166" w:type="dxa"/>
            <w:tcBorders>
              <w:top w:val="nil"/>
              <w:left w:val="single" w:sz="8" w:space="0" w:color="E0E0E0"/>
              <w:bottom w:val="single" w:sz="8" w:space="0" w:color="152935"/>
              <w:right w:val="single" w:sz="8" w:space="0" w:color="E0E0E0"/>
            </w:tcBorders>
            <w:shd w:val="clear" w:color="auto" w:fill="auto"/>
          </w:tcPr>
          <w:p w14:paraId="7F23FFED"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Beta</w:t>
            </w:r>
          </w:p>
        </w:tc>
        <w:tc>
          <w:tcPr>
            <w:tcW w:w="688" w:type="dxa"/>
            <w:vMerge/>
            <w:tcBorders>
              <w:top w:val="nil"/>
              <w:left w:val="single" w:sz="8" w:space="0" w:color="E0E0E0"/>
              <w:bottom w:val="nil"/>
              <w:right w:val="single" w:sz="8" w:space="0" w:color="E0E0E0"/>
            </w:tcBorders>
            <w:shd w:val="clear" w:color="auto" w:fill="auto"/>
          </w:tcPr>
          <w:p w14:paraId="231E229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698" w:type="dxa"/>
            <w:vMerge/>
            <w:tcBorders>
              <w:top w:val="nil"/>
              <w:left w:val="single" w:sz="8" w:space="0" w:color="E0E0E0"/>
              <w:bottom w:val="nil"/>
              <w:right w:val="single" w:sz="8" w:space="0" w:color="E0E0E0"/>
            </w:tcBorders>
            <w:shd w:val="clear" w:color="auto" w:fill="auto"/>
          </w:tcPr>
          <w:p w14:paraId="56216EC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478" w:type="dxa"/>
            <w:tcBorders>
              <w:top w:val="nil"/>
              <w:left w:val="single" w:sz="8" w:space="0" w:color="E0E0E0"/>
              <w:bottom w:val="single" w:sz="8" w:space="0" w:color="152935"/>
              <w:right w:val="nil"/>
            </w:tcBorders>
            <w:shd w:val="clear" w:color="auto" w:fill="auto"/>
          </w:tcPr>
          <w:p w14:paraId="5BA43238"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Zero-order</w:t>
            </w:r>
          </w:p>
        </w:tc>
      </w:tr>
      <w:tr w:rsidR="006E3616" w:rsidRPr="00400193" w14:paraId="4D9F974C" w14:textId="77777777" w:rsidTr="004E0865">
        <w:trPr>
          <w:cantSplit/>
          <w:trHeight w:val="283"/>
        </w:trPr>
        <w:tc>
          <w:tcPr>
            <w:tcW w:w="485" w:type="dxa"/>
            <w:vMerge w:val="restart"/>
            <w:tcBorders>
              <w:top w:val="single" w:sz="8" w:space="0" w:color="152935"/>
              <w:left w:val="nil"/>
              <w:bottom w:val="single" w:sz="8" w:space="0" w:color="152935"/>
              <w:right w:val="nil"/>
            </w:tcBorders>
            <w:shd w:val="clear" w:color="auto" w:fill="auto"/>
          </w:tcPr>
          <w:p w14:paraId="144D5F5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61" w:type="dxa"/>
            <w:tcBorders>
              <w:top w:val="single" w:sz="8" w:space="0" w:color="152935"/>
              <w:left w:val="nil"/>
              <w:bottom w:val="single" w:sz="8" w:space="0" w:color="AEAEAE"/>
              <w:right w:val="nil"/>
            </w:tcBorders>
            <w:shd w:val="clear" w:color="auto" w:fill="auto"/>
          </w:tcPr>
          <w:p w14:paraId="774E6C2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953" w:type="dxa"/>
            <w:tcBorders>
              <w:top w:val="single" w:sz="8" w:space="0" w:color="152935"/>
              <w:left w:val="nil"/>
              <w:bottom w:val="single" w:sz="8" w:space="0" w:color="AEAEAE"/>
              <w:right w:val="single" w:sz="8" w:space="0" w:color="E0E0E0"/>
            </w:tcBorders>
            <w:shd w:val="clear" w:color="auto" w:fill="auto"/>
          </w:tcPr>
          <w:p w14:paraId="1699250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.289</w:t>
            </w:r>
          </w:p>
        </w:tc>
        <w:tc>
          <w:tcPr>
            <w:tcW w:w="1387" w:type="dxa"/>
            <w:tcBorders>
              <w:top w:val="single" w:sz="8" w:space="0" w:color="152935"/>
              <w:left w:val="single" w:sz="8" w:space="0" w:color="E0E0E0"/>
              <w:bottom w:val="single" w:sz="8" w:space="0" w:color="AEAEAE"/>
              <w:right w:val="single" w:sz="8" w:space="0" w:color="E0E0E0"/>
            </w:tcBorders>
            <w:shd w:val="clear" w:color="auto" w:fill="auto"/>
          </w:tcPr>
          <w:p w14:paraId="0C2E9BB8"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.535</w:t>
            </w:r>
          </w:p>
        </w:tc>
        <w:tc>
          <w:tcPr>
            <w:tcW w:w="2166" w:type="dxa"/>
            <w:tcBorders>
              <w:top w:val="single" w:sz="8" w:space="0" w:color="152935"/>
              <w:left w:val="single" w:sz="8" w:space="0" w:color="E0E0E0"/>
              <w:bottom w:val="single" w:sz="8" w:space="0" w:color="AEAEAE"/>
              <w:right w:val="single" w:sz="8" w:space="0" w:color="E0E0E0"/>
            </w:tcBorders>
            <w:shd w:val="clear" w:color="auto" w:fill="auto"/>
          </w:tcPr>
          <w:p w14:paraId="7318A653"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688" w:type="dxa"/>
            <w:tcBorders>
              <w:top w:val="single" w:sz="8" w:space="0" w:color="152935"/>
              <w:left w:val="single" w:sz="8" w:space="0" w:color="E0E0E0"/>
              <w:bottom w:val="single" w:sz="8" w:space="0" w:color="AEAEAE"/>
              <w:right w:val="single" w:sz="8" w:space="0" w:color="E0E0E0"/>
            </w:tcBorders>
            <w:shd w:val="clear" w:color="auto" w:fill="auto"/>
          </w:tcPr>
          <w:p w14:paraId="13B1BF1B"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.540</w:t>
            </w:r>
          </w:p>
        </w:tc>
        <w:tc>
          <w:tcPr>
            <w:tcW w:w="698" w:type="dxa"/>
            <w:tcBorders>
              <w:top w:val="single" w:sz="8" w:space="0" w:color="152935"/>
              <w:left w:val="single" w:sz="8" w:space="0" w:color="E0E0E0"/>
              <w:bottom w:val="single" w:sz="8" w:space="0" w:color="AEAEAE"/>
              <w:right w:val="single" w:sz="8" w:space="0" w:color="E0E0E0"/>
            </w:tcBorders>
            <w:shd w:val="clear" w:color="auto" w:fill="auto"/>
          </w:tcPr>
          <w:p w14:paraId="24FD398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.590</w:t>
            </w:r>
          </w:p>
        </w:tc>
        <w:tc>
          <w:tcPr>
            <w:tcW w:w="1478" w:type="dxa"/>
            <w:tcBorders>
              <w:top w:val="single" w:sz="8" w:space="0" w:color="152935"/>
              <w:left w:val="single" w:sz="8" w:space="0" w:color="E0E0E0"/>
              <w:bottom w:val="single" w:sz="8" w:space="0" w:color="AEAEAE"/>
              <w:right w:val="nil"/>
            </w:tcBorders>
            <w:shd w:val="clear" w:color="auto" w:fill="auto"/>
          </w:tcPr>
          <w:p w14:paraId="2194341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r>
      <w:tr w:rsidR="006E3616" w:rsidRPr="00400193" w14:paraId="6BD8DC95" w14:textId="77777777" w:rsidTr="004E0865">
        <w:trPr>
          <w:cantSplit/>
          <w:trHeight w:val="283"/>
        </w:trPr>
        <w:tc>
          <w:tcPr>
            <w:tcW w:w="485" w:type="dxa"/>
            <w:vMerge/>
            <w:tcBorders>
              <w:top w:val="single" w:sz="8" w:space="0" w:color="152935"/>
              <w:left w:val="nil"/>
              <w:bottom w:val="single" w:sz="8" w:space="0" w:color="152935"/>
              <w:right w:val="nil"/>
            </w:tcBorders>
            <w:shd w:val="clear" w:color="auto" w:fill="auto"/>
          </w:tcPr>
          <w:p w14:paraId="7E7C0DE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1" w:type="dxa"/>
            <w:tcBorders>
              <w:top w:val="single" w:sz="8" w:space="0" w:color="AEAEAE"/>
              <w:left w:val="nil"/>
              <w:bottom w:val="single" w:sz="8" w:space="0" w:color="AEAEAE"/>
              <w:right w:val="nil"/>
            </w:tcBorders>
            <w:shd w:val="clear" w:color="auto" w:fill="auto"/>
          </w:tcPr>
          <w:p w14:paraId="782D77A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OR</w:t>
            </w:r>
          </w:p>
        </w:tc>
        <w:tc>
          <w:tcPr>
            <w:tcW w:w="953" w:type="dxa"/>
            <w:tcBorders>
              <w:top w:val="single" w:sz="8" w:space="0" w:color="AEAEAE"/>
              <w:left w:val="nil"/>
              <w:bottom w:val="single" w:sz="8" w:space="0" w:color="AEAEAE"/>
              <w:right w:val="single" w:sz="8" w:space="0" w:color="E0E0E0"/>
            </w:tcBorders>
            <w:shd w:val="clear" w:color="auto" w:fill="auto"/>
          </w:tcPr>
          <w:p w14:paraId="035553A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.304</w:t>
            </w:r>
          </w:p>
        </w:tc>
        <w:tc>
          <w:tcPr>
            <w:tcW w:w="1387" w:type="dxa"/>
            <w:tcBorders>
              <w:top w:val="single" w:sz="8" w:space="0" w:color="AEAEAE"/>
              <w:left w:val="single" w:sz="8" w:space="0" w:color="E0E0E0"/>
              <w:bottom w:val="single" w:sz="8" w:space="0" w:color="AEAEAE"/>
              <w:right w:val="single" w:sz="8" w:space="0" w:color="E0E0E0"/>
            </w:tcBorders>
            <w:shd w:val="clear" w:color="auto" w:fill="auto"/>
          </w:tcPr>
          <w:p w14:paraId="7B774133"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.128</w:t>
            </w:r>
          </w:p>
        </w:tc>
        <w:tc>
          <w:tcPr>
            <w:tcW w:w="2166" w:type="dxa"/>
            <w:tcBorders>
              <w:top w:val="single" w:sz="8" w:space="0" w:color="AEAEAE"/>
              <w:left w:val="single" w:sz="8" w:space="0" w:color="E0E0E0"/>
              <w:bottom w:val="single" w:sz="8" w:space="0" w:color="AEAEAE"/>
              <w:right w:val="single" w:sz="8" w:space="0" w:color="E0E0E0"/>
            </w:tcBorders>
            <w:shd w:val="clear" w:color="auto" w:fill="auto"/>
          </w:tcPr>
          <w:p w14:paraId="290D3452"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.385</w:t>
            </w:r>
          </w:p>
        </w:tc>
        <w:tc>
          <w:tcPr>
            <w:tcW w:w="688" w:type="dxa"/>
            <w:tcBorders>
              <w:top w:val="single" w:sz="8" w:space="0" w:color="AEAEAE"/>
              <w:left w:val="single" w:sz="8" w:space="0" w:color="E0E0E0"/>
              <w:bottom w:val="single" w:sz="8" w:space="0" w:color="AEAEAE"/>
              <w:right w:val="single" w:sz="8" w:space="0" w:color="E0E0E0"/>
            </w:tcBorders>
            <w:shd w:val="clear" w:color="auto" w:fill="auto"/>
          </w:tcPr>
          <w:p w14:paraId="7A9D02D4" w14:textId="113842E6" w:rsidR="006E3616" w:rsidRPr="00400193" w:rsidRDefault="00733D9D"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w:t>
            </w:r>
            <w:r w:rsidR="006E3616" w:rsidRPr="00400193">
              <w:rPr>
                <w:rFonts w:asciiTheme="minorHAnsi" w:hAnsiTheme="minorHAnsi" w:cstheme="minorHAnsi"/>
                <w:sz w:val="20"/>
                <w:szCs w:val="20"/>
                <w:lang w:eastAsia="zh-CN" w:bidi="hi-IN"/>
              </w:rPr>
              <w:t>.377</w:t>
            </w:r>
          </w:p>
        </w:tc>
        <w:tc>
          <w:tcPr>
            <w:tcW w:w="698" w:type="dxa"/>
            <w:tcBorders>
              <w:top w:val="single" w:sz="8" w:space="0" w:color="AEAEAE"/>
              <w:left w:val="single" w:sz="8" w:space="0" w:color="E0E0E0"/>
              <w:bottom w:val="single" w:sz="8" w:space="0" w:color="AEAEAE"/>
              <w:right w:val="single" w:sz="8" w:space="0" w:color="E0E0E0"/>
            </w:tcBorders>
            <w:shd w:val="clear" w:color="auto" w:fill="auto"/>
          </w:tcPr>
          <w:p w14:paraId="7482856F" w14:textId="7C38920E"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w:t>
            </w:r>
            <w:r w:rsidR="00733D9D" w:rsidRPr="00400193">
              <w:rPr>
                <w:rFonts w:asciiTheme="minorHAnsi" w:hAnsiTheme="minorHAnsi" w:cstheme="minorHAnsi"/>
                <w:sz w:val="20"/>
                <w:szCs w:val="20"/>
                <w:lang w:eastAsia="zh-CN" w:bidi="hi-IN"/>
              </w:rPr>
              <w:t>000</w:t>
            </w:r>
            <w:r w:rsidRPr="00400193">
              <w:rPr>
                <w:rFonts w:asciiTheme="minorHAnsi" w:hAnsiTheme="minorHAnsi" w:cstheme="minorHAnsi"/>
                <w:sz w:val="20"/>
                <w:szCs w:val="20"/>
                <w:lang w:eastAsia="zh-CN" w:bidi="hi-IN"/>
              </w:rPr>
              <w:t>019</w:t>
            </w:r>
          </w:p>
        </w:tc>
        <w:tc>
          <w:tcPr>
            <w:tcW w:w="1478" w:type="dxa"/>
            <w:tcBorders>
              <w:top w:val="single" w:sz="8" w:space="0" w:color="AEAEAE"/>
              <w:left w:val="single" w:sz="8" w:space="0" w:color="E0E0E0"/>
              <w:bottom w:val="single" w:sz="8" w:space="0" w:color="AEAEAE"/>
              <w:right w:val="nil"/>
            </w:tcBorders>
            <w:shd w:val="clear" w:color="auto" w:fill="auto"/>
          </w:tcPr>
          <w:p w14:paraId="4E45EE6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.142</w:t>
            </w:r>
          </w:p>
        </w:tc>
      </w:tr>
      <w:tr w:rsidR="006E3616" w:rsidRPr="00400193" w14:paraId="42119444" w14:textId="77777777" w:rsidTr="004E0865">
        <w:trPr>
          <w:cantSplit/>
          <w:trHeight w:val="283"/>
        </w:trPr>
        <w:tc>
          <w:tcPr>
            <w:tcW w:w="485" w:type="dxa"/>
            <w:vMerge/>
            <w:tcBorders>
              <w:top w:val="single" w:sz="8" w:space="0" w:color="152935"/>
              <w:left w:val="nil"/>
              <w:bottom w:val="single" w:sz="8" w:space="0" w:color="152935"/>
              <w:right w:val="nil"/>
            </w:tcBorders>
            <w:shd w:val="clear" w:color="auto" w:fill="auto"/>
          </w:tcPr>
          <w:p w14:paraId="79932C2C"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1" w:type="dxa"/>
            <w:tcBorders>
              <w:top w:val="single" w:sz="8" w:space="0" w:color="AEAEAE"/>
              <w:left w:val="nil"/>
              <w:bottom w:val="single" w:sz="8" w:space="0" w:color="AEAEAE"/>
              <w:right w:val="nil"/>
            </w:tcBorders>
            <w:shd w:val="clear" w:color="auto" w:fill="auto"/>
          </w:tcPr>
          <w:p w14:paraId="1E12917E" w14:textId="5A32F0AC" w:rsidR="006E3616" w:rsidRPr="00400193" w:rsidRDefault="00DD07A5"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p>
        </w:tc>
        <w:tc>
          <w:tcPr>
            <w:tcW w:w="953" w:type="dxa"/>
            <w:tcBorders>
              <w:top w:val="single" w:sz="8" w:space="0" w:color="AEAEAE"/>
              <w:left w:val="nil"/>
              <w:bottom w:val="single" w:sz="8" w:space="0" w:color="AEAEAE"/>
              <w:right w:val="single" w:sz="8" w:space="0" w:color="E0E0E0"/>
            </w:tcBorders>
            <w:shd w:val="clear" w:color="auto" w:fill="auto"/>
          </w:tcPr>
          <w:p w14:paraId="49644BD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.898</w:t>
            </w:r>
          </w:p>
        </w:tc>
        <w:tc>
          <w:tcPr>
            <w:tcW w:w="1387" w:type="dxa"/>
            <w:tcBorders>
              <w:top w:val="single" w:sz="8" w:space="0" w:color="AEAEAE"/>
              <w:left w:val="single" w:sz="8" w:space="0" w:color="E0E0E0"/>
              <w:bottom w:val="single" w:sz="8" w:space="0" w:color="AEAEAE"/>
              <w:right w:val="single" w:sz="8" w:space="0" w:color="E0E0E0"/>
            </w:tcBorders>
            <w:shd w:val="clear" w:color="auto" w:fill="auto"/>
          </w:tcPr>
          <w:p w14:paraId="27BE525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.175</w:t>
            </w:r>
          </w:p>
        </w:tc>
        <w:tc>
          <w:tcPr>
            <w:tcW w:w="2166" w:type="dxa"/>
            <w:tcBorders>
              <w:top w:val="single" w:sz="8" w:space="0" w:color="AEAEAE"/>
              <w:left w:val="single" w:sz="8" w:space="0" w:color="E0E0E0"/>
              <w:bottom w:val="single" w:sz="8" w:space="0" w:color="AEAEAE"/>
              <w:right w:val="single" w:sz="8" w:space="0" w:color="E0E0E0"/>
            </w:tcBorders>
            <w:shd w:val="clear" w:color="auto" w:fill="auto"/>
          </w:tcPr>
          <w:p w14:paraId="4B6AC32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1.313</w:t>
            </w:r>
          </w:p>
        </w:tc>
        <w:tc>
          <w:tcPr>
            <w:tcW w:w="688" w:type="dxa"/>
            <w:tcBorders>
              <w:top w:val="single" w:sz="8" w:space="0" w:color="AEAEAE"/>
              <w:left w:val="single" w:sz="8" w:space="0" w:color="E0E0E0"/>
              <w:bottom w:val="single" w:sz="8" w:space="0" w:color="AEAEAE"/>
              <w:right w:val="single" w:sz="8" w:space="0" w:color="E0E0E0"/>
            </w:tcBorders>
            <w:shd w:val="clear" w:color="auto" w:fill="auto"/>
          </w:tcPr>
          <w:p w14:paraId="59CCA0C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5.117</w:t>
            </w:r>
          </w:p>
        </w:tc>
        <w:tc>
          <w:tcPr>
            <w:tcW w:w="698" w:type="dxa"/>
            <w:tcBorders>
              <w:top w:val="single" w:sz="8" w:space="0" w:color="AEAEAE"/>
              <w:left w:val="single" w:sz="8" w:space="0" w:color="E0E0E0"/>
              <w:bottom w:val="single" w:sz="8" w:space="0" w:color="AEAEAE"/>
              <w:right w:val="single" w:sz="8" w:space="0" w:color="E0E0E0"/>
            </w:tcBorders>
            <w:shd w:val="clear" w:color="auto" w:fill="auto"/>
          </w:tcPr>
          <w:p w14:paraId="1A41D42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.000</w:t>
            </w:r>
          </w:p>
        </w:tc>
        <w:tc>
          <w:tcPr>
            <w:tcW w:w="1478" w:type="dxa"/>
            <w:tcBorders>
              <w:top w:val="single" w:sz="8" w:space="0" w:color="AEAEAE"/>
              <w:left w:val="single" w:sz="8" w:space="0" w:color="E0E0E0"/>
              <w:bottom w:val="single" w:sz="8" w:space="0" w:color="AEAEAE"/>
              <w:right w:val="nil"/>
            </w:tcBorders>
            <w:shd w:val="clear" w:color="auto" w:fill="auto"/>
          </w:tcPr>
          <w:p w14:paraId="6A75BE4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.792</w:t>
            </w:r>
          </w:p>
        </w:tc>
      </w:tr>
      <w:tr w:rsidR="006E3616" w:rsidRPr="00400193" w14:paraId="62E51C51" w14:textId="77777777" w:rsidTr="004E0865">
        <w:trPr>
          <w:cantSplit/>
          <w:trHeight w:val="283"/>
        </w:trPr>
        <w:tc>
          <w:tcPr>
            <w:tcW w:w="485" w:type="dxa"/>
            <w:vMerge/>
            <w:tcBorders>
              <w:top w:val="single" w:sz="8" w:space="0" w:color="152935"/>
              <w:left w:val="nil"/>
              <w:bottom w:val="single" w:sz="8" w:space="0" w:color="152935"/>
              <w:right w:val="nil"/>
            </w:tcBorders>
            <w:shd w:val="clear" w:color="auto" w:fill="auto"/>
          </w:tcPr>
          <w:p w14:paraId="3771D2D0"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1" w:type="dxa"/>
            <w:tcBorders>
              <w:top w:val="single" w:sz="8" w:space="0" w:color="AEAEAE"/>
              <w:left w:val="nil"/>
              <w:bottom w:val="single" w:sz="8" w:space="0" w:color="AEAEAE"/>
              <w:right w:val="nil"/>
            </w:tcBorders>
            <w:shd w:val="clear" w:color="auto" w:fill="auto"/>
          </w:tcPr>
          <w:p w14:paraId="24B154CC" w14:textId="351AA345" w:rsidR="006E3616" w:rsidRPr="00400193" w:rsidRDefault="00DD07A5"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r w:rsidR="006E3616" w:rsidRPr="00400193">
              <w:rPr>
                <w:rFonts w:asciiTheme="minorHAnsi" w:hAnsiTheme="minorHAnsi" w:cstheme="minorHAnsi"/>
                <w:sz w:val="20"/>
                <w:szCs w:val="20"/>
                <w:lang w:eastAsia="zh-CN" w:bidi="hi-IN"/>
              </w:rPr>
              <w:t>*OR</w:t>
            </w:r>
          </w:p>
        </w:tc>
        <w:tc>
          <w:tcPr>
            <w:tcW w:w="953" w:type="dxa"/>
            <w:tcBorders>
              <w:top w:val="single" w:sz="8" w:space="0" w:color="AEAEAE"/>
              <w:left w:val="nil"/>
              <w:bottom w:val="single" w:sz="8" w:space="0" w:color="AEAEAE"/>
              <w:right w:val="single" w:sz="8" w:space="0" w:color="E0E0E0"/>
            </w:tcBorders>
            <w:shd w:val="clear" w:color="auto" w:fill="auto"/>
          </w:tcPr>
          <w:p w14:paraId="420EEAC7" w14:textId="7F615F82"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.088</w:t>
            </w:r>
          </w:p>
        </w:tc>
        <w:tc>
          <w:tcPr>
            <w:tcW w:w="1387" w:type="dxa"/>
            <w:tcBorders>
              <w:top w:val="single" w:sz="8" w:space="0" w:color="AEAEAE"/>
              <w:left w:val="single" w:sz="8" w:space="0" w:color="E0E0E0"/>
              <w:bottom w:val="single" w:sz="8" w:space="0" w:color="AEAEAE"/>
              <w:right w:val="single" w:sz="8" w:space="0" w:color="E0E0E0"/>
            </w:tcBorders>
            <w:shd w:val="clear" w:color="auto" w:fill="auto"/>
          </w:tcPr>
          <w:p w14:paraId="5151B7D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.041</w:t>
            </w:r>
          </w:p>
        </w:tc>
        <w:tc>
          <w:tcPr>
            <w:tcW w:w="2166" w:type="dxa"/>
            <w:tcBorders>
              <w:top w:val="single" w:sz="8" w:space="0" w:color="AEAEAE"/>
              <w:left w:val="single" w:sz="8" w:space="0" w:color="E0E0E0"/>
              <w:bottom w:val="single" w:sz="8" w:space="0" w:color="AEAEAE"/>
              <w:right w:val="single" w:sz="8" w:space="0" w:color="E0E0E0"/>
            </w:tcBorders>
            <w:shd w:val="clear" w:color="auto" w:fill="auto"/>
          </w:tcPr>
          <w:p w14:paraId="4707CF36" w14:textId="366B2CE6"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.654</w:t>
            </w:r>
          </w:p>
        </w:tc>
        <w:tc>
          <w:tcPr>
            <w:tcW w:w="688" w:type="dxa"/>
            <w:tcBorders>
              <w:top w:val="single" w:sz="8" w:space="0" w:color="AEAEAE"/>
              <w:left w:val="single" w:sz="8" w:space="0" w:color="E0E0E0"/>
              <w:bottom w:val="single" w:sz="8" w:space="0" w:color="AEAEAE"/>
              <w:right w:val="single" w:sz="8" w:space="0" w:color="E0E0E0"/>
            </w:tcBorders>
            <w:shd w:val="clear" w:color="auto" w:fill="auto"/>
          </w:tcPr>
          <w:p w14:paraId="11A5255C" w14:textId="109D58B9"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2.113</w:t>
            </w:r>
          </w:p>
        </w:tc>
        <w:tc>
          <w:tcPr>
            <w:tcW w:w="698" w:type="dxa"/>
            <w:tcBorders>
              <w:top w:val="single" w:sz="8" w:space="0" w:color="AEAEAE"/>
              <w:left w:val="single" w:sz="8" w:space="0" w:color="E0E0E0"/>
              <w:bottom w:val="single" w:sz="8" w:space="0" w:color="AEAEAE"/>
              <w:right w:val="single" w:sz="8" w:space="0" w:color="E0E0E0"/>
            </w:tcBorders>
            <w:shd w:val="clear" w:color="auto" w:fill="auto"/>
          </w:tcPr>
          <w:p w14:paraId="0796ECA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.037</w:t>
            </w:r>
          </w:p>
        </w:tc>
        <w:tc>
          <w:tcPr>
            <w:tcW w:w="1478" w:type="dxa"/>
            <w:tcBorders>
              <w:top w:val="single" w:sz="8" w:space="0" w:color="AEAEAE"/>
              <w:left w:val="single" w:sz="8" w:space="0" w:color="E0E0E0"/>
              <w:bottom w:val="single" w:sz="8" w:space="0" w:color="AEAEAE"/>
              <w:right w:val="nil"/>
            </w:tcBorders>
            <w:shd w:val="clear" w:color="auto" w:fill="auto"/>
          </w:tcPr>
          <w:p w14:paraId="4400846D" w14:textId="13A4B287" w:rsidR="004E0865" w:rsidRPr="00400193" w:rsidRDefault="006E3616" w:rsidP="004E0865">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.684</w:t>
            </w:r>
          </w:p>
        </w:tc>
      </w:tr>
      <w:tr w:rsidR="004E0865" w:rsidRPr="00400193" w14:paraId="67D5A282" w14:textId="77777777" w:rsidTr="004E0865">
        <w:trPr>
          <w:cantSplit/>
          <w:trHeight w:val="283"/>
        </w:trPr>
        <w:tc>
          <w:tcPr>
            <w:tcW w:w="9016" w:type="dxa"/>
            <w:gridSpan w:val="8"/>
            <w:tcBorders>
              <w:top w:val="single" w:sz="8" w:space="0" w:color="152935"/>
              <w:left w:val="nil"/>
              <w:bottom w:val="single" w:sz="4" w:space="0" w:color="FFFFFF" w:themeColor="background1"/>
              <w:right w:val="nil"/>
            </w:tcBorders>
            <w:shd w:val="clear" w:color="auto" w:fill="auto"/>
          </w:tcPr>
          <w:p w14:paraId="16A58B17" w14:textId="01A899D6" w:rsidR="004E0865" w:rsidRPr="00400193" w:rsidRDefault="004E0865" w:rsidP="004E0865">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0A7C3DA6" w14:textId="3CF5DD30" w:rsidR="006E3616" w:rsidRPr="00400193" w:rsidRDefault="006E3616" w:rsidP="006E3616">
      <w:pPr>
        <w:pStyle w:val="Caption"/>
        <w:jc w:val="left"/>
      </w:pPr>
      <w:bookmarkStart w:id="825" w:name="_Ref51592859"/>
      <w:bookmarkStart w:id="826" w:name="_Toc5290165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112</w:t>
      </w:r>
      <w:r w:rsidRPr="00400193">
        <w:fldChar w:fldCharType="end"/>
      </w:r>
      <w:bookmarkEnd w:id="825"/>
      <w:r w:rsidRPr="00400193">
        <w:t>: Coefficients of the regression model for VW</w:t>
      </w:r>
      <w:bookmarkEnd w:id="826"/>
    </w:p>
    <w:p w14:paraId="5B55C432" w14:textId="12858052" w:rsidR="006E3616" w:rsidRPr="00400193" w:rsidRDefault="006E3616" w:rsidP="006E3616"/>
    <w:p w14:paraId="269896D1" w14:textId="77777777" w:rsidR="004E0865" w:rsidRPr="00400193" w:rsidRDefault="004E0865" w:rsidP="006E3616"/>
    <w:p w14:paraId="0454A987" w14:textId="77777777" w:rsidR="006E3616" w:rsidRPr="00400193" w:rsidRDefault="006E3616" w:rsidP="003C3496">
      <w:pPr>
        <w:pStyle w:val="Heading4"/>
        <w:rPr>
          <w:lang w:eastAsia="zh-CN" w:bidi="hi-IN"/>
        </w:rPr>
      </w:pPr>
      <w:bookmarkStart w:id="827" w:name="_Toc61894800"/>
      <w:r w:rsidRPr="00400193">
        <w:rPr>
          <w:lang w:eastAsia="zh-CN" w:bidi="hi-IN"/>
        </w:rPr>
        <w:lastRenderedPageBreak/>
        <w:t>Testing for Collinearity of the Independent Variables</w:t>
      </w:r>
      <w:bookmarkEnd w:id="827"/>
    </w:p>
    <w:p w14:paraId="3EF86115" w14:textId="21EDD9CC" w:rsidR="006E3616" w:rsidRPr="00400193" w:rsidRDefault="006E3616" w:rsidP="006E3616">
      <w:pPr>
        <w:rPr>
          <w:lang w:eastAsia="zh-CN" w:bidi="hi-IN"/>
        </w:rPr>
      </w:pPr>
      <w:r w:rsidRPr="00400193">
        <w:rPr>
          <w:lang w:eastAsia="zh-CN" w:bidi="hi-IN"/>
        </w:rPr>
        <w:t xml:space="preserve">The collinearity results for the independent variables are in </w:t>
      </w:r>
      <w:r w:rsidR="00F319CB" w:rsidRPr="00400193">
        <w:rPr>
          <w:lang w:eastAsia="zh-CN" w:bidi="hi-IN"/>
        </w:rPr>
        <w:fldChar w:fldCharType="begin"/>
      </w:r>
      <w:r w:rsidR="00F319CB" w:rsidRPr="00400193">
        <w:rPr>
          <w:lang w:eastAsia="zh-CN" w:bidi="hi-IN"/>
        </w:rPr>
        <w:instrText xml:space="preserve"> REF _Ref52821295 \h </w:instrText>
      </w:r>
      <w:r w:rsidR="00F319CB" w:rsidRPr="00400193">
        <w:rPr>
          <w:lang w:eastAsia="zh-CN" w:bidi="hi-IN"/>
        </w:rPr>
      </w:r>
      <w:r w:rsidR="00F319CB"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113</w:t>
      </w:r>
      <w:r w:rsidR="00F319CB" w:rsidRPr="00400193">
        <w:rPr>
          <w:lang w:eastAsia="zh-CN" w:bidi="hi-IN"/>
        </w:rPr>
        <w:fldChar w:fldCharType="end"/>
      </w:r>
      <w:r w:rsidRPr="00400193">
        <w:rPr>
          <w:lang w:eastAsia="zh-CN" w:bidi="hi-IN"/>
        </w:rPr>
        <w:t>.</w:t>
      </w:r>
    </w:p>
    <w:tbl>
      <w:tblPr>
        <w:tblW w:w="88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6"/>
        <w:gridCol w:w="1165"/>
        <w:gridCol w:w="1166"/>
        <w:gridCol w:w="1400"/>
        <w:gridCol w:w="1123"/>
        <w:gridCol w:w="977"/>
        <w:gridCol w:w="977"/>
        <w:gridCol w:w="1302"/>
      </w:tblGrid>
      <w:tr w:rsidR="006E3616" w:rsidRPr="00400193" w14:paraId="7D7B2F82" w14:textId="77777777" w:rsidTr="004E0865">
        <w:trPr>
          <w:cantSplit/>
          <w:trHeight w:val="283"/>
        </w:trPr>
        <w:tc>
          <w:tcPr>
            <w:tcW w:w="8866" w:type="dxa"/>
            <w:gridSpan w:val="8"/>
            <w:tcBorders>
              <w:top w:val="nil"/>
              <w:left w:val="nil"/>
              <w:bottom w:val="nil"/>
              <w:right w:val="nil"/>
            </w:tcBorders>
            <w:shd w:val="clear" w:color="auto" w:fill="auto"/>
          </w:tcPr>
          <w:p w14:paraId="59B12F9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b/>
                <w:bCs/>
                <w:sz w:val="20"/>
                <w:szCs w:val="20"/>
                <w:lang w:eastAsia="zh-CN" w:bidi="hi-IN"/>
              </w:rPr>
              <w:t xml:space="preserve">Collinearity Diagnostics </w:t>
            </w:r>
            <w:r w:rsidRPr="00400193">
              <w:rPr>
                <w:rFonts w:asciiTheme="minorHAnsi" w:hAnsiTheme="minorHAnsi" w:cstheme="minorHAnsi"/>
                <w:b/>
                <w:bCs/>
                <w:sz w:val="20"/>
                <w:szCs w:val="20"/>
                <w:vertAlign w:val="superscript"/>
                <w:lang w:eastAsia="zh-CN" w:bidi="hi-IN"/>
              </w:rPr>
              <w:t>a</w:t>
            </w:r>
          </w:p>
        </w:tc>
      </w:tr>
      <w:tr w:rsidR="006E3616" w:rsidRPr="00400193" w14:paraId="7688240B" w14:textId="77777777" w:rsidTr="004E0865">
        <w:trPr>
          <w:cantSplit/>
          <w:trHeight w:val="283"/>
        </w:trPr>
        <w:tc>
          <w:tcPr>
            <w:tcW w:w="756" w:type="dxa"/>
            <w:vMerge w:val="restart"/>
            <w:tcBorders>
              <w:top w:val="nil"/>
              <w:left w:val="nil"/>
              <w:bottom w:val="nil"/>
              <w:right w:val="nil"/>
            </w:tcBorders>
            <w:shd w:val="clear" w:color="auto" w:fill="auto"/>
          </w:tcPr>
          <w:p w14:paraId="79DA79E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Model</w:t>
            </w:r>
          </w:p>
        </w:tc>
        <w:tc>
          <w:tcPr>
            <w:tcW w:w="1165" w:type="dxa"/>
            <w:vMerge w:val="restart"/>
            <w:tcBorders>
              <w:top w:val="nil"/>
              <w:left w:val="nil"/>
              <w:bottom w:val="nil"/>
              <w:right w:val="nil"/>
            </w:tcBorders>
            <w:shd w:val="clear" w:color="auto" w:fill="auto"/>
          </w:tcPr>
          <w:p w14:paraId="4D83472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Dimension</w:t>
            </w:r>
          </w:p>
        </w:tc>
        <w:tc>
          <w:tcPr>
            <w:tcW w:w="1166" w:type="dxa"/>
            <w:vMerge w:val="restart"/>
            <w:tcBorders>
              <w:top w:val="nil"/>
              <w:left w:val="nil"/>
              <w:bottom w:val="nil"/>
              <w:right w:val="single" w:sz="8" w:space="0" w:color="E0E0E0"/>
            </w:tcBorders>
            <w:shd w:val="clear" w:color="auto" w:fill="auto"/>
          </w:tcPr>
          <w:p w14:paraId="404D212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Eigenvalue</w:t>
            </w:r>
          </w:p>
        </w:tc>
        <w:tc>
          <w:tcPr>
            <w:tcW w:w="1400" w:type="dxa"/>
            <w:vMerge w:val="restart"/>
            <w:tcBorders>
              <w:top w:val="nil"/>
              <w:left w:val="single" w:sz="8" w:space="0" w:color="E0E0E0"/>
              <w:bottom w:val="nil"/>
              <w:right w:val="single" w:sz="8" w:space="0" w:color="E0E0E0"/>
            </w:tcBorders>
            <w:shd w:val="clear" w:color="auto" w:fill="auto"/>
          </w:tcPr>
          <w:p w14:paraId="69FD65F3"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 Index</w:t>
            </w:r>
          </w:p>
        </w:tc>
        <w:tc>
          <w:tcPr>
            <w:tcW w:w="4379" w:type="dxa"/>
            <w:gridSpan w:val="4"/>
            <w:tcBorders>
              <w:top w:val="nil"/>
              <w:left w:val="single" w:sz="8" w:space="0" w:color="E0E0E0"/>
              <w:bottom w:val="nil"/>
              <w:right w:val="nil"/>
            </w:tcBorders>
            <w:shd w:val="clear" w:color="auto" w:fill="auto"/>
          </w:tcPr>
          <w:p w14:paraId="393D0F7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Variance Proportions</w:t>
            </w:r>
          </w:p>
        </w:tc>
      </w:tr>
      <w:tr w:rsidR="006E3616" w:rsidRPr="00400193" w14:paraId="59682C32" w14:textId="77777777" w:rsidTr="004E0865">
        <w:trPr>
          <w:cantSplit/>
          <w:trHeight w:val="283"/>
        </w:trPr>
        <w:tc>
          <w:tcPr>
            <w:tcW w:w="756" w:type="dxa"/>
            <w:vMerge/>
            <w:tcBorders>
              <w:top w:val="nil"/>
              <w:left w:val="nil"/>
              <w:bottom w:val="nil"/>
              <w:right w:val="nil"/>
            </w:tcBorders>
            <w:shd w:val="clear" w:color="auto" w:fill="auto"/>
          </w:tcPr>
          <w:p w14:paraId="5FDBC0F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5" w:type="dxa"/>
            <w:vMerge/>
            <w:tcBorders>
              <w:top w:val="nil"/>
              <w:left w:val="nil"/>
              <w:bottom w:val="nil"/>
              <w:right w:val="nil"/>
            </w:tcBorders>
            <w:shd w:val="clear" w:color="auto" w:fill="auto"/>
          </w:tcPr>
          <w:p w14:paraId="0C85BCA3"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6" w:type="dxa"/>
            <w:vMerge/>
            <w:tcBorders>
              <w:top w:val="nil"/>
              <w:left w:val="nil"/>
              <w:bottom w:val="nil"/>
              <w:right w:val="single" w:sz="8" w:space="0" w:color="E0E0E0"/>
            </w:tcBorders>
            <w:shd w:val="clear" w:color="auto" w:fill="auto"/>
          </w:tcPr>
          <w:p w14:paraId="01A27FF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400" w:type="dxa"/>
            <w:vMerge/>
            <w:tcBorders>
              <w:top w:val="nil"/>
              <w:left w:val="single" w:sz="8" w:space="0" w:color="E0E0E0"/>
              <w:bottom w:val="nil"/>
              <w:right w:val="single" w:sz="8" w:space="0" w:color="E0E0E0"/>
            </w:tcBorders>
            <w:shd w:val="clear" w:color="auto" w:fill="auto"/>
          </w:tcPr>
          <w:p w14:paraId="521352BC"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23" w:type="dxa"/>
            <w:tcBorders>
              <w:top w:val="nil"/>
              <w:left w:val="single" w:sz="8" w:space="0" w:color="E0E0E0"/>
              <w:bottom w:val="single" w:sz="8" w:space="0" w:color="152935"/>
              <w:right w:val="single" w:sz="8" w:space="0" w:color="E0E0E0"/>
            </w:tcBorders>
            <w:shd w:val="clear" w:color="auto" w:fill="auto"/>
          </w:tcPr>
          <w:p w14:paraId="4A59DEB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(Constant)</w:t>
            </w:r>
          </w:p>
        </w:tc>
        <w:tc>
          <w:tcPr>
            <w:tcW w:w="977" w:type="dxa"/>
            <w:tcBorders>
              <w:top w:val="nil"/>
              <w:left w:val="single" w:sz="8" w:space="0" w:color="E0E0E0"/>
              <w:bottom w:val="single" w:sz="8" w:space="0" w:color="152935"/>
              <w:right w:val="single" w:sz="8" w:space="0" w:color="E0E0E0"/>
            </w:tcBorders>
            <w:shd w:val="clear" w:color="auto" w:fill="auto"/>
          </w:tcPr>
          <w:p w14:paraId="74C332A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ORe</w:t>
            </w:r>
          </w:p>
        </w:tc>
        <w:tc>
          <w:tcPr>
            <w:tcW w:w="977" w:type="dxa"/>
            <w:tcBorders>
              <w:top w:val="nil"/>
              <w:left w:val="single" w:sz="8" w:space="0" w:color="E0E0E0"/>
              <w:bottom w:val="single" w:sz="8" w:space="0" w:color="152935"/>
              <w:right w:val="single" w:sz="8" w:space="0" w:color="E0E0E0"/>
            </w:tcBorders>
            <w:shd w:val="clear" w:color="auto" w:fill="auto"/>
          </w:tcPr>
          <w:p w14:paraId="7F7A443E" w14:textId="5914ADF5" w:rsidR="006E3616" w:rsidRPr="00400193" w:rsidRDefault="00DD07A5"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p>
        </w:tc>
        <w:tc>
          <w:tcPr>
            <w:tcW w:w="1302" w:type="dxa"/>
            <w:tcBorders>
              <w:top w:val="nil"/>
              <w:left w:val="single" w:sz="8" w:space="0" w:color="E0E0E0"/>
              <w:bottom w:val="single" w:sz="8" w:space="0" w:color="152935"/>
              <w:right w:val="nil"/>
            </w:tcBorders>
            <w:shd w:val="clear" w:color="auto" w:fill="auto"/>
          </w:tcPr>
          <w:p w14:paraId="1099052C" w14:textId="21A57C92" w:rsidR="006E3616" w:rsidRPr="00400193" w:rsidRDefault="00DD07A5"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IRF</w:t>
            </w:r>
            <w:r w:rsidR="006E3616" w:rsidRPr="00400193">
              <w:rPr>
                <w:rFonts w:asciiTheme="minorHAnsi" w:hAnsiTheme="minorHAnsi" w:cstheme="minorHAnsi"/>
                <w:sz w:val="20"/>
                <w:szCs w:val="20"/>
                <w:lang w:eastAsia="zh-CN" w:bidi="hi-IN"/>
              </w:rPr>
              <w:t>*Ore</w:t>
            </w:r>
          </w:p>
        </w:tc>
      </w:tr>
      <w:tr w:rsidR="006E3616" w:rsidRPr="00400193" w14:paraId="68BA0621" w14:textId="77777777" w:rsidTr="004E0865">
        <w:trPr>
          <w:cantSplit/>
          <w:trHeight w:val="283"/>
        </w:trPr>
        <w:tc>
          <w:tcPr>
            <w:tcW w:w="756" w:type="dxa"/>
            <w:vMerge w:val="restart"/>
            <w:tcBorders>
              <w:top w:val="single" w:sz="8" w:space="0" w:color="152935"/>
              <w:left w:val="nil"/>
              <w:bottom w:val="single" w:sz="8" w:space="0" w:color="152935"/>
              <w:right w:val="nil"/>
            </w:tcBorders>
            <w:shd w:val="clear" w:color="auto" w:fill="auto"/>
          </w:tcPr>
          <w:p w14:paraId="0C745162"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65" w:type="dxa"/>
            <w:tcBorders>
              <w:top w:val="single" w:sz="8" w:space="0" w:color="152935"/>
              <w:left w:val="nil"/>
              <w:bottom w:val="single" w:sz="8" w:space="0" w:color="AEAEAE"/>
              <w:right w:val="nil"/>
            </w:tcBorders>
            <w:shd w:val="clear" w:color="auto" w:fill="auto"/>
          </w:tcPr>
          <w:p w14:paraId="6562E08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w:t>
            </w:r>
          </w:p>
        </w:tc>
        <w:tc>
          <w:tcPr>
            <w:tcW w:w="1166" w:type="dxa"/>
            <w:tcBorders>
              <w:top w:val="single" w:sz="8" w:space="0" w:color="152935"/>
              <w:left w:val="nil"/>
              <w:bottom w:val="single" w:sz="8" w:space="0" w:color="AEAEAE"/>
              <w:right w:val="single" w:sz="8" w:space="0" w:color="E0E0E0"/>
            </w:tcBorders>
            <w:shd w:val="clear" w:color="auto" w:fill="auto"/>
          </w:tcPr>
          <w:p w14:paraId="1D4DC47D"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3.884</w:t>
            </w:r>
          </w:p>
        </w:tc>
        <w:tc>
          <w:tcPr>
            <w:tcW w:w="1400" w:type="dxa"/>
            <w:tcBorders>
              <w:top w:val="single" w:sz="8" w:space="0" w:color="152935"/>
              <w:left w:val="single" w:sz="8" w:space="0" w:color="E0E0E0"/>
              <w:bottom w:val="single" w:sz="8" w:space="0" w:color="AEAEAE"/>
              <w:right w:val="single" w:sz="8" w:space="0" w:color="E0E0E0"/>
            </w:tcBorders>
            <w:shd w:val="clear" w:color="auto" w:fill="auto"/>
          </w:tcPr>
          <w:p w14:paraId="4B77B08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1.000</w:t>
            </w:r>
          </w:p>
        </w:tc>
        <w:tc>
          <w:tcPr>
            <w:tcW w:w="1123" w:type="dxa"/>
            <w:tcBorders>
              <w:top w:val="single" w:sz="8" w:space="0" w:color="152935"/>
              <w:left w:val="single" w:sz="8" w:space="0" w:color="E0E0E0"/>
              <w:bottom w:val="single" w:sz="8" w:space="0" w:color="AEAEAE"/>
              <w:right w:val="single" w:sz="8" w:space="0" w:color="E0E0E0"/>
            </w:tcBorders>
            <w:shd w:val="clear" w:color="auto" w:fill="auto"/>
          </w:tcPr>
          <w:p w14:paraId="49BBD899"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77" w:type="dxa"/>
            <w:tcBorders>
              <w:top w:val="single" w:sz="8" w:space="0" w:color="152935"/>
              <w:left w:val="single" w:sz="8" w:space="0" w:color="E0E0E0"/>
              <w:bottom w:val="single" w:sz="8" w:space="0" w:color="AEAEAE"/>
              <w:right w:val="single" w:sz="8" w:space="0" w:color="E0E0E0"/>
            </w:tcBorders>
            <w:shd w:val="clear" w:color="auto" w:fill="auto"/>
          </w:tcPr>
          <w:p w14:paraId="4671503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977" w:type="dxa"/>
            <w:tcBorders>
              <w:top w:val="single" w:sz="8" w:space="0" w:color="152935"/>
              <w:left w:val="single" w:sz="8" w:space="0" w:color="E0E0E0"/>
              <w:bottom w:val="single" w:sz="8" w:space="0" w:color="AEAEAE"/>
              <w:right w:val="single" w:sz="8" w:space="0" w:color="E0E0E0"/>
            </w:tcBorders>
            <w:shd w:val="clear" w:color="auto" w:fill="auto"/>
          </w:tcPr>
          <w:p w14:paraId="041EC6F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c>
          <w:tcPr>
            <w:tcW w:w="1302" w:type="dxa"/>
            <w:tcBorders>
              <w:top w:val="single" w:sz="8" w:space="0" w:color="152935"/>
              <w:left w:val="single" w:sz="8" w:space="0" w:color="E0E0E0"/>
              <w:bottom w:val="single" w:sz="8" w:space="0" w:color="AEAEAE"/>
              <w:right w:val="nil"/>
            </w:tcBorders>
            <w:shd w:val="clear" w:color="auto" w:fill="auto"/>
          </w:tcPr>
          <w:p w14:paraId="2BC2BC2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w:t>
            </w:r>
          </w:p>
        </w:tc>
      </w:tr>
      <w:tr w:rsidR="006E3616" w:rsidRPr="00400193" w14:paraId="46601379" w14:textId="77777777" w:rsidTr="004E0865">
        <w:trPr>
          <w:cantSplit/>
          <w:trHeight w:val="283"/>
        </w:trPr>
        <w:tc>
          <w:tcPr>
            <w:tcW w:w="756" w:type="dxa"/>
            <w:vMerge/>
            <w:tcBorders>
              <w:top w:val="single" w:sz="8" w:space="0" w:color="152935"/>
              <w:left w:val="nil"/>
              <w:bottom w:val="single" w:sz="8" w:space="0" w:color="152935"/>
              <w:right w:val="nil"/>
            </w:tcBorders>
            <w:shd w:val="clear" w:color="auto" w:fill="auto"/>
          </w:tcPr>
          <w:p w14:paraId="4389FC8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5" w:type="dxa"/>
            <w:tcBorders>
              <w:top w:val="single" w:sz="8" w:space="0" w:color="AEAEAE"/>
              <w:left w:val="nil"/>
              <w:bottom w:val="single" w:sz="8" w:space="0" w:color="AEAEAE"/>
              <w:right w:val="nil"/>
            </w:tcBorders>
            <w:shd w:val="clear" w:color="auto" w:fill="auto"/>
          </w:tcPr>
          <w:p w14:paraId="1FA98709"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2</w:t>
            </w:r>
          </w:p>
        </w:tc>
        <w:tc>
          <w:tcPr>
            <w:tcW w:w="1166" w:type="dxa"/>
            <w:tcBorders>
              <w:top w:val="single" w:sz="8" w:space="0" w:color="AEAEAE"/>
              <w:left w:val="nil"/>
              <w:bottom w:val="single" w:sz="8" w:space="0" w:color="AEAEAE"/>
              <w:right w:val="single" w:sz="8" w:space="0" w:color="E0E0E0"/>
            </w:tcBorders>
            <w:shd w:val="clear" w:color="auto" w:fill="auto"/>
          </w:tcPr>
          <w:p w14:paraId="45AE1C6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.080</w:t>
            </w:r>
          </w:p>
        </w:tc>
        <w:tc>
          <w:tcPr>
            <w:tcW w:w="1400" w:type="dxa"/>
            <w:tcBorders>
              <w:top w:val="single" w:sz="8" w:space="0" w:color="AEAEAE"/>
              <w:left w:val="single" w:sz="8" w:space="0" w:color="E0E0E0"/>
              <w:bottom w:val="single" w:sz="8" w:space="0" w:color="AEAEAE"/>
              <w:right w:val="single" w:sz="8" w:space="0" w:color="E0E0E0"/>
            </w:tcBorders>
            <w:shd w:val="clear" w:color="auto" w:fill="auto"/>
          </w:tcPr>
          <w:p w14:paraId="4384040A"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6.977</w:t>
            </w:r>
          </w:p>
        </w:tc>
        <w:tc>
          <w:tcPr>
            <w:tcW w:w="1123" w:type="dxa"/>
            <w:tcBorders>
              <w:top w:val="single" w:sz="8" w:space="0" w:color="AEAEAE"/>
              <w:left w:val="single" w:sz="8" w:space="0" w:color="E0E0E0"/>
              <w:bottom w:val="single" w:sz="8" w:space="0" w:color="AEAEAE"/>
              <w:right w:val="single" w:sz="8" w:space="0" w:color="E0E0E0"/>
            </w:tcBorders>
            <w:shd w:val="clear" w:color="auto" w:fill="auto"/>
          </w:tcPr>
          <w:p w14:paraId="3A9BDA0F"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c>
          <w:tcPr>
            <w:tcW w:w="977" w:type="dxa"/>
            <w:tcBorders>
              <w:top w:val="single" w:sz="8" w:space="0" w:color="AEAEAE"/>
              <w:left w:val="single" w:sz="8" w:space="0" w:color="E0E0E0"/>
              <w:bottom w:val="single" w:sz="8" w:space="0" w:color="AEAEAE"/>
              <w:right w:val="single" w:sz="8" w:space="0" w:color="E0E0E0"/>
            </w:tcBorders>
            <w:shd w:val="clear" w:color="auto" w:fill="auto"/>
          </w:tcPr>
          <w:p w14:paraId="080956E8"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977" w:type="dxa"/>
            <w:tcBorders>
              <w:top w:val="single" w:sz="8" w:space="0" w:color="AEAEAE"/>
              <w:left w:val="single" w:sz="8" w:space="0" w:color="E0E0E0"/>
              <w:bottom w:val="single" w:sz="8" w:space="0" w:color="AEAEAE"/>
              <w:right w:val="single" w:sz="8" w:space="0" w:color="E0E0E0"/>
            </w:tcBorders>
            <w:shd w:val="clear" w:color="auto" w:fill="auto"/>
          </w:tcPr>
          <w:p w14:paraId="6957B382"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.01</w:t>
            </w:r>
          </w:p>
        </w:tc>
        <w:tc>
          <w:tcPr>
            <w:tcW w:w="1302" w:type="dxa"/>
            <w:tcBorders>
              <w:top w:val="single" w:sz="8" w:space="0" w:color="AEAEAE"/>
              <w:left w:val="single" w:sz="8" w:space="0" w:color="E0E0E0"/>
              <w:bottom w:val="single" w:sz="8" w:space="0" w:color="AEAEAE"/>
              <w:right w:val="nil"/>
            </w:tcBorders>
            <w:shd w:val="clear" w:color="auto" w:fill="auto"/>
          </w:tcPr>
          <w:p w14:paraId="648E690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r>
      <w:tr w:rsidR="006E3616" w:rsidRPr="00400193" w14:paraId="4EB719AC" w14:textId="77777777" w:rsidTr="004E0865">
        <w:trPr>
          <w:cantSplit/>
          <w:trHeight w:val="283"/>
        </w:trPr>
        <w:tc>
          <w:tcPr>
            <w:tcW w:w="756" w:type="dxa"/>
            <w:vMerge/>
            <w:tcBorders>
              <w:top w:val="single" w:sz="8" w:space="0" w:color="152935"/>
              <w:left w:val="nil"/>
              <w:bottom w:val="single" w:sz="8" w:space="0" w:color="152935"/>
              <w:right w:val="nil"/>
            </w:tcBorders>
            <w:shd w:val="clear" w:color="auto" w:fill="auto"/>
          </w:tcPr>
          <w:p w14:paraId="6ED7F24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5" w:type="dxa"/>
            <w:tcBorders>
              <w:top w:val="single" w:sz="8" w:space="0" w:color="AEAEAE"/>
              <w:left w:val="nil"/>
              <w:bottom w:val="single" w:sz="8" w:space="0" w:color="AEAEAE"/>
              <w:right w:val="nil"/>
            </w:tcBorders>
            <w:shd w:val="clear" w:color="auto" w:fill="auto"/>
          </w:tcPr>
          <w:p w14:paraId="6D778302"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3</w:t>
            </w:r>
          </w:p>
        </w:tc>
        <w:tc>
          <w:tcPr>
            <w:tcW w:w="1166" w:type="dxa"/>
            <w:tcBorders>
              <w:top w:val="single" w:sz="8" w:space="0" w:color="AEAEAE"/>
              <w:left w:val="nil"/>
              <w:bottom w:val="single" w:sz="8" w:space="0" w:color="AEAEAE"/>
              <w:right w:val="single" w:sz="8" w:space="0" w:color="E0E0E0"/>
            </w:tcBorders>
            <w:shd w:val="clear" w:color="auto" w:fill="auto"/>
          </w:tcPr>
          <w:p w14:paraId="1CE9DA7E"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.035</w:t>
            </w:r>
          </w:p>
        </w:tc>
        <w:tc>
          <w:tcPr>
            <w:tcW w:w="1400" w:type="dxa"/>
            <w:tcBorders>
              <w:top w:val="single" w:sz="8" w:space="0" w:color="AEAEAE"/>
              <w:left w:val="single" w:sz="8" w:space="0" w:color="E0E0E0"/>
              <w:bottom w:val="single" w:sz="8" w:space="0" w:color="AEAEAE"/>
              <w:right w:val="single" w:sz="8" w:space="0" w:color="E0E0E0"/>
            </w:tcBorders>
            <w:shd w:val="clear" w:color="auto" w:fill="auto"/>
          </w:tcPr>
          <w:p w14:paraId="526FC381"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10.525</w:t>
            </w:r>
          </w:p>
        </w:tc>
        <w:tc>
          <w:tcPr>
            <w:tcW w:w="1123" w:type="dxa"/>
            <w:tcBorders>
              <w:top w:val="single" w:sz="8" w:space="0" w:color="AEAEAE"/>
              <w:left w:val="single" w:sz="8" w:space="0" w:color="E0E0E0"/>
              <w:bottom w:val="single" w:sz="8" w:space="0" w:color="AEAEAE"/>
              <w:right w:val="single" w:sz="8" w:space="0" w:color="E0E0E0"/>
            </w:tcBorders>
            <w:shd w:val="clear" w:color="auto" w:fill="auto"/>
          </w:tcPr>
          <w:p w14:paraId="24ABFA6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c>
          <w:tcPr>
            <w:tcW w:w="977" w:type="dxa"/>
            <w:tcBorders>
              <w:top w:val="single" w:sz="8" w:space="0" w:color="AEAEAE"/>
              <w:left w:val="single" w:sz="8" w:space="0" w:color="E0E0E0"/>
              <w:bottom w:val="single" w:sz="8" w:space="0" w:color="AEAEAE"/>
              <w:right w:val="single" w:sz="8" w:space="0" w:color="E0E0E0"/>
            </w:tcBorders>
            <w:shd w:val="clear" w:color="auto" w:fill="auto"/>
          </w:tcPr>
          <w:p w14:paraId="74B18F9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.05</w:t>
            </w:r>
          </w:p>
        </w:tc>
        <w:tc>
          <w:tcPr>
            <w:tcW w:w="977" w:type="dxa"/>
            <w:tcBorders>
              <w:top w:val="single" w:sz="8" w:space="0" w:color="AEAEAE"/>
              <w:left w:val="single" w:sz="8" w:space="0" w:color="E0E0E0"/>
              <w:bottom w:val="single" w:sz="8" w:space="0" w:color="AEAEAE"/>
              <w:right w:val="single" w:sz="8" w:space="0" w:color="E0E0E0"/>
            </w:tcBorders>
            <w:shd w:val="clear" w:color="auto" w:fill="auto"/>
          </w:tcPr>
          <w:p w14:paraId="5ADE75B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.03</w:t>
            </w:r>
          </w:p>
        </w:tc>
        <w:tc>
          <w:tcPr>
            <w:tcW w:w="1302" w:type="dxa"/>
            <w:tcBorders>
              <w:top w:val="single" w:sz="8" w:space="0" w:color="AEAEAE"/>
              <w:left w:val="single" w:sz="8" w:space="0" w:color="E0E0E0"/>
              <w:bottom w:val="single" w:sz="8" w:space="0" w:color="AEAEAE"/>
              <w:right w:val="nil"/>
            </w:tcBorders>
            <w:shd w:val="clear" w:color="auto" w:fill="auto"/>
          </w:tcPr>
          <w:p w14:paraId="2356A9A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.02</w:t>
            </w:r>
          </w:p>
        </w:tc>
      </w:tr>
      <w:tr w:rsidR="006E3616" w:rsidRPr="00400193" w14:paraId="0DB0330A" w14:textId="77777777" w:rsidTr="004E0865">
        <w:trPr>
          <w:cantSplit/>
          <w:trHeight w:val="283"/>
        </w:trPr>
        <w:tc>
          <w:tcPr>
            <w:tcW w:w="756" w:type="dxa"/>
            <w:vMerge/>
            <w:tcBorders>
              <w:top w:val="single" w:sz="8" w:space="0" w:color="152935"/>
              <w:left w:val="nil"/>
              <w:bottom w:val="single" w:sz="8" w:space="0" w:color="152935"/>
              <w:right w:val="nil"/>
            </w:tcBorders>
            <w:shd w:val="clear" w:color="auto" w:fill="auto"/>
          </w:tcPr>
          <w:p w14:paraId="6160C98D"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p>
        </w:tc>
        <w:tc>
          <w:tcPr>
            <w:tcW w:w="1165" w:type="dxa"/>
            <w:tcBorders>
              <w:top w:val="single" w:sz="8" w:space="0" w:color="AEAEAE"/>
              <w:left w:val="nil"/>
              <w:bottom w:val="single" w:sz="8" w:space="0" w:color="152935"/>
              <w:right w:val="nil"/>
            </w:tcBorders>
            <w:shd w:val="clear" w:color="auto" w:fill="auto"/>
          </w:tcPr>
          <w:p w14:paraId="59211FE8"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4</w:t>
            </w:r>
          </w:p>
        </w:tc>
        <w:tc>
          <w:tcPr>
            <w:tcW w:w="1166" w:type="dxa"/>
            <w:tcBorders>
              <w:top w:val="single" w:sz="8" w:space="0" w:color="AEAEAE"/>
              <w:left w:val="nil"/>
              <w:bottom w:val="single" w:sz="8" w:space="0" w:color="152935"/>
              <w:right w:val="single" w:sz="8" w:space="0" w:color="E0E0E0"/>
            </w:tcBorders>
            <w:shd w:val="clear" w:color="auto" w:fill="auto"/>
          </w:tcPr>
          <w:p w14:paraId="66D1E085"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.001</w:t>
            </w:r>
          </w:p>
        </w:tc>
        <w:tc>
          <w:tcPr>
            <w:tcW w:w="1400" w:type="dxa"/>
            <w:tcBorders>
              <w:top w:val="single" w:sz="8" w:space="0" w:color="AEAEAE"/>
              <w:left w:val="single" w:sz="8" w:space="0" w:color="E0E0E0"/>
              <w:bottom w:val="single" w:sz="8" w:space="0" w:color="152935"/>
              <w:right w:val="single" w:sz="8" w:space="0" w:color="E0E0E0"/>
            </w:tcBorders>
            <w:shd w:val="clear" w:color="auto" w:fill="auto"/>
          </w:tcPr>
          <w:p w14:paraId="1C9F34F8"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57.895</w:t>
            </w:r>
          </w:p>
        </w:tc>
        <w:tc>
          <w:tcPr>
            <w:tcW w:w="1123" w:type="dxa"/>
            <w:tcBorders>
              <w:top w:val="single" w:sz="8" w:space="0" w:color="AEAEAE"/>
              <w:left w:val="single" w:sz="8" w:space="0" w:color="E0E0E0"/>
              <w:bottom w:val="single" w:sz="8" w:space="0" w:color="152935"/>
              <w:right w:val="single" w:sz="8" w:space="0" w:color="E0E0E0"/>
            </w:tcBorders>
            <w:shd w:val="clear" w:color="auto" w:fill="auto"/>
          </w:tcPr>
          <w:p w14:paraId="22BFE217"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.96</w:t>
            </w:r>
          </w:p>
        </w:tc>
        <w:tc>
          <w:tcPr>
            <w:tcW w:w="977" w:type="dxa"/>
            <w:tcBorders>
              <w:top w:val="single" w:sz="8" w:space="0" w:color="AEAEAE"/>
              <w:left w:val="single" w:sz="8" w:space="0" w:color="E0E0E0"/>
              <w:bottom w:val="single" w:sz="8" w:space="0" w:color="152935"/>
              <w:right w:val="single" w:sz="8" w:space="0" w:color="E0E0E0"/>
            </w:tcBorders>
            <w:shd w:val="clear" w:color="auto" w:fill="auto"/>
          </w:tcPr>
          <w:p w14:paraId="36515796"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.93</w:t>
            </w:r>
          </w:p>
        </w:tc>
        <w:tc>
          <w:tcPr>
            <w:tcW w:w="977" w:type="dxa"/>
            <w:tcBorders>
              <w:top w:val="single" w:sz="8" w:space="0" w:color="AEAEAE"/>
              <w:left w:val="single" w:sz="8" w:space="0" w:color="E0E0E0"/>
              <w:bottom w:val="single" w:sz="8" w:space="0" w:color="152935"/>
              <w:right w:val="single" w:sz="8" w:space="0" w:color="E0E0E0"/>
            </w:tcBorders>
            <w:shd w:val="clear" w:color="auto" w:fill="auto"/>
          </w:tcPr>
          <w:p w14:paraId="6999D70D"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.96</w:t>
            </w:r>
          </w:p>
        </w:tc>
        <w:tc>
          <w:tcPr>
            <w:tcW w:w="1302" w:type="dxa"/>
            <w:tcBorders>
              <w:top w:val="single" w:sz="8" w:space="0" w:color="AEAEAE"/>
              <w:left w:val="single" w:sz="8" w:space="0" w:color="E0E0E0"/>
              <w:bottom w:val="single" w:sz="8" w:space="0" w:color="152935"/>
              <w:right w:val="nil"/>
            </w:tcBorders>
            <w:shd w:val="clear" w:color="auto" w:fill="auto"/>
          </w:tcPr>
          <w:p w14:paraId="4DDC0B74" w14:textId="77777777" w:rsidR="006E3616" w:rsidRPr="00400193" w:rsidRDefault="006E3616" w:rsidP="004E0865">
            <w:pPr>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.96</w:t>
            </w:r>
          </w:p>
        </w:tc>
      </w:tr>
      <w:tr w:rsidR="006E3616" w:rsidRPr="00400193" w14:paraId="6FDB5289" w14:textId="77777777" w:rsidTr="004E0865">
        <w:trPr>
          <w:cantSplit/>
          <w:trHeight w:val="283"/>
        </w:trPr>
        <w:tc>
          <w:tcPr>
            <w:tcW w:w="8866" w:type="dxa"/>
            <w:gridSpan w:val="8"/>
            <w:tcBorders>
              <w:top w:val="nil"/>
              <w:left w:val="nil"/>
              <w:bottom w:val="nil"/>
              <w:right w:val="nil"/>
            </w:tcBorders>
            <w:shd w:val="clear" w:color="auto" w:fill="auto"/>
          </w:tcPr>
          <w:p w14:paraId="3BA2CE91" w14:textId="77777777" w:rsidR="006E3616" w:rsidRPr="00400193" w:rsidRDefault="006E3616" w:rsidP="004E0865">
            <w:pPr>
              <w:keepNext/>
              <w:spacing w:after="0"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vertAlign w:val="superscript"/>
                <w:lang w:eastAsia="zh-CN" w:bidi="hi-IN"/>
              </w:rPr>
              <w:t>a.</w:t>
            </w:r>
            <w:r w:rsidRPr="00400193">
              <w:rPr>
                <w:rFonts w:asciiTheme="minorHAnsi" w:hAnsiTheme="minorHAnsi" w:cstheme="minorHAnsi"/>
                <w:sz w:val="20"/>
                <w:szCs w:val="20"/>
                <w:lang w:eastAsia="zh-CN" w:bidi="hi-IN"/>
              </w:rPr>
              <w:t xml:space="preserve"> Dependent Variable: VW</w:t>
            </w:r>
          </w:p>
        </w:tc>
      </w:tr>
    </w:tbl>
    <w:p w14:paraId="4BFA4502" w14:textId="106A415B" w:rsidR="006E3616" w:rsidRPr="00400193" w:rsidRDefault="006E3616" w:rsidP="006E3616">
      <w:pPr>
        <w:pStyle w:val="Caption"/>
        <w:spacing w:after="240"/>
      </w:pPr>
      <w:bookmarkStart w:id="828" w:name="_Ref52821295"/>
      <w:bookmarkStart w:id="829" w:name="_Toc52901658"/>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113</w:t>
      </w:r>
      <w:r w:rsidRPr="00400193">
        <w:fldChar w:fldCharType="end"/>
      </w:r>
      <w:bookmarkEnd w:id="828"/>
      <w:r w:rsidRPr="00400193">
        <w:t>: Testing the collinearity between variables for VW</w:t>
      </w:r>
      <w:bookmarkEnd w:id="829"/>
    </w:p>
    <w:p w14:paraId="5B3645A7" w14:textId="400FBC9C" w:rsidR="006E3616" w:rsidRPr="00400193" w:rsidRDefault="00F319CB" w:rsidP="006E3616">
      <w:pPr>
        <w:rPr>
          <w:lang w:eastAsia="zh-CN" w:bidi="hi-IN"/>
        </w:rPr>
      </w:pPr>
      <w:r w:rsidRPr="00400193">
        <w:rPr>
          <w:lang w:eastAsia="zh-CN" w:bidi="hi-IN"/>
        </w:rPr>
        <w:fldChar w:fldCharType="begin"/>
      </w:r>
      <w:r w:rsidRPr="00400193">
        <w:rPr>
          <w:lang w:eastAsia="zh-CN" w:bidi="hi-IN"/>
        </w:rPr>
        <w:instrText xml:space="preserve"> REF _Ref52821295 \h </w:instrText>
      </w:r>
      <w:r w:rsidRPr="00400193">
        <w:rPr>
          <w:lang w:eastAsia="zh-CN" w:bidi="hi-IN"/>
        </w:rPr>
      </w:r>
      <w:r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113</w:t>
      </w:r>
      <w:r w:rsidRPr="00400193">
        <w:rPr>
          <w:lang w:eastAsia="zh-CN" w:bidi="hi-IN"/>
        </w:rPr>
        <w:fldChar w:fldCharType="end"/>
      </w:r>
      <w:r w:rsidR="006E3616" w:rsidRPr="00400193">
        <w:rPr>
          <w:lang w:eastAsia="zh-CN" w:bidi="hi-IN"/>
        </w:rPr>
        <w:t xml:space="preserve"> shows that the condition index for all but three variables was less than 10. Two variables showed a moderate collinearity with a condition index greater than 10 and less than 30; and one variable had high collinearity, with a condition index greater than 30.</w:t>
      </w:r>
    </w:p>
    <w:p w14:paraId="4C1AEF09" w14:textId="77777777" w:rsidR="006E3616" w:rsidRPr="00400193" w:rsidRDefault="006E3616" w:rsidP="003C3496">
      <w:pPr>
        <w:pStyle w:val="Heading4"/>
        <w:rPr>
          <w:lang w:eastAsia="zh-CN" w:bidi="hi-IN"/>
        </w:rPr>
      </w:pPr>
      <w:bookmarkStart w:id="830" w:name="_Toc61894801"/>
      <w:r w:rsidRPr="00400193">
        <w:rPr>
          <w:lang w:eastAsia="zh-CN" w:bidi="hi-IN"/>
        </w:rPr>
        <w:t>Examining Residuals using Scatter Plots</w:t>
      </w:r>
      <w:bookmarkEnd w:id="830"/>
      <w:r w:rsidRPr="00400193">
        <w:rPr>
          <w:lang w:eastAsia="zh-CN" w:bidi="hi-IN"/>
        </w:rPr>
        <w:t xml:space="preserve"> </w:t>
      </w:r>
    </w:p>
    <w:p w14:paraId="4050FE2B" w14:textId="5C598EF9" w:rsidR="006E3616" w:rsidRPr="00400193" w:rsidRDefault="006E3616" w:rsidP="006E3616">
      <w:pPr>
        <w:rPr>
          <w:lang w:eastAsia="zh-CN" w:bidi="hi-IN"/>
        </w:rPr>
      </w:pPr>
      <w:r w:rsidRPr="00400193">
        <w:rPr>
          <w:lang w:eastAsia="zh-CN" w:bidi="hi-IN"/>
        </w:rPr>
        <w:t xml:space="preserve">The residual statistics from the regression analysis are shown in </w:t>
      </w:r>
      <w:r w:rsidR="004E0865" w:rsidRPr="00400193">
        <w:rPr>
          <w:lang w:eastAsia="zh-CN" w:bidi="hi-IN"/>
        </w:rPr>
        <w:fldChar w:fldCharType="begin"/>
      </w:r>
      <w:r w:rsidR="004E0865" w:rsidRPr="00400193">
        <w:rPr>
          <w:lang w:eastAsia="zh-CN" w:bidi="hi-IN"/>
        </w:rPr>
        <w:instrText xml:space="preserve"> REF _Ref51593137 \h </w:instrText>
      </w:r>
      <w:r w:rsidR="004E0865" w:rsidRPr="00400193">
        <w:rPr>
          <w:lang w:eastAsia="zh-CN" w:bidi="hi-IN"/>
        </w:rPr>
      </w:r>
      <w:r w:rsidR="004E0865" w:rsidRPr="00400193">
        <w:rPr>
          <w:lang w:eastAsia="zh-CN" w:bidi="hi-IN"/>
        </w:rPr>
        <w:fldChar w:fldCharType="separate"/>
      </w:r>
      <w:r w:rsidR="00BB7C18" w:rsidRPr="00400193">
        <w:t xml:space="preserve">Table </w:t>
      </w:r>
      <w:r w:rsidR="00BB7C18">
        <w:rPr>
          <w:noProof/>
          <w:cs/>
        </w:rPr>
        <w:t>‎</w:t>
      </w:r>
      <w:r w:rsidR="00BB7C18">
        <w:rPr>
          <w:noProof/>
        </w:rPr>
        <w:t>5</w:t>
      </w:r>
      <w:r w:rsidR="00BB7C18" w:rsidRPr="00400193">
        <w:noBreakHyphen/>
      </w:r>
      <w:r w:rsidR="00BB7C18">
        <w:rPr>
          <w:noProof/>
        </w:rPr>
        <w:t>114</w:t>
      </w:r>
      <w:r w:rsidR="004E0865" w:rsidRPr="00400193">
        <w:rPr>
          <w:lang w:eastAsia="zh-CN" w:bidi="hi-IN"/>
        </w:rPr>
        <w:fldChar w:fldCharType="end"/>
      </w:r>
      <w:r w:rsidRPr="00400193">
        <w:rPr>
          <w:lang w:eastAsia="zh-CN" w:bidi="hi-IN"/>
        </w:rPr>
        <w:t xml:space="preserve">. The results check the residual mean is zero. </w:t>
      </w:r>
      <w:r w:rsidR="006B15A0" w:rsidRPr="00400193">
        <w:rPr>
          <w:lang w:eastAsia="zh-CN" w:bidi="hi-IN"/>
        </w:rPr>
        <w:fldChar w:fldCharType="begin"/>
      </w:r>
      <w:r w:rsidR="006B15A0" w:rsidRPr="00400193">
        <w:rPr>
          <w:lang w:eastAsia="zh-CN" w:bidi="hi-IN"/>
        </w:rPr>
        <w:instrText xml:space="preserve"> REF _Ref51351277 \h </w:instrText>
      </w:r>
      <w:r w:rsidR="006B15A0" w:rsidRPr="00400193">
        <w:rPr>
          <w:lang w:eastAsia="zh-CN" w:bidi="hi-IN"/>
        </w:rPr>
      </w:r>
      <w:r w:rsidR="006B15A0"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54</w:t>
      </w:r>
      <w:r w:rsidR="006B15A0" w:rsidRPr="00400193">
        <w:rPr>
          <w:lang w:eastAsia="zh-CN" w:bidi="hi-IN"/>
        </w:rPr>
        <w:fldChar w:fldCharType="end"/>
      </w:r>
      <w:r w:rsidR="006B15A0" w:rsidRPr="00400193">
        <w:rPr>
          <w:lang w:eastAsia="zh-CN" w:bidi="hi-IN"/>
        </w:rPr>
        <w:t xml:space="preserve">, </w:t>
      </w:r>
      <w:r w:rsidR="006B15A0" w:rsidRPr="00400193">
        <w:rPr>
          <w:lang w:eastAsia="zh-CN" w:bidi="hi-IN"/>
        </w:rPr>
        <w:fldChar w:fldCharType="begin"/>
      </w:r>
      <w:r w:rsidR="006B15A0" w:rsidRPr="00400193">
        <w:rPr>
          <w:lang w:eastAsia="zh-CN" w:bidi="hi-IN"/>
        </w:rPr>
        <w:instrText xml:space="preserve"> REF _Ref51351281 \h </w:instrText>
      </w:r>
      <w:r w:rsidR="006B15A0" w:rsidRPr="00400193">
        <w:rPr>
          <w:lang w:eastAsia="zh-CN" w:bidi="hi-IN"/>
        </w:rPr>
      </w:r>
      <w:r w:rsidR="006B15A0"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55</w:t>
      </w:r>
      <w:r w:rsidR="006B15A0" w:rsidRPr="00400193">
        <w:rPr>
          <w:lang w:eastAsia="zh-CN" w:bidi="hi-IN"/>
        </w:rPr>
        <w:fldChar w:fldCharType="end"/>
      </w:r>
      <w:r w:rsidR="006B15A0" w:rsidRPr="00400193">
        <w:rPr>
          <w:lang w:eastAsia="zh-CN" w:bidi="hi-IN"/>
        </w:rPr>
        <w:t xml:space="preserve">, and </w:t>
      </w:r>
      <w:r w:rsidR="006B15A0" w:rsidRPr="00400193">
        <w:rPr>
          <w:lang w:eastAsia="zh-CN" w:bidi="hi-IN"/>
        </w:rPr>
        <w:fldChar w:fldCharType="begin"/>
      </w:r>
      <w:r w:rsidR="006B15A0" w:rsidRPr="00400193">
        <w:rPr>
          <w:lang w:eastAsia="zh-CN" w:bidi="hi-IN"/>
        </w:rPr>
        <w:instrText xml:space="preserve"> REF _Ref51351285 \h </w:instrText>
      </w:r>
      <w:r w:rsidR="006B15A0" w:rsidRPr="00400193">
        <w:rPr>
          <w:lang w:eastAsia="zh-CN" w:bidi="hi-IN"/>
        </w:rPr>
      </w:r>
      <w:r w:rsidR="006B15A0"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56</w:t>
      </w:r>
      <w:r w:rsidR="006B15A0" w:rsidRPr="00400193">
        <w:rPr>
          <w:lang w:eastAsia="zh-CN" w:bidi="hi-IN"/>
        </w:rPr>
        <w:fldChar w:fldCharType="end"/>
      </w:r>
      <w:r w:rsidRPr="00400193">
        <w:rPr>
          <w:lang w:eastAsia="zh-CN" w:bidi="hi-IN"/>
        </w:rPr>
        <w:t xml:space="preserve"> show that there is no pattern of behaviour of the residuals with respect to Y. These variables were </w:t>
      </w:r>
      <w:r w:rsidR="003C3496" w:rsidRPr="00400193">
        <w:rPr>
          <w:lang w:eastAsia="zh-CN" w:bidi="hi-IN"/>
        </w:rPr>
        <w:t>systematic,</w:t>
      </w:r>
      <w:r w:rsidRPr="00400193">
        <w:rPr>
          <w:lang w:eastAsia="zh-CN" w:bidi="hi-IN"/>
        </w:rPr>
        <w:t xml:space="preserve"> and the assumption of error term independence is not violated.</w:t>
      </w:r>
    </w:p>
    <w:tbl>
      <w:tblPr>
        <w:tblW w:w="8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89"/>
        <w:gridCol w:w="1023"/>
        <w:gridCol w:w="1053"/>
        <w:gridCol w:w="980"/>
        <w:gridCol w:w="1375"/>
        <w:gridCol w:w="2529"/>
      </w:tblGrid>
      <w:tr w:rsidR="006E3616" w:rsidRPr="00400193" w14:paraId="18B12C73" w14:textId="77777777" w:rsidTr="004E0865">
        <w:trPr>
          <w:cantSplit/>
          <w:trHeight w:val="283"/>
        </w:trPr>
        <w:tc>
          <w:tcPr>
            <w:tcW w:w="8849" w:type="dxa"/>
            <w:gridSpan w:val="6"/>
            <w:tcBorders>
              <w:top w:val="nil"/>
              <w:left w:val="nil"/>
              <w:bottom w:val="nil"/>
              <w:right w:val="nil"/>
            </w:tcBorders>
            <w:shd w:val="clear" w:color="auto" w:fill="auto"/>
          </w:tcPr>
          <w:p w14:paraId="7E337F8C"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b/>
                <w:bCs/>
                <w:sz w:val="20"/>
                <w:szCs w:val="18"/>
                <w:lang w:eastAsia="zh-CN" w:bidi="hi-IN"/>
              </w:rPr>
              <w:t xml:space="preserve">Residual Statistics </w:t>
            </w:r>
            <w:r w:rsidRPr="00400193">
              <w:rPr>
                <w:rFonts w:asciiTheme="minorHAnsi" w:hAnsiTheme="minorHAnsi" w:cstheme="minorHAnsi"/>
                <w:b/>
                <w:bCs/>
                <w:sz w:val="20"/>
                <w:szCs w:val="18"/>
                <w:vertAlign w:val="superscript"/>
                <w:lang w:eastAsia="zh-CN" w:bidi="hi-IN"/>
              </w:rPr>
              <w:t>a</w:t>
            </w:r>
          </w:p>
        </w:tc>
      </w:tr>
      <w:tr w:rsidR="006E3616" w:rsidRPr="00400193" w14:paraId="6AE1564F" w14:textId="77777777" w:rsidTr="004E0865">
        <w:trPr>
          <w:cantSplit/>
          <w:trHeight w:val="283"/>
        </w:trPr>
        <w:tc>
          <w:tcPr>
            <w:tcW w:w="1889" w:type="dxa"/>
            <w:tcBorders>
              <w:top w:val="nil"/>
              <w:left w:val="nil"/>
              <w:bottom w:val="single" w:sz="8" w:space="0" w:color="152935"/>
              <w:right w:val="nil"/>
            </w:tcBorders>
            <w:shd w:val="clear" w:color="auto" w:fill="auto"/>
          </w:tcPr>
          <w:p w14:paraId="600304BA"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p>
        </w:tc>
        <w:tc>
          <w:tcPr>
            <w:tcW w:w="1023" w:type="dxa"/>
            <w:tcBorders>
              <w:top w:val="nil"/>
              <w:left w:val="nil"/>
              <w:bottom w:val="single" w:sz="8" w:space="0" w:color="152935"/>
              <w:right w:val="single" w:sz="8" w:space="0" w:color="E0E0E0"/>
            </w:tcBorders>
            <w:shd w:val="clear" w:color="auto" w:fill="auto"/>
          </w:tcPr>
          <w:p w14:paraId="6ED94250"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Minimum</w:t>
            </w:r>
          </w:p>
        </w:tc>
        <w:tc>
          <w:tcPr>
            <w:tcW w:w="1053" w:type="dxa"/>
            <w:tcBorders>
              <w:top w:val="nil"/>
              <w:left w:val="single" w:sz="8" w:space="0" w:color="E0E0E0"/>
              <w:bottom w:val="single" w:sz="8" w:space="0" w:color="152935"/>
              <w:right w:val="single" w:sz="8" w:space="0" w:color="E0E0E0"/>
            </w:tcBorders>
            <w:shd w:val="clear" w:color="auto" w:fill="auto"/>
          </w:tcPr>
          <w:p w14:paraId="1FD1E2BD"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Maximum</w:t>
            </w:r>
          </w:p>
        </w:tc>
        <w:tc>
          <w:tcPr>
            <w:tcW w:w="980" w:type="dxa"/>
            <w:tcBorders>
              <w:top w:val="nil"/>
              <w:left w:val="single" w:sz="8" w:space="0" w:color="E0E0E0"/>
              <w:bottom w:val="single" w:sz="8" w:space="0" w:color="152935"/>
              <w:right w:val="single" w:sz="8" w:space="0" w:color="E0E0E0"/>
            </w:tcBorders>
            <w:shd w:val="clear" w:color="auto" w:fill="auto"/>
          </w:tcPr>
          <w:p w14:paraId="51F420E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Mean</w:t>
            </w:r>
          </w:p>
        </w:tc>
        <w:tc>
          <w:tcPr>
            <w:tcW w:w="1375" w:type="dxa"/>
            <w:tcBorders>
              <w:top w:val="nil"/>
              <w:left w:val="single" w:sz="8" w:space="0" w:color="E0E0E0"/>
              <w:bottom w:val="single" w:sz="8" w:space="0" w:color="152935"/>
              <w:right w:val="single" w:sz="8" w:space="0" w:color="E0E0E0"/>
            </w:tcBorders>
            <w:shd w:val="clear" w:color="auto" w:fill="auto"/>
          </w:tcPr>
          <w:p w14:paraId="1D9E6F19"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Deviation</w:t>
            </w:r>
          </w:p>
        </w:tc>
        <w:tc>
          <w:tcPr>
            <w:tcW w:w="2526" w:type="dxa"/>
            <w:tcBorders>
              <w:top w:val="nil"/>
              <w:left w:val="single" w:sz="8" w:space="0" w:color="E0E0E0"/>
              <w:bottom w:val="single" w:sz="8" w:space="0" w:color="152935"/>
              <w:right w:val="nil"/>
            </w:tcBorders>
            <w:shd w:val="clear" w:color="auto" w:fill="auto"/>
          </w:tcPr>
          <w:p w14:paraId="6218C24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N</w:t>
            </w:r>
          </w:p>
        </w:tc>
      </w:tr>
      <w:tr w:rsidR="006E3616" w:rsidRPr="00400193" w14:paraId="0CBEB8ED" w14:textId="77777777" w:rsidTr="004E0865">
        <w:trPr>
          <w:cantSplit/>
          <w:trHeight w:val="283"/>
        </w:trPr>
        <w:tc>
          <w:tcPr>
            <w:tcW w:w="1889" w:type="dxa"/>
            <w:tcBorders>
              <w:top w:val="single" w:sz="8" w:space="0" w:color="152935"/>
              <w:left w:val="nil"/>
              <w:bottom w:val="single" w:sz="8" w:space="0" w:color="AEAEAE"/>
              <w:right w:val="nil"/>
            </w:tcBorders>
            <w:shd w:val="clear" w:color="auto" w:fill="auto"/>
          </w:tcPr>
          <w:p w14:paraId="61B909F6"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Predicted Value</w:t>
            </w:r>
          </w:p>
        </w:tc>
        <w:tc>
          <w:tcPr>
            <w:tcW w:w="1023" w:type="dxa"/>
            <w:tcBorders>
              <w:top w:val="single" w:sz="8" w:space="0" w:color="152935"/>
              <w:left w:val="nil"/>
              <w:bottom w:val="single" w:sz="8" w:space="0" w:color="AEAEAE"/>
              <w:right w:val="single" w:sz="8" w:space="0" w:color="E0E0E0"/>
            </w:tcBorders>
            <w:shd w:val="clear" w:color="auto" w:fill="auto"/>
          </w:tcPr>
          <w:p w14:paraId="12C0068D"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1.4273</w:t>
            </w:r>
          </w:p>
        </w:tc>
        <w:tc>
          <w:tcPr>
            <w:tcW w:w="1053" w:type="dxa"/>
            <w:tcBorders>
              <w:top w:val="single" w:sz="8" w:space="0" w:color="152935"/>
              <w:left w:val="single" w:sz="8" w:space="0" w:color="E0E0E0"/>
              <w:bottom w:val="single" w:sz="8" w:space="0" w:color="AEAEAE"/>
              <w:right w:val="single" w:sz="8" w:space="0" w:color="E0E0E0"/>
            </w:tcBorders>
            <w:shd w:val="clear" w:color="auto" w:fill="auto"/>
          </w:tcPr>
          <w:p w14:paraId="6BC7FD14"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4.2189</w:t>
            </w:r>
          </w:p>
        </w:tc>
        <w:tc>
          <w:tcPr>
            <w:tcW w:w="980" w:type="dxa"/>
            <w:tcBorders>
              <w:top w:val="single" w:sz="8" w:space="0" w:color="152935"/>
              <w:left w:val="single" w:sz="8" w:space="0" w:color="E0E0E0"/>
              <w:bottom w:val="single" w:sz="8" w:space="0" w:color="AEAEAE"/>
              <w:right w:val="single" w:sz="8" w:space="0" w:color="E0E0E0"/>
            </w:tcBorders>
            <w:shd w:val="clear" w:color="auto" w:fill="auto"/>
          </w:tcPr>
          <w:p w14:paraId="7244C865"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3.2024</w:t>
            </w:r>
          </w:p>
        </w:tc>
        <w:tc>
          <w:tcPr>
            <w:tcW w:w="1375" w:type="dxa"/>
            <w:tcBorders>
              <w:top w:val="single" w:sz="8" w:space="0" w:color="152935"/>
              <w:left w:val="single" w:sz="8" w:space="0" w:color="E0E0E0"/>
              <w:bottom w:val="single" w:sz="8" w:space="0" w:color="AEAEAE"/>
              <w:right w:val="single" w:sz="8" w:space="0" w:color="E0E0E0"/>
            </w:tcBorders>
            <w:shd w:val="clear" w:color="auto" w:fill="auto"/>
          </w:tcPr>
          <w:p w14:paraId="53C8CCB1"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.47785</w:t>
            </w:r>
          </w:p>
        </w:tc>
        <w:tc>
          <w:tcPr>
            <w:tcW w:w="2526" w:type="dxa"/>
            <w:tcBorders>
              <w:top w:val="single" w:sz="8" w:space="0" w:color="152935"/>
              <w:left w:val="single" w:sz="8" w:space="0" w:color="E0E0E0"/>
              <w:bottom w:val="single" w:sz="8" w:space="0" w:color="AEAEAE"/>
              <w:right w:val="nil"/>
            </w:tcBorders>
            <w:shd w:val="clear" w:color="auto" w:fill="auto"/>
          </w:tcPr>
          <w:p w14:paraId="596181D5"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5306FB4" w14:textId="77777777" w:rsidTr="004E0865">
        <w:trPr>
          <w:cantSplit/>
          <w:trHeight w:val="283"/>
        </w:trPr>
        <w:tc>
          <w:tcPr>
            <w:tcW w:w="1889" w:type="dxa"/>
            <w:tcBorders>
              <w:top w:val="single" w:sz="8" w:space="0" w:color="AEAEAE"/>
              <w:left w:val="nil"/>
              <w:bottom w:val="single" w:sz="8" w:space="0" w:color="AEAEAE"/>
              <w:right w:val="nil"/>
            </w:tcBorders>
            <w:shd w:val="clear" w:color="auto" w:fill="auto"/>
          </w:tcPr>
          <w:p w14:paraId="0BC908D5"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Residual</w:t>
            </w:r>
          </w:p>
        </w:tc>
        <w:tc>
          <w:tcPr>
            <w:tcW w:w="1023" w:type="dxa"/>
            <w:tcBorders>
              <w:top w:val="single" w:sz="8" w:space="0" w:color="AEAEAE"/>
              <w:left w:val="nil"/>
              <w:bottom w:val="single" w:sz="8" w:space="0" w:color="AEAEAE"/>
              <w:right w:val="single" w:sz="8" w:space="0" w:color="E0E0E0"/>
            </w:tcBorders>
            <w:shd w:val="clear" w:color="auto" w:fill="auto"/>
          </w:tcPr>
          <w:p w14:paraId="3A6497B7"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−1.00811</w:t>
            </w:r>
          </w:p>
        </w:tc>
        <w:tc>
          <w:tcPr>
            <w:tcW w:w="1053" w:type="dxa"/>
            <w:tcBorders>
              <w:top w:val="single" w:sz="8" w:space="0" w:color="AEAEAE"/>
              <w:left w:val="single" w:sz="8" w:space="0" w:color="E0E0E0"/>
              <w:bottom w:val="single" w:sz="8" w:space="0" w:color="AEAEAE"/>
              <w:right w:val="single" w:sz="8" w:space="0" w:color="E0E0E0"/>
            </w:tcBorders>
            <w:shd w:val="clear" w:color="auto" w:fill="auto"/>
          </w:tcPr>
          <w:p w14:paraId="401D142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.88287</w:t>
            </w:r>
          </w:p>
        </w:tc>
        <w:tc>
          <w:tcPr>
            <w:tcW w:w="980" w:type="dxa"/>
            <w:tcBorders>
              <w:top w:val="single" w:sz="8" w:space="0" w:color="AEAEAE"/>
              <w:left w:val="single" w:sz="8" w:space="0" w:color="E0E0E0"/>
              <w:bottom w:val="single" w:sz="8" w:space="0" w:color="AEAEAE"/>
              <w:right w:val="single" w:sz="8" w:space="0" w:color="E0E0E0"/>
            </w:tcBorders>
            <w:shd w:val="clear" w:color="auto" w:fill="auto"/>
          </w:tcPr>
          <w:p w14:paraId="369A2F39"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.00000</w:t>
            </w:r>
          </w:p>
        </w:tc>
        <w:tc>
          <w:tcPr>
            <w:tcW w:w="1375" w:type="dxa"/>
            <w:tcBorders>
              <w:top w:val="single" w:sz="8" w:space="0" w:color="AEAEAE"/>
              <w:left w:val="single" w:sz="8" w:space="0" w:color="E0E0E0"/>
              <w:bottom w:val="single" w:sz="8" w:space="0" w:color="AEAEAE"/>
              <w:right w:val="single" w:sz="8" w:space="0" w:color="E0E0E0"/>
            </w:tcBorders>
            <w:shd w:val="clear" w:color="auto" w:fill="auto"/>
          </w:tcPr>
          <w:p w14:paraId="54127380"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.35249</w:t>
            </w:r>
          </w:p>
        </w:tc>
        <w:tc>
          <w:tcPr>
            <w:tcW w:w="2526" w:type="dxa"/>
            <w:tcBorders>
              <w:top w:val="single" w:sz="8" w:space="0" w:color="AEAEAE"/>
              <w:left w:val="single" w:sz="8" w:space="0" w:color="E0E0E0"/>
              <w:bottom w:val="single" w:sz="8" w:space="0" w:color="AEAEAE"/>
              <w:right w:val="nil"/>
            </w:tcBorders>
            <w:shd w:val="clear" w:color="auto" w:fill="auto"/>
          </w:tcPr>
          <w:p w14:paraId="62E5CE83"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19C4B25E" w14:textId="77777777" w:rsidTr="004E0865">
        <w:trPr>
          <w:cantSplit/>
          <w:trHeight w:val="283"/>
        </w:trPr>
        <w:tc>
          <w:tcPr>
            <w:tcW w:w="1889" w:type="dxa"/>
            <w:tcBorders>
              <w:top w:val="single" w:sz="8" w:space="0" w:color="AEAEAE"/>
              <w:left w:val="nil"/>
              <w:bottom w:val="single" w:sz="8" w:space="0" w:color="AEAEAE"/>
              <w:right w:val="nil"/>
            </w:tcBorders>
            <w:shd w:val="clear" w:color="auto" w:fill="auto"/>
          </w:tcPr>
          <w:p w14:paraId="4E3A066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Predicted Value</w:t>
            </w:r>
          </w:p>
        </w:tc>
        <w:tc>
          <w:tcPr>
            <w:tcW w:w="1023" w:type="dxa"/>
            <w:tcBorders>
              <w:top w:val="single" w:sz="8" w:space="0" w:color="AEAEAE"/>
              <w:left w:val="nil"/>
              <w:bottom w:val="single" w:sz="8" w:space="0" w:color="AEAEAE"/>
              <w:right w:val="single" w:sz="8" w:space="0" w:color="E0E0E0"/>
            </w:tcBorders>
            <w:shd w:val="clear" w:color="auto" w:fill="auto"/>
          </w:tcPr>
          <w:p w14:paraId="2313CE1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−3.715</w:t>
            </w:r>
          </w:p>
        </w:tc>
        <w:tc>
          <w:tcPr>
            <w:tcW w:w="1053" w:type="dxa"/>
            <w:tcBorders>
              <w:top w:val="single" w:sz="8" w:space="0" w:color="AEAEAE"/>
              <w:left w:val="single" w:sz="8" w:space="0" w:color="E0E0E0"/>
              <w:bottom w:val="single" w:sz="8" w:space="0" w:color="AEAEAE"/>
              <w:right w:val="single" w:sz="8" w:space="0" w:color="E0E0E0"/>
            </w:tcBorders>
            <w:shd w:val="clear" w:color="auto" w:fill="auto"/>
          </w:tcPr>
          <w:p w14:paraId="49D554AA"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2.127</w:t>
            </w:r>
          </w:p>
        </w:tc>
        <w:tc>
          <w:tcPr>
            <w:tcW w:w="980" w:type="dxa"/>
            <w:tcBorders>
              <w:top w:val="single" w:sz="8" w:space="0" w:color="AEAEAE"/>
              <w:left w:val="single" w:sz="8" w:space="0" w:color="E0E0E0"/>
              <w:bottom w:val="single" w:sz="8" w:space="0" w:color="AEAEAE"/>
              <w:right w:val="single" w:sz="8" w:space="0" w:color="E0E0E0"/>
            </w:tcBorders>
            <w:shd w:val="clear" w:color="auto" w:fill="auto"/>
          </w:tcPr>
          <w:p w14:paraId="181DEC94"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75" w:type="dxa"/>
            <w:tcBorders>
              <w:top w:val="single" w:sz="8" w:space="0" w:color="AEAEAE"/>
              <w:left w:val="single" w:sz="8" w:space="0" w:color="E0E0E0"/>
              <w:bottom w:val="single" w:sz="8" w:space="0" w:color="AEAEAE"/>
              <w:right w:val="single" w:sz="8" w:space="0" w:color="E0E0E0"/>
            </w:tcBorders>
            <w:shd w:val="clear" w:color="auto" w:fill="auto"/>
          </w:tcPr>
          <w:p w14:paraId="4F09B60B"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1.000</w:t>
            </w:r>
          </w:p>
        </w:tc>
        <w:tc>
          <w:tcPr>
            <w:tcW w:w="2526" w:type="dxa"/>
            <w:tcBorders>
              <w:top w:val="single" w:sz="8" w:space="0" w:color="AEAEAE"/>
              <w:left w:val="single" w:sz="8" w:space="0" w:color="E0E0E0"/>
              <w:bottom w:val="single" w:sz="8" w:space="0" w:color="AEAEAE"/>
              <w:right w:val="nil"/>
            </w:tcBorders>
            <w:shd w:val="clear" w:color="auto" w:fill="auto"/>
          </w:tcPr>
          <w:p w14:paraId="42999A63"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568B2D2E" w14:textId="77777777" w:rsidTr="004E0865">
        <w:trPr>
          <w:cantSplit/>
          <w:trHeight w:val="283"/>
        </w:trPr>
        <w:tc>
          <w:tcPr>
            <w:tcW w:w="1889" w:type="dxa"/>
            <w:tcBorders>
              <w:top w:val="single" w:sz="8" w:space="0" w:color="AEAEAE"/>
              <w:left w:val="nil"/>
              <w:bottom w:val="single" w:sz="8" w:space="0" w:color="152935"/>
              <w:right w:val="nil"/>
            </w:tcBorders>
            <w:shd w:val="clear" w:color="auto" w:fill="auto"/>
          </w:tcPr>
          <w:p w14:paraId="29FB70EE"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Std. Residual</w:t>
            </w:r>
          </w:p>
        </w:tc>
        <w:tc>
          <w:tcPr>
            <w:tcW w:w="1023" w:type="dxa"/>
            <w:tcBorders>
              <w:top w:val="single" w:sz="8" w:space="0" w:color="AEAEAE"/>
              <w:left w:val="nil"/>
              <w:bottom w:val="single" w:sz="8" w:space="0" w:color="152935"/>
              <w:right w:val="single" w:sz="8" w:space="0" w:color="E0E0E0"/>
            </w:tcBorders>
            <w:shd w:val="clear" w:color="auto" w:fill="auto"/>
          </w:tcPr>
          <w:p w14:paraId="2E281774"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−2.818</w:t>
            </w:r>
          </w:p>
        </w:tc>
        <w:tc>
          <w:tcPr>
            <w:tcW w:w="1053" w:type="dxa"/>
            <w:tcBorders>
              <w:top w:val="single" w:sz="8" w:space="0" w:color="AEAEAE"/>
              <w:left w:val="single" w:sz="8" w:space="0" w:color="E0E0E0"/>
              <w:bottom w:val="single" w:sz="8" w:space="0" w:color="152935"/>
              <w:right w:val="single" w:sz="8" w:space="0" w:color="E0E0E0"/>
            </w:tcBorders>
            <w:shd w:val="clear" w:color="auto" w:fill="auto"/>
          </w:tcPr>
          <w:p w14:paraId="5318916F"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2.468</w:t>
            </w:r>
          </w:p>
        </w:tc>
        <w:tc>
          <w:tcPr>
            <w:tcW w:w="980" w:type="dxa"/>
            <w:tcBorders>
              <w:top w:val="single" w:sz="8" w:space="0" w:color="AEAEAE"/>
              <w:left w:val="single" w:sz="8" w:space="0" w:color="E0E0E0"/>
              <w:bottom w:val="single" w:sz="8" w:space="0" w:color="152935"/>
              <w:right w:val="single" w:sz="8" w:space="0" w:color="E0E0E0"/>
            </w:tcBorders>
            <w:shd w:val="clear" w:color="auto" w:fill="auto"/>
          </w:tcPr>
          <w:p w14:paraId="7090366C"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.000</w:t>
            </w:r>
          </w:p>
        </w:tc>
        <w:tc>
          <w:tcPr>
            <w:tcW w:w="1375" w:type="dxa"/>
            <w:tcBorders>
              <w:top w:val="single" w:sz="8" w:space="0" w:color="AEAEAE"/>
              <w:left w:val="single" w:sz="8" w:space="0" w:color="E0E0E0"/>
              <w:bottom w:val="single" w:sz="8" w:space="0" w:color="152935"/>
              <w:right w:val="single" w:sz="8" w:space="0" w:color="E0E0E0"/>
            </w:tcBorders>
            <w:shd w:val="clear" w:color="auto" w:fill="auto"/>
          </w:tcPr>
          <w:p w14:paraId="6784CB09"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.985</w:t>
            </w:r>
          </w:p>
        </w:tc>
        <w:tc>
          <w:tcPr>
            <w:tcW w:w="2526" w:type="dxa"/>
            <w:tcBorders>
              <w:top w:val="single" w:sz="8" w:space="0" w:color="AEAEAE"/>
              <w:left w:val="single" w:sz="8" w:space="0" w:color="E0E0E0"/>
              <w:bottom w:val="single" w:sz="8" w:space="0" w:color="152935"/>
              <w:right w:val="nil"/>
            </w:tcBorders>
            <w:shd w:val="clear" w:color="auto" w:fill="auto"/>
          </w:tcPr>
          <w:p w14:paraId="6C6E1792" w14:textId="77777777" w:rsidR="006E3616" w:rsidRPr="00400193" w:rsidRDefault="006E3616" w:rsidP="004E0865">
            <w:pPr>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lang w:eastAsia="zh-CN" w:bidi="hi-IN"/>
              </w:rPr>
              <w:t>104</w:t>
            </w:r>
          </w:p>
        </w:tc>
      </w:tr>
      <w:tr w:rsidR="006E3616" w:rsidRPr="00400193" w14:paraId="279F3B46" w14:textId="77777777" w:rsidTr="004E0865">
        <w:trPr>
          <w:cantSplit/>
          <w:trHeight w:val="283"/>
        </w:trPr>
        <w:tc>
          <w:tcPr>
            <w:tcW w:w="8849" w:type="dxa"/>
            <w:gridSpan w:val="6"/>
            <w:tcBorders>
              <w:top w:val="nil"/>
              <w:left w:val="nil"/>
              <w:bottom w:val="nil"/>
              <w:right w:val="nil"/>
            </w:tcBorders>
            <w:shd w:val="clear" w:color="auto" w:fill="auto"/>
          </w:tcPr>
          <w:p w14:paraId="34512257" w14:textId="77777777" w:rsidR="006E3616" w:rsidRPr="00400193" w:rsidRDefault="006E3616" w:rsidP="004E0865">
            <w:pPr>
              <w:keepNext/>
              <w:spacing w:after="0" w:line="240" w:lineRule="auto"/>
              <w:jc w:val="left"/>
              <w:rPr>
                <w:rFonts w:asciiTheme="minorHAnsi" w:hAnsiTheme="minorHAnsi" w:cstheme="minorHAnsi"/>
                <w:sz w:val="20"/>
                <w:szCs w:val="18"/>
                <w:lang w:eastAsia="zh-CN" w:bidi="hi-IN"/>
              </w:rPr>
            </w:pPr>
            <w:r w:rsidRPr="00400193">
              <w:rPr>
                <w:rFonts w:asciiTheme="minorHAnsi" w:hAnsiTheme="minorHAnsi" w:cstheme="minorHAnsi"/>
                <w:sz w:val="20"/>
                <w:szCs w:val="18"/>
                <w:vertAlign w:val="superscript"/>
                <w:lang w:eastAsia="zh-CN" w:bidi="hi-IN"/>
              </w:rPr>
              <w:t>a.</w:t>
            </w:r>
            <w:r w:rsidRPr="00400193">
              <w:rPr>
                <w:rFonts w:asciiTheme="minorHAnsi" w:hAnsiTheme="minorHAnsi" w:cstheme="minorHAnsi"/>
                <w:sz w:val="20"/>
                <w:szCs w:val="18"/>
                <w:lang w:eastAsia="zh-CN" w:bidi="hi-IN"/>
              </w:rPr>
              <w:t xml:space="preserve"> Dependent Variable: VW</w:t>
            </w:r>
          </w:p>
        </w:tc>
      </w:tr>
    </w:tbl>
    <w:p w14:paraId="22B1B3D7" w14:textId="44C6C71A" w:rsidR="006E3616" w:rsidRPr="00400193" w:rsidRDefault="006E3616" w:rsidP="006E3616">
      <w:pPr>
        <w:pStyle w:val="Caption"/>
        <w:spacing w:after="240"/>
      </w:pPr>
      <w:bookmarkStart w:id="831" w:name="_Ref51593137"/>
      <w:bookmarkStart w:id="832" w:name="_Toc52901659"/>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5</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114</w:t>
      </w:r>
      <w:r w:rsidRPr="00400193">
        <w:fldChar w:fldCharType="end"/>
      </w:r>
      <w:bookmarkEnd w:id="831"/>
      <w:r w:rsidRPr="00400193">
        <w:t>: Residual statistics of the model regression for VW</w:t>
      </w:r>
      <w:bookmarkEnd w:id="832"/>
    </w:p>
    <w:p w14:paraId="164CF68E" w14:textId="4D437131" w:rsidR="006E3616" w:rsidRPr="00400193" w:rsidRDefault="00F319CB" w:rsidP="006E3616">
      <w:pPr>
        <w:rPr>
          <w:lang w:eastAsia="zh-CN" w:bidi="hi-IN"/>
        </w:rPr>
      </w:pPr>
      <w:r w:rsidRPr="00400193">
        <w:rPr>
          <w:lang w:eastAsia="zh-CN" w:bidi="hi-IN"/>
        </w:rPr>
        <w:fldChar w:fldCharType="begin"/>
      </w:r>
      <w:r w:rsidRPr="00400193">
        <w:rPr>
          <w:lang w:eastAsia="zh-CN" w:bidi="hi-IN"/>
        </w:rPr>
        <w:instrText xml:space="preserve"> REF _Ref52821860 \h </w:instrText>
      </w:r>
      <w:r w:rsidRPr="00400193">
        <w:rPr>
          <w:lang w:eastAsia="zh-CN" w:bidi="hi-IN"/>
        </w:rPr>
      </w:r>
      <w:r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57</w:t>
      </w:r>
      <w:r w:rsidRPr="00400193">
        <w:rPr>
          <w:lang w:eastAsia="zh-CN" w:bidi="hi-IN"/>
        </w:rPr>
        <w:fldChar w:fldCharType="end"/>
      </w:r>
      <w:r w:rsidR="006E3616" w:rsidRPr="00400193">
        <w:rPr>
          <w:lang w:eastAsia="zh-CN" w:bidi="hi-IN"/>
        </w:rPr>
        <w:t xml:space="preserve"> shows that the distribution is bell-shaped and has less gap in the centre that may in part be a consequence of the defined intervals. </w:t>
      </w:r>
    </w:p>
    <w:p w14:paraId="219B68F3"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23895734" wp14:editId="61731CE3">
            <wp:extent cx="5760000" cy="3240000"/>
            <wp:effectExtent l="19050" t="19050" r="12700" b="17780"/>
            <wp:docPr id="177" name="Pictur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215F111" w14:textId="78BBD92E" w:rsidR="006E3616" w:rsidRPr="00400193" w:rsidRDefault="006E3616" w:rsidP="006E3616">
      <w:pPr>
        <w:pStyle w:val="Caption"/>
      </w:pPr>
      <w:bookmarkStart w:id="833" w:name="_Ref51351277"/>
      <w:bookmarkStart w:id="834" w:name="_Toc55387632"/>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54</w:t>
      </w:r>
      <w:r w:rsidR="00E35E8C" w:rsidRPr="00400193">
        <w:fldChar w:fldCharType="end"/>
      </w:r>
      <w:bookmarkEnd w:id="833"/>
      <w:r w:rsidRPr="00400193">
        <w:t>: Scatter plot for residual results from the model for VW</w:t>
      </w:r>
      <w:bookmarkEnd w:id="834"/>
    </w:p>
    <w:p w14:paraId="7ECDFB41"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36BD5E5B" wp14:editId="72C121C5">
            <wp:extent cx="5760000" cy="3240000"/>
            <wp:effectExtent l="19050" t="19050" r="12700" b="17780"/>
            <wp:docPr id="178"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3F2CE3E6" w14:textId="242CA9D8" w:rsidR="006E3616" w:rsidRPr="00400193" w:rsidRDefault="006E3616" w:rsidP="006E3616">
      <w:pPr>
        <w:pStyle w:val="Caption"/>
      </w:pPr>
      <w:bookmarkStart w:id="835" w:name="_Ref51351281"/>
      <w:bookmarkStart w:id="836" w:name="_Toc55387633"/>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55</w:t>
      </w:r>
      <w:r w:rsidR="00E35E8C" w:rsidRPr="00400193">
        <w:fldChar w:fldCharType="end"/>
      </w:r>
      <w:bookmarkEnd w:id="835"/>
      <w:r w:rsidRPr="00400193">
        <w:t>: Scatter plot for residual results from the model for VW</w:t>
      </w:r>
      <w:bookmarkEnd w:id="836"/>
    </w:p>
    <w:p w14:paraId="382FCEFD" w14:textId="77777777" w:rsidR="006E3616" w:rsidRPr="00400193" w:rsidRDefault="006E3616" w:rsidP="006E3616">
      <w:pPr>
        <w:keepNext/>
        <w:spacing w:after="0" w:line="240" w:lineRule="auto"/>
        <w:jc w:val="center"/>
        <w:rPr>
          <w:lang w:eastAsia="zh-CN" w:bidi="hi-IN"/>
        </w:rPr>
      </w:pPr>
    </w:p>
    <w:p w14:paraId="1EDADB8E"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4DE37C5F" wp14:editId="22FE5A2C">
            <wp:extent cx="5760000" cy="3240000"/>
            <wp:effectExtent l="19050" t="19050" r="12700" b="17780"/>
            <wp:docPr id="179" name="Pictur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4D259F6A" w14:textId="7ACE799D" w:rsidR="006E3616" w:rsidRPr="00400193" w:rsidRDefault="006E3616" w:rsidP="006E3616">
      <w:pPr>
        <w:pStyle w:val="Caption"/>
      </w:pPr>
      <w:bookmarkStart w:id="837" w:name="_Ref51351285"/>
      <w:bookmarkStart w:id="838" w:name="_Toc55387634"/>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56</w:t>
      </w:r>
      <w:r w:rsidR="00E35E8C" w:rsidRPr="00400193">
        <w:fldChar w:fldCharType="end"/>
      </w:r>
      <w:bookmarkEnd w:id="837"/>
      <w:r w:rsidRPr="00400193">
        <w:t>: Scatter plot for residual results from the model for VW</w:t>
      </w:r>
      <w:bookmarkEnd w:id="838"/>
    </w:p>
    <w:p w14:paraId="376194A1" w14:textId="77777777" w:rsidR="006E3616" w:rsidRPr="00400193" w:rsidRDefault="006E3616" w:rsidP="006E3616">
      <w:pPr>
        <w:keepNext/>
        <w:spacing w:after="0" w:line="240" w:lineRule="auto"/>
        <w:jc w:val="center"/>
        <w:rPr>
          <w:lang w:eastAsia="zh-CN" w:bidi="hi-IN"/>
        </w:rPr>
      </w:pPr>
    </w:p>
    <w:p w14:paraId="358FA647" w14:textId="77777777" w:rsidR="006E3616" w:rsidRPr="00400193" w:rsidRDefault="006E3616" w:rsidP="006E3616">
      <w:pPr>
        <w:keepNext/>
        <w:spacing w:after="0" w:line="240" w:lineRule="auto"/>
        <w:jc w:val="center"/>
        <w:rPr>
          <w:lang w:eastAsia="zh-CN" w:bidi="hi-IN"/>
        </w:rPr>
      </w:pPr>
      <w:r w:rsidRPr="00400193">
        <w:rPr>
          <w:noProof/>
          <w:lang w:val="en-US"/>
        </w:rPr>
        <w:drawing>
          <wp:inline distT="0" distB="0" distL="0" distR="0" wp14:anchorId="190FB4D7" wp14:editId="49663460">
            <wp:extent cx="5760000" cy="3240000"/>
            <wp:effectExtent l="19050" t="19050" r="12700" b="17780"/>
            <wp:docPr id="180"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2EAB7B3" w14:textId="62A295FF" w:rsidR="006E3616" w:rsidRPr="00400193" w:rsidRDefault="006E3616" w:rsidP="006E3616">
      <w:pPr>
        <w:pStyle w:val="Caption"/>
      </w:pPr>
      <w:bookmarkStart w:id="839" w:name="_Ref52821860"/>
      <w:bookmarkStart w:id="840" w:name="_Toc55387635"/>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57</w:t>
      </w:r>
      <w:r w:rsidR="00E35E8C" w:rsidRPr="00400193">
        <w:fldChar w:fldCharType="end"/>
      </w:r>
      <w:bookmarkEnd w:id="839"/>
      <w:r w:rsidRPr="00400193">
        <w:t>: Histogram of the frequency of the standardised residuals for VW</w:t>
      </w:r>
      <w:bookmarkEnd w:id="840"/>
    </w:p>
    <w:p w14:paraId="619639EC" w14:textId="77777777" w:rsidR="006E3616" w:rsidRPr="00400193" w:rsidRDefault="006E3616" w:rsidP="006E3616">
      <w:pPr>
        <w:spacing w:line="240" w:lineRule="auto"/>
        <w:rPr>
          <w:lang w:eastAsia="zh-CN" w:bidi="hi-IN"/>
        </w:rPr>
      </w:pPr>
    </w:p>
    <w:p w14:paraId="5B390227" w14:textId="7AC33382" w:rsidR="006E3616" w:rsidRPr="00400193" w:rsidRDefault="006E3616" w:rsidP="006E3616">
      <w:pPr>
        <w:rPr>
          <w:lang w:eastAsia="zh-CN" w:bidi="hi-IN"/>
        </w:rPr>
      </w:pPr>
      <w:r w:rsidRPr="00400193">
        <w:rPr>
          <w:lang w:eastAsia="zh-CN" w:bidi="hi-IN"/>
        </w:rPr>
        <w:t>Finally, the P–P diagram (</w:t>
      </w:r>
      <w:r w:rsidR="00F319CB" w:rsidRPr="00400193">
        <w:rPr>
          <w:lang w:eastAsia="zh-CN" w:bidi="hi-IN"/>
        </w:rPr>
        <w:fldChar w:fldCharType="begin"/>
      </w:r>
      <w:r w:rsidR="00F319CB" w:rsidRPr="00400193">
        <w:rPr>
          <w:lang w:eastAsia="zh-CN" w:bidi="hi-IN"/>
        </w:rPr>
        <w:instrText xml:space="preserve"> REF _Ref52821884 \h </w:instrText>
      </w:r>
      <w:r w:rsidR="00F319CB" w:rsidRPr="00400193">
        <w:rPr>
          <w:lang w:eastAsia="zh-CN" w:bidi="hi-IN"/>
        </w:rPr>
      </w:r>
      <w:r w:rsidR="00F319CB" w:rsidRPr="00400193">
        <w:rPr>
          <w:lang w:eastAsia="zh-CN" w:bidi="hi-IN"/>
        </w:rPr>
        <w:fldChar w:fldCharType="separate"/>
      </w:r>
      <w:r w:rsidR="00BB7C18" w:rsidRPr="00400193">
        <w:t xml:space="preserve">Figure </w:t>
      </w:r>
      <w:r w:rsidR="00BB7C18">
        <w:rPr>
          <w:noProof/>
          <w:cs/>
        </w:rPr>
        <w:t>‎</w:t>
      </w:r>
      <w:r w:rsidR="00BB7C18">
        <w:rPr>
          <w:noProof/>
        </w:rPr>
        <w:t>5</w:t>
      </w:r>
      <w:r w:rsidR="00BB7C18" w:rsidRPr="00400193">
        <w:noBreakHyphen/>
      </w:r>
      <w:r w:rsidR="00BB7C18">
        <w:rPr>
          <w:noProof/>
        </w:rPr>
        <w:t>58</w:t>
      </w:r>
      <w:r w:rsidR="00F319CB" w:rsidRPr="00400193">
        <w:rPr>
          <w:lang w:eastAsia="zh-CN" w:bidi="hi-IN"/>
        </w:rPr>
        <w:fldChar w:fldCharType="end"/>
      </w:r>
      <w:r w:rsidRPr="00400193">
        <w:rPr>
          <w:lang w:eastAsia="zh-CN" w:bidi="hi-IN"/>
        </w:rPr>
        <w:t>) shows that there is a normal distribution.</w:t>
      </w:r>
    </w:p>
    <w:p w14:paraId="35146FD4" w14:textId="77777777" w:rsidR="006E3616" w:rsidRPr="00400193" w:rsidRDefault="006E3616" w:rsidP="006E3616">
      <w:pPr>
        <w:keepNext/>
        <w:spacing w:after="0" w:line="240" w:lineRule="auto"/>
        <w:jc w:val="center"/>
        <w:rPr>
          <w:lang w:eastAsia="zh-CN" w:bidi="hi-IN"/>
        </w:rPr>
      </w:pPr>
      <w:r w:rsidRPr="00400193">
        <w:rPr>
          <w:noProof/>
          <w:lang w:val="en-US"/>
        </w:rPr>
        <w:lastRenderedPageBreak/>
        <w:drawing>
          <wp:inline distT="0" distB="0" distL="0" distR="0" wp14:anchorId="3AF885FA" wp14:editId="409B6024">
            <wp:extent cx="5760000" cy="3240000"/>
            <wp:effectExtent l="19050" t="19050" r="12700" b="17780"/>
            <wp:docPr id="181"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a:ln w="19050">
                      <a:solidFill>
                        <a:schemeClr val="tx1"/>
                      </a:solidFill>
                    </a:ln>
                  </pic:spPr>
                </pic:pic>
              </a:graphicData>
            </a:graphic>
          </wp:inline>
        </w:drawing>
      </w:r>
    </w:p>
    <w:p w14:paraId="6C12F3CD" w14:textId="37C49156" w:rsidR="006E3616" w:rsidRPr="00400193" w:rsidRDefault="006E3616" w:rsidP="006E3616">
      <w:pPr>
        <w:pStyle w:val="Caption"/>
      </w:pPr>
      <w:bookmarkStart w:id="841" w:name="_Ref52821884"/>
      <w:bookmarkStart w:id="842" w:name="_Toc55387636"/>
      <w:r w:rsidRPr="00400193">
        <w:t xml:space="preserve">Figure </w:t>
      </w:r>
      <w:r w:rsidR="00E35E8C" w:rsidRPr="00400193">
        <w:fldChar w:fldCharType="begin"/>
      </w:r>
      <w:r w:rsidR="00E35E8C" w:rsidRPr="00400193">
        <w:instrText xml:space="preserve"> STYLEREF 1 \s </w:instrText>
      </w:r>
      <w:r w:rsidR="00E35E8C" w:rsidRPr="00400193">
        <w:fldChar w:fldCharType="separate"/>
      </w:r>
      <w:r w:rsidR="00BB7C18">
        <w:rPr>
          <w:noProof/>
          <w:cs/>
        </w:rPr>
        <w:t>‎</w:t>
      </w:r>
      <w:r w:rsidR="00BB7C18">
        <w:rPr>
          <w:noProof/>
        </w:rPr>
        <w:t>5</w:t>
      </w:r>
      <w:r w:rsidR="00E35E8C" w:rsidRPr="00400193">
        <w:fldChar w:fldCharType="end"/>
      </w:r>
      <w:r w:rsidR="00E35E8C" w:rsidRPr="00400193">
        <w:noBreakHyphen/>
      </w:r>
      <w:r w:rsidR="00E35E8C" w:rsidRPr="00400193">
        <w:fldChar w:fldCharType="begin"/>
      </w:r>
      <w:r w:rsidR="00E35E8C" w:rsidRPr="00400193">
        <w:instrText xml:space="preserve"> SEQ Figure \* ARABIC \s 1 </w:instrText>
      </w:r>
      <w:r w:rsidR="00E35E8C" w:rsidRPr="00400193">
        <w:fldChar w:fldCharType="separate"/>
      </w:r>
      <w:r w:rsidR="00BB7C18">
        <w:rPr>
          <w:noProof/>
        </w:rPr>
        <w:t>58</w:t>
      </w:r>
      <w:r w:rsidR="00E35E8C" w:rsidRPr="00400193">
        <w:fldChar w:fldCharType="end"/>
      </w:r>
      <w:bookmarkEnd w:id="841"/>
      <w:r w:rsidRPr="00400193">
        <w:t>: Normal P–P plot of regression standardised residual for the dependent variable</w:t>
      </w:r>
      <w:bookmarkEnd w:id="842"/>
    </w:p>
    <w:p w14:paraId="750BA444" w14:textId="75908211" w:rsidR="00310576" w:rsidRPr="00400193" w:rsidRDefault="00310576" w:rsidP="00310576">
      <w:pPr>
        <w:pStyle w:val="Heading2"/>
      </w:pPr>
      <w:bookmarkStart w:id="843" w:name="_Toc61894802"/>
      <w:r w:rsidRPr="00400193">
        <w:t>Summary</w:t>
      </w:r>
      <w:bookmarkEnd w:id="843"/>
    </w:p>
    <w:p w14:paraId="43DABF56" w14:textId="038F9F99" w:rsidR="00310576" w:rsidRPr="00400193" w:rsidRDefault="00A2349E" w:rsidP="00310576">
      <w:r w:rsidRPr="00400193">
        <w:t>This chapter has examined the data and analysed it using EFA and regression analysis, and because the intent is to find the moderating effect of the variables, Hayes’ macro for SPSS (Hayes, 2018) was identified as the most appropriate tool for analysis. Little’s MCAR test (Little, 1988) was used to complete any missing data, and in every case the data was found to have a normal distribution. There were no outlying values or anomalies in any of the data, so there was no need to disregard or remove any entries, improving the overall reliability of the analysis.</w:t>
      </w:r>
    </w:p>
    <w:p w14:paraId="37EA5393" w14:textId="79F4D037" w:rsidR="005278B8" w:rsidRPr="00400193" w:rsidRDefault="005278B8" w:rsidP="00310576">
      <w:r w:rsidRPr="00400193">
        <w:t xml:space="preserve">In the early part of the chapter, the tests for missing values </w:t>
      </w:r>
      <w:r w:rsidRPr="00400193">
        <w:fldChar w:fldCharType="begin"/>
      </w:r>
      <w:r w:rsidRPr="00400193">
        <w:instrText xml:space="preserve"> REF _Ref51178503 \r \h </w:instrText>
      </w:r>
      <w:r w:rsidRPr="00400193">
        <w:fldChar w:fldCharType="separate"/>
      </w:r>
      <w:r w:rsidR="00BB7C18">
        <w:rPr>
          <w:cs/>
        </w:rPr>
        <w:t>‎</w:t>
      </w:r>
      <w:r w:rsidR="00BB7C18">
        <w:t>5.2</w:t>
      </w:r>
      <w:r w:rsidRPr="00400193">
        <w:fldChar w:fldCharType="end"/>
      </w:r>
      <w:r w:rsidRPr="00400193">
        <w:t xml:space="preserve">, outliers </w:t>
      </w:r>
      <w:r w:rsidRPr="00400193">
        <w:fldChar w:fldCharType="begin"/>
      </w:r>
      <w:r w:rsidRPr="00400193">
        <w:instrText xml:space="preserve"> REF _Ref51178523 \r \h </w:instrText>
      </w:r>
      <w:r w:rsidRPr="00400193">
        <w:fldChar w:fldCharType="separate"/>
      </w:r>
      <w:r w:rsidR="00BB7C18">
        <w:rPr>
          <w:cs/>
        </w:rPr>
        <w:t>‎</w:t>
      </w:r>
      <w:r w:rsidR="00BB7C18">
        <w:t>5.3</w:t>
      </w:r>
      <w:r w:rsidRPr="00400193">
        <w:fldChar w:fldCharType="end"/>
      </w:r>
      <w:r w:rsidRPr="00400193">
        <w:t xml:space="preserve">, and reliability </w:t>
      </w:r>
      <w:r w:rsidRPr="00400193">
        <w:fldChar w:fldCharType="begin"/>
      </w:r>
      <w:r w:rsidRPr="00400193">
        <w:instrText xml:space="preserve"> REF _Ref51178545 \r \h </w:instrText>
      </w:r>
      <w:r w:rsidRPr="00400193">
        <w:fldChar w:fldCharType="separate"/>
      </w:r>
      <w:r w:rsidR="00BB7C18">
        <w:rPr>
          <w:cs/>
        </w:rPr>
        <w:t>‎</w:t>
      </w:r>
      <w:r w:rsidR="00BB7C18">
        <w:t>5.4</w:t>
      </w:r>
      <w:r w:rsidRPr="00400193">
        <w:fldChar w:fldCharType="end"/>
      </w:r>
      <w:r w:rsidRPr="00400193">
        <w:t xml:space="preserve"> are carefully described and explained. There is also a section which explains the statistical meaning of “normality” (Section </w:t>
      </w:r>
      <w:r w:rsidRPr="00400193">
        <w:fldChar w:fldCharType="begin"/>
      </w:r>
      <w:r w:rsidRPr="00400193">
        <w:instrText xml:space="preserve"> REF _Ref51178676 \r \h </w:instrText>
      </w:r>
      <w:r w:rsidRPr="00400193">
        <w:fldChar w:fldCharType="separate"/>
      </w:r>
      <w:r w:rsidR="00BB7C18">
        <w:rPr>
          <w:cs/>
        </w:rPr>
        <w:t>‎</w:t>
      </w:r>
      <w:r w:rsidR="00BB7C18">
        <w:t>5.5</w:t>
      </w:r>
      <w:r w:rsidRPr="00400193">
        <w:fldChar w:fldCharType="end"/>
      </w:r>
      <w:r w:rsidRPr="00400193">
        <w:t xml:space="preserve">). Having defined and explained these concepts, the chapter then moves on to discuss and describe the analysis process, beginning with the descriptive statistics (Section </w:t>
      </w:r>
      <w:r w:rsidRPr="00400193">
        <w:fldChar w:fldCharType="begin"/>
      </w:r>
      <w:r w:rsidRPr="00400193">
        <w:instrText xml:space="preserve"> REF _Ref51178899 \r \h </w:instrText>
      </w:r>
      <w:r w:rsidRPr="00400193">
        <w:fldChar w:fldCharType="separate"/>
      </w:r>
      <w:r w:rsidR="00BB7C18">
        <w:rPr>
          <w:cs/>
        </w:rPr>
        <w:t>‎</w:t>
      </w:r>
      <w:r w:rsidR="00BB7C18">
        <w:t>5.6</w:t>
      </w:r>
      <w:r w:rsidRPr="00400193">
        <w:fldChar w:fldCharType="end"/>
      </w:r>
      <w:r w:rsidRPr="00400193">
        <w:t xml:space="preserve">), then the EFA (section </w:t>
      </w:r>
      <w:r w:rsidRPr="00400193">
        <w:fldChar w:fldCharType="begin"/>
      </w:r>
      <w:r w:rsidRPr="00400193">
        <w:instrText xml:space="preserve"> REF _Ref51178955 \r \h </w:instrText>
      </w:r>
      <w:r w:rsidRPr="00400193">
        <w:fldChar w:fldCharType="separate"/>
      </w:r>
      <w:r w:rsidR="00BB7C18">
        <w:rPr>
          <w:cs/>
        </w:rPr>
        <w:t>‎</w:t>
      </w:r>
      <w:r w:rsidR="00BB7C18">
        <w:t>5.9</w:t>
      </w:r>
      <w:r w:rsidRPr="00400193">
        <w:fldChar w:fldCharType="end"/>
      </w:r>
      <w:r w:rsidRPr="00400193">
        <w:t xml:space="preserve">), and finally the Simple and Multiple Regression analysis (Section </w:t>
      </w:r>
      <w:r w:rsidRPr="00400193">
        <w:fldChar w:fldCharType="begin"/>
      </w:r>
      <w:r w:rsidRPr="00400193">
        <w:instrText xml:space="preserve"> REF _Ref51179036 \r \h </w:instrText>
      </w:r>
      <w:r w:rsidRPr="00400193">
        <w:fldChar w:fldCharType="separate"/>
      </w:r>
      <w:r w:rsidR="00BB7C18">
        <w:rPr>
          <w:cs/>
        </w:rPr>
        <w:t>‎</w:t>
      </w:r>
      <w:r w:rsidR="00BB7C18">
        <w:t>5.10</w:t>
      </w:r>
      <w:r w:rsidRPr="00400193">
        <w:fldChar w:fldCharType="end"/>
      </w:r>
      <w:r w:rsidR="004A4FBE" w:rsidRPr="00400193">
        <w:t xml:space="preserve">), where the moderating effect of the variables is tested using Hayes’ Macro for SPSS (Hayes, 2018). The large number of variables means that the chapter is, necessarily, complex, but every effort has been made to simplify it for the reader. </w:t>
      </w:r>
    </w:p>
    <w:p w14:paraId="7FA427A1" w14:textId="1202419C" w:rsidR="004A4FBE" w:rsidRPr="00400193" w:rsidRDefault="004A4FBE" w:rsidP="00310576">
      <w:r w:rsidRPr="00400193">
        <w:lastRenderedPageBreak/>
        <w:t>Essentially, the chapter provides statistical evidence that the data is reliable and fits the definition of “normality”. This, in turn, means that conclusions drawn from the data are repeatable – if the data was analysed by a third party, they would obtain the same results and reach the same conclusions</w:t>
      </w:r>
      <w:r w:rsidR="00AD4606" w:rsidRPr="00400193">
        <w:t xml:space="preserve">. This adds considerably to the overall reliability and repeatability of the research, despite the relatively small sample size. Additionally, since the demographic of the sample is approximately equal to the demographic of </w:t>
      </w:r>
      <w:r w:rsidR="0002154C" w:rsidRPr="00400193">
        <w:t>UAE Government federal entities</w:t>
      </w:r>
      <w:r w:rsidR="00AD4606" w:rsidRPr="00400193">
        <w:t>, it can be said to be representative. Thus, it is reasonable to infer that the data collected is also representative and can be generalised for the rest of the UAE public sector.</w:t>
      </w:r>
    </w:p>
    <w:p w14:paraId="584A3160" w14:textId="77777777" w:rsidR="004A4FBE" w:rsidRPr="00400193" w:rsidRDefault="004A4FBE" w:rsidP="00310576"/>
    <w:p w14:paraId="2E1FECDF" w14:textId="77777777" w:rsidR="006E3616" w:rsidRPr="00400193" w:rsidRDefault="006E3616" w:rsidP="006E3616">
      <w:pPr>
        <w:rPr>
          <w:lang w:eastAsia="zh-CN" w:bidi="hi-IN"/>
        </w:rPr>
      </w:pPr>
    </w:p>
    <w:p w14:paraId="19CEE1FC" w14:textId="77777777" w:rsidR="006E3616" w:rsidRPr="00400193" w:rsidRDefault="006E3616" w:rsidP="006E3616">
      <w:pPr>
        <w:suppressAutoHyphens/>
        <w:spacing w:before="120" w:after="120" w:line="240" w:lineRule="auto"/>
        <w:rPr>
          <w:szCs w:val="24"/>
          <w:lang w:eastAsia="zh-CN" w:bidi="hi-IN"/>
        </w:rPr>
      </w:pPr>
    </w:p>
    <w:p w14:paraId="30C0322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w:t>
      </w:r>
    </w:p>
    <w:p w14:paraId="5850BF15" w14:textId="77777777" w:rsidR="006E3616" w:rsidRPr="00400193" w:rsidRDefault="006E3616" w:rsidP="006E3616">
      <w:pPr>
        <w:suppressAutoHyphens/>
        <w:spacing w:line="252" w:lineRule="auto"/>
        <w:jc w:val="left"/>
        <w:rPr>
          <w:szCs w:val="24"/>
          <w:lang w:eastAsia="zh-CN" w:bidi="hi-IN"/>
        </w:rPr>
      </w:pPr>
      <w:r w:rsidRPr="00400193">
        <w:rPr>
          <w:szCs w:val="24"/>
          <w:lang w:eastAsia="zh-CN" w:bidi="hi-IN"/>
        </w:rPr>
        <w:br w:type="page"/>
      </w:r>
    </w:p>
    <w:p w14:paraId="2CBF7C52" w14:textId="3856F070" w:rsidR="006E3616" w:rsidRPr="00400193" w:rsidRDefault="006E3616" w:rsidP="003C3496">
      <w:pPr>
        <w:pStyle w:val="Heading1"/>
        <w:ind w:left="0"/>
        <w:jc w:val="left"/>
        <w:rPr>
          <w:rFonts w:eastAsia="Arial"/>
          <w:lang w:eastAsia="zh-CN" w:bidi="hi-IN"/>
        </w:rPr>
      </w:pPr>
      <w:bookmarkStart w:id="844" w:name="_3bj1y38"/>
      <w:bookmarkStart w:id="845" w:name="_Ref50662446"/>
      <w:bookmarkStart w:id="846" w:name="_Toc61894803"/>
      <w:bookmarkEnd w:id="844"/>
      <w:r w:rsidRPr="00400193">
        <w:rPr>
          <w:rFonts w:eastAsia="Arial"/>
          <w:lang w:eastAsia="zh-CN" w:bidi="hi-IN"/>
        </w:rPr>
        <w:lastRenderedPageBreak/>
        <w:t>Discussion</w:t>
      </w:r>
      <w:bookmarkEnd w:id="845"/>
      <w:bookmarkEnd w:id="846"/>
    </w:p>
    <w:p w14:paraId="49111AA6" w14:textId="77777777" w:rsidR="006E3616" w:rsidRPr="00400193" w:rsidRDefault="006E3616" w:rsidP="006E3616">
      <w:pPr>
        <w:pStyle w:val="Heading2"/>
        <w:rPr>
          <w:rFonts w:eastAsia="Arial"/>
          <w:lang w:eastAsia="zh-CN" w:bidi="hi-IN"/>
        </w:rPr>
      </w:pPr>
      <w:bookmarkStart w:id="847" w:name="_1qoc8b1"/>
      <w:bookmarkStart w:id="848" w:name="_Toc61894804"/>
      <w:bookmarkEnd w:id="847"/>
      <w:r w:rsidRPr="00400193">
        <w:rPr>
          <w:rFonts w:eastAsia="Arial"/>
          <w:lang w:eastAsia="zh-CN" w:bidi="hi-IN"/>
        </w:rPr>
        <w:t>Introduction</w:t>
      </w:r>
      <w:bookmarkEnd w:id="848"/>
    </w:p>
    <w:p w14:paraId="3038295F" w14:textId="77777777" w:rsidR="006E3616" w:rsidRPr="00400193" w:rsidRDefault="006E3616" w:rsidP="006E3616">
      <w:pPr>
        <w:suppressAutoHyphens/>
        <w:rPr>
          <w:szCs w:val="24"/>
          <w:lang w:eastAsia="zh-CN" w:bidi="hi-IN"/>
        </w:rPr>
      </w:pPr>
      <w:r w:rsidRPr="00400193">
        <w:rPr>
          <w:szCs w:val="24"/>
          <w:lang w:eastAsia="zh-CN" w:bidi="hi-IN"/>
        </w:rPr>
        <w:t>This chapter provides a discussion of the research questions, data analysis, and the findings of this research. It has four main sections. The first provides an overview of the research objectives and the proposed cyber-resilience and cyber-threat awareness framework for the public sector in the UAE. The second section discusses the associations between the variables. The third section discusses the findings of the correlation tests used to validate the research hypotheses and compares the results with the literature. The fourth section provides a summary discussion and conclusion.</w:t>
      </w:r>
    </w:p>
    <w:p w14:paraId="7597FDE5" w14:textId="77777777" w:rsidR="006E3616" w:rsidRPr="00400193" w:rsidRDefault="006E3616" w:rsidP="006E3616">
      <w:pPr>
        <w:pStyle w:val="Heading2"/>
        <w:rPr>
          <w:rFonts w:eastAsia="Arial"/>
          <w:lang w:eastAsia="zh-CN" w:bidi="hi-IN"/>
        </w:rPr>
      </w:pPr>
      <w:bookmarkStart w:id="849" w:name="_4anzqyu"/>
      <w:bookmarkStart w:id="850" w:name="_Toc61894805"/>
      <w:bookmarkEnd w:id="849"/>
      <w:r w:rsidRPr="00400193">
        <w:rPr>
          <w:rFonts w:eastAsia="Arial"/>
          <w:lang w:eastAsia="zh-CN" w:bidi="hi-IN"/>
        </w:rPr>
        <w:t>Research Overview – External and Internal Cyber-Threat Constructs</w:t>
      </w:r>
      <w:bookmarkEnd w:id="850"/>
    </w:p>
    <w:p w14:paraId="4A673949" w14:textId="54AE5279" w:rsidR="006E3616" w:rsidRPr="00400193" w:rsidRDefault="006E3616" w:rsidP="00592D37">
      <w:pPr>
        <w:rPr>
          <w:bCs/>
          <w:lang w:eastAsia="zh-CN" w:bidi="hi-IN"/>
        </w:rPr>
      </w:pPr>
      <w:r w:rsidRPr="00400193">
        <w:rPr>
          <w:lang w:eastAsia="zh-CN" w:bidi="hi-IN"/>
        </w:rPr>
        <w:t>The study aimed to examine the resilience to external and internal cyber-threats in public sector organisations in the UAE, and the levels of threat awareness among public sector employees. By exploring the resilience practices currently adopted in those organisations, and the opinions and perceptions of employees, the aim was to produce a framework to increase awareness and cyber-resilience. The study also aimed to examine the response mechanisms already in place, and the current levels of resilience and readiness for cyber-attack. It was felt that this would maximise the opportunities to improve awareness and adopt suitable practices. The constructs used in the research were threats (internal and external), vulnerabilities and weaknesses, responses, and resilience</w:t>
      </w:r>
      <w:r w:rsidR="0001396B" w:rsidRPr="00400193">
        <w:rPr>
          <w:lang w:eastAsia="zh-CN" w:bidi="hi-IN"/>
        </w:rPr>
        <w:t xml:space="preserve">. The new framework is displayed graphically in </w:t>
      </w:r>
      <w:r w:rsidR="0001396B" w:rsidRPr="00400193">
        <w:rPr>
          <w:bCs/>
          <w:lang w:eastAsia="zh-CN" w:bidi="hi-IN"/>
        </w:rPr>
        <w:fldChar w:fldCharType="begin"/>
      </w:r>
      <w:r w:rsidR="0001396B" w:rsidRPr="00400193">
        <w:rPr>
          <w:lang w:eastAsia="zh-CN" w:bidi="hi-IN"/>
        </w:rPr>
        <w:instrText xml:space="preserve"> REF _Ref44957419 \h </w:instrText>
      </w:r>
      <w:r w:rsidR="00592D37" w:rsidRPr="00400193">
        <w:rPr>
          <w:bCs/>
          <w:lang w:eastAsia="zh-CN" w:bidi="hi-IN"/>
        </w:rPr>
        <w:instrText xml:space="preserve"> \* MERGEFORMAT </w:instrText>
      </w:r>
      <w:r w:rsidR="0001396B" w:rsidRPr="00400193">
        <w:rPr>
          <w:bCs/>
          <w:lang w:eastAsia="zh-CN" w:bidi="hi-IN"/>
        </w:rPr>
      </w:r>
      <w:r w:rsidR="0001396B" w:rsidRPr="00400193">
        <w:rPr>
          <w:bCs/>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0001396B" w:rsidRPr="00400193">
        <w:rPr>
          <w:bCs/>
          <w:lang w:eastAsia="zh-CN" w:bidi="hi-IN"/>
        </w:rPr>
        <w:fldChar w:fldCharType="end"/>
      </w:r>
      <w:r w:rsidR="00592D37" w:rsidRPr="00400193">
        <w:rPr>
          <w:bCs/>
          <w:lang w:eastAsia="zh-CN" w:bidi="hi-IN"/>
        </w:rPr>
        <w:t xml:space="preserve"> in </w:t>
      </w:r>
      <w:r w:rsidR="00592D37" w:rsidRPr="00400193">
        <w:rPr>
          <w:bCs/>
          <w:lang w:eastAsia="zh-CN" w:bidi="hi-IN"/>
        </w:rPr>
        <w:fldChar w:fldCharType="begin"/>
      </w:r>
      <w:r w:rsidR="00592D37" w:rsidRPr="00400193">
        <w:rPr>
          <w:bCs/>
          <w:lang w:eastAsia="zh-CN" w:bidi="hi-IN"/>
        </w:rPr>
        <w:instrText xml:space="preserve"> REF _Ref51601880 \r \h </w:instrText>
      </w:r>
      <w:r w:rsidR="00592D37" w:rsidRPr="00400193">
        <w:rPr>
          <w:bCs/>
          <w:lang w:eastAsia="zh-CN" w:bidi="hi-IN"/>
        </w:rPr>
      </w:r>
      <w:r w:rsidR="00592D37" w:rsidRPr="00400193">
        <w:rPr>
          <w:bCs/>
          <w:lang w:eastAsia="zh-CN" w:bidi="hi-IN"/>
        </w:rPr>
        <w:fldChar w:fldCharType="separate"/>
      </w:r>
      <w:r w:rsidR="00BB7C18">
        <w:rPr>
          <w:bCs/>
          <w:cs/>
          <w:lang w:eastAsia="zh-CN" w:bidi="hi-IN"/>
        </w:rPr>
        <w:t>‎</w:t>
      </w:r>
      <w:r w:rsidR="00BB7C18">
        <w:rPr>
          <w:bCs/>
          <w:lang w:eastAsia="zh-CN" w:bidi="hi-IN"/>
        </w:rPr>
        <w:t>Chapter 3</w:t>
      </w:r>
      <w:r w:rsidR="00592D37" w:rsidRPr="00400193">
        <w:rPr>
          <w:bCs/>
          <w:lang w:eastAsia="zh-CN" w:bidi="hi-IN"/>
        </w:rPr>
        <w:fldChar w:fldCharType="end"/>
      </w:r>
      <w:r w:rsidR="00592D37" w:rsidRPr="00400193">
        <w:rPr>
          <w:bCs/>
          <w:lang w:eastAsia="zh-CN" w:bidi="hi-IN"/>
        </w:rPr>
        <w:t xml:space="preserve">. </w:t>
      </w:r>
    </w:p>
    <w:p w14:paraId="23D482D5" w14:textId="77777777" w:rsidR="006E3616" w:rsidRPr="00400193" w:rsidRDefault="006E3616" w:rsidP="006E3616">
      <w:pPr>
        <w:pStyle w:val="Heading3"/>
        <w:rPr>
          <w:rFonts w:eastAsia="Arial"/>
          <w:lang w:eastAsia="zh-CN" w:bidi="hi-IN"/>
        </w:rPr>
      </w:pPr>
      <w:bookmarkStart w:id="851" w:name="_3oy7u29"/>
      <w:bookmarkStart w:id="852" w:name="_Toc61894806"/>
      <w:bookmarkEnd w:id="851"/>
      <w:r w:rsidRPr="00400193">
        <w:rPr>
          <w:rFonts w:eastAsia="Arial"/>
          <w:lang w:eastAsia="zh-CN" w:bidi="hi-IN"/>
        </w:rPr>
        <w:t>Threats</w:t>
      </w:r>
      <w:bookmarkEnd w:id="852"/>
    </w:p>
    <w:p w14:paraId="2AABEC0A" w14:textId="37759358" w:rsidR="006E3616" w:rsidRPr="00400193" w:rsidRDefault="006E3616" w:rsidP="006E3616">
      <w:pPr>
        <w:suppressAutoHyphens/>
        <w:rPr>
          <w:szCs w:val="24"/>
          <w:lang w:eastAsia="zh-CN" w:bidi="hi-IN"/>
        </w:rPr>
      </w:pPr>
      <w:r w:rsidRPr="00400193">
        <w:rPr>
          <w:szCs w:val="24"/>
          <w:lang w:eastAsia="zh-CN" w:bidi="hi-IN"/>
        </w:rPr>
        <w:t xml:space="preserve">The literature divides threats into internal threats (called </w:t>
      </w:r>
      <w:r w:rsidR="00DD07A5" w:rsidRPr="00400193">
        <w:rPr>
          <w:szCs w:val="24"/>
          <w:lang w:eastAsia="zh-CN" w:bidi="hi-IN"/>
        </w:rPr>
        <w:t>IRF</w:t>
      </w:r>
      <w:r w:rsidRPr="00400193">
        <w:rPr>
          <w:szCs w:val="24"/>
          <w:lang w:eastAsia="zh-CN" w:bidi="hi-IN"/>
        </w:rPr>
        <w:t xml:space="preserve"> in the data analysis) and external threats (</w:t>
      </w:r>
      <w:r w:rsidR="00DD07A5" w:rsidRPr="00400193">
        <w:rPr>
          <w:szCs w:val="24"/>
          <w:lang w:eastAsia="zh-CN" w:bidi="hi-IN"/>
        </w:rPr>
        <w:t>ERF</w:t>
      </w:r>
      <w:r w:rsidRPr="00400193">
        <w:rPr>
          <w:szCs w:val="24"/>
          <w:lang w:eastAsia="zh-CN" w:bidi="hi-IN"/>
        </w:rPr>
        <w:t>). The Internet of Things (IoT) spans both categories. Threats are linked to resilience (Ahmed</w:t>
      </w:r>
      <w:r w:rsidRPr="00400193">
        <w:rPr>
          <w:i/>
          <w:iCs/>
          <w:szCs w:val="24"/>
          <w:lang w:eastAsia="zh-CN" w:bidi="hi-IN"/>
        </w:rPr>
        <w:t xml:space="preserve"> </w:t>
      </w:r>
      <w:r w:rsidRPr="00400193">
        <w:rPr>
          <w:szCs w:val="24"/>
          <w:lang w:eastAsia="zh-CN" w:bidi="hi-IN"/>
        </w:rPr>
        <w:t>et al., 2015) because some systems can grow stronger when threatened. There is clear evidence that the adoption of cyber-threat resilience practices and increased employee awareness of cyber-risks must be part of the solution for public sector organisations (Podhorec, 2012; Purser, 2011), and in preventing the development of cross-border cyber-crime. However, actual levels of adoption and awareness have not previously been examined in the UAE public sector. This study therefore aimed to examine these factors.</w:t>
      </w:r>
    </w:p>
    <w:p w14:paraId="208AFA20" w14:textId="278115FD" w:rsidR="006E3616" w:rsidRPr="00400193" w:rsidRDefault="006E3616" w:rsidP="006E3616">
      <w:pPr>
        <w:suppressAutoHyphens/>
        <w:rPr>
          <w:szCs w:val="24"/>
          <w:lang w:eastAsia="zh-CN" w:bidi="hi-IN"/>
        </w:rPr>
      </w:pPr>
      <w:r w:rsidRPr="00400193">
        <w:rPr>
          <w:szCs w:val="24"/>
          <w:lang w:eastAsia="zh-CN" w:bidi="hi-IN"/>
        </w:rPr>
        <w:lastRenderedPageBreak/>
        <w:t>The initial frame of reference for the research was a critical review of the literature to gain an understanding of the current gaps in the knowledge of internal and external threats in the UAE public sector and the levels of compliance with existing policies. Vulnerability is often caused by lack of knowledge about threats (Deloitte, 2011). Awareness was considered the first step towards that knowledge in the development of the new framework. Fransen, Smulders and Kerkdijk (2015) noted that sharing information about threats is essential. Although they are often managed in similar ways, Casey et al</w:t>
      </w:r>
      <w:r w:rsidRPr="00400193">
        <w:rPr>
          <w:i/>
          <w:iCs/>
          <w:szCs w:val="24"/>
          <w:lang w:eastAsia="zh-CN" w:bidi="hi-IN"/>
        </w:rPr>
        <w:t>.</w:t>
      </w:r>
      <w:r w:rsidRPr="00400193">
        <w:rPr>
          <w:szCs w:val="24"/>
          <w:lang w:eastAsia="zh-CN" w:bidi="hi-IN"/>
        </w:rPr>
        <w:t xml:space="preserve"> </w:t>
      </w:r>
      <w:r w:rsidR="00C570A7" w:rsidRPr="00400193">
        <w:rPr>
          <w:noProof/>
          <w:szCs w:val="24"/>
          <w:lang w:eastAsia="zh-CN" w:bidi="hi-IN"/>
        </w:rPr>
        <w:t>(2016)</w:t>
      </w:r>
      <w:r w:rsidRPr="00400193">
        <w:rPr>
          <w:szCs w:val="24"/>
          <w:lang w:eastAsia="zh-CN" w:bidi="hi-IN"/>
        </w:rPr>
        <w:t xml:space="preserve"> suggest that it is easier to understand the presence of external threats than internal threats.</w:t>
      </w:r>
    </w:p>
    <w:p w14:paraId="0EAA63D6" w14:textId="77777777" w:rsidR="006E3616" w:rsidRPr="00400193" w:rsidRDefault="006E3616" w:rsidP="006E3616">
      <w:pPr>
        <w:pStyle w:val="Heading3"/>
        <w:rPr>
          <w:rFonts w:eastAsia="Arial"/>
          <w:lang w:eastAsia="zh-CN" w:bidi="hi-IN"/>
        </w:rPr>
      </w:pPr>
      <w:bookmarkStart w:id="853" w:name="_243i4a2"/>
      <w:bookmarkStart w:id="854" w:name="_Toc61894807"/>
      <w:bookmarkEnd w:id="853"/>
      <w:r w:rsidRPr="00400193">
        <w:rPr>
          <w:rFonts w:eastAsia="Arial"/>
          <w:lang w:eastAsia="zh-CN" w:bidi="hi-IN"/>
        </w:rPr>
        <w:t>Vulnerabilities and Weaknesses</w:t>
      </w:r>
      <w:bookmarkEnd w:id="854"/>
    </w:p>
    <w:p w14:paraId="4C97D4F4" w14:textId="2C624C5B" w:rsidR="006E3616" w:rsidRPr="00400193" w:rsidRDefault="006E3616" w:rsidP="00592D37">
      <w:pPr>
        <w:rPr>
          <w:bCs/>
        </w:rPr>
      </w:pPr>
      <w:r w:rsidRPr="00400193">
        <w:rPr>
          <w:lang w:eastAsia="zh-CN" w:bidi="hi-IN"/>
        </w:rPr>
        <w:t>Vulnerabilities and weaknesses (VW in the analysis) were considered next, and the links between them were confirmed to be as shown in</w:t>
      </w:r>
      <w:r w:rsidR="00592D37" w:rsidRPr="00400193">
        <w:rPr>
          <w:lang w:eastAsia="zh-CN" w:bidi="hi-IN"/>
        </w:rPr>
        <w:t xml:space="preserve"> </w:t>
      </w:r>
      <w:r w:rsidR="00592D37" w:rsidRPr="00400193">
        <w:rPr>
          <w:bCs/>
        </w:rPr>
        <w:fldChar w:fldCharType="begin"/>
      </w:r>
      <w:r w:rsidR="00592D37" w:rsidRPr="00400193">
        <w:rPr>
          <w:bCs/>
        </w:rPr>
        <w:instrText xml:space="preserve"> REF _Ref44957419 \h  \* MERGEFORMAT </w:instrText>
      </w:r>
      <w:r w:rsidR="00592D37" w:rsidRPr="00400193">
        <w:rPr>
          <w:bCs/>
        </w:rPr>
      </w:r>
      <w:r w:rsidR="00592D37" w:rsidRPr="00400193">
        <w:rPr>
          <w:bCs/>
        </w:rPr>
        <w:fldChar w:fldCharType="separate"/>
      </w:r>
      <w:r w:rsidR="00BB7C18" w:rsidRPr="00BB7C18">
        <w:rPr>
          <w:bCs/>
        </w:rPr>
        <w:t xml:space="preserve">Figure </w:t>
      </w:r>
      <w:r w:rsidR="00BB7C18" w:rsidRPr="00BB7C18">
        <w:rPr>
          <w:bCs/>
          <w:cs/>
        </w:rPr>
        <w:t>‎</w:t>
      </w:r>
      <w:r w:rsidR="00BB7C18">
        <w:rPr>
          <w:noProof/>
        </w:rPr>
        <w:t>3</w:t>
      </w:r>
      <w:r w:rsidR="00BB7C18" w:rsidRPr="00400193">
        <w:noBreakHyphen/>
      </w:r>
      <w:r w:rsidR="00BB7C18">
        <w:rPr>
          <w:noProof/>
        </w:rPr>
        <w:t>5</w:t>
      </w:r>
      <w:r w:rsidR="00592D37" w:rsidRPr="00400193">
        <w:rPr>
          <w:bCs/>
        </w:rPr>
        <w:fldChar w:fldCharType="end"/>
      </w:r>
      <w:r w:rsidRPr="00400193">
        <w:t xml:space="preserve">. </w:t>
      </w:r>
      <w:r w:rsidRPr="00400193">
        <w:rPr>
          <w:bCs/>
        </w:rPr>
        <w:t xml:space="preserve">In the past, many public sector cyber-security initiatives have failed because of weak implementation strategies that led to uncoordinated adoption of cyber-security resilience practices, lack of awareness, weak organisation cyber-security culture, and the organisation not having the capacity to cope with the nature of internet and cybercrime </w:t>
      </w:r>
      <w:r w:rsidR="00592D37" w:rsidRPr="00400193">
        <w:rPr>
          <w:bCs/>
        </w:rPr>
        <w:t>(Ciolan, 2014)</w:t>
      </w:r>
      <w:r w:rsidRPr="00400193">
        <w:rPr>
          <w:bCs/>
        </w:rPr>
        <w:t>. This emphasises the importance of awareness.</w:t>
      </w:r>
    </w:p>
    <w:p w14:paraId="77D173CC" w14:textId="2F97464D" w:rsidR="006E3616" w:rsidRPr="00400193" w:rsidRDefault="006E3616" w:rsidP="006E3616">
      <w:pPr>
        <w:suppressAutoHyphens/>
        <w:rPr>
          <w:szCs w:val="24"/>
          <w:lang w:eastAsia="zh-CN" w:bidi="hi-IN"/>
        </w:rPr>
      </w:pPr>
      <w:r w:rsidRPr="00400193">
        <w:rPr>
          <w:szCs w:val="24"/>
          <w:lang w:eastAsia="zh-CN" w:bidi="hi-IN"/>
        </w:rPr>
        <w:t xml:space="preserve">Processes, people, and technology all have vulnerabilities and weaknesses. However, the IoT in particular has caused considerable interactions between them </w:t>
      </w:r>
      <w:r w:rsidR="00337F8A" w:rsidRPr="00400193">
        <w:rPr>
          <w:szCs w:val="24"/>
          <w:lang w:eastAsia="zh-CN" w:bidi="hi-IN"/>
        </w:rPr>
        <w:t>(Hypponen and Nyman, 2017)</w:t>
      </w:r>
      <w:r w:rsidRPr="00400193">
        <w:rPr>
          <w:szCs w:val="24"/>
          <w:lang w:eastAsia="zh-CN" w:bidi="hi-IN"/>
        </w:rPr>
        <w:t xml:space="preserve">. New connectivity means that people will often complete a process using an inappropriate device. This device may compromise the security of the system </w:t>
      </w:r>
      <w:r w:rsidR="00337F8A" w:rsidRPr="00400193">
        <w:rPr>
          <w:szCs w:val="24"/>
          <w:lang w:eastAsia="zh-CN" w:bidi="hi-IN"/>
        </w:rPr>
        <w:t>(Schatz, Bashroush, and Wall, 2017)</w:t>
      </w:r>
      <w:r w:rsidRPr="00400193">
        <w:rPr>
          <w:szCs w:val="24"/>
          <w:lang w:eastAsia="zh-CN" w:bidi="hi-IN"/>
        </w:rPr>
        <w:t xml:space="preserve">. Every day, new devices are connected to the IoT and discovered to have new vulnerabilities (Bode, 2015; Corfield, 2017; Hypponen </w:t>
      </w:r>
      <w:r w:rsidR="00337F8A" w:rsidRPr="00400193">
        <w:rPr>
          <w:szCs w:val="24"/>
          <w:lang w:eastAsia="zh-CN" w:bidi="hi-IN"/>
        </w:rPr>
        <w:t>and</w:t>
      </w:r>
      <w:r w:rsidRPr="00400193">
        <w:rPr>
          <w:szCs w:val="24"/>
          <w:lang w:eastAsia="zh-CN" w:bidi="hi-IN"/>
        </w:rPr>
        <w:t xml:space="preserve"> Nyman, 2017). The system now has connected devices that operate and react in ways that the designers of the legacy systems could not have foreseen. That fact alone increases the vulnerability of the system </w:t>
      </w:r>
      <w:r w:rsidR="00337F8A" w:rsidRPr="00400193">
        <w:rPr>
          <w:szCs w:val="24"/>
          <w:lang w:eastAsia="zh-CN" w:bidi="hi-IN"/>
        </w:rPr>
        <w:t>(Schatz, Bashroush, and Wall, 2017)</w:t>
      </w:r>
      <w:r w:rsidRPr="00400193">
        <w:rPr>
          <w:szCs w:val="24"/>
          <w:lang w:eastAsia="zh-CN" w:bidi="hi-IN"/>
        </w:rPr>
        <w:t>.</w:t>
      </w:r>
    </w:p>
    <w:p w14:paraId="39544D2D" w14:textId="1F193DC8" w:rsidR="006E3616" w:rsidRPr="00400193" w:rsidRDefault="006E3616" w:rsidP="006E3616">
      <w:pPr>
        <w:suppressAutoHyphens/>
        <w:rPr>
          <w:szCs w:val="24"/>
          <w:lang w:eastAsia="zh-CN" w:bidi="hi-IN"/>
        </w:rPr>
      </w:pPr>
      <w:r w:rsidRPr="00400193">
        <w:rPr>
          <w:szCs w:val="24"/>
          <w:lang w:eastAsia="zh-CN" w:bidi="hi-IN"/>
        </w:rPr>
        <w:t xml:space="preserve">Vulnerabilities and weaknesses cannot be entirely removed </w:t>
      </w:r>
      <w:r w:rsidR="00C570A7" w:rsidRPr="00400193">
        <w:rPr>
          <w:szCs w:val="24"/>
          <w:lang w:eastAsia="zh-CN" w:bidi="hi-IN"/>
        </w:rPr>
        <w:t>(2000)</w:t>
      </w:r>
      <w:r w:rsidRPr="00400193">
        <w:rPr>
          <w:szCs w:val="24"/>
          <w:lang w:eastAsia="zh-CN" w:bidi="hi-IN"/>
        </w:rPr>
        <w:t xml:space="preserve">, and the framework developed in this study does not aim to achieve this. However, an increased awareness of the ways in which technology can bring new threats and how processes can be vulnerable reduces the risks </w:t>
      </w:r>
      <w:r w:rsidR="00337F8A" w:rsidRPr="00400193">
        <w:rPr>
          <w:szCs w:val="24"/>
          <w:lang w:eastAsia="zh-CN" w:bidi="hi-IN"/>
        </w:rPr>
        <w:t>(Hypponen and Nyman, 2017)</w:t>
      </w:r>
      <w:r w:rsidRPr="00400193">
        <w:rPr>
          <w:szCs w:val="24"/>
          <w:lang w:eastAsia="zh-CN" w:bidi="hi-IN"/>
        </w:rPr>
        <w:t xml:space="preserve">. An understanding of how people can inadvertently introduce risks to the system also helps to reduce this behaviour </w:t>
      </w:r>
      <w:r w:rsidR="00C570A7" w:rsidRPr="00400193">
        <w:rPr>
          <w:szCs w:val="24"/>
          <w:lang w:eastAsia="zh-CN" w:bidi="hi-IN"/>
        </w:rPr>
        <w:t>(Yildirim, 2016)</w:t>
      </w:r>
      <w:r w:rsidRPr="00400193">
        <w:rPr>
          <w:szCs w:val="24"/>
          <w:lang w:eastAsia="zh-CN" w:bidi="hi-IN"/>
        </w:rPr>
        <w:t xml:space="preserve">. The framework therefore focuses on the importance of </w:t>
      </w:r>
      <w:r w:rsidRPr="00400193">
        <w:rPr>
          <w:szCs w:val="24"/>
          <w:lang w:eastAsia="zh-CN" w:bidi="hi-IN"/>
        </w:rPr>
        <w:lastRenderedPageBreak/>
        <w:t xml:space="preserve">increased awareness. Essentially, accidental exposure of the system to risk is less likely to occur where staff are aware of the possibility, and this also avoids exposing the system to risk through poor practice </w:t>
      </w:r>
      <w:r w:rsidR="00337F8A" w:rsidRPr="00400193">
        <w:rPr>
          <w:szCs w:val="24"/>
          <w:lang w:eastAsia="zh-CN" w:bidi="hi-IN"/>
        </w:rPr>
        <w:t>(Dutt, Ahn, and Gonzalez, 2013)</w:t>
      </w:r>
      <w:r w:rsidRPr="00400193">
        <w:rPr>
          <w:szCs w:val="24"/>
          <w:lang w:eastAsia="zh-CN" w:bidi="hi-IN"/>
        </w:rPr>
        <w:t>.</w:t>
      </w:r>
    </w:p>
    <w:p w14:paraId="722178C2" w14:textId="77777777" w:rsidR="006E3616" w:rsidRPr="00400193" w:rsidRDefault="006E3616" w:rsidP="006E3616">
      <w:pPr>
        <w:pStyle w:val="Heading3"/>
        <w:rPr>
          <w:rFonts w:eastAsia="Arial"/>
          <w:lang w:eastAsia="zh-CN" w:bidi="hi-IN"/>
        </w:rPr>
      </w:pPr>
      <w:bookmarkStart w:id="855" w:name="_j8sehv"/>
      <w:bookmarkStart w:id="856" w:name="_Toc61894808"/>
      <w:bookmarkEnd w:id="855"/>
      <w:r w:rsidRPr="00400193">
        <w:rPr>
          <w:rFonts w:eastAsia="Arial"/>
          <w:lang w:eastAsia="zh-CN" w:bidi="hi-IN"/>
        </w:rPr>
        <w:t>Values at Risk</w:t>
      </w:r>
      <w:bookmarkEnd w:id="856"/>
    </w:p>
    <w:p w14:paraId="09229A46" w14:textId="41604447" w:rsidR="006E3616" w:rsidRPr="00400193" w:rsidRDefault="006E3616" w:rsidP="006E3616">
      <w:pPr>
        <w:suppressAutoHyphens/>
        <w:rPr>
          <w:szCs w:val="24"/>
          <w:lang w:eastAsia="zh-CN" w:bidi="hi-IN"/>
        </w:rPr>
      </w:pPr>
      <w:r w:rsidRPr="00400193">
        <w:rPr>
          <w:szCs w:val="24"/>
          <w:lang w:eastAsia="zh-CN" w:bidi="hi-IN"/>
        </w:rPr>
        <w:t xml:space="preserve">In the public and private sectors, the values at risk are not the same. In the public sector, the safety of citizens as a whole is at risk in the event of a catastrophic systems failure </w:t>
      </w:r>
      <w:r w:rsidR="00C570A7" w:rsidRPr="00400193">
        <w:rPr>
          <w:szCs w:val="24"/>
          <w:lang w:eastAsia="zh-CN" w:bidi="hi-IN"/>
        </w:rPr>
        <w:t>(Uncapher, 2016)</w:t>
      </w:r>
      <w:r w:rsidRPr="00400193">
        <w:rPr>
          <w:szCs w:val="24"/>
          <w:lang w:eastAsia="zh-CN" w:bidi="hi-IN"/>
        </w:rPr>
        <w:t xml:space="preserve">. Complete failure may be rare, but if it does occur in, for example, a hospital or health centre, the implications for public safety are severe. It is therefore perhaps even more important to have a cyber-security framework for the public sector than the private sector, and resilience may also be more necessary. The new framework has therefore been designed to minimise vulnerabilities and weaknesses and better protect these values. </w:t>
      </w:r>
    </w:p>
    <w:p w14:paraId="0F852335" w14:textId="77777777" w:rsidR="006E3616" w:rsidRPr="00400193" w:rsidRDefault="006E3616" w:rsidP="006E3616">
      <w:pPr>
        <w:pStyle w:val="Heading3"/>
        <w:rPr>
          <w:rFonts w:eastAsia="Arial"/>
          <w:lang w:eastAsia="zh-CN" w:bidi="hi-IN"/>
        </w:rPr>
      </w:pPr>
      <w:bookmarkStart w:id="857" w:name="_338fx5o"/>
      <w:bookmarkStart w:id="858" w:name="_Toc61894809"/>
      <w:bookmarkEnd w:id="857"/>
      <w:r w:rsidRPr="00400193">
        <w:rPr>
          <w:rFonts w:eastAsia="Arial"/>
          <w:lang w:eastAsia="zh-CN" w:bidi="hi-IN"/>
        </w:rPr>
        <w:t>Responses</w:t>
      </w:r>
      <w:bookmarkEnd w:id="858"/>
    </w:p>
    <w:p w14:paraId="1C53E498" w14:textId="1D00F1A6" w:rsidR="006E3616" w:rsidRPr="00400193" w:rsidRDefault="006E3616" w:rsidP="00592D37">
      <w:pPr>
        <w:rPr>
          <w:bCs/>
        </w:rPr>
      </w:pPr>
      <w:r w:rsidRPr="00400193">
        <w:rPr>
          <w:lang w:eastAsia="zh-CN" w:bidi="hi-IN"/>
        </w:rPr>
        <w:t xml:space="preserve">The response to any attack is a vital part of the resilience framework. Without a response in place, every attack would be successful. The response, however, must be appropriate and proportionate (see, for example, Niblett, 2016; Payne </w:t>
      </w:r>
      <w:r w:rsidR="00337F8A" w:rsidRPr="00400193">
        <w:rPr>
          <w:lang w:eastAsia="zh-CN" w:bidi="hi-IN"/>
        </w:rPr>
        <w:t>and</w:t>
      </w:r>
      <w:r w:rsidRPr="00400193">
        <w:rPr>
          <w:lang w:eastAsia="zh-CN" w:bidi="hi-IN"/>
        </w:rPr>
        <w:t xml:space="preserve"> Finlay, 2017; Peng et al., 2006, Sedjelmaci, Senouci </w:t>
      </w:r>
      <w:r w:rsidR="00337F8A" w:rsidRPr="00400193">
        <w:rPr>
          <w:lang w:eastAsia="zh-CN" w:bidi="hi-IN"/>
        </w:rPr>
        <w:t>and</w:t>
      </w:r>
      <w:r w:rsidRPr="00400193">
        <w:rPr>
          <w:lang w:eastAsia="zh-CN" w:bidi="hi-IN"/>
        </w:rPr>
        <w:t xml:space="preserve"> Ansari, 2017, and Shameli-Sendi </w:t>
      </w:r>
      <w:r w:rsidR="00337F8A" w:rsidRPr="00400193">
        <w:rPr>
          <w:lang w:eastAsia="zh-CN" w:bidi="hi-IN"/>
        </w:rPr>
        <w:t>and</w:t>
      </w:r>
      <w:r w:rsidRPr="00400193">
        <w:rPr>
          <w:lang w:eastAsia="zh-CN" w:bidi="hi-IN"/>
        </w:rPr>
        <w:t xml:space="preserve"> Dagenais, 2014). Responses can be divided by type into system, governmental, and transactional, and each of these can also be further sub-divided. The response depends on the type of vulnerability or weakness and the type of threat. However, as </w:t>
      </w:r>
      <w:r w:rsidR="00592D37" w:rsidRPr="00400193">
        <w:rPr>
          <w:lang w:eastAsia="zh-CN" w:bidi="hi-IN"/>
        </w:rPr>
        <w:fldChar w:fldCharType="begin"/>
      </w:r>
      <w:r w:rsidR="00592D37" w:rsidRPr="00400193">
        <w:rPr>
          <w:lang w:eastAsia="zh-CN" w:bidi="hi-IN"/>
        </w:rPr>
        <w:instrText xml:space="preserve"> REF _Ref44957419 \h  \* MERGEFORMAT </w:instrText>
      </w:r>
      <w:r w:rsidR="00592D37" w:rsidRPr="00400193">
        <w:rPr>
          <w:lang w:eastAsia="zh-CN" w:bidi="hi-IN"/>
        </w:rPr>
      </w:r>
      <w:r w:rsidR="00592D37"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00592D37" w:rsidRPr="00400193">
        <w:rPr>
          <w:lang w:eastAsia="zh-CN" w:bidi="hi-IN"/>
        </w:rPr>
        <w:fldChar w:fldCharType="end"/>
      </w:r>
      <w:r w:rsidRPr="00400193">
        <w:rPr>
          <w:lang w:eastAsia="zh-CN" w:bidi="hi-IN"/>
        </w:rPr>
        <w:t xml:space="preserve"> </w:t>
      </w:r>
      <w:r w:rsidRPr="00400193">
        <w:rPr>
          <w:bCs/>
        </w:rPr>
        <w:t>shows, a system is more resilient when a response is triggered earlier.</w:t>
      </w:r>
    </w:p>
    <w:p w14:paraId="59756AF1" w14:textId="77777777" w:rsidR="006E3616" w:rsidRPr="00400193" w:rsidRDefault="006E3616" w:rsidP="006E3616">
      <w:pPr>
        <w:pStyle w:val="Heading3"/>
        <w:rPr>
          <w:rFonts w:eastAsia="Arial"/>
          <w:lang w:eastAsia="zh-CN" w:bidi="hi-IN"/>
        </w:rPr>
      </w:pPr>
      <w:bookmarkStart w:id="859" w:name="_1idq7dh"/>
      <w:bookmarkStart w:id="860" w:name="_Toc61894810"/>
      <w:bookmarkEnd w:id="859"/>
      <w:r w:rsidRPr="00400193">
        <w:rPr>
          <w:rFonts w:eastAsia="Arial"/>
          <w:lang w:eastAsia="zh-CN" w:bidi="hi-IN"/>
        </w:rPr>
        <w:t>Capacity (Resilience)</w:t>
      </w:r>
      <w:bookmarkEnd w:id="860"/>
    </w:p>
    <w:p w14:paraId="08948F16" w14:textId="77777777" w:rsidR="006E3616" w:rsidRPr="00400193" w:rsidRDefault="006E3616" w:rsidP="006E3616">
      <w:pPr>
        <w:suppressAutoHyphens/>
        <w:rPr>
          <w:szCs w:val="24"/>
          <w:lang w:eastAsia="zh-CN" w:bidi="hi-IN"/>
        </w:rPr>
      </w:pPr>
      <w:r w:rsidRPr="00400193">
        <w:rPr>
          <w:szCs w:val="24"/>
          <w:lang w:eastAsia="zh-CN" w:bidi="hi-IN"/>
        </w:rPr>
        <w:t>The last of the constructs used in the research is also perhaps the most important. Cyber-resilience is essential in the UAE public sector for the confidence of investors in companies that intend to operate here. Many researchers have stressed the importance of resilience, including Renn (2013) and Sano</w:t>
      </w:r>
      <w:r w:rsidRPr="00400193">
        <w:rPr>
          <w:i/>
          <w:iCs/>
          <w:szCs w:val="24"/>
          <w:lang w:eastAsia="zh-CN" w:bidi="hi-IN"/>
        </w:rPr>
        <w:t xml:space="preserve"> </w:t>
      </w:r>
      <w:r w:rsidRPr="00400193">
        <w:rPr>
          <w:szCs w:val="24"/>
          <w:lang w:eastAsia="zh-CN" w:bidi="hi-IN"/>
        </w:rPr>
        <w:t>et al. (2016). This exploration of the relationship between cyber-resilience practices and the levels of compliance with those practices allowed the creation of a tool to measure cyber-resilience. The framework will also allow organisations to visualise some of the cyber-risks and managed the perceived risks efficiently.</w:t>
      </w:r>
    </w:p>
    <w:p w14:paraId="4641ED99" w14:textId="77777777" w:rsidR="006E3616" w:rsidRPr="00400193" w:rsidRDefault="006E3616" w:rsidP="006E3616">
      <w:pPr>
        <w:pStyle w:val="Heading2"/>
        <w:rPr>
          <w:rFonts w:eastAsia="Arial"/>
          <w:lang w:eastAsia="zh-CN" w:bidi="hi-IN"/>
        </w:rPr>
      </w:pPr>
      <w:bookmarkStart w:id="861" w:name="_42ddq1a"/>
      <w:bookmarkStart w:id="862" w:name="_Toc61894811"/>
      <w:bookmarkEnd w:id="861"/>
      <w:r w:rsidRPr="00400193">
        <w:rPr>
          <w:rFonts w:eastAsia="Arial"/>
          <w:lang w:eastAsia="zh-CN" w:bidi="hi-IN"/>
        </w:rPr>
        <w:lastRenderedPageBreak/>
        <w:t>Descriptive Analysis Findings</w:t>
      </w:r>
      <w:bookmarkEnd w:id="862"/>
    </w:p>
    <w:p w14:paraId="6A44DFAB" w14:textId="566339E2" w:rsidR="006E3616" w:rsidRPr="00400193" w:rsidRDefault="006E3616" w:rsidP="006E3616">
      <w:pPr>
        <w:suppressAutoHyphens/>
        <w:rPr>
          <w:szCs w:val="24"/>
          <w:lang w:eastAsia="zh-CN" w:bidi="hi-IN"/>
        </w:rPr>
      </w:pPr>
      <w:r w:rsidRPr="00400193">
        <w:rPr>
          <w:szCs w:val="24"/>
          <w:lang w:eastAsia="zh-CN" w:bidi="hi-IN"/>
        </w:rPr>
        <w:t xml:space="preserve">The online survey of public sector staff in the UAE was successful, in that 200 invitations to participate were sent out, and 104 useable surveys were returned. This gave a response rate of 52%, which is regarded as quite high (De Bruijne </w:t>
      </w:r>
      <w:r w:rsidR="00337F8A" w:rsidRPr="00400193">
        <w:rPr>
          <w:szCs w:val="24"/>
          <w:lang w:eastAsia="zh-CN" w:bidi="hi-IN"/>
        </w:rPr>
        <w:t>and</w:t>
      </w:r>
      <w:r w:rsidRPr="00400193">
        <w:rPr>
          <w:szCs w:val="24"/>
          <w:lang w:eastAsia="zh-CN" w:bidi="hi-IN"/>
        </w:rPr>
        <w:t xml:space="preserve"> Wijnant, 2014). The demographic information was as expected, with a range from senior management to data entry clerks. The most obvious descriptive factor was a lack of trust in the organisation’s ability to cope with a cyber-attack (</w:t>
      </w:r>
      <w:r w:rsidRPr="00400193">
        <w:rPr>
          <w:iCs/>
          <w:szCs w:val="24"/>
          <w:lang w:eastAsia="zh-CN" w:bidi="hi-IN"/>
        </w:rPr>
        <w:t>i.e</w:t>
      </w:r>
      <w:r w:rsidRPr="00400193">
        <w:rPr>
          <w:i/>
          <w:szCs w:val="24"/>
          <w:lang w:eastAsia="zh-CN" w:bidi="hi-IN"/>
        </w:rPr>
        <w:t>.</w:t>
      </w:r>
      <w:r w:rsidRPr="00400193">
        <w:rPr>
          <w:szCs w:val="24"/>
          <w:lang w:eastAsia="zh-CN" w:bidi="hi-IN"/>
        </w:rPr>
        <w:t xml:space="preserve"> resilience was perceived to be low). However, the perception of external risk was high. Lack of awareness of internal risks was seen as important, as were risk culture and laziness. The overall levels of awareness were not as high as the level required for the new framework but high enough to demonstrate that there is a move towards cyber-security in the UAE public sector.</w:t>
      </w:r>
    </w:p>
    <w:p w14:paraId="6F45A232" w14:textId="77777777" w:rsidR="006E3616" w:rsidRPr="00400193" w:rsidRDefault="006E3616" w:rsidP="006E3616">
      <w:pPr>
        <w:suppressAutoHyphens/>
        <w:rPr>
          <w:szCs w:val="24"/>
          <w:lang w:eastAsia="zh-CN" w:bidi="hi-IN"/>
        </w:rPr>
      </w:pPr>
      <w:r w:rsidRPr="00400193">
        <w:rPr>
          <w:szCs w:val="24"/>
          <w:lang w:eastAsia="zh-CN" w:bidi="hi-IN"/>
        </w:rPr>
        <w:t>The descriptive statistics were checked for normality using tests suggested by more than one author, to provide cross-checking. The sources used included George and Mallery (2010) and Newson (2005). The tests used included Little’s Missing Completely at Random (MCAR) test (Little, 1988), to examine the randomness of the data. These tests gave confidence that the data were usable and that the answers fitted a normal distribution with few outliers. This is discussed in more detail in the next section.</w:t>
      </w:r>
    </w:p>
    <w:p w14:paraId="5D6C5AC3" w14:textId="77777777" w:rsidR="006E3616" w:rsidRPr="00400193" w:rsidRDefault="006E3616" w:rsidP="006E3616">
      <w:pPr>
        <w:pStyle w:val="Heading2"/>
        <w:rPr>
          <w:rFonts w:eastAsia="Arial"/>
          <w:lang w:eastAsia="zh-CN" w:bidi="hi-IN"/>
        </w:rPr>
      </w:pPr>
      <w:bookmarkStart w:id="863" w:name="_2hio093"/>
      <w:bookmarkStart w:id="864" w:name="_Toc61894812"/>
      <w:bookmarkEnd w:id="863"/>
      <w:r w:rsidRPr="00400193">
        <w:rPr>
          <w:rFonts w:eastAsia="Arial"/>
          <w:lang w:eastAsia="zh-CN" w:bidi="hi-IN"/>
        </w:rPr>
        <w:t>Validity of the Results</w:t>
      </w:r>
      <w:bookmarkEnd w:id="864"/>
    </w:p>
    <w:p w14:paraId="20E2DBC2" w14:textId="77777777" w:rsidR="006E3616" w:rsidRPr="00400193" w:rsidRDefault="006E3616" w:rsidP="006E3616">
      <w:pPr>
        <w:suppressAutoHyphens/>
        <w:rPr>
          <w:szCs w:val="24"/>
          <w:lang w:eastAsia="zh-CN" w:bidi="hi-IN"/>
        </w:rPr>
      </w:pPr>
      <w:r w:rsidRPr="00400193">
        <w:rPr>
          <w:szCs w:val="24"/>
          <w:lang w:eastAsia="zh-CN" w:bidi="hi-IN"/>
        </w:rPr>
        <w:t xml:space="preserve">The results can be considered valid because the statistical tests showed them to be in the range expected, and the demographic information of the participants fit perceptions of the UAE public sector workforce. The new framework combines existing frameworks in a new way, but does not detract from any of them, and all assumptions and limitations were stated, increasing the overall validity. Bannigan and Watson (2009) noted that research must be both reliable and valid. The reliability of the data is likely to be high because of the anonymity of the survey, which allowed people to be honest. </w:t>
      </w:r>
    </w:p>
    <w:p w14:paraId="3A15710D" w14:textId="77777777" w:rsidR="006E3616" w:rsidRPr="00400193" w:rsidRDefault="006E3616" w:rsidP="006E3616">
      <w:pPr>
        <w:pStyle w:val="Heading2"/>
        <w:rPr>
          <w:rFonts w:eastAsia="Arial"/>
          <w:lang w:eastAsia="zh-CN" w:bidi="hi-IN"/>
        </w:rPr>
      </w:pPr>
      <w:bookmarkStart w:id="865" w:name="_wnyagw"/>
      <w:bookmarkStart w:id="866" w:name="_Toc61894813"/>
      <w:bookmarkEnd w:id="865"/>
      <w:r w:rsidRPr="00400193">
        <w:rPr>
          <w:rFonts w:eastAsia="Arial"/>
          <w:lang w:eastAsia="zh-CN" w:bidi="hi-IN"/>
        </w:rPr>
        <w:t>Frequencies of the Research Constructs</w:t>
      </w:r>
      <w:bookmarkEnd w:id="866"/>
    </w:p>
    <w:p w14:paraId="639ED5D0" w14:textId="0BC28589" w:rsidR="006E3616" w:rsidRPr="00400193" w:rsidRDefault="006E3616" w:rsidP="006E3616">
      <w:pPr>
        <w:suppressAutoHyphens/>
        <w:rPr>
          <w:szCs w:val="24"/>
          <w:lang w:eastAsia="zh-CN" w:bidi="hi-IN"/>
        </w:rPr>
      </w:pPr>
      <w:r w:rsidRPr="00400193">
        <w:rPr>
          <w:szCs w:val="24"/>
          <w:lang w:eastAsia="zh-CN" w:bidi="hi-IN"/>
        </w:rPr>
        <w:t xml:space="preserve">The frequencies of the research constructs are set out in the data analysis chapter, but a brief discussion of their implications is needed. The answers to the survey </w:t>
      </w:r>
      <w:r w:rsidRPr="00400193">
        <w:rPr>
          <w:szCs w:val="24"/>
          <w:lang w:eastAsia="zh-CN" w:bidi="hi-IN"/>
        </w:rPr>
        <w:lastRenderedPageBreak/>
        <w:t xml:space="preserve">questions were on a Likert-type scale ranging from 1–5, where 1 showed strong agreement with the statement or question and 5 strong disagreement. The mean figures for the answers were mainly in the region of 2.75–4 (see </w:t>
      </w:r>
      <w:r w:rsidR="00DD0FD9" w:rsidRPr="00400193">
        <w:rPr>
          <w:szCs w:val="24"/>
          <w:lang w:eastAsia="zh-CN" w:bidi="hi-IN"/>
        </w:rPr>
        <w:fldChar w:fldCharType="begin"/>
      </w:r>
      <w:r w:rsidR="00DD0FD9" w:rsidRPr="00400193">
        <w:rPr>
          <w:szCs w:val="24"/>
          <w:lang w:eastAsia="zh-CN" w:bidi="hi-IN"/>
        </w:rPr>
        <w:instrText xml:space="preserve"> REF _Ref50570492 \h </w:instrText>
      </w:r>
      <w:r w:rsidR="00DD0FD9" w:rsidRPr="00400193">
        <w:rPr>
          <w:szCs w:val="24"/>
          <w:lang w:eastAsia="zh-CN" w:bidi="hi-IN"/>
        </w:rPr>
      </w:r>
      <w:r w:rsidR="00DD0FD9" w:rsidRPr="00400193">
        <w:rPr>
          <w:szCs w:val="24"/>
          <w:lang w:eastAsia="zh-CN" w:bidi="hi-IN"/>
        </w:rPr>
        <w:fldChar w:fldCharType="separate"/>
      </w:r>
      <w:r w:rsidR="00BB7C18" w:rsidRPr="00400193">
        <w:t xml:space="preserve">Appendix </w:t>
      </w:r>
      <w:r w:rsidR="00BB7C18">
        <w:rPr>
          <w:noProof/>
        </w:rPr>
        <w:t>4</w:t>
      </w:r>
      <w:r w:rsidR="00DD0FD9" w:rsidRPr="00400193">
        <w:rPr>
          <w:szCs w:val="24"/>
          <w:lang w:eastAsia="zh-CN" w:bidi="hi-IN"/>
        </w:rPr>
        <w:fldChar w:fldCharType="end"/>
      </w:r>
      <w:r w:rsidRPr="00400193">
        <w:rPr>
          <w:szCs w:val="24"/>
          <w:lang w:eastAsia="zh-CN" w:bidi="hi-IN"/>
        </w:rPr>
        <w:t xml:space="preserve">, </w:t>
      </w:r>
      <w:r w:rsidRPr="00400193">
        <w:rPr>
          <w:szCs w:val="24"/>
          <w:lang w:eastAsia="zh-CN" w:bidi="hi-IN"/>
        </w:rPr>
        <w:fldChar w:fldCharType="begin"/>
      </w:r>
      <w:r w:rsidRPr="00400193">
        <w:rPr>
          <w:szCs w:val="24"/>
          <w:lang w:eastAsia="zh-CN" w:bidi="hi-IN"/>
        </w:rPr>
        <w:instrText xml:space="preserve"> REF _Ref42945180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1</w:t>
      </w:r>
      <w:r w:rsidRPr="00400193">
        <w:rPr>
          <w:szCs w:val="24"/>
          <w:lang w:eastAsia="zh-CN" w:bidi="hi-IN"/>
        </w:rPr>
        <w:fldChar w:fldCharType="end"/>
      </w:r>
      <w:r w:rsidRPr="00400193">
        <w:rPr>
          <w:szCs w:val="24"/>
          <w:lang w:eastAsia="zh-CN" w:bidi="hi-IN"/>
        </w:rPr>
        <w:t xml:space="preserve"> and </w:t>
      </w:r>
      <w:r w:rsidRPr="00400193">
        <w:rPr>
          <w:szCs w:val="24"/>
          <w:lang w:eastAsia="zh-CN" w:bidi="hi-IN"/>
        </w:rPr>
        <w:fldChar w:fldCharType="begin"/>
      </w:r>
      <w:r w:rsidRPr="00400193">
        <w:rPr>
          <w:szCs w:val="24"/>
          <w:lang w:eastAsia="zh-CN" w:bidi="hi-IN"/>
        </w:rPr>
        <w:instrText xml:space="preserve"> REF _Ref42945193 \h </w:instrText>
      </w:r>
      <w:r w:rsidRPr="00400193">
        <w:rPr>
          <w:szCs w:val="24"/>
          <w:lang w:eastAsia="zh-CN" w:bidi="hi-IN"/>
        </w:rPr>
      </w:r>
      <w:r w:rsidRPr="00400193">
        <w:rPr>
          <w:szCs w:val="24"/>
          <w:lang w:eastAsia="zh-CN" w:bidi="hi-IN"/>
        </w:rPr>
        <w:fldChar w:fldCharType="separate"/>
      </w:r>
      <w:r w:rsidR="00BB7C18" w:rsidRPr="00400193">
        <w:t xml:space="preserve">Table </w:t>
      </w:r>
      <w:r w:rsidR="00BB7C18">
        <w:rPr>
          <w:noProof/>
          <w:cs/>
        </w:rPr>
        <w:t>‎</w:t>
      </w:r>
      <w:r w:rsidR="00BB7C18">
        <w:rPr>
          <w:noProof/>
        </w:rPr>
        <w:t>0</w:t>
      </w:r>
      <w:r w:rsidR="00BB7C18" w:rsidRPr="00400193">
        <w:noBreakHyphen/>
      </w:r>
      <w:r w:rsidR="00BB7C18">
        <w:rPr>
          <w:noProof/>
        </w:rPr>
        <w:t>2</w:t>
      </w:r>
      <w:r w:rsidRPr="00400193">
        <w:rPr>
          <w:szCs w:val="24"/>
          <w:lang w:eastAsia="zh-CN" w:bidi="hi-IN"/>
        </w:rPr>
        <w:fldChar w:fldCharType="end"/>
      </w:r>
      <w:r w:rsidRPr="00400193">
        <w:rPr>
          <w:szCs w:val="24"/>
          <w:lang w:eastAsia="zh-CN" w:bidi="hi-IN"/>
        </w:rPr>
        <w:t xml:space="preserve">) indicating that there was disagreement with most of the questions. The responses across all areas were broadly in line with expectations from the literature, including </w:t>
      </w:r>
      <w:r w:rsidRPr="00400193">
        <w:rPr>
          <w:iCs/>
          <w:szCs w:val="24"/>
          <w:lang w:eastAsia="zh-CN" w:bidi="hi-IN"/>
        </w:rPr>
        <w:t>from</w:t>
      </w:r>
      <w:r w:rsidRPr="00400193">
        <w:rPr>
          <w:szCs w:val="24"/>
          <w:lang w:eastAsia="zh-CN" w:bidi="hi-IN"/>
        </w:rPr>
        <w:t xml:space="preserve"> Al-Gahtani, Hubona, and Wang (2007), Almarhabi (2016), Amin (2017), and Bendovschi (2015). This, like the statistical analysis of normality, encourages belief in the data, and increases its validity and reliability.</w:t>
      </w:r>
    </w:p>
    <w:p w14:paraId="5F7D8173" w14:textId="77777777" w:rsidR="006E3616" w:rsidRPr="00400193" w:rsidRDefault="006E3616" w:rsidP="006E3616">
      <w:pPr>
        <w:pStyle w:val="Heading2"/>
        <w:rPr>
          <w:rFonts w:eastAsia="Arial"/>
          <w:lang w:eastAsia="zh-CN" w:bidi="hi-IN"/>
        </w:rPr>
      </w:pPr>
      <w:bookmarkStart w:id="867" w:name="_3gnlt4p"/>
      <w:bookmarkStart w:id="868" w:name="_Toc61894814"/>
      <w:bookmarkEnd w:id="867"/>
      <w:r w:rsidRPr="00400193">
        <w:rPr>
          <w:rFonts w:eastAsia="Arial"/>
          <w:lang w:eastAsia="zh-CN" w:bidi="hi-IN"/>
        </w:rPr>
        <w:t>Association Findings</w:t>
      </w:r>
      <w:bookmarkEnd w:id="868"/>
    </w:p>
    <w:p w14:paraId="6CDC0067" w14:textId="40806915" w:rsidR="006E3616" w:rsidRPr="00400193" w:rsidRDefault="006E3616" w:rsidP="006E3616">
      <w:pPr>
        <w:suppressAutoHyphens/>
        <w:rPr>
          <w:szCs w:val="24"/>
          <w:lang w:eastAsia="zh-CN" w:bidi="hi-IN"/>
        </w:rPr>
      </w:pPr>
      <w:r w:rsidRPr="00400193">
        <w:rPr>
          <w:szCs w:val="24"/>
          <w:lang w:eastAsia="zh-CN" w:bidi="hi-IN"/>
        </w:rPr>
        <w:t xml:space="preserve">This part of the discussion considers the concept of external and internal cyber-threats and how they affect public sector organisations. It brings together the findings from the literature review and the analysis of the primary data collected in the survey. The literature review identified the importance of organisational </w:t>
      </w:r>
      <w:r w:rsidR="00CC363C" w:rsidRPr="00400193">
        <w:rPr>
          <w:szCs w:val="24"/>
          <w:lang w:eastAsia="zh-CN" w:bidi="hi-IN"/>
        </w:rPr>
        <w:t>resilience and</w:t>
      </w:r>
      <w:r w:rsidRPr="00400193">
        <w:rPr>
          <w:szCs w:val="24"/>
          <w:lang w:eastAsia="zh-CN" w:bidi="hi-IN"/>
        </w:rPr>
        <w:t xml:space="preserve"> putting measures in place to reduce or mitigate cyber-threats for public organisations. It also demonstrated an association between these measures and the readiness of organisations to respond to both internal and external threats.</w:t>
      </w:r>
    </w:p>
    <w:p w14:paraId="4F085146" w14:textId="074065A9" w:rsidR="006E3616" w:rsidRPr="00400193" w:rsidRDefault="006E3616" w:rsidP="006E3616">
      <w:pPr>
        <w:suppressAutoHyphens/>
        <w:rPr>
          <w:szCs w:val="24"/>
          <w:lang w:eastAsia="zh-CN" w:bidi="hi-IN"/>
        </w:rPr>
      </w:pPr>
      <w:r w:rsidRPr="00400193">
        <w:rPr>
          <w:szCs w:val="24"/>
          <w:lang w:eastAsia="zh-CN" w:bidi="hi-IN"/>
        </w:rPr>
        <w:t>The majority of existing frameworks and standards largely concentrate on mitigation after an attack, although some outline some preventative measures. Mitigation is linked to resilience, but none of the frameworks provided an assessment of organisational resilience before the threat occurs. Additionally, the patterns of cyber-attack, particularly the cyber kill chain</w:t>
      </w:r>
      <w:r w:rsidRPr="00400193">
        <w:rPr>
          <w:szCs w:val="24"/>
          <w:vertAlign w:val="superscript"/>
          <w:lang w:eastAsia="zh-CN" w:bidi="hi-IN"/>
        </w:rPr>
        <w:t xml:space="preserve">® </w:t>
      </w:r>
      <w:r w:rsidR="00337F8A" w:rsidRPr="00400193">
        <w:rPr>
          <w:szCs w:val="24"/>
          <w:lang w:eastAsia="zh-CN" w:bidi="hi-IN"/>
        </w:rPr>
        <w:t>(Hutchins, Cloppert, and Amin, 2011)</w:t>
      </w:r>
      <w:r w:rsidRPr="00400193">
        <w:rPr>
          <w:szCs w:val="24"/>
          <w:lang w:eastAsia="zh-CN" w:bidi="hi-IN"/>
        </w:rPr>
        <w:t xml:space="preserve">, all emphasise that earlier threat detection gives a better chance of either preventing the cyber-attack or of recovering from it (improved resilience). </w:t>
      </w:r>
      <w:bookmarkStart w:id="869" w:name="_Hlk52040878"/>
      <w:r w:rsidRPr="00400193">
        <w:rPr>
          <w:szCs w:val="24"/>
          <w:lang w:eastAsia="zh-CN" w:bidi="hi-IN"/>
        </w:rPr>
        <w:t xml:space="preserve">This indicates that the existing frameworks do not detect cyber-threats or intervene quickly enough. </w:t>
      </w:r>
      <w:bookmarkEnd w:id="869"/>
      <w:r w:rsidRPr="00400193">
        <w:rPr>
          <w:szCs w:val="24"/>
          <w:lang w:eastAsia="zh-CN" w:bidi="hi-IN"/>
        </w:rPr>
        <w:fldChar w:fldCharType="begin"/>
      </w:r>
      <w:r w:rsidRPr="00400193">
        <w:rPr>
          <w:szCs w:val="24"/>
          <w:lang w:eastAsia="zh-CN" w:bidi="hi-IN"/>
        </w:rPr>
        <w:instrText xml:space="preserve"> REF _Ref43136481 \h </w:instrText>
      </w:r>
      <w:r w:rsidRPr="00400193">
        <w:rPr>
          <w:szCs w:val="24"/>
          <w:lang w:eastAsia="zh-CN" w:bidi="hi-IN"/>
        </w:rPr>
      </w:r>
      <w:r w:rsidRPr="00400193">
        <w:rPr>
          <w:szCs w:val="24"/>
          <w:lang w:eastAsia="zh-CN" w:bidi="hi-IN"/>
        </w:rPr>
        <w:fldChar w:fldCharType="separate"/>
      </w:r>
      <w:r w:rsidR="00BB7C18" w:rsidRPr="00400193">
        <w:t xml:space="preserve">Figure </w:t>
      </w:r>
      <w:r w:rsidR="00BB7C18">
        <w:rPr>
          <w:noProof/>
          <w:cs/>
        </w:rPr>
        <w:t>‎</w:t>
      </w:r>
      <w:r w:rsidR="00BB7C18">
        <w:rPr>
          <w:noProof/>
        </w:rPr>
        <w:t>2</w:t>
      </w:r>
      <w:r w:rsidR="00BB7C18" w:rsidRPr="00400193">
        <w:noBreakHyphen/>
      </w:r>
      <w:r w:rsidR="00BB7C18">
        <w:rPr>
          <w:noProof/>
        </w:rPr>
        <w:t>15</w:t>
      </w:r>
      <w:r w:rsidRPr="00400193">
        <w:rPr>
          <w:szCs w:val="24"/>
          <w:lang w:eastAsia="zh-CN" w:bidi="hi-IN"/>
        </w:rPr>
        <w:fldChar w:fldCharType="end"/>
      </w:r>
      <w:r w:rsidRPr="00400193">
        <w:rPr>
          <w:szCs w:val="24"/>
          <w:lang w:eastAsia="zh-CN" w:bidi="hi-IN"/>
        </w:rPr>
        <w:t xml:space="preserve"> summarises the existing frameworks and shows that they were developed to mitigate threats after attack, and to prevent threats proceeding past point ‘B’. The new framework is aimed at the ‘gap’ between the current action point (‘B’) and the ideal action point (‘A’). By increasing awareness and allowing a better measurement of resilience, the new framework is intended to move the action point closer to point ‘A’.</w:t>
      </w:r>
    </w:p>
    <w:p w14:paraId="0D22CCF7" w14:textId="77777777" w:rsidR="006E3616" w:rsidRPr="00400193" w:rsidRDefault="006E3616" w:rsidP="006E3616">
      <w:pPr>
        <w:suppressAutoHyphens/>
        <w:rPr>
          <w:szCs w:val="24"/>
          <w:lang w:eastAsia="zh-CN" w:bidi="hi-IN"/>
        </w:rPr>
      </w:pPr>
      <w:r w:rsidRPr="00400193">
        <w:rPr>
          <w:szCs w:val="24"/>
          <w:lang w:eastAsia="zh-CN" w:bidi="hi-IN"/>
        </w:rPr>
        <w:t>To ensure that any proposed framework is directly applicable to the UAE public sector, data were gathered from an online survey of public sector employees. A total of 207 latent variables were identified, and questions were created with answers on a Likert-</w:t>
      </w:r>
      <w:r w:rsidRPr="00400193">
        <w:rPr>
          <w:szCs w:val="24"/>
          <w:lang w:eastAsia="zh-CN" w:bidi="hi-IN"/>
        </w:rPr>
        <w:lastRenderedPageBreak/>
        <w:t>type scale. In total, 200 electronic questionnaires were distributed, and 127 were returned of which 104 were valid and usable as data. In the data analysis, a principal component analysis of the input data was conducted (Chang et al., 2017), where new code clusters (Pelekis et al., 2017) were identified, using both outlier and space division to forecast the outliers and extract new latent clusters of variables (factor extraction). A multi-linear regression stepwise analysis was used to develop and verity models, to predict and interpret the variables.</w:t>
      </w:r>
    </w:p>
    <w:p w14:paraId="116A935F" w14:textId="56C4D0DB" w:rsidR="006E3616" w:rsidRPr="00400193" w:rsidRDefault="006E3616" w:rsidP="00592D37">
      <w:pPr>
        <w:rPr>
          <w:lang w:eastAsia="zh-CN" w:bidi="hi-IN"/>
        </w:rPr>
      </w:pPr>
      <w:r w:rsidRPr="00400193">
        <w:rPr>
          <w:lang w:eastAsia="zh-CN" w:bidi="hi-IN"/>
        </w:rPr>
        <w:t>As a final step, a multi-linear model was developed to measure the associations among the clustered latent variables. All external and internal threat variables were clustered as external threats (</w:t>
      </w:r>
      <w:r w:rsidR="00DD07A5" w:rsidRPr="00400193">
        <w:rPr>
          <w:lang w:eastAsia="zh-CN" w:bidi="hi-IN"/>
        </w:rPr>
        <w:t>ERF</w:t>
      </w:r>
      <w:r w:rsidRPr="00400193">
        <w:rPr>
          <w:lang w:eastAsia="zh-CN" w:bidi="hi-IN"/>
        </w:rPr>
        <w:t>) and internal threats (</w:t>
      </w:r>
      <w:r w:rsidR="00DD07A5" w:rsidRPr="00400193">
        <w:rPr>
          <w:lang w:eastAsia="zh-CN" w:bidi="hi-IN"/>
        </w:rPr>
        <w:t>IRF</w:t>
      </w:r>
      <w:r w:rsidRPr="00400193">
        <w:rPr>
          <w:lang w:eastAsia="zh-CN" w:bidi="hi-IN"/>
        </w:rPr>
        <w:t>), then the association with having a response in place (RP) and organisational resilience (OR</w:t>
      </w:r>
      <w:r w:rsidR="00592D37" w:rsidRPr="00400193">
        <w:rPr>
          <w:lang w:eastAsia="zh-CN" w:bidi="hi-IN"/>
        </w:rPr>
        <w:t>e</w:t>
      </w:r>
      <w:r w:rsidRPr="00400193">
        <w:rPr>
          <w:lang w:eastAsia="zh-CN" w:bidi="hi-IN"/>
        </w:rPr>
        <w:t>) was measured for each group. This permitted the construction of the new proposed framework (</w:t>
      </w:r>
      <w:r w:rsidR="00592D37" w:rsidRPr="00400193">
        <w:rPr>
          <w:lang w:eastAsia="zh-CN" w:bidi="hi-IN"/>
        </w:rPr>
        <w:fldChar w:fldCharType="begin"/>
      </w:r>
      <w:r w:rsidR="00592D37" w:rsidRPr="00400193">
        <w:rPr>
          <w:lang w:eastAsia="zh-CN" w:bidi="hi-IN"/>
        </w:rPr>
        <w:instrText xml:space="preserve"> REF _Ref44957419 \h  \* MERGEFORMAT </w:instrText>
      </w:r>
      <w:r w:rsidR="00592D37" w:rsidRPr="00400193">
        <w:rPr>
          <w:lang w:eastAsia="zh-CN" w:bidi="hi-IN"/>
        </w:rPr>
      </w:r>
      <w:r w:rsidR="00592D37" w:rsidRPr="00400193">
        <w:rPr>
          <w:lang w:eastAsia="zh-CN" w:bidi="hi-IN"/>
        </w:rPr>
        <w:fldChar w:fldCharType="separate"/>
      </w:r>
      <w:r w:rsidR="00BB7C18" w:rsidRPr="00400193">
        <w:t xml:space="preserve">Figure </w:t>
      </w:r>
      <w:r w:rsidR="00BB7C18">
        <w:rPr>
          <w:cs/>
        </w:rPr>
        <w:t>‎</w:t>
      </w:r>
      <w:r w:rsidR="00BB7C18">
        <w:rPr>
          <w:noProof/>
        </w:rPr>
        <w:t>3</w:t>
      </w:r>
      <w:r w:rsidR="00BB7C18" w:rsidRPr="00400193">
        <w:noBreakHyphen/>
      </w:r>
      <w:r w:rsidR="00BB7C18">
        <w:rPr>
          <w:noProof/>
        </w:rPr>
        <w:t>5</w:t>
      </w:r>
      <w:r w:rsidR="00592D37" w:rsidRPr="00400193">
        <w:rPr>
          <w:lang w:eastAsia="zh-CN" w:bidi="hi-IN"/>
        </w:rPr>
        <w:fldChar w:fldCharType="end"/>
      </w:r>
      <w:r w:rsidR="00592D37" w:rsidRPr="00400193">
        <w:rPr>
          <w:lang w:eastAsia="zh-CN" w:bidi="hi-IN"/>
        </w:rPr>
        <w:t>)</w:t>
      </w:r>
      <w:r w:rsidRPr="00400193">
        <w:rPr>
          <w:lang w:eastAsia="zh-CN" w:bidi="hi-IN"/>
        </w:rPr>
        <w:t>.</w:t>
      </w:r>
    </w:p>
    <w:p w14:paraId="40A45078" w14:textId="77777777" w:rsidR="006E3616" w:rsidRPr="00400193" w:rsidRDefault="006E3616" w:rsidP="006E3616">
      <w:pPr>
        <w:pStyle w:val="Heading2"/>
        <w:rPr>
          <w:rFonts w:eastAsia="Arial"/>
          <w:lang w:eastAsia="zh-CN" w:bidi="hi-IN"/>
        </w:rPr>
      </w:pPr>
      <w:bookmarkStart w:id="870" w:name="_1vsw3ci"/>
      <w:bookmarkStart w:id="871" w:name="_Toc61894815"/>
      <w:bookmarkEnd w:id="870"/>
      <w:r w:rsidRPr="00400193">
        <w:rPr>
          <w:rFonts w:eastAsia="Arial"/>
          <w:lang w:eastAsia="zh-CN" w:bidi="hi-IN"/>
        </w:rPr>
        <w:t>Discussion of Regression Analysis</w:t>
      </w:r>
      <w:bookmarkEnd w:id="871"/>
    </w:p>
    <w:p w14:paraId="7AAFE4D5" w14:textId="77777777" w:rsidR="006E3616" w:rsidRPr="00400193" w:rsidRDefault="006E3616" w:rsidP="006E3616">
      <w:pPr>
        <w:suppressAutoHyphens/>
        <w:rPr>
          <w:szCs w:val="24"/>
          <w:lang w:eastAsia="zh-CN" w:bidi="hi-IN"/>
        </w:rPr>
      </w:pPr>
      <w:r w:rsidRPr="00400193">
        <w:rPr>
          <w:szCs w:val="24"/>
          <w:lang w:eastAsia="zh-CN" w:bidi="hi-IN"/>
        </w:rPr>
        <w:t>The next few sub-sections discuss the relationships between independent and dependent variables in this study, including both direct and moderator effects.</w:t>
      </w:r>
    </w:p>
    <w:p w14:paraId="48EAA608" w14:textId="77777777" w:rsidR="006E3616" w:rsidRPr="00400193" w:rsidRDefault="006E3616" w:rsidP="006E3616">
      <w:pPr>
        <w:pStyle w:val="Heading3"/>
        <w:rPr>
          <w:rFonts w:eastAsia="Arial"/>
          <w:lang w:eastAsia="zh-CN" w:bidi="hi-IN"/>
        </w:rPr>
      </w:pPr>
      <w:bookmarkStart w:id="872" w:name="_4fsjm0b"/>
      <w:bookmarkStart w:id="873" w:name="_Toc61894816"/>
      <w:bookmarkEnd w:id="872"/>
      <w:r w:rsidRPr="00400193">
        <w:rPr>
          <w:rFonts w:eastAsia="Arial"/>
          <w:lang w:eastAsia="zh-CN" w:bidi="hi-IN"/>
        </w:rPr>
        <w:t>Direct Effect on Vulnerabilities and Weaknesses of External and Internal Threats, Having a Response in Place and Organisational Resilience</w:t>
      </w:r>
      <w:bookmarkEnd w:id="873"/>
    </w:p>
    <w:p w14:paraId="6CF0550C" w14:textId="77777777" w:rsidR="006E3616" w:rsidRPr="00400193" w:rsidRDefault="006E3616" w:rsidP="006E3616">
      <w:pPr>
        <w:suppressAutoHyphens/>
        <w:rPr>
          <w:szCs w:val="24"/>
          <w:lang w:eastAsia="zh-CN" w:bidi="hi-IN"/>
        </w:rPr>
      </w:pPr>
      <w:r w:rsidRPr="00400193">
        <w:rPr>
          <w:szCs w:val="24"/>
          <w:lang w:eastAsia="zh-CN" w:bidi="hi-IN"/>
        </w:rPr>
        <w:t xml:space="preserve">The findings obtained from the quantitative analysis indicated that there was a significance relationship between internal and external threats and having a response in place and organisational resilience in public sector organisations. Organisational managers can therefore prevent and mitigate the impacts of both internal and external threats on organisational assets if there are better responses in place and a higher level of organisational resilience. </w:t>
      </w:r>
    </w:p>
    <w:p w14:paraId="5AFBACE3" w14:textId="237F077C" w:rsidR="006E3616" w:rsidRPr="00400193" w:rsidRDefault="006E3616" w:rsidP="006E3616">
      <w:pPr>
        <w:suppressAutoHyphens/>
        <w:rPr>
          <w:szCs w:val="24"/>
          <w:lang w:eastAsia="zh-CN" w:bidi="hi-IN"/>
        </w:rPr>
      </w:pPr>
      <w:r w:rsidRPr="00400193">
        <w:rPr>
          <w:szCs w:val="24"/>
          <w:lang w:eastAsia="zh-CN" w:bidi="hi-IN"/>
        </w:rPr>
        <w:t>For the hypothesis testing, a Pearson Correlation test was used to identify the type of association between the independent and dependent variables. The first step was to test the association between the organisations’ vulnerabilities and weaknesses (VW) and the external threats (</w:t>
      </w:r>
      <w:r w:rsidR="00DD07A5" w:rsidRPr="00400193">
        <w:rPr>
          <w:szCs w:val="24"/>
          <w:lang w:eastAsia="zh-CN" w:bidi="hi-IN"/>
        </w:rPr>
        <w:t>ERF</w:t>
      </w:r>
      <w:r w:rsidRPr="00400193">
        <w:rPr>
          <w:szCs w:val="24"/>
          <w:lang w:eastAsia="zh-CN" w:bidi="hi-IN"/>
        </w:rPr>
        <w:t xml:space="preserve">). </w:t>
      </w:r>
      <w:r w:rsidR="00DD07A5" w:rsidRPr="00400193">
        <w:rPr>
          <w:szCs w:val="24"/>
          <w:lang w:eastAsia="zh-CN" w:bidi="hi-IN"/>
        </w:rPr>
        <w:t>ERF</w:t>
      </w:r>
      <w:r w:rsidRPr="00400193">
        <w:rPr>
          <w:szCs w:val="24"/>
          <w:lang w:eastAsia="zh-CN" w:bidi="hi-IN"/>
        </w:rPr>
        <w:t xml:space="preserve"> was positively correlated with VW at p &lt;0.01, meaning that an increase in external threats was associated with an increase in the level of vulnerabilities and weaknesses in a public sector organisation. </w:t>
      </w:r>
    </w:p>
    <w:p w14:paraId="0424604D" w14:textId="006E8E60" w:rsidR="006E3616" w:rsidRPr="00400193" w:rsidRDefault="006E3616" w:rsidP="006E3616">
      <w:pPr>
        <w:suppressAutoHyphens/>
        <w:rPr>
          <w:szCs w:val="24"/>
          <w:lang w:eastAsia="zh-CN" w:bidi="hi-IN"/>
        </w:rPr>
      </w:pPr>
      <w:r w:rsidRPr="00400193">
        <w:rPr>
          <w:szCs w:val="24"/>
          <w:lang w:eastAsia="zh-CN" w:bidi="hi-IN"/>
        </w:rPr>
        <w:lastRenderedPageBreak/>
        <w:t xml:space="preserve">The relationship between VW and </w:t>
      </w:r>
      <w:r w:rsidR="00DD07A5" w:rsidRPr="00400193">
        <w:rPr>
          <w:szCs w:val="24"/>
          <w:lang w:eastAsia="zh-CN" w:bidi="hi-IN"/>
        </w:rPr>
        <w:t>IRF</w:t>
      </w:r>
      <w:r w:rsidRPr="00400193">
        <w:rPr>
          <w:szCs w:val="24"/>
          <w:lang w:eastAsia="zh-CN" w:bidi="hi-IN"/>
        </w:rPr>
        <w:t xml:space="preserve"> also had a positive correlation at p &lt;0.01, meaning that an increase in </w:t>
      </w:r>
      <w:r w:rsidR="00DD07A5" w:rsidRPr="00400193">
        <w:rPr>
          <w:szCs w:val="24"/>
          <w:lang w:eastAsia="zh-CN" w:bidi="hi-IN"/>
        </w:rPr>
        <w:t>IRF</w:t>
      </w:r>
      <w:r w:rsidRPr="00400193">
        <w:rPr>
          <w:szCs w:val="24"/>
          <w:lang w:eastAsia="zh-CN" w:bidi="hi-IN"/>
        </w:rPr>
        <w:t xml:space="preserve"> was also associated with greater vulnerabilities and weaknesses. This is consistent with Thomson and von Solms </w:t>
      </w:r>
      <w:r w:rsidR="00C570A7" w:rsidRPr="00400193">
        <w:rPr>
          <w:szCs w:val="24"/>
          <w:lang w:eastAsia="zh-CN" w:bidi="hi-IN"/>
        </w:rPr>
        <w:t xml:space="preserve"> (2005)</w:t>
      </w:r>
      <w:r w:rsidRPr="00400193">
        <w:rPr>
          <w:szCs w:val="24"/>
          <w:lang w:eastAsia="zh-CN" w:bidi="hi-IN"/>
        </w:rPr>
        <w:t xml:space="preserve"> who noted that management commitment in public sector organisations was essential to a robust and on-going development of cyber-risk management. In addition to a continuous assessment of organisational vulnerabilities and weaknesses, procedures to raise awareness supported by self-awareness in higher management increase the security culture within the organisation, which reduces the risk of future attacks </w:t>
      </w:r>
      <w:r w:rsidR="00337F8A" w:rsidRPr="00400193">
        <w:rPr>
          <w:szCs w:val="24"/>
          <w:lang w:eastAsia="zh-CN" w:bidi="hi-IN"/>
        </w:rPr>
        <w:t>(Thomson and von Solms, 2005)</w:t>
      </w:r>
      <w:r w:rsidRPr="00400193">
        <w:rPr>
          <w:szCs w:val="24"/>
          <w:lang w:eastAsia="zh-CN" w:bidi="hi-IN"/>
        </w:rPr>
        <w:t>.</w:t>
      </w:r>
    </w:p>
    <w:p w14:paraId="028F29AA" w14:textId="7EB6A87A" w:rsidR="006E3616" w:rsidRPr="00400193" w:rsidRDefault="006E3616" w:rsidP="006E3616">
      <w:pPr>
        <w:suppressAutoHyphens/>
        <w:rPr>
          <w:szCs w:val="24"/>
          <w:lang w:eastAsia="zh-CN" w:bidi="hi-IN"/>
        </w:rPr>
      </w:pPr>
      <w:r w:rsidRPr="00400193">
        <w:rPr>
          <w:szCs w:val="24"/>
          <w:lang w:eastAsia="zh-CN" w:bidi="hi-IN"/>
        </w:rPr>
        <w:t>The positive and significant correlation of having responses in place (RP) with vulnerabilities and weaknesses indicates that a high level of responses in place was associated with higher levels of vulnerabilities and weaknesses in public sector organisations. Previous studies (</w:t>
      </w:r>
      <w:r w:rsidRPr="00400193">
        <w:rPr>
          <w:iCs/>
          <w:szCs w:val="24"/>
          <w:lang w:eastAsia="zh-CN" w:bidi="hi-IN"/>
        </w:rPr>
        <w:t>e.g. Sano et al., 2016</w:t>
      </w:r>
      <w:r w:rsidRPr="00400193">
        <w:rPr>
          <w:szCs w:val="24"/>
          <w:lang w:eastAsia="zh-CN" w:bidi="hi-IN"/>
        </w:rPr>
        <w:t xml:space="preserve">; Schneier, 2012) emphasised the importance of detection and response, to avoid attacks penetrating to the point where the organisation is damaged. However, it is impossible to prevent every attack, and it is therefore essential to be able to respond appropriately to an attack (Vasudevan </w:t>
      </w:r>
      <w:r w:rsidR="00337F8A" w:rsidRPr="00400193">
        <w:rPr>
          <w:szCs w:val="24"/>
          <w:lang w:eastAsia="zh-CN" w:bidi="hi-IN"/>
        </w:rPr>
        <w:t>and</w:t>
      </w:r>
      <w:r w:rsidRPr="00400193">
        <w:rPr>
          <w:szCs w:val="24"/>
          <w:lang w:eastAsia="zh-CN" w:bidi="hi-IN"/>
        </w:rPr>
        <w:t xml:space="preserve"> Selvakumar, 2016). Having a response in place is therefore a way to assume that a cyber-attack will occur, detect any attacks as early as possible, respond to them appropriately, and prevent any damage from spreading. However, this can be difficult to deliver in practice.</w:t>
      </w:r>
    </w:p>
    <w:p w14:paraId="493E215E" w14:textId="1D6C4392" w:rsidR="006E3616" w:rsidRPr="00400193" w:rsidRDefault="006E3616" w:rsidP="006E3616">
      <w:pPr>
        <w:suppressAutoHyphens/>
        <w:rPr>
          <w:szCs w:val="24"/>
          <w:lang w:eastAsia="zh-CN" w:bidi="hi-IN"/>
        </w:rPr>
      </w:pPr>
      <w:r w:rsidRPr="00400193">
        <w:rPr>
          <w:szCs w:val="24"/>
          <w:lang w:eastAsia="zh-CN" w:bidi="hi-IN"/>
        </w:rPr>
        <w:t>Finally, organisational resilience (OR) was positively correlated with vulnerabilities and weaknesses at p &lt;0.01, indicating that a higher level of resilience was also associated with higher levels of vulnerabilities and weaknesses in public sector organisations.</w:t>
      </w:r>
    </w:p>
    <w:p w14:paraId="6F92FF58" w14:textId="77777777" w:rsidR="006E3616" w:rsidRPr="00400193" w:rsidRDefault="006E3616" w:rsidP="006E3616">
      <w:pPr>
        <w:pStyle w:val="Heading3"/>
        <w:rPr>
          <w:rFonts w:eastAsia="Arial"/>
          <w:lang w:eastAsia="zh-CN" w:bidi="hi-IN"/>
        </w:rPr>
      </w:pPr>
      <w:bookmarkStart w:id="874" w:name="_2uxtw84"/>
      <w:bookmarkStart w:id="875" w:name="_Toc61894817"/>
      <w:bookmarkEnd w:id="874"/>
      <w:r w:rsidRPr="00400193">
        <w:rPr>
          <w:rFonts w:eastAsia="Arial"/>
          <w:lang w:eastAsia="zh-CN" w:bidi="hi-IN"/>
        </w:rPr>
        <w:t>Direct Effect of External Threats, Having a Response in Place, and Organisational Resilience on Organisational Vulnerabilities and Weaknesses</w:t>
      </w:r>
      <w:bookmarkEnd w:id="875"/>
    </w:p>
    <w:p w14:paraId="755ACEE6" w14:textId="7CFE87C7" w:rsidR="006E3616" w:rsidRPr="00400193" w:rsidRDefault="006E3616" w:rsidP="006E3616">
      <w:pPr>
        <w:suppressAutoHyphens/>
        <w:rPr>
          <w:szCs w:val="24"/>
          <w:lang w:eastAsia="zh-CN" w:bidi="hi-IN"/>
        </w:rPr>
      </w:pPr>
      <w:r w:rsidRPr="00400193">
        <w:rPr>
          <w:szCs w:val="24"/>
          <w:lang w:eastAsia="zh-CN" w:bidi="hi-IN"/>
        </w:rPr>
        <w:t>External threats (</w:t>
      </w:r>
      <w:r w:rsidR="00DD07A5" w:rsidRPr="00400193">
        <w:rPr>
          <w:szCs w:val="24"/>
          <w:lang w:eastAsia="zh-CN" w:bidi="hi-IN"/>
        </w:rPr>
        <w:t>ERF</w:t>
      </w:r>
      <w:r w:rsidRPr="00400193">
        <w:rPr>
          <w:szCs w:val="24"/>
          <w:lang w:eastAsia="zh-CN" w:bidi="hi-IN"/>
        </w:rPr>
        <w:t xml:space="preserve">) had a positive association with vulnerabilities and weaknesses, meaning that an increase in threats was associated with greater vulnerabilities and weaknesses in public sector organisations. </w:t>
      </w:r>
    </w:p>
    <w:p w14:paraId="37C0382E" w14:textId="77777777" w:rsidR="006E3616" w:rsidRPr="00400193" w:rsidRDefault="006E3616" w:rsidP="006E3616">
      <w:pPr>
        <w:suppressAutoHyphens/>
        <w:rPr>
          <w:szCs w:val="24"/>
          <w:lang w:eastAsia="zh-CN" w:bidi="hi-IN"/>
        </w:rPr>
      </w:pPr>
      <w:r w:rsidRPr="00400193">
        <w:rPr>
          <w:szCs w:val="24"/>
          <w:lang w:eastAsia="zh-CN" w:bidi="hi-IN"/>
        </w:rPr>
        <w:t>Response in place (RP) also had a positive association with vulnerabilities and weaknesses, which means that an increase in the level of response in place of the organisation was associated with an increase in the vulnerabilities and weaknesses. This result confirms the findings of Sano</w:t>
      </w:r>
      <w:r w:rsidRPr="00400193">
        <w:rPr>
          <w:i/>
          <w:iCs/>
          <w:szCs w:val="24"/>
          <w:lang w:eastAsia="zh-CN" w:bidi="hi-IN"/>
        </w:rPr>
        <w:t xml:space="preserve"> </w:t>
      </w:r>
      <w:r w:rsidRPr="00400193">
        <w:rPr>
          <w:szCs w:val="24"/>
          <w:lang w:eastAsia="zh-CN" w:bidi="hi-IN"/>
        </w:rPr>
        <w:t xml:space="preserve">et al. (2016), Schneier (2012), and </w:t>
      </w:r>
      <w:r w:rsidRPr="00400193">
        <w:rPr>
          <w:szCs w:val="24"/>
          <w:lang w:eastAsia="zh-CN" w:bidi="hi-IN"/>
        </w:rPr>
        <w:lastRenderedPageBreak/>
        <w:t xml:space="preserve">Vasudevan and Selvakumar (2016), who all suggested that early detection and a fast response prevented cyber-attacks from penetrating to the point where damage cannot be mitigated. </w:t>
      </w:r>
    </w:p>
    <w:p w14:paraId="64380278" w14:textId="03A057BA" w:rsidR="006E3616" w:rsidRPr="00400193" w:rsidRDefault="006E3616" w:rsidP="006E3616">
      <w:pPr>
        <w:suppressAutoHyphens/>
        <w:rPr>
          <w:szCs w:val="24"/>
          <w:lang w:eastAsia="zh-CN" w:bidi="hi-IN"/>
        </w:rPr>
      </w:pPr>
      <w:r w:rsidRPr="00400193">
        <w:rPr>
          <w:szCs w:val="24"/>
          <w:lang w:eastAsia="zh-CN" w:bidi="hi-IN"/>
        </w:rPr>
        <w:t xml:space="preserve">Having a response in place does not prevent external threats, but it may reduce the potential impact of those threats </w:t>
      </w:r>
      <w:r w:rsidR="00C570A7" w:rsidRPr="00400193">
        <w:rPr>
          <w:szCs w:val="24"/>
          <w:lang w:eastAsia="zh-CN" w:bidi="hi-IN"/>
        </w:rPr>
        <w:t>(Niblett, 2016)</w:t>
      </w:r>
      <w:r w:rsidRPr="00400193">
        <w:rPr>
          <w:szCs w:val="24"/>
          <w:lang w:eastAsia="zh-CN" w:bidi="hi-IN"/>
        </w:rPr>
        <w:t>. It follows that public sector organisations should develop a response in place strategy that is focused on two pillars: management responses and technical responses. The management response is to ensure that there is a culture of cyber-threat resilience and awareness throughout the organisation. The technical response must focus on continuous assessment of the organisation’s technological infrastructure and the readiness of digital assets to reduce or prevent the potential impact of any attack. Public sector organisations must combine these two pillars to reduce the levels of cyber-threat and to maintain flexible operations and a well-managed response mechanism.</w:t>
      </w:r>
    </w:p>
    <w:p w14:paraId="53C3938E" w14:textId="13824533" w:rsidR="006E3616" w:rsidRPr="00400193" w:rsidRDefault="006E3616" w:rsidP="006E3616">
      <w:pPr>
        <w:suppressAutoHyphens/>
        <w:rPr>
          <w:szCs w:val="24"/>
          <w:lang w:eastAsia="zh-CN" w:bidi="hi-IN"/>
        </w:rPr>
      </w:pPr>
      <w:r w:rsidRPr="00400193">
        <w:rPr>
          <w:szCs w:val="24"/>
          <w:lang w:eastAsia="zh-CN" w:bidi="hi-IN"/>
        </w:rPr>
        <w:t>Organisational resilience (OR) had a positive association with vulnerabilities and weaknesses, so an increase in resilience was associated with increased weaknesses and vulnerabilities in public sector organisations. This result confirms the findings of Hollnagel</w:t>
      </w:r>
      <w:r w:rsidRPr="00400193">
        <w:rPr>
          <w:i/>
          <w:iCs/>
          <w:szCs w:val="24"/>
          <w:lang w:eastAsia="zh-CN" w:bidi="hi-IN"/>
        </w:rPr>
        <w:t xml:space="preserve"> </w:t>
      </w:r>
      <w:r w:rsidRPr="00400193">
        <w:rPr>
          <w:szCs w:val="24"/>
          <w:lang w:eastAsia="zh-CN" w:bidi="hi-IN"/>
        </w:rPr>
        <w:t xml:space="preserve">et al. </w:t>
      </w:r>
      <w:r w:rsidR="00C570A7" w:rsidRPr="00400193">
        <w:rPr>
          <w:szCs w:val="24"/>
          <w:lang w:eastAsia="zh-CN" w:bidi="hi-IN"/>
        </w:rPr>
        <w:t>(2006, p. 120)</w:t>
      </w:r>
      <w:r w:rsidRPr="00400193">
        <w:rPr>
          <w:szCs w:val="24"/>
          <w:lang w:eastAsia="zh-CN" w:bidi="hi-IN"/>
        </w:rPr>
        <w:t xml:space="preserve">, who defined resilience as </w:t>
      </w:r>
      <w:r w:rsidRPr="00400193">
        <w:rPr>
          <w:i/>
          <w:szCs w:val="24"/>
          <w:lang w:eastAsia="zh-CN" w:bidi="hi-IN"/>
        </w:rPr>
        <w:t>“the ability of systems to anticipate and adapt to the potential for surprise and failure”</w:t>
      </w:r>
      <w:r w:rsidRPr="00400193">
        <w:rPr>
          <w:iCs/>
          <w:szCs w:val="24"/>
          <w:lang w:eastAsia="zh-CN" w:bidi="hi-IN"/>
        </w:rPr>
        <w:t xml:space="preserve">. </w:t>
      </w:r>
      <w:r w:rsidRPr="00400193">
        <w:rPr>
          <w:szCs w:val="24"/>
          <w:lang w:eastAsia="zh-CN" w:bidi="hi-IN"/>
        </w:rPr>
        <w:t>Hollnagel</w:t>
      </w:r>
      <w:r w:rsidRPr="00400193">
        <w:rPr>
          <w:i/>
          <w:iCs/>
          <w:szCs w:val="24"/>
          <w:lang w:eastAsia="zh-CN" w:bidi="hi-IN"/>
        </w:rPr>
        <w:t xml:space="preserve"> </w:t>
      </w:r>
      <w:r w:rsidRPr="00400193">
        <w:rPr>
          <w:szCs w:val="24"/>
          <w:lang w:eastAsia="zh-CN" w:bidi="hi-IN"/>
        </w:rPr>
        <w:t xml:space="preserve">et al. (2006) also stressed that organisations should engineer their technology systems and infrastructure resilience to be able to cope with the growing level and unpredictability of cyber-threats. UAE public sector organisations should move away from their traditional approach to information system security, because reducing vulnerability against identified threats has proven impossible. The revised approach must be to move forward with a cyber-resilience strategy that gives full protection against cyber-threats. This requires a pro-active and flexible approach similar to the human body’s immune system, to avoid interruption of operations caused by cyber-attacks </w:t>
      </w:r>
      <w:r w:rsidR="00337F8A" w:rsidRPr="00400193">
        <w:rPr>
          <w:szCs w:val="24"/>
          <w:lang w:eastAsia="zh-CN" w:bidi="hi-IN"/>
        </w:rPr>
        <w:t>(Brown, Anwar, and Dozier, 2017)</w:t>
      </w:r>
      <w:r w:rsidRPr="00400193">
        <w:rPr>
          <w:szCs w:val="24"/>
          <w:lang w:eastAsia="zh-CN" w:bidi="hi-IN"/>
        </w:rPr>
        <w:t>.</w:t>
      </w:r>
    </w:p>
    <w:p w14:paraId="11007FE3" w14:textId="77777777" w:rsidR="006E3616" w:rsidRPr="00400193" w:rsidRDefault="006E3616" w:rsidP="006E3616">
      <w:pPr>
        <w:pStyle w:val="Heading3"/>
        <w:rPr>
          <w:rFonts w:eastAsia="Arial"/>
          <w:lang w:eastAsia="zh-CN" w:bidi="hi-IN"/>
        </w:rPr>
      </w:pPr>
      <w:bookmarkStart w:id="876" w:name="_1a346fx"/>
      <w:bookmarkStart w:id="877" w:name="_Toc61894818"/>
      <w:bookmarkEnd w:id="876"/>
      <w:r w:rsidRPr="00400193">
        <w:rPr>
          <w:rFonts w:eastAsia="Arial"/>
          <w:lang w:eastAsia="zh-CN" w:bidi="hi-IN"/>
        </w:rPr>
        <w:t>Direct Effect of Internal Threats, Having a Response in Place, and Organisational Resilience on Organisational Vulnerabilities and Weaknesses</w:t>
      </w:r>
      <w:bookmarkEnd w:id="877"/>
    </w:p>
    <w:p w14:paraId="5B36DE03" w14:textId="5DA22DBC" w:rsidR="006E3616" w:rsidRPr="00400193" w:rsidRDefault="006E3616" w:rsidP="006E3616">
      <w:pPr>
        <w:suppressAutoHyphens/>
        <w:rPr>
          <w:szCs w:val="24"/>
          <w:lang w:eastAsia="zh-CN" w:bidi="hi-IN"/>
        </w:rPr>
      </w:pPr>
      <w:r w:rsidRPr="00400193">
        <w:rPr>
          <w:szCs w:val="24"/>
          <w:lang w:eastAsia="zh-CN" w:bidi="hi-IN"/>
        </w:rPr>
        <w:t>The previous sub-section examined the direct effect of external threats, having a response in place, and resilience on vulnerabilities and weaknesses. This sub-section now looks at internal threats (</w:t>
      </w:r>
      <w:r w:rsidR="00DD07A5" w:rsidRPr="00400193">
        <w:rPr>
          <w:szCs w:val="24"/>
          <w:lang w:eastAsia="zh-CN" w:bidi="hi-IN"/>
        </w:rPr>
        <w:t>IRF</w:t>
      </w:r>
      <w:r w:rsidRPr="00400193">
        <w:rPr>
          <w:szCs w:val="24"/>
          <w:lang w:eastAsia="zh-CN" w:bidi="hi-IN"/>
        </w:rPr>
        <w:t>).</w:t>
      </w:r>
    </w:p>
    <w:p w14:paraId="62EFFBEB" w14:textId="2C707907" w:rsidR="006E3616" w:rsidRPr="00400193" w:rsidRDefault="00DD07A5" w:rsidP="006E3616">
      <w:pPr>
        <w:suppressAutoHyphens/>
        <w:rPr>
          <w:szCs w:val="24"/>
          <w:lang w:eastAsia="zh-CN" w:bidi="hi-IN"/>
        </w:rPr>
      </w:pPr>
      <w:r w:rsidRPr="00400193">
        <w:rPr>
          <w:szCs w:val="24"/>
          <w:lang w:eastAsia="zh-CN" w:bidi="hi-IN"/>
        </w:rPr>
        <w:lastRenderedPageBreak/>
        <w:t>IRF</w:t>
      </w:r>
      <w:r w:rsidR="006E3616" w:rsidRPr="00400193">
        <w:rPr>
          <w:szCs w:val="24"/>
          <w:lang w:eastAsia="zh-CN" w:bidi="hi-IN"/>
        </w:rPr>
        <w:t xml:space="preserve"> had a clear positive association with VW, so an increase in </w:t>
      </w:r>
      <w:r w:rsidRPr="00400193">
        <w:rPr>
          <w:szCs w:val="24"/>
          <w:lang w:eastAsia="zh-CN" w:bidi="hi-IN"/>
        </w:rPr>
        <w:t>IRF</w:t>
      </w:r>
      <w:r w:rsidR="006E3616" w:rsidRPr="00400193">
        <w:rPr>
          <w:szCs w:val="24"/>
          <w:lang w:eastAsia="zh-CN" w:bidi="hi-IN"/>
        </w:rPr>
        <w:t xml:space="preserve"> would be association with an increase in the weakness and vulnerability of the organisation. Hong</w:t>
      </w:r>
      <w:r w:rsidR="006E3616" w:rsidRPr="00400193">
        <w:rPr>
          <w:i/>
          <w:iCs/>
          <w:szCs w:val="24"/>
          <w:lang w:eastAsia="zh-CN" w:bidi="hi-IN"/>
        </w:rPr>
        <w:t xml:space="preserve"> </w:t>
      </w:r>
      <w:r w:rsidR="006E3616" w:rsidRPr="00400193">
        <w:rPr>
          <w:szCs w:val="24"/>
          <w:lang w:eastAsia="zh-CN" w:bidi="hi-IN"/>
        </w:rPr>
        <w:t xml:space="preserve">et al. </w:t>
      </w:r>
      <w:r w:rsidR="00C570A7" w:rsidRPr="00400193">
        <w:rPr>
          <w:noProof/>
          <w:szCs w:val="24"/>
          <w:lang w:eastAsia="zh-CN" w:bidi="hi-IN"/>
        </w:rPr>
        <w:t>(2010)</w:t>
      </w:r>
      <w:r w:rsidR="006E3616" w:rsidRPr="00400193">
        <w:rPr>
          <w:szCs w:val="24"/>
          <w:lang w:eastAsia="zh-CN" w:bidi="hi-IN"/>
        </w:rPr>
        <w:t xml:space="preserve"> concluded that organisations are more vulnerable to internal threats than to external threats, since 90% of data leakage incidents were the results of actions by staff. Data leakage could cause massive financial loss as well as damage to brand position.</w:t>
      </w:r>
    </w:p>
    <w:p w14:paraId="2BA0569E" w14:textId="77777777" w:rsidR="006E3616" w:rsidRPr="00400193" w:rsidRDefault="006E3616" w:rsidP="006E3616">
      <w:pPr>
        <w:suppressAutoHyphens/>
        <w:rPr>
          <w:szCs w:val="24"/>
          <w:lang w:eastAsia="zh-CN" w:bidi="hi-IN"/>
        </w:rPr>
      </w:pPr>
      <w:r w:rsidRPr="00400193">
        <w:rPr>
          <w:szCs w:val="24"/>
          <w:lang w:eastAsia="zh-CN" w:bidi="hi-IN"/>
        </w:rPr>
        <w:t>To reduce internal threats, UAE public sector organisations should develop an internal threat prevention system that focuses on assessing the behaviour patterns or intents of the employees before an incident occurs. Internal threat reduction is concerned with protecting internal assets but should also include careful review of employee access permissions for data. Permissions should be reduced to the lowest level suitable for the employee job function. This involves organising the levels of interdependence of job functions to ensure that no employee has permission levels that could cause future risks. Internal risks can be increased by issues such as dissatisfaction with salary level, long delays in expected promotion or salary increase, and similar issues. UAE public sector organisations should therefore revise their current access permission policies and reassess internal operating processes to ensure that there is functional interdependency and resilience to any potential internal threats.</w:t>
      </w:r>
    </w:p>
    <w:p w14:paraId="4127A29F" w14:textId="77777777" w:rsidR="006E3616" w:rsidRPr="00400193" w:rsidRDefault="006E3616" w:rsidP="006E3616">
      <w:pPr>
        <w:suppressAutoHyphens/>
        <w:rPr>
          <w:szCs w:val="24"/>
          <w:lang w:eastAsia="zh-CN" w:bidi="hi-IN"/>
        </w:rPr>
      </w:pPr>
      <w:r w:rsidRPr="00400193">
        <w:rPr>
          <w:szCs w:val="24"/>
          <w:lang w:eastAsia="zh-CN" w:bidi="hi-IN"/>
        </w:rPr>
        <w:t xml:space="preserve">Thomson and von Solms (2005) suggested that management commitment within the organisation is essential for the ongoing development of risk awareness and cyber-risk management. Management commitment and awareness promotes a culture of risk awareness throughout the organisation and may therefore increase organisational resilience. </w:t>
      </w:r>
    </w:p>
    <w:p w14:paraId="28968295" w14:textId="77777777" w:rsidR="006E3616" w:rsidRPr="00400193" w:rsidRDefault="006E3616" w:rsidP="006E3616">
      <w:pPr>
        <w:pStyle w:val="Heading3"/>
        <w:rPr>
          <w:rFonts w:eastAsia="Arial"/>
          <w:lang w:eastAsia="zh-CN" w:bidi="hi-IN"/>
        </w:rPr>
      </w:pPr>
      <w:bookmarkStart w:id="878" w:name="_3u2rp3q"/>
      <w:bookmarkStart w:id="879" w:name="_Toc61894819"/>
      <w:bookmarkEnd w:id="878"/>
      <w:r w:rsidRPr="00400193">
        <w:rPr>
          <w:rFonts w:eastAsia="Arial"/>
          <w:lang w:eastAsia="zh-CN" w:bidi="hi-IN"/>
        </w:rPr>
        <w:t>Organisational Resilience as a Moderator of the Relationship Between Internal and External Threats and Vulnerabilities and Weaknesses</w:t>
      </w:r>
      <w:bookmarkEnd w:id="879"/>
      <w:r w:rsidRPr="00400193">
        <w:rPr>
          <w:rFonts w:eastAsia="Arial"/>
          <w:lang w:eastAsia="zh-CN" w:bidi="hi-IN"/>
        </w:rPr>
        <w:t xml:space="preserve"> </w:t>
      </w:r>
    </w:p>
    <w:p w14:paraId="311C5949" w14:textId="0C2D13CB" w:rsidR="006E3616" w:rsidRPr="00400193" w:rsidRDefault="006E3616" w:rsidP="006E3616">
      <w:pPr>
        <w:suppressAutoHyphens/>
        <w:rPr>
          <w:szCs w:val="24"/>
          <w:lang w:eastAsia="zh-CN" w:bidi="hi-IN"/>
        </w:rPr>
      </w:pPr>
      <w:r w:rsidRPr="00400193">
        <w:rPr>
          <w:szCs w:val="24"/>
          <w:lang w:eastAsia="zh-CN" w:bidi="hi-IN"/>
        </w:rPr>
        <w:t>Organisational resilience seems to have a passive effect on external threats (</w:t>
      </w:r>
      <w:r w:rsidR="00DD07A5" w:rsidRPr="00400193">
        <w:rPr>
          <w:szCs w:val="24"/>
          <w:lang w:eastAsia="zh-CN" w:bidi="hi-IN"/>
        </w:rPr>
        <w:t>ERF</w:t>
      </w:r>
      <w:r w:rsidRPr="00400193">
        <w:rPr>
          <w:szCs w:val="24"/>
          <w:lang w:eastAsia="zh-CN" w:bidi="hi-IN"/>
        </w:rPr>
        <w:t xml:space="preserve">) and a strong positive association with the dependent variable vulnerabilities and weaknesses. This means that resilience may be a moderator for </w:t>
      </w:r>
      <w:r w:rsidR="00DD07A5" w:rsidRPr="00400193">
        <w:rPr>
          <w:szCs w:val="24"/>
          <w:lang w:eastAsia="zh-CN" w:bidi="hi-IN"/>
        </w:rPr>
        <w:t>ERF</w:t>
      </w:r>
      <w:r w:rsidRPr="00400193">
        <w:rPr>
          <w:szCs w:val="24"/>
          <w:lang w:eastAsia="zh-CN" w:bidi="hi-IN"/>
        </w:rPr>
        <w:t xml:space="preserve"> but had no significate impact in reducing the impact of </w:t>
      </w:r>
      <w:r w:rsidR="00DD07A5" w:rsidRPr="00400193">
        <w:rPr>
          <w:szCs w:val="24"/>
          <w:lang w:eastAsia="zh-CN" w:bidi="hi-IN"/>
        </w:rPr>
        <w:t>ERF</w:t>
      </w:r>
      <w:r w:rsidRPr="00400193">
        <w:rPr>
          <w:szCs w:val="24"/>
          <w:lang w:eastAsia="zh-CN" w:bidi="hi-IN"/>
        </w:rPr>
        <w:t xml:space="preserve"> on VW. However, levels of organisational resilience do seem to be associated with levels of organisational vulnerability and weakness. </w:t>
      </w:r>
    </w:p>
    <w:p w14:paraId="279A001E" w14:textId="3630F70D" w:rsidR="006E3616" w:rsidRPr="00400193" w:rsidRDefault="006E3616" w:rsidP="006E3616">
      <w:pPr>
        <w:suppressAutoHyphens/>
        <w:rPr>
          <w:szCs w:val="24"/>
          <w:lang w:eastAsia="zh-CN" w:bidi="hi-IN"/>
        </w:rPr>
      </w:pPr>
      <w:r w:rsidRPr="00400193">
        <w:rPr>
          <w:szCs w:val="24"/>
          <w:lang w:eastAsia="zh-CN" w:bidi="hi-IN"/>
        </w:rPr>
        <w:lastRenderedPageBreak/>
        <w:t xml:space="preserve">Organisational resilience had a negative effect on the independent variable </w:t>
      </w:r>
      <w:r w:rsidR="00DD07A5" w:rsidRPr="00400193">
        <w:rPr>
          <w:szCs w:val="24"/>
          <w:lang w:eastAsia="zh-CN" w:bidi="hi-IN"/>
        </w:rPr>
        <w:t>IRF</w:t>
      </w:r>
      <w:r w:rsidRPr="00400193">
        <w:rPr>
          <w:szCs w:val="24"/>
          <w:lang w:eastAsia="zh-CN" w:bidi="hi-IN"/>
        </w:rPr>
        <w:t xml:space="preserve"> but seemed to have a positive role in reducing the effect of internal threats on vulnerabilities and weaknesses. Organisational resilience therefore acts as a moderator of the relationship between internal threats and vulnerabilities and weaknesses. </w:t>
      </w:r>
    </w:p>
    <w:p w14:paraId="5A033405" w14:textId="77777777" w:rsidR="006E3616" w:rsidRPr="00400193" w:rsidRDefault="006E3616" w:rsidP="006E3616">
      <w:pPr>
        <w:pStyle w:val="Heading3"/>
        <w:rPr>
          <w:rFonts w:eastAsia="Arial"/>
          <w:lang w:eastAsia="zh-CN" w:bidi="hi-IN"/>
        </w:rPr>
      </w:pPr>
      <w:bookmarkStart w:id="880" w:name="_2981zbj"/>
      <w:bookmarkStart w:id="881" w:name="_Toc61894820"/>
      <w:bookmarkEnd w:id="880"/>
      <w:r w:rsidRPr="00400193">
        <w:rPr>
          <w:rFonts w:eastAsia="Arial"/>
          <w:lang w:eastAsia="zh-CN" w:bidi="hi-IN"/>
        </w:rPr>
        <w:t>Hypotheses</w:t>
      </w:r>
      <w:bookmarkEnd w:id="881"/>
    </w:p>
    <w:p w14:paraId="00161F1A" w14:textId="0D57C0AB" w:rsidR="00D01E51" w:rsidRPr="00400193" w:rsidRDefault="006E3616" w:rsidP="00EF06EC">
      <w:pPr>
        <w:rPr>
          <w:szCs w:val="24"/>
          <w:lang w:eastAsia="zh-CN" w:bidi="hi-IN"/>
        </w:rPr>
      </w:pPr>
      <w:r w:rsidRPr="00400193">
        <w:rPr>
          <w:lang w:eastAsia="zh-CN" w:bidi="hi-IN"/>
        </w:rPr>
        <w:t>To answer the research questions eight hypotheses were considered, which were related to the threat/response/resilience process shown in</w:t>
      </w:r>
      <w:r w:rsidR="00EF06EC" w:rsidRPr="00400193">
        <w:rPr>
          <w:lang w:eastAsia="zh-CN" w:bidi="hi-IN"/>
        </w:rPr>
        <w:t xml:space="preserve"> </w:t>
      </w:r>
      <w:r w:rsidR="00EF06EC" w:rsidRPr="00400193">
        <w:rPr>
          <w:lang w:eastAsia="zh-CN" w:bidi="hi-IN"/>
        </w:rPr>
        <w:fldChar w:fldCharType="begin"/>
      </w:r>
      <w:r w:rsidR="00EF06EC" w:rsidRPr="00400193">
        <w:rPr>
          <w:lang w:eastAsia="zh-CN" w:bidi="hi-IN"/>
        </w:rPr>
        <w:instrText xml:space="preserve"> REF _Ref50817425 \h </w:instrText>
      </w:r>
      <w:r w:rsidR="00EF06EC" w:rsidRPr="00400193">
        <w:rPr>
          <w:lang w:eastAsia="zh-CN" w:bidi="hi-IN"/>
        </w:rPr>
      </w:r>
      <w:r w:rsidR="00EF06EC"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4</w:t>
      </w:r>
      <w:r w:rsidR="00EF06EC" w:rsidRPr="00400193">
        <w:rPr>
          <w:lang w:eastAsia="zh-CN" w:bidi="hi-IN"/>
        </w:rPr>
        <w:fldChar w:fldCharType="end"/>
      </w:r>
      <w:r w:rsidRPr="00400193">
        <w:rPr>
          <w:bCs/>
          <w:szCs w:val="24"/>
          <w:lang w:eastAsia="zh-CN" w:bidi="hi-IN"/>
        </w:rPr>
        <w:t>.</w:t>
      </w:r>
      <w:bookmarkStart w:id="882" w:name="_odc9jc"/>
      <w:bookmarkStart w:id="883" w:name="_3im3ia3"/>
      <w:bookmarkStart w:id="884" w:name="_Hlk42950065"/>
      <w:bookmarkEnd w:id="882"/>
      <w:bookmarkEnd w:id="883"/>
      <w:r w:rsidR="00EF06EC" w:rsidRPr="00400193">
        <w:rPr>
          <w:bCs/>
          <w:szCs w:val="24"/>
          <w:lang w:eastAsia="zh-CN" w:bidi="hi-IN"/>
        </w:rPr>
        <w:t xml:space="preserve"> </w:t>
      </w:r>
      <w:r w:rsidRPr="00400193">
        <w:rPr>
          <w:szCs w:val="24"/>
          <w:lang w:eastAsia="zh-CN" w:bidi="hi-IN"/>
        </w:rPr>
        <w:t xml:space="preserve">The eight hypotheses in </w:t>
      </w:r>
      <w:r w:rsidR="00F319CB" w:rsidRPr="00400193">
        <w:rPr>
          <w:szCs w:val="24"/>
          <w:lang w:eastAsia="zh-CN" w:bidi="hi-IN"/>
        </w:rPr>
        <w:fldChar w:fldCharType="begin"/>
      </w:r>
      <w:r w:rsidR="00F319CB" w:rsidRPr="00400193">
        <w:rPr>
          <w:szCs w:val="24"/>
          <w:lang w:eastAsia="zh-CN" w:bidi="hi-IN"/>
        </w:rPr>
        <w:instrText xml:space="preserve"> REF _Ref52821397 \h </w:instrText>
      </w:r>
      <w:r w:rsidR="00F319CB" w:rsidRPr="00400193">
        <w:rPr>
          <w:szCs w:val="24"/>
          <w:lang w:eastAsia="zh-CN" w:bidi="hi-IN"/>
        </w:rPr>
      </w:r>
      <w:r w:rsidR="00F319CB" w:rsidRPr="00400193">
        <w:rPr>
          <w:szCs w:val="24"/>
          <w:lang w:eastAsia="zh-CN" w:bidi="hi-IN"/>
        </w:rPr>
        <w:fldChar w:fldCharType="separate"/>
      </w:r>
      <w:r w:rsidR="00BB7C18" w:rsidRPr="00400193">
        <w:t xml:space="preserve">Table </w:t>
      </w:r>
      <w:r w:rsidR="00BB7C18">
        <w:rPr>
          <w:noProof/>
          <w:cs/>
        </w:rPr>
        <w:t>‎</w:t>
      </w:r>
      <w:r w:rsidR="00BB7C18">
        <w:rPr>
          <w:noProof/>
        </w:rPr>
        <w:t>6</w:t>
      </w:r>
      <w:r w:rsidR="00BB7C18" w:rsidRPr="00400193">
        <w:noBreakHyphen/>
      </w:r>
      <w:r w:rsidR="00BB7C18">
        <w:rPr>
          <w:noProof/>
        </w:rPr>
        <w:t>1</w:t>
      </w:r>
      <w:r w:rsidR="00F319CB" w:rsidRPr="00400193">
        <w:rPr>
          <w:szCs w:val="24"/>
          <w:lang w:eastAsia="zh-CN" w:bidi="hi-IN"/>
        </w:rPr>
        <w:fldChar w:fldCharType="end"/>
      </w:r>
      <w:r w:rsidRPr="00400193">
        <w:rPr>
          <w:szCs w:val="24"/>
          <w:lang w:eastAsia="zh-CN" w:bidi="hi-IN"/>
        </w:rPr>
        <w:t xml:space="preserve"> were tested against the data collected in the online survey of public sector staff. Each hypothesis was converted into a formula to test its validity (see p. </w:t>
      </w:r>
      <w:r w:rsidRPr="00400193">
        <w:rPr>
          <w:szCs w:val="24"/>
          <w:lang w:eastAsia="zh-CN" w:bidi="hi-IN"/>
        </w:rPr>
        <w:fldChar w:fldCharType="begin"/>
      </w:r>
      <w:r w:rsidRPr="00400193">
        <w:rPr>
          <w:szCs w:val="24"/>
          <w:lang w:eastAsia="zh-CN" w:bidi="hi-IN"/>
        </w:rPr>
        <w:instrText xml:space="preserve"> PAGEREF _Ref43826609 \h </w:instrText>
      </w:r>
      <w:r w:rsidRPr="00400193">
        <w:rPr>
          <w:szCs w:val="24"/>
          <w:lang w:eastAsia="zh-CN" w:bidi="hi-IN"/>
        </w:rPr>
      </w:r>
      <w:r w:rsidRPr="00400193">
        <w:rPr>
          <w:szCs w:val="24"/>
          <w:lang w:eastAsia="zh-CN" w:bidi="hi-IN"/>
        </w:rPr>
        <w:fldChar w:fldCharType="separate"/>
      </w:r>
      <w:r w:rsidR="00BB7C18">
        <w:rPr>
          <w:noProof/>
          <w:szCs w:val="24"/>
          <w:lang w:eastAsia="zh-CN" w:bidi="hi-IN"/>
        </w:rPr>
        <w:t>147</w:t>
      </w:r>
      <w:r w:rsidRPr="00400193">
        <w:rPr>
          <w:szCs w:val="24"/>
          <w:lang w:eastAsia="zh-CN" w:bidi="hi-IN"/>
        </w:rPr>
        <w:fldChar w:fldCharType="end"/>
      </w:r>
      <w:r w:rsidRPr="00400193">
        <w:rPr>
          <w:szCs w:val="24"/>
          <w:lang w:eastAsia="zh-CN" w:bidi="hi-IN"/>
        </w:rPr>
        <w:t>). The next few sub-sections consider each of the hypotheses in detail.</w:t>
      </w:r>
      <w:bookmarkStart w:id="885" w:name="_38czs75"/>
      <w:bookmarkStart w:id="886" w:name="_3z7bk57"/>
      <w:bookmarkEnd w:id="885"/>
      <w:bookmarkEnd w:id="886"/>
    </w:p>
    <w:tbl>
      <w:tblPr>
        <w:tblStyle w:val="GridTable1Light"/>
        <w:tblW w:w="0" w:type="auto"/>
        <w:tblLook w:val="04A0" w:firstRow="1" w:lastRow="0" w:firstColumn="1" w:lastColumn="0" w:noHBand="0" w:noVBand="1"/>
      </w:tblPr>
      <w:tblGrid>
        <w:gridCol w:w="2977"/>
        <w:gridCol w:w="2693"/>
        <w:gridCol w:w="1701"/>
        <w:gridCol w:w="1645"/>
      </w:tblGrid>
      <w:tr w:rsidR="00A0618E" w:rsidRPr="00400193" w14:paraId="4E968E04" w14:textId="77777777" w:rsidTr="00C562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Borders>
              <w:top w:val="nil"/>
              <w:left w:val="nil"/>
            </w:tcBorders>
            <w:vAlign w:val="center"/>
          </w:tcPr>
          <w:p w14:paraId="16856BB5" w14:textId="4E50A352" w:rsidR="00D01E51" w:rsidRPr="00400193" w:rsidRDefault="00D01E51" w:rsidP="00D01E51">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Research Question</w:t>
            </w:r>
          </w:p>
        </w:tc>
        <w:tc>
          <w:tcPr>
            <w:tcW w:w="2693" w:type="dxa"/>
            <w:tcBorders>
              <w:top w:val="nil"/>
            </w:tcBorders>
            <w:vAlign w:val="center"/>
          </w:tcPr>
          <w:p w14:paraId="1781C99C" w14:textId="7AB590D7" w:rsidR="00D01E51" w:rsidRPr="00400193" w:rsidRDefault="00D01E51" w:rsidP="00D01E51">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Hypothesis</w:t>
            </w:r>
          </w:p>
        </w:tc>
        <w:tc>
          <w:tcPr>
            <w:tcW w:w="1701" w:type="dxa"/>
            <w:tcBorders>
              <w:top w:val="nil"/>
            </w:tcBorders>
            <w:vAlign w:val="center"/>
          </w:tcPr>
          <w:p w14:paraId="69202AC1" w14:textId="1F5FA552" w:rsidR="00D01E51" w:rsidRPr="00400193" w:rsidRDefault="00D01E51" w:rsidP="00D01E51">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Formula</w:t>
            </w:r>
          </w:p>
        </w:tc>
        <w:tc>
          <w:tcPr>
            <w:tcW w:w="1645" w:type="dxa"/>
            <w:tcBorders>
              <w:top w:val="nil"/>
              <w:right w:val="nil"/>
            </w:tcBorders>
            <w:vAlign w:val="center"/>
          </w:tcPr>
          <w:p w14:paraId="12151A17" w14:textId="468BC983" w:rsidR="00D01E51" w:rsidRPr="00400193" w:rsidRDefault="00D01E51" w:rsidP="00D01E51">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 Rejected</w:t>
            </w:r>
          </w:p>
        </w:tc>
      </w:tr>
      <w:tr w:rsidR="00A0618E" w:rsidRPr="00400193" w14:paraId="737080BD" w14:textId="77777777" w:rsidTr="00F52DC8">
        <w:trPr>
          <w:trHeight w:val="369"/>
        </w:trPr>
        <w:tc>
          <w:tcPr>
            <w:cnfStyle w:val="001000000000" w:firstRow="0" w:lastRow="0" w:firstColumn="1" w:lastColumn="0" w:oddVBand="0" w:evenVBand="0" w:oddHBand="0" w:evenHBand="0" w:firstRowFirstColumn="0" w:firstRowLastColumn="0" w:lastRowFirstColumn="0" w:lastRowLastColumn="0"/>
            <w:tcW w:w="2977" w:type="dxa"/>
            <w:vMerge w:val="restart"/>
            <w:tcBorders>
              <w:left w:val="nil"/>
            </w:tcBorders>
          </w:tcPr>
          <w:p w14:paraId="00D308FF" w14:textId="6D636F28" w:rsidR="00C562AD" w:rsidRPr="00400193" w:rsidRDefault="00C562AD" w:rsidP="00D01E51">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RQ1. How can resilience to cyber-risk be measured and developed whilst also maintaining existing responses in place and without increasing vulnerabilities and weaknesses?</w:t>
            </w:r>
          </w:p>
        </w:tc>
        <w:tc>
          <w:tcPr>
            <w:tcW w:w="2693" w:type="dxa"/>
          </w:tcPr>
          <w:p w14:paraId="74CE60B9" w14:textId="6702124B" w:rsidR="00C562AD" w:rsidRPr="00400193" w:rsidRDefault="00C562AD"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H1</w:t>
            </w:r>
            <w:r w:rsidR="00CA6E56" w:rsidRPr="00400193">
              <w:rPr>
                <w:rFonts w:asciiTheme="minorHAnsi" w:hAnsiTheme="minorHAnsi" w:cstheme="minorHAnsi"/>
                <w:sz w:val="20"/>
                <w:szCs w:val="20"/>
                <w:lang w:eastAsia="zh-CN" w:bidi="hi-IN"/>
              </w:rPr>
              <w:t>: Vulnerabilities and weaknesses are associated with external threats</w:t>
            </w:r>
            <w:r w:rsidRPr="00400193">
              <w:rPr>
                <w:rFonts w:asciiTheme="minorHAnsi" w:hAnsiTheme="minorHAnsi" w:cstheme="minorHAnsi"/>
                <w:sz w:val="20"/>
                <w:szCs w:val="20"/>
                <w:lang w:eastAsia="zh-CN" w:bidi="hi-IN"/>
              </w:rPr>
              <w:t>.</w:t>
            </w:r>
          </w:p>
        </w:tc>
        <w:tc>
          <w:tcPr>
            <w:tcW w:w="1701" w:type="dxa"/>
            <w:vAlign w:val="center"/>
          </w:tcPr>
          <w:p w14:paraId="2C6199C9" w14:textId="401D6497"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Calibri" w:eastAsia="Times New Roman" w:hAnsi="Calibri" w:cs="Calibri"/>
                <w:sz w:val="20"/>
                <w:szCs w:val="18"/>
                <w:lang w:eastAsia="zh-CN" w:bidi="hi-IN"/>
              </w:rPr>
              <w:t>VW = ERF</w:t>
            </w:r>
          </w:p>
        </w:tc>
        <w:tc>
          <w:tcPr>
            <w:tcW w:w="1645" w:type="dxa"/>
            <w:tcBorders>
              <w:top w:val="single" w:sz="12" w:space="0" w:color="666666" w:themeColor="text1" w:themeTint="99"/>
              <w:right w:val="nil"/>
            </w:tcBorders>
            <w:vAlign w:val="center"/>
          </w:tcPr>
          <w:p w14:paraId="592ECCB7" w14:textId="188939D9"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7BE51092" w14:textId="77777777" w:rsidTr="00F52DC8">
        <w:trPr>
          <w:trHeight w:val="367"/>
        </w:trPr>
        <w:tc>
          <w:tcPr>
            <w:cnfStyle w:val="001000000000" w:firstRow="0" w:lastRow="0" w:firstColumn="1" w:lastColumn="0" w:oddVBand="0" w:evenVBand="0" w:oddHBand="0" w:evenHBand="0" w:firstRowFirstColumn="0" w:firstRowLastColumn="0" w:lastRowFirstColumn="0" w:lastRowLastColumn="0"/>
            <w:tcW w:w="2977" w:type="dxa"/>
            <w:vMerge/>
            <w:tcBorders>
              <w:left w:val="nil"/>
            </w:tcBorders>
          </w:tcPr>
          <w:p w14:paraId="549E365E" w14:textId="77777777" w:rsidR="00C562AD" w:rsidRPr="00400193" w:rsidRDefault="00C562AD" w:rsidP="00D01E51">
            <w:pPr>
              <w:spacing w:line="240" w:lineRule="auto"/>
              <w:jc w:val="left"/>
              <w:rPr>
                <w:rFonts w:asciiTheme="minorHAnsi" w:hAnsiTheme="minorHAnsi" w:cstheme="minorHAnsi"/>
                <w:sz w:val="20"/>
                <w:szCs w:val="20"/>
                <w:lang w:eastAsia="zh-CN" w:bidi="hi-IN"/>
              </w:rPr>
            </w:pPr>
          </w:p>
        </w:tc>
        <w:tc>
          <w:tcPr>
            <w:tcW w:w="2693" w:type="dxa"/>
          </w:tcPr>
          <w:p w14:paraId="451E054F" w14:textId="03B370D8" w:rsidR="00C562AD" w:rsidRPr="00400193" w:rsidRDefault="00C562AD"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H2</w:t>
            </w:r>
            <w:r w:rsidR="00CA6E56" w:rsidRPr="00400193">
              <w:rPr>
                <w:rFonts w:asciiTheme="minorHAnsi" w:hAnsiTheme="minorHAnsi" w:cstheme="minorHAnsi"/>
                <w:sz w:val="20"/>
                <w:szCs w:val="20"/>
                <w:lang w:eastAsia="zh-CN" w:bidi="hi-IN"/>
              </w:rPr>
              <w:t>: Vulnerabilities and weaknesses are associated with internal threats</w:t>
            </w:r>
            <w:r w:rsidRPr="00400193">
              <w:rPr>
                <w:rFonts w:asciiTheme="minorHAnsi" w:hAnsiTheme="minorHAnsi" w:cstheme="minorHAnsi"/>
                <w:sz w:val="20"/>
                <w:szCs w:val="20"/>
                <w:lang w:eastAsia="zh-CN" w:bidi="hi-IN"/>
              </w:rPr>
              <w:t>.</w:t>
            </w:r>
          </w:p>
        </w:tc>
        <w:tc>
          <w:tcPr>
            <w:tcW w:w="1701" w:type="dxa"/>
            <w:vAlign w:val="center"/>
          </w:tcPr>
          <w:p w14:paraId="2BBE83F0" w14:textId="50C837BE"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Calibri" w:eastAsia="Times New Roman" w:hAnsi="Calibri" w:cs="Calibri"/>
                <w:sz w:val="20"/>
                <w:szCs w:val="18"/>
                <w:lang w:eastAsia="zh-CN" w:bidi="hi-IN"/>
              </w:rPr>
              <w:t>VW = IRF</w:t>
            </w:r>
          </w:p>
        </w:tc>
        <w:tc>
          <w:tcPr>
            <w:tcW w:w="1645" w:type="dxa"/>
            <w:tcBorders>
              <w:right w:val="nil"/>
            </w:tcBorders>
            <w:vAlign w:val="center"/>
          </w:tcPr>
          <w:p w14:paraId="5498904F" w14:textId="0DC1F1B1"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559B19B0" w14:textId="77777777" w:rsidTr="00F52DC8">
        <w:trPr>
          <w:trHeight w:val="367"/>
        </w:trPr>
        <w:tc>
          <w:tcPr>
            <w:cnfStyle w:val="001000000000" w:firstRow="0" w:lastRow="0" w:firstColumn="1" w:lastColumn="0" w:oddVBand="0" w:evenVBand="0" w:oddHBand="0" w:evenHBand="0" w:firstRowFirstColumn="0" w:firstRowLastColumn="0" w:lastRowFirstColumn="0" w:lastRowLastColumn="0"/>
            <w:tcW w:w="2977" w:type="dxa"/>
            <w:vMerge/>
            <w:tcBorders>
              <w:left w:val="nil"/>
            </w:tcBorders>
          </w:tcPr>
          <w:p w14:paraId="1DB9A422" w14:textId="77777777" w:rsidR="00C562AD" w:rsidRPr="00400193" w:rsidRDefault="00C562AD" w:rsidP="00D01E51">
            <w:pPr>
              <w:spacing w:line="240" w:lineRule="auto"/>
              <w:jc w:val="left"/>
              <w:rPr>
                <w:rFonts w:asciiTheme="minorHAnsi" w:hAnsiTheme="minorHAnsi" w:cstheme="minorHAnsi"/>
                <w:sz w:val="20"/>
                <w:szCs w:val="20"/>
                <w:lang w:eastAsia="zh-CN" w:bidi="hi-IN"/>
              </w:rPr>
            </w:pPr>
          </w:p>
        </w:tc>
        <w:tc>
          <w:tcPr>
            <w:tcW w:w="2693" w:type="dxa"/>
          </w:tcPr>
          <w:p w14:paraId="1687AE29" w14:textId="579FF0AC" w:rsidR="00C562AD" w:rsidRPr="00400193" w:rsidRDefault="00C562AD"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H3</w:t>
            </w:r>
            <w:r w:rsidR="00CA6E56" w:rsidRPr="00400193">
              <w:rPr>
                <w:rFonts w:asciiTheme="minorHAnsi" w:hAnsiTheme="minorHAnsi" w:cstheme="minorHAnsi"/>
                <w:sz w:val="20"/>
                <w:szCs w:val="20"/>
                <w:lang w:eastAsia="zh-CN" w:bidi="hi-IN"/>
              </w:rPr>
              <w:t>: Vulnerabilities and weaknesses are associated with having responses in place</w:t>
            </w:r>
            <w:r w:rsidRPr="00400193">
              <w:rPr>
                <w:rFonts w:asciiTheme="minorHAnsi" w:hAnsiTheme="minorHAnsi" w:cstheme="minorHAnsi"/>
                <w:sz w:val="20"/>
                <w:szCs w:val="20"/>
                <w:lang w:eastAsia="zh-CN" w:bidi="hi-IN"/>
              </w:rPr>
              <w:t>.</w:t>
            </w:r>
          </w:p>
        </w:tc>
        <w:tc>
          <w:tcPr>
            <w:tcW w:w="1701" w:type="dxa"/>
            <w:vAlign w:val="center"/>
          </w:tcPr>
          <w:p w14:paraId="6E31176F" w14:textId="26C82FC9"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RP</w:t>
            </w:r>
          </w:p>
        </w:tc>
        <w:tc>
          <w:tcPr>
            <w:tcW w:w="1645" w:type="dxa"/>
            <w:tcBorders>
              <w:right w:val="nil"/>
            </w:tcBorders>
            <w:vAlign w:val="center"/>
          </w:tcPr>
          <w:p w14:paraId="75DA5FD3" w14:textId="348144E9"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5537AA8E" w14:textId="77777777" w:rsidTr="00F52DC8">
        <w:trPr>
          <w:trHeight w:val="367"/>
        </w:trPr>
        <w:tc>
          <w:tcPr>
            <w:cnfStyle w:val="001000000000" w:firstRow="0" w:lastRow="0" w:firstColumn="1" w:lastColumn="0" w:oddVBand="0" w:evenVBand="0" w:oddHBand="0" w:evenHBand="0" w:firstRowFirstColumn="0" w:firstRowLastColumn="0" w:lastRowFirstColumn="0" w:lastRowLastColumn="0"/>
            <w:tcW w:w="2977" w:type="dxa"/>
            <w:vMerge/>
            <w:tcBorders>
              <w:left w:val="nil"/>
            </w:tcBorders>
          </w:tcPr>
          <w:p w14:paraId="3A354E7A" w14:textId="77777777" w:rsidR="00C562AD" w:rsidRPr="00400193" w:rsidRDefault="00C562AD" w:rsidP="00D01E51">
            <w:pPr>
              <w:spacing w:line="240" w:lineRule="auto"/>
              <w:jc w:val="left"/>
              <w:rPr>
                <w:rFonts w:asciiTheme="minorHAnsi" w:hAnsiTheme="minorHAnsi" w:cstheme="minorHAnsi"/>
                <w:sz w:val="20"/>
                <w:szCs w:val="20"/>
                <w:lang w:eastAsia="zh-CN" w:bidi="hi-IN"/>
              </w:rPr>
            </w:pPr>
          </w:p>
        </w:tc>
        <w:tc>
          <w:tcPr>
            <w:tcW w:w="2693" w:type="dxa"/>
          </w:tcPr>
          <w:p w14:paraId="669E24FB" w14:textId="5217B37D" w:rsidR="00C562AD" w:rsidRPr="00400193" w:rsidRDefault="00C562AD"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H6</w:t>
            </w:r>
            <w:r w:rsidR="00CA6E56" w:rsidRPr="00400193">
              <w:rPr>
                <w:rFonts w:asciiTheme="minorHAnsi" w:hAnsiTheme="minorHAnsi" w:cstheme="minorHAnsi"/>
                <w:sz w:val="20"/>
                <w:szCs w:val="20"/>
                <w:lang w:eastAsia="zh-CN" w:bidi="hi-IN"/>
              </w:rPr>
              <w:t>: Vulnerabilities and weaknesses are associated with organisational resilience</w:t>
            </w:r>
            <w:r w:rsidRPr="00400193">
              <w:rPr>
                <w:rFonts w:asciiTheme="minorHAnsi" w:hAnsiTheme="minorHAnsi" w:cstheme="minorHAnsi"/>
                <w:sz w:val="20"/>
                <w:szCs w:val="20"/>
                <w:lang w:eastAsia="zh-CN" w:bidi="hi-IN"/>
              </w:rPr>
              <w:t>.</w:t>
            </w:r>
          </w:p>
        </w:tc>
        <w:tc>
          <w:tcPr>
            <w:tcW w:w="1701" w:type="dxa"/>
            <w:vAlign w:val="center"/>
          </w:tcPr>
          <w:p w14:paraId="5BFD9E81" w14:textId="081A3A0F"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ORe</w:t>
            </w:r>
          </w:p>
        </w:tc>
        <w:tc>
          <w:tcPr>
            <w:tcW w:w="1645" w:type="dxa"/>
            <w:tcBorders>
              <w:bottom w:val="single" w:sz="4" w:space="0" w:color="999999" w:themeColor="text1" w:themeTint="66"/>
              <w:right w:val="nil"/>
            </w:tcBorders>
            <w:vAlign w:val="center"/>
          </w:tcPr>
          <w:p w14:paraId="2A107A7C" w14:textId="4681A77B" w:rsidR="00C562AD"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3C854EEF" w14:textId="77777777" w:rsidTr="00F52DC8">
        <w:trPr>
          <w:trHeight w:val="489"/>
        </w:trPr>
        <w:tc>
          <w:tcPr>
            <w:cnfStyle w:val="001000000000" w:firstRow="0" w:lastRow="0" w:firstColumn="1" w:lastColumn="0" w:oddVBand="0" w:evenVBand="0" w:oddHBand="0" w:evenHBand="0" w:firstRowFirstColumn="0" w:firstRowLastColumn="0" w:lastRowFirstColumn="0" w:lastRowLastColumn="0"/>
            <w:tcW w:w="2977" w:type="dxa"/>
            <w:vMerge w:val="restart"/>
            <w:tcBorders>
              <w:left w:val="nil"/>
            </w:tcBorders>
          </w:tcPr>
          <w:p w14:paraId="3E07C0F4" w14:textId="300FE848" w:rsidR="00CA6E56" w:rsidRPr="00400193" w:rsidRDefault="00CA6E56" w:rsidP="00D01E51">
            <w:pPr>
              <w:spacing w:line="240" w:lineRule="auto"/>
              <w:jc w:val="left"/>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RQ2. How can a framework for managing cyber-risks that is relevant to the dependent variables in this study, (response in place, organisational resilience, and vulnerabilities and weaknesses) be synthesised from existing standards?</w:t>
            </w:r>
          </w:p>
        </w:tc>
        <w:tc>
          <w:tcPr>
            <w:tcW w:w="2693" w:type="dxa"/>
          </w:tcPr>
          <w:p w14:paraId="59825947" w14:textId="41A573C6" w:rsidR="00CA6E56" w:rsidRPr="00400193" w:rsidRDefault="00CA6E56"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H4: Having responses in place moderates the association between vulnerabilities and weaknesses and internal threats.</w:t>
            </w:r>
          </w:p>
        </w:tc>
        <w:tc>
          <w:tcPr>
            <w:tcW w:w="1701" w:type="dxa"/>
            <w:vAlign w:val="center"/>
          </w:tcPr>
          <w:p w14:paraId="78A7D507" w14:textId="75A8EEF5" w:rsidR="00CA6E56" w:rsidRPr="00400193" w:rsidRDefault="00CA6E56"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IRF +RP</w:t>
            </w:r>
          </w:p>
        </w:tc>
        <w:tc>
          <w:tcPr>
            <w:tcW w:w="1645" w:type="dxa"/>
            <w:tcBorders>
              <w:right w:val="nil"/>
            </w:tcBorders>
            <w:vAlign w:val="center"/>
          </w:tcPr>
          <w:p w14:paraId="3CF92175" w14:textId="1E1E949B"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5B854280" w14:textId="77777777" w:rsidTr="00F52DC8">
        <w:trPr>
          <w:trHeight w:val="487"/>
        </w:trPr>
        <w:tc>
          <w:tcPr>
            <w:cnfStyle w:val="001000000000" w:firstRow="0" w:lastRow="0" w:firstColumn="1" w:lastColumn="0" w:oddVBand="0" w:evenVBand="0" w:oddHBand="0" w:evenHBand="0" w:firstRowFirstColumn="0" w:firstRowLastColumn="0" w:lastRowFirstColumn="0" w:lastRowLastColumn="0"/>
            <w:tcW w:w="2977" w:type="dxa"/>
            <w:vMerge/>
            <w:tcBorders>
              <w:left w:val="nil"/>
            </w:tcBorders>
          </w:tcPr>
          <w:p w14:paraId="42D0905F" w14:textId="77777777" w:rsidR="00CA6E56" w:rsidRPr="00400193" w:rsidRDefault="00CA6E56" w:rsidP="00D01E51">
            <w:pPr>
              <w:spacing w:line="240" w:lineRule="auto"/>
              <w:jc w:val="left"/>
              <w:rPr>
                <w:rFonts w:asciiTheme="minorHAnsi" w:hAnsiTheme="minorHAnsi" w:cstheme="minorHAnsi"/>
                <w:sz w:val="20"/>
                <w:szCs w:val="20"/>
                <w:lang w:eastAsia="zh-CN" w:bidi="hi-IN"/>
              </w:rPr>
            </w:pPr>
          </w:p>
        </w:tc>
        <w:tc>
          <w:tcPr>
            <w:tcW w:w="2693" w:type="dxa"/>
          </w:tcPr>
          <w:p w14:paraId="43727A19" w14:textId="5876AE0A" w:rsidR="00CA6E56" w:rsidRPr="00400193" w:rsidRDefault="00CA6E56"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H5</w:t>
            </w:r>
            <w:r w:rsidR="00F52DC8" w:rsidRPr="00400193">
              <w:rPr>
                <w:rFonts w:asciiTheme="minorHAnsi" w:hAnsiTheme="minorHAnsi" w:cstheme="minorHAnsi"/>
                <w:sz w:val="20"/>
                <w:szCs w:val="20"/>
                <w:lang w:eastAsia="zh-CN" w:bidi="hi-IN"/>
              </w:rPr>
              <w:t>: Having responses in place moderates the association between vulnerabilities and weaknesses and external threats</w:t>
            </w:r>
            <w:r w:rsidRPr="00400193">
              <w:rPr>
                <w:rFonts w:asciiTheme="minorHAnsi" w:hAnsiTheme="minorHAnsi" w:cstheme="minorHAnsi"/>
                <w:sz w:val="20"/>
                <w:szCs w:val="20"/>
                <w:lang w:eastAsia="zh-CN" w:bidi="hi-IN"/>
              </w:rPr>
              <w:t>.</w:t>
            </w:r>
          </w:p>
        </w:tc>
        <w:tc>
          <w:tcPr>
            <w:tcW w:w="1701" w:type="dxa"/>
            <w:vAlign w:val="center"/>
          </w:tcPr>
          <w:p w14:paraId="19C2E60E" w14:textId="55B09A7A"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ERF +RP</w:t>
            </w:r>
          </w:p>
        </w:tc>
        <w:tc>
          <w:tcPr>
            <w:tcW w:w="1645" w:type="dxa"/>
            <w:tcBorders>
              <w:right w:val="nil"/>
            </w:tcBorders>
            <w:vAlign w:val="center"/>
          </w:tcPr>
          <w:p w14:paraId="563F7556" w14:textId="3ACC1819"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Accepted; positive association</w:t>
            </w:r>
          </w:p>
        </w:tc>
      </w:tr>
      <w:tr w:rsidR="00A0618E" w:rsidRPr="00400193" w14:paraId="222D55FA" w14:textId="77777777" w:rsidTr="00F52DC8">
        <w:trPr>
          <w:trHeight w:val="487"/>
        </w:trPr>
        <w:tc>
          <w:tcPr>
            <w:cnfStyle w:val="001000000000" w:firstRow="0" w:lastRow="0" w:firstColumn="1" w:lastColumn="0" w:oddVBand="0" w:evenVBand="0" w:oddHBand="0" w:evenHBand="0" w:firstRowFirstColumn="0" w:firstRowLastColumn="0" w:lastRowFirstColumn="0" w:lastRowLastColumn="0"/>
            <w:tcW w:w="2977" w:type="dxa"/>
            <w:vMerge/>
            <w:tcBorders>
              <w:left w:val="nil"/>
            </w:tcBorders>
          </w:tcPr>
          <w:p w14:paraId="225515AC" w14:textId="77777777" w:rsidR="00CA6E56" w:rsidRPr="00400193" w:rsidRDefault="00CA6E56" w:rsidP="00D01E51">
            <w:pPr>
              <w:spacing w:line="240" w:lineRule="auto"/>
              <w:jc w:val="left"/>
              <w:rPr>
                <w:rFonts w:asciiTheme="minorHAnsi" w:hAnsiTheme="minorHAnsi" w:cstheme="minorHAnsi"/>
                <w:sz w:val="20"/>
                <w:szCs w:val="20"/>
                <w:lang w:eastAsia="zh-CN" w:bidi="hi-IN"/>
              </w:rPr>
            </w:pPr>
          </w:p>
        </w:tc>
        <w:tc>
          <w:tcPr>
            <w:tcW w:w="2693" w:type="dxa"/>
          </w:tcPr>
          <w:p w14:paraId="07F5147B" w14:textId="0BA3A477" w:rsidR="00CA6E56" w:rsidRPr="00400193" w:rsidRDefault="00CA6E56"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H7</w:t>
            </w:r>
            <w:r w:rsidR="00F52DC8" w:rsidRPr="00400193">
              <w:rPr>
                <w:rFonts w:asciiTheme="minorHAnsi" w:hAnsiTheme="minorHAnsi" w:cstheme="minorHAnsi"/>
                <w:sz w:val="20"/>
                <w:szCs w:val="20"/>
                <w:lang w:eastAsia="zh-CN" w:bidi="hi-IN"/>
              </w:rPr>
              <w:t>: Organisational resilience moderates the association between vulnerabilities and weaknesses and internal threats</w:t>
            </w:r>
            <w:r w:rsidRPr="00400193">
              <w:rPr>
                <w:rFonts w:asciiTheme="minorHAnsi" w:hAnsiTheme="minorHAnsi" w:cstheme="minorHAnsi"/>
                <w:sz w:val="20"/>
                <w:szCs w:val="20"/>
                <w:lang w:eastAsia="zh-CN" w:bidi="hi-IN"/>
              </w:rPr>
              <w:t>.</w:t>
            </w:r>
          </w:p>
        </w:tc>
        <w:tc>
          <w:tcPr>
            <w:tcW w:w="1701" w:type="dxa"/>
            <w:vAlign w:val="center"/>
          </w:tcPr>
          <w:p w14:paraId="601F6782" w14:textId="3AB40912"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IRF +ORe</w:t>
            </w:r>
          </w:p>
        </w:tc>
        <w:tc>
          <w:tcPr>
            <w:tcW w:w="1645" w:type="dxa"/>
            <w:tcBorders>
              <w:right w:val="nil"/>
            </w:tcBorders>
            <w:vAlign w:val="center"/>
          </w:tcPr>
          <w:p w14:paraId="352D33EA" w14:textId="070F3D9D"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Conditionally accepted</w:t>
            </w:r>
          </w:p>
        </w:tc>
      </w:tr>
      <w:tr w:rsidR="00A0618E" w:rsidRPr="00400193" w14:paraId="7A08E89C" w14:textId="77777777" w:rsidTr="00F52DC8">
        <w:trPr>
          <w:trHeight w:val="487"/>
        </w:trPr>
        <w:tc>
          <w:tcPr>
            <w:cnfStyle w:val="001000000000" w:firstRow="0" w:lastRow="0" w:firstColumn="1" w:lastColumn="0" w:oddVBand="0" w:evenVBand="0" w:oddHBand="0" w:evenHBand="0" w:firstRowFirstColumn="0" w:firstRowLastColumn="0" w:lastRowFirstColumn="0" w:lastRowLastColumn="0"/>
            <w:tcW w:w="2977" w:type="dxa"/>
            <w:vMerge/>
            <w:tcBorders>
              <w:left w:val="nil"/>
              <w:bottom w:val="nil"/>
            </w:tcBorders>
          </w:tcPr>
          <w:p w14:paraId="3AA08CE4" w14:textId="77777777" w:rsidR="00CA6E56" w:rsidRPr="00400193" w:rsidRDefault="00CA6E56" w:rsidP="00D01E51">
            <w:pPr>
              <w:spacing w:line="240" w:lineRule="auto"/>
              <w:jc w:val="left"/>
              <w:rPr>
                <w:rFonts w:asciiTheme="minorHAnsi" w:hAnsiTheme="minorHAnsi" w:cstheme="minorHAnsi"/>
                <w:sz w:val="20"/>
                <w:szCs w:val="20"/>
                <w:lang w:eastAsia="zh-CN" w:bidi="hi-IN"/>
              </w:rPr>
            </w:pPr>
          </w:p>
        </w:tc>
        <w:tc>
          <w:tcPr>
            <w:tcW w:w="2693" w:type="dxa"/>
            <w:tcBorders>
              <w:bottom w:val="nil"/>
            </w:tcBorders>
          </w:tcPr>
          <w:p w14:paraId="4592A18E" w14:textId="2218EDEC" w:rsidR="00CA6E56" w:rsidRPr="00400193" w:rsidRDefault="00CA6E56" w:rsidP="00D01E51">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H8</w:t>
            </w:r>
            <w:r w:rsidR="00F52DC8" w:rsidRPr="00400193">
              <w:rPr>
                <w:rFonts w:asciiTheme="minorHAnsi" w:hAnsiTheme="minorHAnsi" w:cstheme="minorHAnsi"/>
                <w:sz w:val="20"/>
                <w:szCs w:val="20"/>
                <w:lang w:eastAsia="zh-CN" w:bidi="hi-IN"/>
              </w:rPr>
              <w:t>: Organisational resilience moderates the association between vulnerabilities and weaknesses and external threats</w:t>
            </w:r>
            <w:r w:rsidRPr="00400193">
              <w:rPr>
                <w:rFonts w:asciiTheme="minorHAnsi" w:hAnsiTheme="minorHAnsi" w:cstheme="minorHAnsi"/>
                <w:sz w:val="20"/>
                <w:szCs w:val="20"/>
                <w:lang w:eastAsia="zh-CN" w:bidi="hi-IN"/>
              </w:rPr>
              <w:t>.</w:t>
            </w:r>
          </w:p>
        </w:tc>
        <w:tc>
          <w:tcPr>
            <w:tcW w:w="1701" w:type="dxa"/>
            <w:tcBorders>
              <w:bottom w:val="nil"/>
            </w:tcBorders>
            <w:vAlign w:val="center"/>
          </w:tcPr>
          <w:p w14:paraId="254CA8B1" w14:textId="336AF633"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VW = ERF +ORe</w:t>
            </w:r>
          </w:p>
        </w:tc>
        <w:tc>
          <w:tcPr>
            <w:tcW w:w="1645" w:type="dxa"/>
            <w:tcBorders>
              <w:bottom w:val="nil"/>
              <w:right w:val="nil"/>
            </w:tcBorders>
            <w:vAlign w:val="center"/>
          </w:tcPr>
          <w:p w14:paraId="3C49E5FD" w14:textId="09E4E812" w:rsidR="00CA6E56" w:rsidRPr="00400193" w:rsidRDefault="00F52DC8" w:rsidP="00F52DC8">
            <w:pPr>
              <w:spacing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eastAsia="zh-CN" w:bidi="hi-IN"/>
              </w:rPr>
            </w:pPr>
            <w:r w:rsidRPr="00400193">
              <w:rPr>
                <w:rFonts w:asciiTheme="minorHAnsi" w:hAnsiTheme="minorHAnsi" w:cstheme="minorHAnsi"/>
                <w:sz w:val="20"/>
                <w:szCs w:val="20"/>
                <w:lang w:eastAsia="zh-CN" w:bidi="hi-IN"/>
              </w:rPr>
              <w:t>Conditionally accepted</w:t>
            </w:r>
          </w:p>
        </w:tc>
      </w:tr>
    </w:tbl>
    <w:p w14:paraId="257A869E" w14:textId="7041249F" w:rsidR="006E3616" w:rsidRPr="00400193" w:rsidRDefault="006E3616" w:rsidP="007B75CF">
      <w:pPr>
        <w:pStyle w:val="Caption"/>
        <w:spacing w:after="240"/>
      </w:pPr>
      <w:bookmarkStart w:id="887" w:name="_1f7o1he"/>
      <w:bookmarkStart w:id="888" w:name="_Ref52821397"/>
      <w:bookmarkStart w:id="889" w:name="_Toc52901660"/>
      <w:bookmarkEnd w:id="88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6</w:t>
      </w:r>
      <w:r w:rsidRPr="00400193">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fldChar w:fldCharType="end"/>
      </w:r>
      <w:bookmarkEnd w:id="888"/>
      <w:r w:rsidRPr="00400193">
        <w:t>: The research hypotheses and outcomes</w:t>
      </w:r>
      <w:bookmarkEnd w:id="889"/>
    </w:p>
    <w:p w14:paraId="3CA09833" w14:textId="6EB78DCE" w:rsidR="006E3616" w:rsidRPr="00400193" w:rsidRDefault="006E3616" w:rsidP="00BC5829">
      <w:pPr>
        <w:pStyle w:val="Heading4"/>
        <w:suppressAutoHyphens/>
        <w:spacing w:before="0" w:after="160"/>
        <w:rPr>
          <w:i w:val="0"/>
          <w:szCs w:val="24"/>
          <w:lang w:eastAsia="zh-CN" w:bidi="hi-IN"/>
        </w:rPr>
      </w:pPr>
      <w:bookmarkStart w:id="890" w:name="_Toc61894821"/>
      <w:r w:rsidRPr="00400193">
        <w:rPr>
          <w:szCs w:val="24"/>
          <w:lang w:eastAsia="zh-CN" w:bidi="hi-IN"/>
        </w:rPr>
        <w:lastRenderedPageBreak/>
        <w:t>Hypothesis One (H1)</w:t>
      </w:r>
      <w:r w:rsidRPr="00400193">
        <w:rPr>
          <w:b w:val="0"/>
          <w:i w:val="0"/>
          <w:iCs w:val="0"/>
          <w:lang w:eastAsia="zh-CN" w:bidi="hi-IN"/>
        </w:rPr>
        <w:t xml:space="preserve"> </w:t>
      </w:r>
      <w:r w:rsidRPr="00400193">
        <w:rPr>
          <w:szCs w:val="24"/>
          <w:lang w:eastAsia="zh-CN" w:bidi="hi-IN"/>
        </w:rPr>
        <w:t>Vulnerabilities and weaknesses are associated with external threats</w:t>
      </w:r>
      <w:bookmarkEnd w:id="890"/>
    </w:p>
    <w:p w14:paraId="77FBAAF9" w14:textId="02D6664F" w:rsidR="006E3616" w:rsidRPr="00400193" w:rsidRDefault="006E3616" w:rsidP="006E3616">
      <w:pPr>
        <w:suppressAutoHyphens/>
        <w:rPr>
          <w:szCs w:val="24"/>
          <w:lang w:eastAsia="zh-CN" w:bidi="hi-IN"/>
        </w:rPr>
      </w:pPr>
      <w:bookmarkStart w:id="891" w:name="_2eclud0"/>
      <w:bookmarkStart w:id="892" w:name="_thw4kt"/>
      <w:bookmarkEnd w:id="891"/>
      <w:bookmarkEnd w:id="892"/>
      <w:r w:rsidRPr="00400193">
        <w:rPr>
          <w:szCs w:val="24"/>
          <w:lang w:eastAsia="zh-CN" w:bidi="hi-IN"/>
        </w:rPr>
        <w:t xml:space="preserve">The hypothesis was accepted because external threats had a positive association with VW. </w:t>
      </w:r>
    </w:p>
    <w:p w14:paraId="0CDB197B" w14:textId="12C806A8" w:rsidR="006E3616" w:rsidRPr="00400193" w:rsidRDefault="006E3616" w:rsidP="00BC5829">
      <w:pPr>
        <w:pStyle w:val="Heading4"/>
        <w:rPr>
          <w:i w:val="0"/>
          <w:lang w:eastAsia="zh-CN" w:bidi="hi-IN"/>
        </w:rPr>
      </w:pPr>
      <w:bookmarkStart w:id="893" w:name="_3dhjn8m"/>
      <w:bookmarkStart w:id="894" w:name="_Toc61894822"/>
      <w:bookmarkEnd w:id="893"/>
      <w:r w:rsidRPr="00400193">
        <w:rPr>
          <w:rFonts w:eastAsia="Arial"/>
          <w:lang w:eastAsia="zh-CN" w:bidi="hi-IN"/>
        </w:rPr>
        <w:t xml:space="preserve">Hypothesis </w:t>
      </w:r>
      <w:r w:rsidRPr="00400193">
        <w:rPr>
          <w:lang w:eastAsia="zh-CN" w:bidi="hi-IN"/>
        </w:rPr>
        <w:t>Two (H2) Vulnerabilities and weaknesses are associated with internal threats</w:t>
      </w:r>
      <w:bookmarkEnd w:id="894"/>
    </w:p>
    <w:p w14:paraId="4C6D4372" w14:textId="1B221CBF" w:rsidR="006E3616" w:rsidRPr="00400193" w:rsidRDefault="006E3616" w:rsidP="006E3616">
      <w:pPr>
        <w:suppressAutoHyphens/>
        <w:rPr>
          <w:szCs w:val="24"/>
          <w:lang w:eastAsia="zh-CN" w:bidi="hi-IN"/>
        </w:rPr>
      </w:pPr>
      <w:r w:rsidRPr="00400193">
        <w:rPr>
          <w:szCs w:val="24"/>
          <w:lang w:eastAsia="zh-CN" w:bidi="hi-IN"/>
        </w:rPr>
        <w:t xml:space="preserve">The hypothesis was accepted because internal threats had a positive association with vulnerabilities and weaknesses. </w:t>
      </w:r>
    </w:p>
    <w:p w14:paraId="16C15C5C" w14:textId="77777777" w:rsidR="006E3616" w:rsidRPr="00400193" w:rsidRDefault="006E3616" w:rsidP="00BC5829">
      <w:pPr>
        <w:pStyle w:val="Heading4"/>
        <w:spacing w:before="0" w:after="160"/>
        <w:rPr>
          <w:szCs w:val="24"/>
          <w:lang w:eastAsia="zh-CN" w:bidi="hi-IN"/>
        </w:rPr>
      </w:pPr>
      <w:bookmarkStart w:id="895" w:name="_Toc61894823"/>
      <w:r w:rsidRPr="00400193">
        <w:rPr>
          <w:lang w:eastAsia="zh-CN" w:bidi="hi-IN"/>
        </w:rPr>
        <w:t>Hypothesis Three (H3)</w:t>
      </w:r>
      <w:r w:rsidRPr="00400193">
        <w:rPr>
          <w:bCs/>
          <w:lang w:eastAsia="zh-CN" w:bidi="hi-IN"/>
        </w:rPr>
        <w:t xml:space="preserve"> </w:t>
      </w:r>
      <w:r w:rsidRPr="00400193">
        <w:rPr>
          <w:bCs/>
          <w:szCs w:val="24"/>
          <w:lang w:eastAsia="zh-CN" w:bidi="hi-IN"/>
        </w:rPr>
        <w:t>Vulnerabilities and weaknesses are associated</w:t>
      </w:r>
      <w:r w:rsidRPr="00400193">
        <w:rPr>
          <w:szCs w:val="24"/>
          <w:lang w:eastAsia="zh-CN" w:bidi="hi-IN"/>
        </w:rPr>
        <w:t xml:space="preserve"> with responses in place</w:t>
      </w:r>
      <w:bookmarkEnd w:id="895"/>
      <w:r w:rsidRPr="00400193">
        <w:rPr>
          <w:szCs w:val="24"/>
          <w:lang w:eastAsia="zh-CN" w:bidi="hi-IN"/>
        </w:rPr>
        <w:t xml:space="preserve"> </w:t>
      </w:r>
    </w:p>
    <w:p w14:paraId="1300F723" w14:textId="6B6EF7B7" w:rsidR="006E3616" w:rsidRPr="00400193" w:rsidRDefault="006E3616" w:rsidP="006E3616">
      <w:pPr>
        <w:suppressAutoHyphens/>
        <w:rPr>
          <w:szCs w:val="24"/>
          <w:lang w:eastAsia="zh-CN" w:bidi="hi-IN"/>
        </w:rPr>
      </w:pPr>
      <w:r w:rsidRPr="00400193">
        <w:rPr>
          <w:szCs w:val="24"/>
          <w:lang w:eastAsia="zh-CN" w:bidi="hi-IN"/>
        </w:rPr>
        <w:t>The hypothesis was accepted because responses in place had a positive association with vulnerabilities and weaknesses.</w:t>
      </w:r>
    </w:p>
    <w:p w14:paraId="2715B8A8" w14:textId="5C023AB9" w:rsidR="006E3616" w:rsidRPr="00400193" w:rsidRDefault="006E3616" w:rsidP="00BC5829">
      <w:pPr>
        <w:pStyle w:val="Heading4"/>
        <w:spacing w:before="0" w:after="160"/>
        <w:rPr>
          <w:strike/>
          <w:szCs w:val="24"/>
          <w:lang w:eastAsia="zh-CN" w:bidi="hi-IN"/>
        </w:rPr>
      </w:pPr>
      <w:bookmarkStart w:id="896" w:name="_Toc61894824"/>
      <w:r w:rsidRPr="00400193">
        <w:rPr>
          <w:lang w:eastAsia="zh-CN" w:bidi="hi-IN"/>
        </w:rPr>
        <w:t>Hypothesis Four (H4)</w:t>
      </w:r>
      <w:r w:rsidR="006A7C35" w:rsidRPr="00400193">
        <w:rPr>
          <w:lang w:eastAsia="zh-CN" w:bidi="hi-IN"/>
        </w:rPr>
        <w:t xml:space="preserve"> </w:t>
      </w:r>
      <w:r w:rsidR="006A7C35" w:rsidRPr="00400193">
        <w:rPr>
          <w:u w:val="single"/>
          <w:lang w:eastAsia="zh-CN" w:bidi="hi-IN"/>
        </w:rPr>
        <w:t>Having responses in place moderates the association between vulnerabilities and weaknesses and internal threats</w:t>
      </w:r>
      <w:bookmarkEnd w:id="896"/>
      <w:r w:rsidRPr="00400193">
        <w:rPr>
          <w:lang w:eastAsia="zh-CN" w:bidi="hi-IN"/>
        </w:rPr>
        <w:t xml:space="preserve"> </w:t>
      </w:r>
    </w:p>
    <w:p w14:paraId="2703C1F9" w14:textId="63D62735" w:rsidR="007B75CF" w:rsidRPr="00400193" w:rsidRDefault="007B75CF" w:rsidP="007B75CF">
      <w:pPr>
        <w:rPr>
          <w:lang w:eastAsia="zh-CN" w:bidi="hi-IN"/>
        </w:rPr>
      </w:pPr>
      <w:r w:rsidRPr="00400193">
        <w:rPr>
          <w:lang w:eastAsia="zh-CN" w:bidi="hi-IN"/>
        </w:rPr>
        <w:t>Each of these had a positive association, and the hypothesis was accepted. Responses in place as a moderator had a positive association with both internal threats and vulnerabilities and weaknesses.</w:t>
      </w:r>
    </w:p>
    <w:p w14:paraId="1B5AFE9F" w14:textId="1EB42763" w:rsidR="006E3616" w:rsidRPr="00400193" w:rsidRDefault="006E3616" w:rsidP="00BC5829">
      <w:pPr>
        <w:pStyle w:val="Heading4"/>
        <w:spacing w:before="0" w:after="160"/>
        <w:rPr>
          <w:i w:val="0"/>
          <w:szCs w:val="24"/>
          <w:lang w:eastAsia="zh-CN" w:bidi="hi-IN"/>
        </w:rPr>
      </w:pPr>
      <w:bookmarkStart w:id="897" w:name="_3qwpj7n"/>
      <w:bookmarkStart w:id="898" w:name="_Toc61894825"/>
      <w:bookmarkEnd w:id="897"/>
      <w:r w:rsidRPr="00400193">
        <w:rPr>
          <w:lang w:eastAsia="zh-CN" w:bidi="hi-IN"/>
        </w:rPr>
        <w:t>Hypothesis Five (H5) Having responses</w:t>
      </w:r>
      <w:r w:rsidRPr="00400193">
        <w:rPr>
          <w:szCs w:val="24"/>
          <w:lang w:eastAsia="zh-CN" w:bidi="hi-IN"/>
        </w:rPr>
        <w:t xml:space="preserve"> in place moderates the association between vulnerabilities and weaknesses and external threats</w:t>
      </w:r>
      <w:bookmarkEnd w:id="898"/>
    </w:p>
    <w:p w14:paraId="55E0FA8C" w14:textId="0E5A012B" w:rsidR="003448CA" w:rsidRPr="00400193" w:rsidRDefault="003448CA" w:rsidP="003448CA">
      <w:pPr>
        <w:suppressAutoHyphens/>
        <w:rPr>
          <w:szCs w:val="24"/>
          <w:lang w:eastAsia="zh-CN" w:bidi="hi-IN"/>
        </w:rPr>
      </w:pPr>
      <w:bookmarkStart w:id="899" w:name="_1smtxgf"/>
      <w:bookmarkStart w:id="900" w:name="_4cmhg48"/>
      <w:bookmarkStart w:id="901" w:name="_2rrrqc1"/>
      <w:bookmarkStart w:id="902" w:name="_16x20ju"/>
      <w:bookmarkEnd w:id="899"/>
      <w:bookmarkEnd w:id="900"/>
      <w:bookmarkEnd w:id="901"/>
      <w:bookmarkEnd w:id="902"/>
      <w:r w:rsidRPr="00400193">
        <w:rPr>
          <w:szCs w:val="24"/>
          <w:lang w:eastAsia="zh-CN" w:bidi="hi-IN"/>
        </w:rPr>
        <w:t xml:space="preserve">Each of these had a positive association, so this hypothesis was accepted. Responses in place as a moderator had </w:t>
      </w:r>
      <w:r w:rsidR="00CC4225" w:rsidRPr="00400193">
        <w:rPr>
          <w:szCs w:val="24"/>
          <w:lang w:eastAsia="zh-CN" w:bidi="hi-IN"/>
        </w:rPr>
        <w:t xml:space="preserve">a positive </w:t>
      </w:r>
      <w:r w:rsidRPr="00400193">
        <w:rPr>
          <w:szCs w:val="24"/>
          <w:lang w:eastAsia="zh-CN" w:bidi="hi-IN"/>
        </w:rPr>
        <w:t>association with external threats, and a positive association with vulnerabilities and weaknesses.</w:t>
      </w:r>
    </w:p>
    <w:p w14:paraId="0E762229" w14:textId="339AFDAA" w:rsidR="006E3616" w:rsidRPr="00400193" w:rsidRDefault="006E3616" w:rsidP="006A7C35">
      <w:pPr>
        <w:pStyle w:val="Heading4"/>
        <w:rPr>
          <w:strike/>
          <w:szCs w:val="24"/>
          <w:lang w:eastAsia="zh-CN" w:bidi="hi-IN"/>
        </w:rPr>
      </w:pPr>
      <w:bookmarkStart w:id="903" w:name="_Toc61894826"/>
      <w:r w:rsidRPr="00400193">
        <w:rPr>
          <w:lang w:eastAsia="zh-CN" w:bidi="hi-IN"/>
        </w:rPr>
        <w:t>Hypothesis Six (H6)</w:t>
      </w:r>
      <w:r w:rsidRPr="00400193">
        <w:rPr>
          <w:b w:val="0"/>
          <w:i w:val="0"/>
          <w:iCs w:val="0"/>
          <w:lang w:eastAsia="zh-CN" w:bidi="hi-IN"/>
        </w:rPr>
        <w:t xml:space="preserve"> </w:t>
      </w:r>
      <w:r w:rsidR="006A7C35" w:rsidRPr="00400193">
        <w:rPr>
          <w:bCs/>
          <w:u w:val="single"/>
          <w:lang w:eastAsia="zh-CN" w:bidi="hi-IN"/>
        </w:rPr>
        <w:t>Vulnerabilities and weaknesses are associated with organisational resilience</w:t>
      </w:r>
      <w:bookmarkEnd w:id="903"/>
      <w:r w:rsidR="006A7C35" w:rsidRPr="00400193">
        <w:rPr>
          <w:bCs/>
          <w:lang w:eastAsia="zh-CN" w:bidi="hi-IN"/>
        </w:rPr>
        <w:t xml:space="preserve"> </w:t>
      </w:r>
    </w:p>
    <w:p w14:paraId="6509440D" w14:textId="4F220893" w:rsidR="006E3616" w:rsidRPr="00400193" w:rsidRDefault="007B75CF" w:rsidP="007B75CF">
      <w:pPr>
        <w:rPr>
          <w:lang w:eastAsia="zh-CN" w:bidi="hi-IN"/>
        </w:rPr>
      </w:pPr>
      <w:r w:rsidRPr="00400193">
        <w:rPr>
          <w:lang w:eastAsia="zh-CN" w:bidi="hi-IN"/>
        </w:rPr>
        <w:t>This hypothesis was converted into one formula. The hypothesis was accepted because organisational resilience had a positive association with vulnerabilities and weaknesses.</w:t>
      </w:r>
    </w:p>
    <w:p w14:paraId="2F8499AA" w14:textId="242B7E5A" w:rsidR="006E3616" w:rsidRPr="00400193" w:rsidRDefault="006E3616" w:rsidP="00BC5829">
      <w:pPr>
        <w:pStyle w:val="Heading4"/>
        <w:suppressAutoHyphens/>
        <w:spacing w:before="0" w:after="160"/>
        <w:rPr>
          <w:i w:val="0"/>
          <w:szCs w:val="24"/>
          <w:lang w:eastAsia="zh-CN" w:bidi="hi-IN"/>
        </w:rPr>
      </w:pPr>
      <w:bookmarkStart w:id="904" w:name="_356xmb2"/>
      <w:bookmarkStart w:id="905" w:name="_Toc61894827"/>
      <w:bookmarkEnd w:id="904"/>
      <w:r w:rsidRPr="00400193">
        <w:rPr>
          <w:rFonts w:eastAsia="Arial"/>
          <w:lang w:eastAsia="zh-CN" w:bidi="hi-IN"/>
        </w:rPr>
        <w:lastRenderedPageBreak/>
        <w:t>Hypothesis Seven (H7)</w:t>
      </w:r>
      <w:r w:rsidR="007B75CF" w:rsidRPr="00400193">
        <w:rPr>
          <w:rFonts w:eastAsia="Arial"/>
          <w:lang w:eastAsia="zh-CN" w:bidi="hi-IN"/>
        </w:rPr>
        <w:t xml:space="preserve"> </w:t>
      </w:r>
      <w:r w:rsidR="007B75CF" w:rsidRPr="00400193">
        <w:rPr>
          <w:rFonts w:eastAsia="Arial"/>
          <w:u w:val="single"/>
          <w:lang w:eastAsia="zh-CN" w:bidi="hi-IN"/>
        </w:rPr>
        <w:t>Organisational resilience moderates the association between vulnerabilities and weaknesses and internal threats</w:t>
      </w:r>
      <w:bookmarkEnd w:id="905"/>
      <w:r w:rsidRPr="00400193">
        <w:rPr>
          <w:rFonts w:eastAsia="Arial"/>
          <w:lang w:eastAsia="zh-CN" w:bidi="hi-IN"/>
        </w:rPr>
        <w:t xml:space="preserve"> </w:t>
      </w:r>
    </w:p>
    <w:p w14:paraId="0D07DAAA" w14:textId="055BFEE8" w:rsidR="006E3616" w:rsidRPr="00400193" w:rsidRDefault="007B75CF" w:rsidP="006E3616">
      <w:pPr>
        <w:suppressAutoHyphens/>
        <w:rPr>
          <w:szCs w:val="24"/>
          <w:lang w:eastAsia="zh-CN" w:bidi="hi-IN"/>
        </w:rPr>
      </w:pPr>
      <w:r w:rsidRPr="00400193">
        <w:rPr>
          <w:szCs w:val="24"/>
          <w:lang w:eastAsia="zh-CN" w:bidi="hi-IN"/>
        </w:rPr>
        <w:t>Each of these had a positive association, and this hypothesis was accepted. Organisational resilience as a moderator had significant passive association with internal threats, and positive association with vulnerabilities and weaknesses.</w:t>
      </w:r>
    </w:p>
    <w:p w14:paraId="015C5F50" w14:textId="1FD75D85" w:rsidR="006E3616" w:rsidRPr="00400193" w:rsidRDefault="006E3616" w:rsidP="00BC5829">
      <w:pPr>
        <w:pStyle w:val="Heading4"/>
        <w:spacing w:after="160"/>
        <w:rPr>
          <w:strike/>
          <w:lang w:eastAsia="zh-CN" w:bidi="hi-IN"/>
        </w:rPr>
      </w:pPr>
      <w:bookmarkStart w:id="906" w:name="_Toc61894828"/>
      <w:r w:rsidRPr="00400193">
        <w:rPr>
          <w:rFonts w:eastAsia="Arial"/>
          <w:lang w:eastAsia="zh-CN" w:bidi="hi-IN"/>
        </w:rPr>
        <w:t>Hypothesis Eight (H8)</w:t>
      </w:r>
      <w:r w:rsidR="007B75CF" w:rsidRPr="00400193">
        <w:rPr>
          <w:rFonts w:eastAsia="Arial"/>
          <w:lang w:eastAsia="zh-CN" w:bidi="hi-IN"/>
        </w:rPr>
        <w:t xml:space="preserve"> </w:t>
      </w:r>
      <w:r w:rsidR="007B75CF" w:rsidRPr="00400193">
        <w:rPr>
          <w:rFonts w:eastAsia="Arial"/>
          <w:u w:val="single"/>
          <w:lang w:eastAsia="zh-CN" w:bidi="hi-IN"/>
        </w:rPr>
        <w:t>Organisational resilience moderates the association between vulnerabilities and weaknesses and external threats</w:t>
      </w:r>
      <w:bookmarkEnd w:id="906"/>
      <w:r w:rsidRPr="00400193">
        <w:rPr>
          <w:rFonts w:eastAsia="Arial"/>
          <w:lang w:eastAsia="zh-CN" w:bidi="hi-IN"/>
        </w:rPr>
        <w:t xml:space="preserve"> </w:t>
      </w:r>
    </w:p>
    <w:p w14:paraId="4B1A8F9A" w14:textId="773FB3F9" w:rsidR="00D140BD" w:rsidRPr="00400193" w:rsidRDefault="007B75CF" w:rsidP="007B75CF">
      <w:pPr>
        <w:rPr>
          <w:lang w:eastAsia="zh-CN" w:bidi="hi-IN"/>
        </w:rPr>
      </w:pPr>
      <w:r w:rsidRPr="00400193">
        <w:rPr>
          <w:szCs w:val="24"/>
          <w:lang w:eastAsia="zh-CN" w:bidi="hi-IN"/>
        </w:rPr>
        <w:t>Each of these had a positive association, and this hypothesis was accepted. Organisational resilience as a moderator had significant passive association with external threats, and positive association with vulnerabilities and weaknesses.</w:t>
      </w:r>
    </w:p>
    <w:p w14:paraId="41B508E0" w14:textId="77777777" w:rsidR="006E3616" w:rsidRPr="00400193" w:rsidRDefault="006E3616" w:rsidP="006E3616">
      <w:pPr>
        <w:pStyle w:val="Heading2"/>
        <w:rPr>
          <w:rFonts w:eastAsia="Arial"/>
          <w:lang w:eastAsia="zh-CN" w:bidi="hi-IN"/>
        </w:rPr>
      </w:pPr>
      <w:bookmarkStart w:id="907" w:name="_Toc61894829"/>
      <w:r w:rsidRPr="00400193">
        <w:rPr>
          <w:rFonts w:eastAsia="Arial"/>
          <w:lang w:eastAsia="zh-CN" w:bidi="hi-IN"/>
        </w:rPr>
        <w:t>Discussion of Findings and Results</w:t>
      </w:r>
      <w:bookmarkEnd w:id="907"/>
    </w:p>
    <w:p w14:paraId="76D42BA4" w14:textId="505A2C05" w:rsidR="006E3616" w:rsidRPr="00400193" w:rsidRDefault="006E3616" w:rsidP="00676F1C">
      <w:pPr>
        <w:rPr>
          <w:lang w:eastAsia="zh-CN" w:bidi="hi-IN"/>
        </w:rPr>
      </w:pPr>
      <w:r w:rsidRPr="00400193">
        <w:rPr>
          <w:lang w:eastAsia="zh-CN" w:bidi="hi-IN"/>
        </w:rPr>
        <w:t>After the analysis of the data the new framework in</w:t>
      </w:r>
      <w:r w:rsidR="00676F1C" w:rsidRPr="00400193">
        <w:rPr>
          <w:lang w:eastAsia="zh-CN" w:bidi="hi-IN"/>
        </w:rPr>
        <w:t xml:space="preserve"> </w:t>
      </w:r>
      <w:r w:rsidR="00DA454C" w:rsidRPr="00400193">
        <w:rPr>
          <w:lang w:eastAsia="zh-CN" w:bidi="hi-IN"/>
        </w:rPr>
        <w:fldChar w:fldCharType="begin"/>
      </w:r>
      <w:r w:rsidR="00DA454C" w:rsidRPr="00400193">
        <w:rPr>
          <w:lang w:eastAsia="zh-CN" w:bidi="hi-IN"/>
        </w:rPr>
        <w:instrText xml:space="preserve"> REF _Ref44957419 \h </w:instrText>
      </w:r>
      <w:r w:rsidR="00DA454C" w:rsidRPr="00400193">
        <w:rPr>
          <w:lang w:eastAsia="zh-CN" w:bidi="hi-IN"/>
        </w:rPr>
      </w:r>
      <w:r w:rsidR="00DA454C"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DA454C" w:rsidRPr="00400193">
        <w:rPr>
          <w:lang w:eastAsia="zh-CN" w:bidi="hi-IN"/>
        </w:rPr>
        <w:fldChar w:fldCharType="end"/>
      </w:r>
      <w:r w:rsidRPr="00400193">
        <w:rPr>
          <w:lang w:eastAsia="zh-CN" w:bidi="hi-IN"/>
        </w:rPr>
        <w:t xml:space="preserve"> was shown to be appropriate as a scaffolding on which to build the cyber-security awareness, response and resilience of the UAE public sector organisations. The repeated message of both the data and the literature is that early detection and appropriate response are the keys to resilience. It was also clear from the literature and data that awareness of the risks is the biggest step towards early detection. The UAE public sector must therefore adopt the framework envisaged in </w:t>
      </w:r>
      <w:r w:rsidR="00DA454C" w:rsidRPr="00400193">
        <w:rPr>
          <w:lang w:eastAsia="zh-CN" w:bidi="hi-IN"/>
        </w:rPr>
        <w:fldChar w:fldCharType="begin"/>
      </w:r>
      <w:r w:rsidR="00DA454C" w:rsidRPr="00400193">
        <w:rPr>
          <w:lang w:eastAsia="zh-CN" w:bidi="hi-IN"/>
        </w:rPr>
        <w:instrText xml:space="preserve"> REF _Ref44957419 \h </w:instrText>
      </w:r>
      <w:r w:rsidR="00DA454C" w:rsidRPr="00400193">
        <w:rPr>
          <w:lang w:eastAsia="zh-CN" w:bidi="hi-IN"/>
        </w:rPr>
      </w:r>
      <w:r w:rsidR="00DA454C"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DA454C" w:rsidRPr="00400193">
        <w:rPr>
          <w:lang w:eastAsia="zh-CN" w:bidi="hi-IN"/>
        </w:rPr>
        <w:fldChar w:fldCharType="end"/>
      </w:r>
      <w:r w:rsidR="00BC5829" w:rsidRPr="00400193">
        <w:rPr>
          <w:lang w:eastAsia="zh-CN" w:bidi="hi-IN"/>
        </w:rPr>
        <w:t xml:space="preserve"> </w:t>
      </w:r>
      <w:r w:rsidRPr="00400193">
        <w:rPr>
          <w:lang w:eastAsia="zh-CN" w:bidi="hi-IN"/>
        </w:rPr>
        <w:t>but must also emphasise education at all levels from clerks to ministers, and the education must emphasise cyber-risk awareness. The simple fact that when one connects a smart kettle to the system there is a risk of compromise (Bode, 2015; Schneier, 2017) should be made clear to every employee.</w:t>
      </w:r>
    </w:p>
    <w:p w14:paraId="449B1928" w14:textId="77777777" w:rsidR="006E3616" w:rsidRPr="00400193" w:rsidRDefault="006E3616" w:rsidP="006E3616">
      <w:pPr>
        <w:suppressAutoHyphens/>
        <w:rPr>
          <w:szCs w:val="24"/>
          <w:lang w:eastAsia="zh-CN" w:bidi="hi-IN"/>
        </w:rPr>
      </w:pPr>
      <w:r w:rsidRPr="00400193">
        <w:rPr>
          <w:szCs w:val="24"/>
          <w:lang w:eastAsia="zh-CN" w:bidi="hi-IN"/>
        </w:rPr>
        <w:t>Awareness at every level, combined with management commitment, will ensure the smooth operation and development of an organisation-wide response and resilience system. This will then provide a level of assurance to companies wishing to relocate to the UAE that the government takes the issue seriously enough to ensure that there is national critical infrastructure protected in case of attack.</w:t>
      </w:r>
    </w:p>
    <w:p w14:paraId="0D20E0A3" w14:textId="77777777" w:rsidR="006E3616" w:rsidRPr="00400193" w:rsidRDefault="006E3616" w:rsidP="006E3616">
      <w:pPr>
        <w:pStyle w:val="Heading3"/>
        <w:rPr>
          <w:rFonts w:eastAsia="Arial"/>
          <w:lang w:eastAsia="zh-CN" w:bidi="hi-IN"/>
        </w:rPr>
      </w:pPr>
      <w:bookmarkStart w:id="908" w:name="_Toc61894830"/>
      <w:r w:rsidRPr="00400193">
        <w:rPr>
          <w:rFonts w:eastAsia="Arial"/>
          <w:lang w:eastAsia="zh-CN" w:bidi="hi-IN"/>
        </w:rPr>
        <w:t>Regression Test Conclusions</w:t>
      </w:r>
      <w:bookmarkEnd w:id="908"/>
    </w:p>
    <w:p w14:paraId="41567D2B" w14:textId="72FD7730" w:rsidR="006E3616" w:rsidRPr="00400193" w:rsidRDefault="006E3616" w:rsidP="006E3616">
      <w:pPr>
        <w:suppressAutoHyphens/>
        <w:rPr>
          <w:szCs w:val="24"/>
          <w:lang w:eastAsia="zh-CN" w:bidi="hi-IN"/>
        </w:rPr>
      </w:pPr>
      <w:r w:rsidRPr="00400193">
        <w:rPr>
          <w:szCs w:val="24"/>
          <w:lang w:eastAsia="zh-CN" w:bidi="hi-IN"/>
        </w:rPr>
        <w:t xml:space="preserve">The conclusion of the regression tests of the data was that all the hypotheses were accepted, albeit conditionally in two cases. This in turn supports the idea that the new framework is acceptable and will work well. This result and those from the descriptive </w:t>
      </w:r>
      <w:r w:rsidRPr="00400193">
        <w:rPr>
          <w:szCs w:val="24"/>
          <w:lang w:eastAsia="zh-CN" w:bidi="hi-IN"/>
        </w:rPr>
        <w:lastRenderedPageBreak/>
        <w:t>statistics are all confirmation that the framework may help to improve cyber-security in the UAE public sector.</w:t>
      </w:r>
    </w:p>
    <w:p w14:paraId="00D25784" w14:textId="2FE9789B" w:rsidR="00A174B4" w:rsidRPr="00400193" w:rsidRDefault="00A174B4" w:rsidP="00A174B4">
      <w:pPr>
        <w:pStyle w:val="Heading2"/>
        <w:rPr>
          <w:lang w:eastAsia="zh-CN" w:bidi="hi-IN"/>
        </w:rPr>
      </w:pPr>
      <w:bookmarkStart w:id="909" w:name="_Toc61894831"/>
      <w:r w:rsidRPr="00400193">
        <w:rPr>
          <w:lang w:eastAsia="zh-CN" w:bidi="hi-IN"/>
        </w:rPr>
        <w:t>Validation of the New Framework</w:t>
      </w:r>
      <w:bookmarkEnd w:id="909"/>
    </w:p>
    <w:p w14:paraId="2AC4ADF3" w14:textId="21FB1BC0" w:rsidR="00A174B4" w:rsidRPr="00400193" w:rsidRDefault="00A174B4" w:rsidP="00A174B4">
      <w:pPr>
        <w:rPr>
          <w:lang w:eastAsia="zh-CN" w:bidi="hi-IN"/>
        </w:rPr>
      </w:pPr>
      <w:r w:rsidRPr="00400193">
        <w:rPr>
          <w:lang w:eastAsia="zh-CN" w:bidi="hi-IN"/>
        </w:rPr>
        <w:t>To fully validate the framework, it is necessary to first examine the situation before it was designed, and the problems that were either apparent or latent. This provides the justification for the framework and the study. Then it is necessary to clearly demonstrate that these problems are, or would be, eliminated by the application of the framework outlined in the thesis. To that end, the following sections and subsections will provide the necessary detail.</w:t>
      </w:r>
    </w:p>
    <w:p w14:paraId="3964533E" w14:textId="201AC813" w:rsidR="00A174B4" w:rsidRPr="00400193" w:rsidRDefault="00A174B4" w:rsidP="00A174B4">
      <w:pPr>
        <w:pStyle w:val="Heading3"/>
        <w:rPr>
          <w:lang w:eastAsia="zh-CN" w:bidi="hi-IN"/>
        </w:rPr>
      </w:pPr>
      <w:bookmarkStart w:id="910" w:name="_Toc61894832"/>
      <w:r w:rsidRPr="00400193">
        <w:rPr>
          <w:lang w:eastAsia="zh-CN" w:bidi="hi-IN"/>
        </w:rPr>
        <w:t>Cyber-Resilience and -Security in the UAE Public Sector Before</w:t>
      </w:r>
      <w:bookmarkEnd w:id="910"/>
    </w:p>
    <w:p w14:paraId="2F45CB5C" w14:textId="2E82C648" w:rsidR="005B6E33" w:rsidRPr="00400193" w:rsidRDefault="00F52DC8" w:rsidP="00F52DC8">
      <w:pPr>
        <w:rPr>
          <w:lang w:eastAsia="zh-CN" w:bidi="hi-IN"/>
        </w:rPr>
      </w:pPr>
      <w:r w:rsidRPr="00400193">
        <w:rPr>
          <w:lang w:eastAsia="zh-CN" w:bidi="hi-IN"/>
        </w:rPr>
        <w:t>In 2020, the TRA</w:t>
      </w:r>
      <w:r w:rsidR="005B6E33" w:rsidRPr="00400193">
        <w:rPr>
          <w:lang w:eastAsia="zh-CN" w:bidi="hi-IN"/>
        </w:rPr>
        <w:t xml:space="preserve"> launched </w:t>
      </w:r>
      <w:r w:rsidR="005B6E33" w:rsidRPr="00400193">
        <w:rPr>
          <w:i/>
          <w:iCs/>
          <w:lang w:eastAsia="zh-CN" w:bidi="hi-IN"/>
        </w:rPr>
        <w:t>“The UAE National Cybersecurity Strategy”</w:t>
      </w:r>
      <w:r w:rsidRPr="00400193">
        <w:rPr>
          <w:lang w:eastAsia="zh-CN" w:bidi="hi-IN"/>
        </w:rPr>
        <w:t xml:space="preserve"> </w:t>
      </w:r>
      <w:r w:rsidR="007F7D22" w:rsidRPr="00400193">
        <w:rPr>
          <w:lang w:eastAsia="zh-CN" w:bidi="hi-IN"/>
        </w:rPr>
        <w:t>(TRA, 2020)</w:t>
      </w:r>
      <w:r w:rsidR="005B6E33" w:rsidRPr="00400193">
        <w:rPr>
          <w:lang w:eastAsia="zh-CN" w:bidi="hi-IN"/>
        </w:rPr>
        <w:t xml:space="preserve"> intended to make the UAE a safe area of cyber-space in which international companies could do business. The reason for the strategy, and for this research, was that, as outlined in the introduction, many elements of society in the UAE feel vulnerable, the country’s own Cyber Security Centre (run by the TRA) say that the UAE is second only to America as a cyber-attack target, and other specialists in cyber security rate the country as vulnerable (Darkmatter, 2020; Kaspersky, 2018).</w:t>
      </w:r>
    </w:p>
    <w:p w14:paraId="44BE37D4" w14:textId="77777777" w:rsidR="007F7D22" w:rsidRPr="00400193" w:rsidRDefault="005B6E33" w:rsidP="00F52DC8">
      <w:pPr>
        <w:rPr>
          <w:lang w:eastAsia="zh-CN" w:bidi="hi-IN"/>
        </w:rPr>
      </w:pPr>
      <w:r w:rsidRPr="00400193">
        <w:rPr>
          <w:lang w:eastAsia="zh-CN" w:bidi="hi-IN"/>
        </w:rPr>
        <w:t>The public sector and the CI were particularly vulnerable, because</w:t>
      </w:r>
      <w:r w:rsidR="007F7D22" w:rsidRPr="00400193">
        <w:rPr>
          <w:lang w:eastAsia="zh-CN" w:bidi="hi-IN"/>
        </w:rPr>
        <w:t xml:space="preserve"> the slightest doubt about the resilience of either would negatively impact overseas investment (Kaspersky, 2018). The difficulty that the public sector faced, however, was that they had no means of measuring resilience, and no way of knowing if it was sufficient – ideas borne out by the data collected.</w:t>
      </w:r>
    </w:p>
    <w:p w14:paraId="73AAE2B7" w14:textId="77777777" w:rsidR="007F7D22" w:rsidRPr="00400193" w:rsidRDefault="007F7D22" w:rsidP="007F7D22">
      <w:pPr>
        <w:pStyle w:val="Heading3"/>
        <w:rPr>
          <w:lang w:eastAsia="zh-CN" w:bidi="hi-IN"/>
        </w:rPr>
      </w:pPr>
      <w:bookmarkStart w:id="911" w:name="_Toc61894833"/>
      <w:r w:rsidRPr="00400193">
        <w:rPr>
          <w:lang w:eastAsia="zh-CN" w:bidi="hi-IN"/>
        </w:rPr>
        <w:t>Cyber-Resilience and -Security in the UAE Public Sector After</w:t>
      </w:r>
      <w:bookmarkEnd w:id="911"/>
      <w:r w:rsidR="005B6E33" w:rsidRPr="00400193">
        <w:rPr>
          <w:lang w:eastAsia="zh-CN" w:bidi="hi-IN"/>
        </w:rPr>
        <w:t xml:space="preserve"> </w:t>
      </w:r>
    </w:p>
    <w:p w14:paraId="08018160" w14:textId="77777777" w:rsidR="00CC7EF5" w:rsidRPr="00400193" w:rsidRDefault="00082C35" w:rsidP="007F7D22">
      <w:pPr>
        <w:rPr>
          <w:lang w:eastAsia="zh-CN" w:bidi="hi-IN"/>
        </w:rPr>
      </w:pPr>
      <w:r w:rsidRPr="00400193">
        <w:rPr>
          <w:lang w:eastAsia="zh-CN" w:bidi="hi-IN"/>
        </w:rPr>
        <w:t xml:space="preserve">Applying the new framework within the UAE </w:t>
      </w:r>
      <w:r w:rsidR="00530C82" w:rsidRPr="00400193">
        <w:rPr>
          <w:lang w:eastAsia="zh-CN" w:bidi="hi-IN"/>
        </w:rPr>
        <w:t>would be problematic if done in a blanket fashion. However, the framework has been deeply tested. The resilience has been shown to be reasonable but improvable, and the issues have been those that were revealed by the data. Thus, the relevance of the framework has been demonstrated, since the areas which were suspected as being vulnerable were shown to be so, but more importantly, it was shown that the framework mitigated those areas. Additionally, the framework provides for future changes in cyber-risks. Because these risks are perpetually changing, incorporating an cycle of checking and re-checking</w:t>
      </w:r>
      <w:r w:rsidR="00CC7EF5" w:rsidRPr="00400193">
        <w:rPr>
          <w:lang w:eastAsia="zh-CN" w:bidi="hi-IN"/>
        </w:rPr>
        <w:t xml:space="preserve"> for new risks ensures that they do not get overlooked.</w:t>
      </w:r>
    </w:p>
    <w:p w14:paraId="3975E25E" w14:textId="564EE8A8" w:rsidR="00CC7EF5" w:rsidRPr="00400193" w:rsidRDefault="00CC7EF5" w:rsidP="00CC7EF5">
      <w:pPr>
        <w:pStyle w:val="Heading3"/>
        <w:rPr>
          <w:lang w:eastAsia="zh-CN" w:bidi="hi-IN"/>
        </w:rPr>
      </w:pPr>
      <w:bookmarkStart w:id="912" w:name="_Toc61894834"/>
      <w:r w:rsidRPr="00400193">
        <w:rPr>
          <w:lang w:eastAsia="zh-CN" w:bidi="hi-IN"/>
        </w:rPr>
        <w:lastRenderedPageBreak/>
        <w:t>Testing and Validating the New Framework</w:t>
      </w:r>
      <w:bookmarkEnd w:id="912"/>
    </w:p>
    <w:p w14:paraId="6C06479F" w14:textId="13598C1C" w:rsidR="00F52DC8" w:rsidRPr="00400193" w:rsidRDefault="004311D3" w:rsidP="00CC7EF5">
      <w:pPr>
        <w:rPr>
          <w:lang w:eastAsia="zh-CN" w:bidi="hi-IN"/>
        </w:rPr>
      </w:pPr>
      <w:r w:rsidRPr="00400193">
        <w:rPr>
          <w:lang w:eastAsia="zh-CN" w:bidi="hi-IN"/>
        </w:rPr>
        <w:t>The first test of the new framework was to determine whether, from the data collected, it was possible for the researcher to measure or estimate the existing level of ORe (with the assumption, for test purposes only, that the responses all came from a single source in the public sector). The analysis</w:t>
      </w:r>
      <w:r w:rsidR="00050462" w:rsidRPr="00400193">
        <w:rPr>
          <w:lang w:eastAsia="zh-CN" w:bidi="hi-IN"/>
        </w:rPr>
        <w:t xml:space="preserve"> of the data did indicate that an approximation of the existing ORe could be assumed, but it was also clear that it could be improved in order to further reduce the VW that had been found.</w:t>
      </w:r>
    </w:p>
    <w:p w14:paraId="6D60C9F6" w14:textId="5E38D08B" w:rsidR="00050462" w:rsidRPr="00400193" w:rsidRDefault="00050462" w:rsidP="00CC7EF5">
      <w:pPr>
        <w:rPr>
          <w:lang w:eastAsia="zh-CN" w:bidi="hi-IN"/>
        </w:rPr>
      </w:pPr>
      <w:r w:rsidRPr="00400193">
        <w:rPr>
          <w:lang w:eastAsia="zh-CN" w:bidi="hi-IN"/>
        </w:rPr>
        <w:t>It was also possible, from the collected data to approximate the RP (again, assuming a single source for the data). Response in place was just sufficient for existing VW, although some areas were not as strong as others. These two results, if obtained by the</w:t>
      </w:r>
      <w:r w:rsidR="00D55B35" w:rsidRPr="00400193">
        <w:rPr>
          <w:lang w:eastAsia="zh-CN" w:bidi="hi-IN"/>
        </w:rPr>
        <w:t xml:space="preserve"> Cyber Security Officers</w:t>
      </w:r>
      <w:r w:rsidRPr="00400193">
        <w:rPr>
          <w:lang w:eastAsia="zh-CN" w:bidi="hi-IN"/>
        </w:rPr>
        <w:t xml:space="preserve"> </w:t>
      </w:r>
      <w:r w:rsidR="00D55B35" w:rsidRPr="00400193">
        <w:rPr>
          <w:lang w:eastAsia="zh-CN" w:bidi="hi-IN"/>
        </w:rPr>
        <w:t>“</w:t>
      </w:r>
      <w:r w:rsidRPr="00400193">
        <w:rPr>
          <w:lang w:eastAsia="zh-CN" w:bidi="hi-IN"/>
        </w:rPr>
        <w:t>CSO</w:t>
      </w:r>
      <w:r w:rsidR="00D55B35" w:rsidRPr="00400193">
        <w:rPr>
          <w:lang w:eastAsia="zh-CN" w:bidi="hi-IN"/>
        </w:rPr>
        <w:t>”</w:t>
      </w:r>
      <w:r w:rsidRPr="00400193">
        <w:rPr>
          <w:lang w:eastAsia="zh-CN" w:bidi="hi-IN"/>
        </w:rPr>
        <w:t xml:space="preserve"> of a specific establishment in the public sector, would be sufficient for him to establish a policy which would improve ORe and increase RP in the weaker areas.</w:t>
      </w:r>
    </w:p>
    <w:p w14:paraId="4962EB85" w14:textId="3F8563C6" w:rsidR="00050462" w:rsidRPr="00400193" w:rsidRDefault="00050462" w:rsidP="00CC7EF5">
      <w:pPr>
        <w:rPr>
          <w:lang w:eastAsia="zh-CN" w:bidi="hi-IN"/>
        </w:rPr>
      </w:pPr>
      <w:r w:rsidRPr="00400193">
        <w:rPr>
          <w:lang w:eastAsia="zh-CN" w:bidi="hi-IN"/>
        </w:rPr>
        <w:t>The next issue for testing the framework was to discover whether it sufficiently emphasised the ongoing nature of cyber-risk and the need for continuing vigilance. Cyber-security is not a “fit and forget” item, it is a process, and its relationship to cyber-resilience requires both to be regularly assessed.</w:t>
      </w:r>
      <w:r w:rsidR="00D861D7" w:rsidRPr="00400193">
        <w:rPr>
          <w:lang w:eastAsia="zh-CN" w:bidi="hi-IN"/>
        </w:rPr>
        <w:t xml:space="preserve"> In the policies and regulations of the transactional response (see</w:t>
      </w:r>
      <w:r w:rsidRPr="00400193">
        <w:rPr>
          <w:lang w:eastAsia="zh-CN" w:bidi="hi-IN"/>
        </w:rPr>
        <w:t xml:space="preserve"> </w:t>
      </w:r>
      <w:r w:rsidR="00D861D7" w:rsidRPr="00400193">
        <w:rPr>
          <w:lang w:eastAsia="zh-CN" w:bidi="hi-IN"/>
        </w:rPr>
        <w:fldChar w:fldCharType="begin"/>
      </w:r>
      <w:r w:rsidR="00D861D7" w:rsidRPr="00400193">
        <w:rPr>
          <w:lang w:eastAsia="zh-CN" w:bidi="hi-IN"/>
        </w:rPr>
        <w:instrText xml:space="preserve"> REF _Ref44957419 \h </w:instrText>
      </w:r>
      <w:r w:rsidR="00D861D7" w:rsidRPr="00400193">
        <w:rPr>
          <w:lang w:eastAsia="zh-CN" w:bidi="hi-IN"/>
        </w:rPr>
      </w:r>
      <w:r w:rsidR="00D861D7" w:rsidRPr="00400193">
        <w:rPr>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5</w:t>
      </w:r>
      <w:r w:rsidR="00D861D7" w:rsidRPr="00400193">
        <w:rPr>
          <w:lang w:eastAsia="zh-CN" w:bidi="hi-IN"/>
        </w:rPr>
        <w:fldChar w:fldCharType="end"/>
      </w:r>
      <w:r w:rsidR="00D861D7" w:rsidRPr="00400193">
        <w:rPr>
          <w:lang w:eastAsia="zh-CN" w:bidi="hi-IN"/>
        </w:rPr>
        <w:t>), there is an insistence that all cyber-security and -resilience issues are dealt with in this way. They are always ‘live’, and the value of information sharing has been repeatedly demonstrated. Thus, there is always a link to the latest research and action on cyber-risk, and the -resilience becomes ‘transformational’ as was the original intent of the research.</w:t>
      </w:r>
    </w:p>
    <w:p w14:paraId="5709CF53" w14:textId="14ACC1E9" w:rsidR="00A174B4" w:rsidRPr="00400193" w:rsidRDefault="00D861D7" w:rsidP="00D861D7">
      <w:pPr>
        <w:pStyle w:val="Heading3"/>
        <w:rPr>
          <w:lang w:eastAsia="zh-CN" w:bidi="hi-IN"/>
        </w:rPr>
      </w:pPr>
      <w:bookmarkStart w:id="913" w:name="_Toc61894835"/>
      <w:r w:rsidRPr="00400193">
        <w:rPr>
          <w:lang w:eastAsia="zh-CN" w:bidi="hi-IN"/>
        </w:rPr>
        <w:t>Acceptance of Validated Framework</w:t>
      </w:r>
      <w:bookmarkEnd w:id="913"/>
    </w:p>
    <w:p w14:paraId="46BFE41C" w14:textId="7456657A" w:rsidR="004F314F" w:rsidRPr="00400193" w:rsidRDefault="00CA3222" w:rsidP="004F314F">
      <w:pPr>
        <w:rPr>
          <w:lang w:eastAsia="zh-CN"/>
        </w:rPr>
      </w:pPr>
      <w:r w:rsidRPr="00400193">
        <w:rPr>
          <w:lang w:eastAsia="zh-CN"/>
        </w:rPr>
        <w:t xml:space="preserve">To ensure the research finding validity and the cohesiveness of the study variables, a validation of the results conducted by contacting eight managers of study participants from eight public sector organisations of the study population. The selected participants for the study validation were chosen using the following criteria: managerial level, with in the study population sample, and with prior experiences of the cyber security. However, the number who were willing to participate after sending an email invitation for a virtual meeting via video call tool named “Microsoft Teams”, where only 5 out of the 8 targeted public sector organizations. Only 3 out of 8 participants </w:t>
      </w:r>
      <w:r w:rsidR="004F314F" w:rsidRPr="00400193">
        <w:rPr>
          <w:lang w:eastAsia="zh-CN"/>
        </w:rPr>
        <w:t>did not</w:t>
      </w:r>
      <w:r w:rsidRPr="00400193">
        <w:rPr>
          <w:lang w:eastAsia="zh-CN"/>
        </w:rPr>
        <w:t xml:space="preserve"> reply to the researcher email even though a follow-up emails were </w:t>
      </w:r>
      <w:r w:rsidRPr="00400193">
        <w:rPr>
          <w:lang w:eastAsia="zh-CN"/>
        </w:rPr>
        <w:lastRenderedPageBreak/>
        <w:t xml:space="preserve">sent after 1 week to them. Therefore, the researcher has commenced the study validation with only 5 participants via Microsoft Teams video call. The researcher has started the call by thanking all the participants for their time and contribution of the study, and initiated the meeting by providing a short brief of the study validation concept and the purpose of it. Further, the researcher asked the permission to present them the study results, up one finishing the </w:t>
      </w:r>
      <w:r w:rsidR="004F314F" w:rsidRPr="00400193">
        <w:rPr>
          <w:lang w:eastAsia="zh-CN"/>
        </w:rPr>
        <w:t>presentation;</w:t>
      </w:r>
      <w:r w:rsidRPr="00400193">
        <w:rPr>
          <w:lang w:eastAsia="zh-CN"/>
        </w:rPr>
        <w:t xml:space="preserve"> he asked the participants their feedback in an open discussion style. Based on </w:t>
      </w:r>
      <w:r w:rsidR="004F314F" w:rsidRPr="00400193">
        <w:rPr>
          <w:lang w:eastAsia="zh-CN"/>
        </w:rPr>
        <w:t>those discussions</w:t>
      </w:r>
      <w:r w:rsidRPr="00400193">
        <w:rPr>
          <w:lang w:eastAsia="zh-CN"/>
        </w:rPr>
        <w:t xml:space="preserve"> the </w:t>
      </w:r>
      <w:r w:rsidR="004F314F" w:rsidRPr="00400193">
        <w:rPr>
          <w:lang w:eastAsia="zh-CN"/>
        </w:rPr>
        <w:t>following interpretation concluded.</w:t>
      </w:r>
    </w:p>
    <w:p w14:paraId="67A5AD25" w14:textId="70EEC8D3" w:rsidR="006B5736" w:rsidRPr="00400193" w:rsidRDefault="00025126" w:rsidP="004F314F">
      <w:pPr>
        <w:rPr>
          <w:lang w:eastAsia="zh-CN" w:bidi="hi-IN"/>
        </w:rPr>
      </w:pPr>
      <w:r w:rsidRPr="00400193">
        <w:rPr>
          <w:lang w:eastAsia="zh-CN" w:bidi="hi-IN"/>
        </w:rPr>
        <w:t xml:space="preserve">It could be argued that the most important part of testing and validation is the acceptance of the new framework by entities in the UAE public sector. It cannot be claimed that the new conceptual framework has been instantly accepted, across the board, by every public sector institution in the UAE. However, </w:t>
      </w:r>
      <w:r w:rsidR="004F314F" w:rsidRPr="00400193">
        <w:rPr>
          <w:lang w:eastAsia="zh-CN" w:bidi="hi-IN"/>
        </w:rPr>
        <w:t>the participants in the study validation</w:t>
      </w:r>
      <w:r w:rsidRPr="00400193">
        <w:rPr>
          <w:lang w:eastAsia="zh-CN" w:bidi="hi-IN"/>
        </w:rPr>
        <w:t xml:space="preserve"> </w:t>
      </w:r>
      <w:r w:rsidR="004F314F" w:rsidRPr="00400193">
        <w:rPr>
          <w:lang w:eastAsia="zh-CN" w:bidi="hi-IN"/>
        </w:rPr>
        <w:t>have</w:t>
      </w:r>
      <w:r w:rsidRPr="00400193">
        <w:rPr>
          <w:lang w:eastAsia="zh-CN" w:bidi="hi-IN"/>
        </w:rPr>
        <w:t xml:space="preserve"> been enthusiastic in their reception of it. None of the </w:t>
      </w:r>
      <w:r w:rsidR="004F314F" w:rsidRPr="00400193">
        <w:rPr>
          <w:lang w:eastAsia="zh-CN" w:bidi="hi-IN"/>
        </w:rPr>
        <w:t xml:space="preserve">participants </w:t>
      </w:r>
      <w:r w:rsidRPr="00400193">
        <w:rPr>
          <w:lang w:eastAsia="zh-CN" w:bidi="hi-IN"/>
        </w:rPr>
        <w:t>expressed any doubts or raised any queries.</w:t>
      </w:r>
      <w:r w:rsidR="004F314F" w:rsidRPr="00400193">
        <w:rPr>
          <w:lang w:eastAsia="zh-CN" w:bidi="hi-IN"/>
        </w:rPr>
        <w:t xml:space="preserve"> </w:t>
      </w:r>
      <w:r w:rsidR="006B5736" w:rsidRPr="00400193">
        <w:rPr>
          <w:lang w:eastAsia="zh-CN" w:bidi="hi-IN"/>
        </w:rPr>
        <w:t xml:space="preserve">This positive attitude suggests that when the completed framework is published and disseminated among UAE public sector entities, the </w:t>
      </w:r>
      <w:r w:rsidR="004F314F" w:rsidRPr="00400193">
        <w:rPr>
          <w:lang w:eastAsia="zh-CN" w:bidi="hi-IN"/>
        </w:rPr>
        <w:t>participants</w:t>
      </w:r>
      <w:r w:rsidR="006B5736" w:rsidRPr="00400193">
        <w:rPr>
          <w:lang w:eastAsia="zh-CN" w:bidi="hi-IN"/>
        </w:rPr>
        <w:t xml:space="preserve"> will recommend immediate implementation of the framework, and, by doing so will begin to improve the cyber-resilience of the public sector and the nation’s CI. This implies full acceptance of the new framework, and the lack of criticism from the professional cyber-security officers also adds to the perceived validity of the framework. Offering the framework for their opinion was, effectively, the final step in validating the concept. The ‘test’ was passed, so the framework can be considered validated and useable.</w:t>
      </w:r>
    </w:p>
    <w:p w14:paraId="2E0CBE0D" w14:textId="77777777" w:rsidR="006E3616" w:rsidRPr="00400193" w:rsidRDefault="006E3616" w:rsidP="006E3616">
      <w:pPr>
        <w:pStyle w:val="Heading2"/>
        <w:rPr>
          <w:rFonts w:eastAsia="Arial"/>
          <w:lang w:eastAsia="zh-CN" w:bidi="hi-IN"/>
        </w:rPr>
      </w:pPr>
      <w:bookmarkStart w:id="914" w:name="_1xrdshw"/>
      <w:bookmarkStart w:id="915" w:name="_4hr1b5p"/>
      <w:bookmarkStart w:id="916" w:name="_Toc61894836"/>
      <w:bookmarkEnd w:id="914"/>
      <w:bookmarkEnd w:id="915"/>
      <w:r w:rsidRPr="00400193">
        <w:rPr>
          <w:rFonts w:eastAsia="Arial"/>
          <w:lang w:eastAsia="zh-CN" w:bidi="hi-IN"/>
        </w:rPr>
        <w:t>Summary</w:t>
      </w:r>
      <w:bookmarkEnd w:id="916"/>
    </w:p>
    <w:p w14:paraId="39E3D3FC" w14:textId="226EF88B" w:rsidR="006E3616" w:rsidRPr="00400193" w:rsidRDefault="006E3616" w:rsidP="006E3616">
      <w:pPr>
        <w:suppressAutoHyphens/>
        <w:rPr>
          <w:szCs w:val="24"/>
          <w:lang w:eastAsia="zh-CN" w:bidi="hi-IN"/>
        </w:rPr>
      </w:pPr>
      <w:bookmarkStart w:id="917" w:name="_2wwbldi"/>
      <w:bookmarkEnd w:id="917"/>
      <w:r w:rsidRPr="00400193">
        <w:rPr>
          <w:szCs w:val="24"/>
          <w:lang w:eastAsia="zh-CN" w:bidi="hi-IN"/>
        </w:rPr>
        <w:t xml:space="preserve">This chapter has discussed the findings and data analysis, starting with an overview of the purpose of the research. It considered the associations between the variables before moving on to discuss the regression analysis, and particularly examining the effect of each variable on vulnerabilities and weakness. It also looked at organisational resilience as a moderator of the effects. There was a clear correlation between the variables and the findings were also consistent with previous literature. This suggests that the proposed framework is workable and can act as the basis of the country’s new resilience and response code. The next chapter will give the </w:t>
      </w:r>
      <w:r w:rsidR="003B3117" w:rsidRPr="00400193">
        <w:rPr>
          <w:szCs w:val="24"/>
          <w:lang w:eastAsia="zh-CN" w:bidi="hi-IN"/>
        </w:rPr>
        <w:t>conclusions</w:t>
      </w:r>
      <w:r w:rsidRPr="00400193">
        <w:rPr>
          <w:szCs w:val="24"/>
          <w:lang w:eastAsia="zh-CN" w:bidi="hi-IN"/>
        </w:rPr>
        <w:t xml:space="preserve"> and recommendations of the research.</w:t>
      </w:r>
    </w:p>
    <w:p w14:paraId="14D30BDD" w14:textId="434E86DD" w:rsidR="006E3616" w:rsidRPr="00400193" w:rsidRDefault="006E3616" w:rsidP="00BC5829">
      <w:pPr>
        <w:pStyle w:val="Heading1"/>
        <w:ind w:left="0"/>
        <w:rPr>
          <w:rFonts w:eastAsia="Arial"/>
          <w:lang w:eastAsia="zh-CN" w:bidi="hi-IN"/>
        </w:rPr>
      </w:pPr>
      <w:bookmarkStart w:id="918" w:name="_1c1lvlb"/>
      <w:bookmarkStart w:id="919" w:name="_3w19e94"/>
      <w:bookmarkStart w:id="920" w:name="_Toc61894837"/>
      <w:bookmarkEnd w:id="884"/>
      <w:bookmarkEnd w:id="918"/>
      <w:bookmarkEnd w:id="919"/>
      <w:r w:rsidRPr="00400193">
        <w:rPr>
          <w:rFonts w:eastAsia="Arial"/>
          <w:lang w:eastAsia="zh-CN" w:bidi="hi-IN"/>
        </w:rPr>
        <w:lastRenderedPageBreak/>
        <w:t>Conclusion and Recommendations</w:t>
      </w:r>
      <w:bookmarkEnd w:id="920"/>
    </w:p>
    <w:p w14:paraId="013440F5" w14:textId="21F7A928" w:rsidR="00B43664" w:rsidRPr="00400193" w:rsidRDefault="00B43664" w:rsidP="00B43664">
      <w:pPr>
        <w:pStyle w:val="Heading2"/>
        <w:rPr>
          <w:rFonts w:eastAsia="Arial"/>
          <w:lang w:eastAsia="zh-CN" w:bidi="hi-IN"/>
        </w:rPr>
      </w:pPr>
      <w:bookmarkStart w:id="921" w:name="_Toc61894838"/>
      <w:r w:rsidRPr="00400193">
        <w:rPr>
          <w:rFonts w:eastAsia="Arial"/>
          <w:lang w:eastAsia="zh-CN" w:bidi="hi-IN"/>
        </w:rPr>
        <w:t>Introduction</w:t>
      </w:r>
      <w:bookmarkEnd w:id="921"/>
    </w:p>
    <w:p w14:paraId="4CAC9E6A" w14:textId="6F2086FC" w:rsidR="00B43664" w:rsidRPr="00400193" w:rsidRDefault="00B43664" w:rsidP="00B43664">
      <w:pPr>
        <w:suppressAutoHyphens/>
        <w:rPr>
          <w:szCs w:val="24"/>
          <w:lang w:eastAsia="zh-CN" w:bidi="hi-IN"/>
        </w:rPr>
      </w:pPr>
      <w:r w:rsidRPr="00400193">
        <w:rPr>
          <w:szCs w:val="24"/>
          <w:lang w:eastAsia="zh-CN" w:bidi="hi-IN"/>
        </w:rPr>
        <w:t>This chapter sets out the study’s main conclusions, revisiting the research questions. It also includes a consolidated list of the key implications of the research, together with a critique of the robustness of the methodology and methods used and the study’s contribution. The chapter also outlines the contributions of the research – to theory, practice, and methodology. These contributions are considered in depth before finally, it considers the research limitations as opportunities for future or further research.</w:t>
      </w:r>
    </w:p>
    <w:p w14:paraId="4DE756ED" w14:textId="53E0A1C7" w:rsidR="00852149" w:rsidRPr="00400193" w:rsidRDefault="00852149" w:rsidP="00852149">
      <w:pPr>
        <w:pStyle w:val="Heading2"/>
        <w:rPr>
          <w:lang w:eastAsia="zh-CN" w:bidi="hi-IN"/>
        </w:rPr>
      </w:pPr>
      <w:bookmarkStart w:id="922" w:name="_Toc61894839"/>
      <w:r w:rsidRPr="00400193">
        <w:rPr>
          <w:lang w:eastAsia="zh-CN" w:bidi="hi-IN"/>
        </w:rPr>
        <w:t>An Overview of the Research</w:t>
      </w:r>
      <w:bookmarkEnd w:id="922"/>
    </w:p>
    <w:p w14:paraId="35211F2D" w14:textId="3C1FDB9D" w:rsidR="00852149" w:rsidRPr="00400193" w:rsidRDefault="00852149" w:rsidP="00852149">
      <w:pPr>
        <w:rPr>
          <w:lang w:eastAsia="zh-CN" w:bidi="hi-IN"/>
        </w:rPr>
      </w:pPr>
      <w:r w:rsidRPr="00400193">
        <w:rPr>
          <w:lang w:eastAsia="zh-CN" w:bidi="hi-IN"/>
        </w:rPr>
        <w:t>The research considered the fact that the public sector and critical infrastructure in the UAE needed to be cyber-resilient, but that there was no existing framework in place to measure the present state of resilience. In addition to measuring organisational resilience (ORe), the proposed new framework would also permit public sector managers to improve both cyber-resilience and -security. Thus, after a thorough review of the extant literature on the issues, a new conceptual framework was outlined that would make these aims possible.</w:t>
      </w:r>
      <w:r w:rsidR="00E01F0A" w:rsidRPr="00400193">
        <w:rPr>
          <w:lang w:eastAsia="zh-CN" w:bidi="hi-IN"/>
        </w:rPr>
        <w:t xml:space="preserve"> </w:t>
      </w:r>
    </w:p>
    <w:p w14:paraId="2D38ED54" w14:textId="4DE97FB8" w:rsidR="00E01F0A" w:rsidRPr="00400193" w:rsidRDefault="00E01F0A" w:rsidP="00852149">
      <w:pPr>
        <w:rPr>
          <w:lang w:eastAsia="zh-CN" w:bidi="hi-IN"/>
        </w:rPr>
      </w:pPr>
      <w:r w:rsidRPr="00400193">
        <w:rPr>
          <w:lang w:eastAsia="zh-CN" w:bidi="hi-IN"/>
        </w:rPr>
        <w:t>Data were collected from people working with computers in the UAE public sector. The data analysis identified areas of concern but was broadly in line with the literature. The collected data also confirmed that the new framework would enable an estimate of the existing level of ORe and also incorporate strategies to update cyber-security regularly. Another of the built-in strategies is the sharing of data about cyber-risks and -attacks, as this enables other institutions to take preventative steps and become more resilient. Finally, the new framework was tested and validated, comparing the situation in the UAE before its implementation with the situation after. The cyber-security officers (CSOs) who were consulted expressed no doubts regarding the framework and were happy to apply it.</w:t>
      </w:r>
    </w:p>
    <w:p w14:paraId="123C86CE" w14:textId="77777777" w:rsidR="007F07DA" w:rsidRPr="00400193" w:rsidRDefault="007F07DA" w:rsidP="007F07DA">
      <w:pPr>
        <w:pStyle w:val="Heading2"/>
        <w:rPr>
          <w:rFonts w:eastAsia="Arial"/>
          <w:lang w:eastAsia="zh-CN" w:bidi="hi-IN"/>
        </w:rPr>
      </w:pPr>
      <w:bookmarkStart w:id="923" w:name="_Toc61894840"/>
      <w:r w:rsidRPr="00400193">
        <w:rPr>
          <w:rFonts w:eastAsia="Arial"/>
          <w:lang w:eastAsia="zh-CN" w:bidi="hi-IN"/>
        </w:rPr>
        <w:t>The Accomplishment of the Research Objectives</w:t>
      </w:r>
      <w:bookmarkEnd w:id="923"/>
    </w:p>
    <w:p w14:paraId="370C42DC" w14:textId="4E38AF6E" w:rsidR="007F07DA" w:rsidRPr="00400193" w:rsidRDefault="007F07DA" w:rsidP="007F07DA">
      <w:pPr>
        <w:suppressAutoHyphens/>
        <w:rPr>
          <w:szCs w:val="24"/>
          <w:lang w:eastAsia="zh-CN" w:bidi="hi-IN"/>
        </w:rPr>
      </w:pPr>
      <w:r w:rsidRPr="00400193">
        <w:rPr>
          <w:szCs w:val="24"/>
          <w:lang w:eastAsia="zh-CN" w:bidi="hi-IN"/>
        </w:rPr>
        <w:t xml:space="preserve">The UAE government is actively trying to attract e-commerce companies and expand the cyber-economy of the country </w:t>
      </w:r>
      <w:sdt>
        <w:sdtPr>
          <w:rPr>
            <w:szCs w:val="24"/>
            <w:lang w:eastAsia="zh-CN" w:bidi="hi-IN"/>
          </w:rPr>
          <w:id w:val="-384487580"/>
          <w:citation/>
        </w:sdtPr>
        <w:sdtEndPr/>
        <w:sdtContent>
          <w:r w:rsidRPr="00400193">
            <w:rPr>
              <w:szCs w:val="24"/>
              <w:lang w:eastAsia="zh-CN" w:bidi="hi-IN"/>
            </w:rPr>
            <w:fldChar w:fldCharType="begin"/>
          </w:r>
          <w:r w:rsidR="00AF403A" w:rsidRPr="00400193">
            <w:rPr>
              <w:szCs w:val="24"/>
              <w:lang w:eastAsia="zh-CN" w:bidi="hi-IN"/>
            </w:rPr>
            <w:instrText xml:space="preserve">CITATION UAE20 \l 2057 </w:instrText>
          </w:r>
          <w:r w:rsidRPr="00400193">
            <w:rPr>
              <w:szCs w:val="24"/>
              <w:lang w:eastAsia="zh-CN" w:bidi="hi-IN"/>
            </w:rPr>
            <w:fldChar w:fldCharType="separate"/>
          </w:r>
          <w:r w:rsidR="00AF403A" w:rsidRPr="00400193">
            <w:rPr>
              <w:szCs w:val="24"/>
              <w:lang w:eastAsia="zh-CN" w:bidi="hi-IN"/>
            </w:rPr>
            <w:t>(UAE Government, 2020a)</w:t>
          </w:r>
          <w:r w:rsidRPr="00400193">
            <w:rPr>
              <w:szCs w:val="24"/>
              <w:lang w:eastAsia="zh-CN" w:bidi="hi-IN"/>
            </w:rPr>
            <w:fldChar w:fldCharType="end"/>
          </w:r>
        </w:sdtContent>
      </w:sdt>
      <w:r w:rsidRPr="00400193">
        <w:rPr>
          <w:szCs w:val="24"/>
          <w:lang w:eastAsia="zh-CN" w:bidi="hi-IN"/>
        </w:rPr>
        <w:t>. There is therefore a perceived need for public sector organisations to set an example in terms of cyber-</w:t>
      </w:r>
      <w:r w:rsidRPr="00400193">
        <w:rPr>
          <w:szCs w:val="24"/>
          <w:lang w:eastAsia="zh-CN" w:bidi="hi-IN"/>
        </w:rPr>
        <w:lastRenderedPageBreak/>
        <w:t>awareness, -protection, and -resilience. This study set out to provide a framework that would support this aim. The objectives of the research, and the achievement of each, are set out in the next few subsections.</w:t>
      </w:r>
    </w:p>
    <w:p w14:paraId="6C6DCA56" w14:textId="09B47CEF" w:rsidR="007F07DA" w:rsidRPr="00400193" w:rsidRDefault="007F07DA" w:rsidP="007F07DA">
      <w:pPr>
        <w:pStyle w:val="Heading3"/>
        <w:rPr>
          <w:rFonts w:eastAsia="Arial"/>
          <w:lang w:eastAsia="zh-CN" w:bidi="hi-IN"/>
        </w:rPr>
      </w:pPr>
      <w:bookmarkStart w:id="924" w:name="_3abhhcj"/>
      <w:bookmarkStart w:id="925" w:name="_Toc61894841"/>
      <w:bookmarkEnd w:id="924"/>
      <w:r w:rsidRPr="00400193">
        <w:rPr>
          <w:rFonts w:eastAsia="Arial"/>
          <w:lang w:eastAsia="zh-CN" w:bidi="hi-IN"/>
        </w:rPr>
        <w:t>To Identify Emerging Cyber-Risks</w:t>
      </w:r>
      <w:r w:rsidRPr="00400193">
        <w:t xml:space="preserve"> </w:t>
      </w:r>
      <w:r w:rsidRPr="00400193">
        <w:rPr>
          <w:rFonts w:eastAsia="Arial"/>
          <w:lang w:eastAsia="zh-CN" w:bidi="hi-IN"/>
        </w:rPr>
        <w:t>and Examine the Association Between Cyber-Risk Awareness and Resilience.</w:t>
      </w:r>
      <w:bookmarkEnd w:id="925"/>
    </w:p>
    <w:p w14:paraId="7E15C209" w14:textId="77777777" w:rsidR="007F07DA" w:rsidRPr="00400193" w:rsidRDefault="007F07DA" w:rsidP="007F07DA">
      <w:pPr>
        <w:suppressAutoHyphens/>
        <w:rPr>
          <w:szCs w:val="24"/>
          <w:lang w:eastAsia="zh-CN" w:bidi="hi-IN"/>
        </w:rPr>
      </w:pPr>
      <w:r w:rsidRPr="00400193">
        <w:rPr>
          <w:szCs w:val="24"/>
          <w:lang w:eastAsia="zh-CN" w:bidi="hi-IN"/>
        </w:rPr>
        <w:t xml:space="preserve">There are many emerging cyber-risks, particularly with respect to devices connected via the IoT. These are vulnerable to attack (Hypponen and Nyman, 2017) and many people are unaware of how dangerous they could be for security (Howard, Prince, and Schneier, 2011). This leads to the conclusion that cyber-risk awareness is the main priority for resilience. </w:t>
      </w:r>
    </w:p>
    <w:p w14:paraId="4AF82BF8" w14:textId="55B045CE" w:rsidR="007F07DA" w:rsidRPr="00400193" w:rsidRDefault="007F07DA" w:rsidP="007F07DA">
      <w:pPr>
        <w:suppressAutoHyphens/>
        <w:rPr>
          <w:szCs w:val="24"/>
          <w:lang w:eastAsia="zh-CN" w:bidi="hi-IN"/>
        </w:rPr>
      </w:pPr>
      <w:r w:rsidRPr="00400193">
        <w:rPr>
          <w:szCs w:val="24"/>
          <w:lang w:eastAsia="zh-CN" w:bidi="hi-IN"/>
        </w:rPr>
        <w:t>The analysis of the data</w:t>
      </w:r>
      <w:r w:rsidR="00A32284" w:rsidRPr="00400193">
        <w:rPr>
          <w:szCs w:val="24"/>
          <w:lang w:eastAsia="zh-CN" w:bidi="hi-IN"/>
        </w:rPr>
        <w:t xml:space="preserve"> looked for an association between ‘vulnerabilities and weaknesses’ (VW) and ORe. The questionnaire also asked questions which allowed the level of cyber-risk awareness to be estimated, and thus the link was clear. From this, the conclusion  from the literature that cyber-risk awareness is a priority is accepted, because t</w:t>
      </w:r>
      <w:r w:rsidRPr="00400193">
        <w:rPr>
          <w:szCs w:val="24"/>
          <w:lang w:eastAsia="zh-CN" w:bidi="hi-IN"/>
        </w:rPr>
        <w:t>he data collected from the UAE public sector employees agreed with this approach.</w:t>
      </w:r>
    </w:p>
    <w:p w14:paraId="2DBBA422" w14:textId="77777777" w:rsidR="007F07DA" w:rsidRPr="00400193" w:rsidRDefault="007F07DA" w:rsidP="007F07DA">
      <w:pPr>
        <w:pStyle w:val="Heading3"/>
        <w:rPr>
          <w:rFonts w:eastAsia="Arial"/>
          <w:lang w:eastAsia="zh-CN" w:bidi="hi-IN"/>
        </w:rPr>
      </w:pPr>
      <w:bookmarkStart w:id="926" w:name="_13qzunr"/>
      <w:bookmarkStart w:id="927" w:name="_Toc61894842"/>
      <w:bookmarkEnd w:id="926"/>
      <w:r w:rsidRPr="00400193">
        <w:rPr>
          <w:rFonts w:eastAsia="Arial"/>
          <w:lang w:eastAsia="zh-CN" w:bidi="hi-IN"/>
        </w:rPr>
        <w:t>To Create a Conceptual Framework for Assessing Resilience to Cyber-Risks</w:t>
      </w:r>
      <w:bookmarkEnd w:id="927"/>
    </w:p>
    <w:p w14:paraId="12947A6E" w14:textId="77777777" w:rsidR="007F07DA" w:rsidRPr="00400193" w:rsidRDefault="007F07DA" w:rsidP="007F07DA">
      <w:pPr>
        <w:suppressAutoHyphens/>
        <w:rPr>
          <w:szCs w:val="24"/>
          <w:lang w:eastAsia="zh-CN" w:bidi="hi-IN"/>
        </w:rPr>
      </w:pPr>
      <w:r w:rsidRPr="00400193">
        <w:rPr>
          <w:szCs w:val="24"/>
          <w:lang w:eastAsia="zh-CN" w:bidi="hi-IN"/>
        </w:rPr>
        <w:t>Responsibility and awareness both lead to a risk-aware culture throughout the organisation (Ahmed and Zhang, 2010). This, in turn, improves resilience and reduces weaknesses and vulnerabilities. The framework, when fully applied, should encourage both responsibility and awareness, and will therefore contribute to an organisation-wide culture of cyber-risk awareness.</w:t>
      </w:r>
    </w:p>
    <w:p w14:paraId="1B5E1B3B" w14:textId="77777777" w:rsidR="00595B09" w:rsidRPr="00400193" w:rsidRDefault="00595B09" w:rsidP="00595B09">
      <w:pPr>
        <w:pStyle w:val="Heading3"/>
        <w:rPr>
          <w:lang w:eastAsia="zh-CN" w:bidi="hi-IN"/>
        </w:rPr>
      </w:pPr>
      <w:bookmarkStart w:id="928" w:name="_320vgez"/>
      <w:bookmarkStart w:id="929" w:name="_Toc61894843"/>
      <w:bookmarkEnd w:id="928"/>
      <w:r w:rsidRPr="00400193">
        <w:rPr>
          <w:lang w:val="en-US"/>
        </w:rPr>
        <w:t>To examine the relationship between Organizational Vulnerability and Weaknesses, and the External/ Internal Cyber-Threats, and the moderating effect of resilience and response of the organization.</w:t>
      </w:r>
      <w:bookmarkEnd w:id="929"/>
    </w:p>
    <w:p w14:paraId="6DED38D1" w14:textId="229C012C" w:rsidR="00DB3173" w:rsidRPr="00400193" w:rsidRDefault="007F07DA" w:rsidP="00303769">
      <w:pPr>
        <w:rPr>
          <w:szCs w:val="24"/>
          <w:lang w:eastAsia="zh-CN" w:bidi="hi-IN"/>
        </w:rPr>
      </w:pPr>
      <w:r w:rsidRPr="00400193">
        <w:rPr>
          <w:szCs w:val="24"/>
          <w:lang w:eastAsia="zh-CN" w:bidi="hi-IN"/>
        </w:rPr>
        <w:t>This study has worked on the underlying principle that cyber-risk is continually evolving, developing, and changing.</w:t>
      </w:r>
      <w:r w:rsidR="00595B09" w:rsidRPr="00400193">
        <w:rPr>
          <w:szCs w:val="24"/>
          <w:lang w:eastAsia="zh-CN" w:bidi="hi-IN"/>
        </w:rPr>
        <w:t xml:space="preserve"> </w:t>
      </w:r>
      <w:r w:rsidR="00DB3173" w:rsidRPr="00400193">
        <w:rPr>
          <w:szCs w:val="24"/>
          <w:lang w:eastAsia="zh-CN" w:bidi="hi-IN"/>
        </w:rPr>
        <w:t xml:space="preserve">The association was achieved through the data analysis. It was also checked in the reverse direction using regression analysis: increasing internal or external risks increases weaknesses and vulnerabilities, having an adverse effect on resilience unless action is taken to reduce one of the factors. Although increasing resilience cannot be expected to reduce external threats, it is </w:t>
      </w:r>
      <w:r w:rsidR="00DB3173" w:rsidRPr="00400193">
        <w:rPr>
          <w:szCs w:val="24"/>
          <w:lang w:eastAsia="zh-CN" w:bidi="hi-IN"/>
        </w:rPr>
        <w:lastRenderedPageBreak/>
        <w:t>possible that it may decrease weaknesses and vulnerabilities or affect the relationship between internal threats and vulnerabilities.</w:t>
      </w:r>
    </w:p>
    <w:p w14:paraId="25528011" w14:textId="1982E4B4" w:rsidR="00DB3173" w:rsidRPr="00400193" w:rsidRDefault="00DB3173" w:rsidP="00DB3173">
      <w:pPr>
        <w:suppressAutoHyphens/>
        <w:rPr>
          <w:szCs w:val="24"/>
          <w:lang w:eastAsia="zh-CN" w:bidi="hi-IN"/>
        </w:rPr>
      </w:pPr>
      <w:r w:rsidRPr="00400193">
        <w:rPr>
          <w:szCs w:val="24"/>
          <w:lang w:eastAsia="zh-CN" w:bidi="hi-IN"/>
        </w:rPr>
        <w:t>Response in place (RP), cyber-risk, and resilience were next. Each of these was examined with respect to its moderating effect, but an association between them was found in the literature (</w:t>
      </w:r>
      <w:r w:rsidRPr="00400193">
        <w:rPr>
          <w:i/>
          <w:iCs/>
          <w:szCs w:val="24"/>
          <w:lang w:eastAsia="zh-CN" w:bidi="hi-IN"/>
        </w:rPr>
        <w:t>e.g.</w:t>
      </w:r>
      <w:r w:rsidRPr="00400193">
        <w:rPr>
          <w:szCs w:val="24"/>
          <w:lang w:eastAsia="zh-CN" w:bidi="hi-IN"/>
        </w:rPr>
        <w:t xml:space="preserve"> Ayyub </w:t>
      </w:r>
      <w:r w:rsidR="00DA454C" w:rsidRPr="00400193">
        <w:rPr>
          <w:szCs w:val="24"/>
          <w:lang w:eastAsia="zh-CN" w:bidi="hi-IN"/>
        </w:rPr>
        <w:t>(2014)</w:t>
      </w:r>
      <w:r w:rsidRPr="00400193">
        <w:rPr>
          <w:szCs w:val="24"/>
          <w:lang w:eastAsia="zh-CN" w:bidi="hi-IN"/>
        </w:rPr>
        <w:t xml:space="preserve">, Haimes </w:t>
      </w:r>
      <w:r w:rsidR="00DA454C" w:rsidRPr="00400193">
        <w:rPr>
          <w:szCs w:val="24"/>
          <w:lang w:eastAsia="zh-CN" w:bidi="hi-IN"/>
        </w:rPr>
        <w:t>(2009)</w:t>
      </w:r>
      <w:r w:rsidRPr="00400193">
        <w:rPr>
          <w:szCs w:val="24"/>
          <w:lang w:eastAsia="zh-CN" w:bidi="hi-IN"/>
        </w:rPr>
        <w:t>, and Hollnagel et al</w:t>
      </w:r>
      <w:r w:rsidRPr="00400193">
        <w:rPr>
          <w:i/>
          <w:iCs/>
          <w:szCs w:val="24"/>
          <w:lang w:eastAsia="zh-CN" w:bidi="hi-IN"/>
        </w:rPr>
        <w:t>.</w:t>
      </w:r>
      <w:r w:rsidRPr="00400193">
        <w:rPr>
          <w:szCs w:val="24"/>
          <w:lang w:eastAsia="zh-CN" w:bidi="hi-IN"/>
        </w:rPr>
        <w:t xml:space="preserve"> </w:t>
      </w:r>
      <w:r w:rsidR="00DA454C" w:rsidRPr="00400193">
        <w:rPr>
          <w:szCs w:val="24"/>
          <w:lang w:eastAsia="zh-CN" w:bidi="hi-IN"/>
        </w:rPr>
        <w:t>(2006)</w:t>
      </w:r>
      <w:r w:rsidRPr="00400193">
        <w:rPr>
          <w:szCs w:val="24"/>
          <w:lang w:eastAsia="zh-CN" w:bidi="hi-IN"/>
        </w:rPr>
        <w:t xml:space="preserve">). Cyber-risk awareness is considered a key factor in increasing resilience </w:t>
      </w:r>
      <w:r w:rsidR="00DA454C" w:rsidRPr="00400193">
        <w:rPr>
          <w:szCs w:val="24"/>
          <w:lang w:eastAsia="zh-CN" w:bidi="hi-IN"/>
        </w:rPr>
        <w:t>(Korpela, 2015)</w:t>
      </w:r>
      <w:r w:rsidRPr="00400193">
        <w:rPr>
          <w:szCs w:val="24"/>
          <w:lang w:eastAsia="zh-CN" w:bidi="hi-IN"/>
        </w:rPr>
        <w:t>. Different values have different risk factors (Laube and Böhme, 2017) . Thus, public sector and private sector figures may be different, and the cyber-risks examined are as viewed by the public sector. However, there was a clear correlation between these factors. The level of response in place was positively associated with the level of weaknesses and vulnerabilities.</w:t>
      </w:r>
    </w:p>
    <w:p w14:paraId="05E42584" w14:textId="417644C7" w:rsidR="007F07DA" w:rsidRPr="00400193" w:rsidRDefault="007F07DA" w:rsidP="0014131E">
      <w:pPr>
        <w:rPr>
          <w:szCs w:val="24"/>
          <w:lang w:eastAsia="zh-CN" w:bidi="hi-IN"/>
        </w:rPr>
      </w:pPr>
      <w:r w:rsidRPr="00400193">
        <w:rPr>
          <w:szCs w:val="24"/>
          <w:lang w:eastAsia="zh-CN" w:bidi="hi-IN"/>
        </w:rPr>
        <w:t xml:space="preserve">The UAE is expanding its digital economy rapidly, but this will only be of long-term benefit if the critical infrastructure on which it depends is safe, reliable, and resilient. To attract businesses, it is also necessary to ensure that the critical infrastructure is demonstrably safe, reliable, and resilient. The framework does not, </w:t>
      </w:r>
      <w:r w:rsidRPr="00400193">
        <w:rPr>
          <w:i/>
          <w:szCs w:val="24"/>
          <w:lang w:eastAsia="zh-CN" w:bidi="hi-IN"/>
        </w:rPr>
        <w:t>per se</w:t>
      </w:r>
      <w:r w:rsidRPr="00400193">
        <w:rPr>
          <w:szCs w:val="24"/>
          <w:lang w:eastAsia="zh-CN" w:bidi="hi-IN"/>
        </w:rPr>
        <w:t>, do this, because it is not a mechanism for public proof. However, it does permit managers in the UAE public sector to demonstrate that they have procedures in place to protect critical infrastructure. Once measurably improved resilience is added, the third objective is achieved.</w:t>
      </w:r>
    </w:p>
    <w:p w14:paraId="77EA6564" w14:textId="77777777" w:rsidR="00DF5E56" w:rsidRPr="00400193" w:rsidRDefault="00DF5E56" w:rsidP="00DB3173">
      <w:pPr>
        <w:pStyle w:val="Heading3"/>
        <w:rPr>
          <w:rFonts w:eastAsia="Arial"/>
          <w:lang w:eastAsia="zh-CN" w:bidi="hi-IN"/>
        </w:rPr>
      </w:pPr>
      <w:bookmarkStart w:id="930" w:name="_p17ts0o1imv5"/>
      <w:bookmarkStart w:id="931" w:name="_wmg59atmv8xa"/>
      <w:bookmarkStart w:id="932" w:name="_webw2ewxb089"/>
      <w:bookmarkStart w:id="933" w:name="_Toc61894844"/>
      <w:bookmarkEnd w:id="930"/>
      <w:bookmarkEnd w:id="931"/>
      <w:bookmarkEnd w:id="932"/>
      <w:r w:rsidRPr="00400193">
        <w:rPr>
          <w:rFonts w:eastAsia="Arial"/>
          <w:lang w:eastAsia="zh-CN" w:bidi="hi-IN"/>
        </w:rPr>
        <w:t>To report the findings and conclusions in an understandable format.</w:t>
      </w:r>
      <w:bookmarkEnd w:id="933"/>
    </w:p>
    <w:p w14:paraId="48D666C6" w14:textId="77777777" w:rsidR="007F07DA" w:rsidRPr="00400193" w:rsidRDefault="007F07DA" w:rsidP="007F07DA">
      <w:pPr>
        <w:suppressAutoHyphens/>
        <w:rPr>
          <w:szCs w:val="24"/>
          <w:lang w:eastAsia="zh-CN" w:bidi="hi-IN"/>
        </w:rPr>
      </w:pPr>
      <w:bookmarkStart w:id="934" w:name="_415t9al"/>
      <w:bookmarkEnd w:id="934"/>
      <w:r w:rsidRPr="00400193">
        <w:rPr>
          <w:szCs w:val="24"/>
          <w:lang w:eastAsia="zh-CN" w:bidi="hi-IN"/>
        </w:rPr>
        <w:t>The findings from the literature review and the analysis of the data have been developed into an applicable framework and set out full in this thesis. The data analysis (Chapter Five) and the discussion (Chapter Six) showed that the UAE public sector needs to improve its cyber-resilience as part of the country’s drive to expand the cyber-economy. The proposed framework is considered both practical and helpful for the purpose.</w:t>
      </w:r>
    </w:p>
    <w:p w14:paraId="64318BD3" w14:textId="3301C0DA" w:rsidR="007F07DA" w:rsidRPr="00400193" w:rsidRDefault="007F07DA" w:rsidP="007F07DA">
      <w:pPr>
        <w:suppressAutoHyphens/>
        <w:rPr>
          <w:szCs w:val="24"/>
          <w:lang w:eastAsia="zh-CN" w:bidi="hi-IN"/>
        </w:rPr>
      </w:pPr>
      <w:r w:rsidRPr="00400193">
        <w:rPr>
          <w:szCs w:val="24"/>
          <w:lang w:eastAsia="zh-CN" w:bidi="hi-IN"/>
        </w:rPr>
        <w:t>The research questions led to the development of several hypotheses that were tested against the data collected from public sector staff. Each hypothesis was accepted, although two of them only conditionally. The conditional acceptance of these two was on the basis that the variable had a strong, but passive, effect on the outcome. The acceptance of the hypotheses and their placement within the framework (</w:t>
      </w:r>
      <w:r w:rsidR="00DF5E56" w:rsidRPr="00400193">
        <w:rPr>
          <w:szCs w:val="24"/>
          <w:lang w:eastAsia="zh-CN" w:bidi="hi-IN"/>
        </w:rPr>
        <w:fldChar w:fldCharType="begin"/>
      </w:r>
      <w:r w:rsidR="00DF5E56" w:rsidRPr="00400193">
        <w:rPr>
          <w:szCs w:val="24"/>
          <w:lang w:eastAsia="zh-CN" w:bidi="hi-IN"/>
        </w:rPr>
        <w:instrText xml:space="preserve"> REF _Ref50817425 \h </w:instrText>
      </w:r>
      <w:r w:rsidR="00DF5E56" w:rsidRPr="00400193">
        <w:rPr>
          <w:szCs w:val="24"/>
          <w:lang w:eastAsia="zh-CN" w:bidi="hi-IN"/>
        </w:rPr>
      </w:r>
      <w:r w:rsidR="00DF5E56" w:rsidRPr="00400193">
        <w:rPr>
          <w:szCs w:val="24"/>
          <w:lang w:eastAsia="zh-CN" w:bidi="hi-IN"/>
        </w:rPr>
        <w:fldChar w:fldCharType="separate"/>
      </w:r>
      <w:r w:rsidR="00BB7C18" w:rsidRPr="00400193">
        <w:t xml:space="preserve">Figure </w:t>
      </w:r>
      <w:r w:rsidR="00BB7C18">
        <w:rPr>
          <w:noProof/>
          <w:cs/>
        </w:rPr>
        <w:t>‎</w:t>
      </w:r>
      <w:r w:rsidR="00BB7C18">
        <w:rPr>
          <w:noProof/>
        </w:rPr>
        <w:t>3</w:t>
      </w:r>
      <w:r w:rsidR="00BB7C18" w:rsidRPr="00400193">
        <w:noBreakHyphen/>
      </w:r>
      <w:r w:rsidR="00BB7C18">
        <w:rPr>
          <w:noProof/>
        </w:rPr>
        <w:t>4</w:t>
      </w:r>
      <w:r w:rsidR="00DF5E56" w:rsidRPr="00400193">
        <w:rPr>
          <w:szCs w:val="24"/>
          <w:lang w:eastAsia="zh-CN" w:bidi="hi-IN"/>
        </w:rPr>
        <w:fldChar w:fldCharType="end"/>
      </w:r>
      <w:r w:rsidRPr="00400193">
        <w:rPr>
          <w:szCs w:val="24"/>
          <w:lang w:eastAsia="zh-CN" w:bidi="hi-IN"/>
        </w:rPr>
        <w:t xml:space="preserve">) was a strong validation of the new framework. It is therefore suggested as a suitable </w:t>
      </w:r>
      <w:r w:rsidRPr="00400193">
        <w:rPr>
          <w:szCs w:val="24"/>
          <w:lang w:eastAsia="zh-CN" w:bidi="hi-IN"/>
        </w:rPr>
        <w:lastRenderedPageBreak/>
        <w:t>tool for public sector managers in the UAE to use to improve cyber-risk awareness and cyber-resilience in their department or organisation.</w:t>
      </w:r>
      <w:r w:rsidR="00DF5E56" w:rsidRPr="00400193">
        <w:rPr>
          <w:szCs w:val="24"/>
          <w:lang w:eastAsia="zh-CN" w:bidi="hi-IN"/>
        </w:rPr>
        <w:t xml:space="preserve"> Overall, the </w:t>
      </w:r>
      <w:r w:rsidR="001848C3" w:rsidRPr="00400193">
        <w:rPr>
          <w:szCs w:val="24"/>
          <w:lang w:eastAsia="zh-CN" w:bidi="hi-IN"/>
        </w:rPr>
        <w:t>reporting of the findings and conclusions has been presented clearly and readably.</w:t>
      </w:r>
      <w:r w:rsidRPr="00400193">
        <w:rPr>
          <w:szCs w:val="24"/>
          <w:lang w:eastAsia="zh-CN" w:bidi="hi-IN"/>
        </w:rPr>
        <w:t xml:space="preserve"> </w:t>
      </w:r>
    </w:p>
    <w:p w14:paraId="21B9BA0F" w14:textId="086CEB95" w:rsidR="001848C3" w:rsidRPr="00400193" w:rsidRDefault="00BB73A9" w:rsidP="00BB73A9">
      <w:pPr>
        <w:pStyle w:val="Heading2"/>
        <w:rPr>
          <w:lang w:eastAsia="zh-CN" w:bidi="hi-IN"/>
        </w:rPr>
      </w:pPr>
      <w:bookmarkStart w:id="935" w:name="_Toc61894845"/>
      <w:r w:rsidRPr="00400193">
        <w:rPr>
          <w:lang w:eastAsia="zh-CN" w:bidi="hi-IN"/>
        </w:rPr>
        <w:t>Key Findings</w:t>
      </w:r>
      <w:bookmarkEnd w:id="935"/>
    </w:p>
    <w:p w14:paraId="55967105" w14:textId="48E29918" w:rsidR="00E6720E" w:rsidRPr="00400193" w:rsidRDefault="00E6720E" w:rsidP="00E6720E">
      <w:pPr>
        <w:rPr>
          <w:lang w:eastAsia="zh-CN" w:bidi="hi-IN"/>
        </w:rPr>
      </w:pPr>
      <w:r w:rsidRPr="00400193">
        <w:rPr>
          <w:lang w:eastAsia="zh-CN" w:bidi="hi-IN"/>
        </w:rPr>
        <w:t>The most important finding of the research is that the data suggests that the current levels of ORe in the UAE public sector are satisfactory – although some areas need improvement. Overall, cyber-risk awareness was found to be high among public sector employees, contributing to cyber-resilience as suggested by the literature. Another important finding was that existing frameworks either detect cyber-threats too late or do not provide a fast-enough response to them.</w:t>
      </w:r>
    </w:p>
    <w:p w14:paraId="3817FE1E" w14:textId="0BA510C0" w:rsidR="00E6720E" w:rsidRPr="00400193" w:rsidRDefault="00E6720E" w:rsidP="00E6720E">
      <w:pPr>
        <w:rPr>
          <w:lang w:eastAsia="zh-CN" w:bidi="hi-IN"/>
        </w:rPr>
      </w:pPr>
      <w:r w:rsidRPr="00400193">
        <w:rPr>
          <w:lang w:eastAsia="zh-CN" w:bidi="hi-IN"/>
        </w:rPr>
        <w:t>Since it was found that there was a significant relationship between IRF, ERF, RP and ORe in the public sector organisations, the deficiencies of existing frameworks are exacerbated, and a new framework that allows managers to mitigate or prevent the impact of IRF and ERF</w:t>
      </w:r>
      <w:r w:rsidR="00705AEB" w:rsidRPr="00400193">
        <w:rPr>
          <w:lang w:eastAsia="zh-CN" w:bidi="hi-IN"/>
        </w:rPr>
        <w:t xml:space="preserve"> and protect organisational assets and CI will be welcome. Of course, as noted by Niblett (2016), having a response in place does not prevent threats from existing – it simply helps to reduce the impact of those threats. Thus, public sector organisations must focus their strategies on technical responses and management planning – the latter must aim to increase awareness and cyber-resilience within the organisation.</w:t>
      </w:r>
    </w:p>
    <w:p w14:paraId="56805644" w14:textId="1ECC26C9" w:rsidR="00315F66" w:rsidRPr="00400193" w:rsidRDefault="00315F66" w:rsidP="00E6720E">
      <w:pPr>
        <w:rPr>
          <w:lang w:eastAsia="zh-CN" w:bidi="hi-IN"/>
        </w:rPr>
      </w:pPr>
      <w:r w:rsidRPr="00400193">
        <w:rPr>
          <w:lang w:eastAsia="zh-CN" w:bidi="hi-IN"/>
        </w:rPr>
        <w:t xml:space="preserve">These findings are related to the </w:t>
      </w:r>
      <w:r w:rsidR="00EB3BC0" w:rsidRPr="00400193">
        <w:rPr>
          <w:lang w:eastAsia="zh-CN" w:bidi="hi-IN"/>
        </w:rPr>
        <w:t>contribution</w:t>
      </w:r>
      <w:r w:rsidR="00B336E7" w:rsidRPr="00400193">
        <w:rPr>
          <w:lang w:eastAsia="zh-CN" w:bidi="hi-IN"/>
        </w:rPr>
        <w:t>s and to the implications of the study, which are examined in the sections which follow, but the finding that there is a relatively high level of cyber-risk awareness – albeit with deficiencies regarding the IoT – and of ORe is important, since the current level of awareness makes improvements easier. This is because when the new framework is implemented, rather than resisting it because it is perceived as unnecessary, public sector employees and managers are likely to welcome it as another step towards cyber-safety and -security.</w:t>
      </w:r>
    </w:p>
    <w:p w14:paraId="4CA36106" w14:textId="0DE90DC2" w:rsidR="00315F66" w:rsidRPr="00400193" w:rsidRDefault="00315F66" w:rsidP="000A223A">
      <w:pPr>
        <w:pStyle w:val="Heading2"/>
        <w:rPr>
          <w:lang w:eastAsia="zh-CN" w:bidi="hi-IN"/>
        </w:rPr>
      </w:pPr>
      <w:bookmarkStart w:id="936" w:name="_Toc61894846"/>
      <w:r w:rsidRPr="00400193">
        <w:t>Research</w:t>
      </w:r>
      <w:r w:rsidRPr="00400193">
        <w:rPr>
          <w:lang w:eastAsia="zh-CN" w:bidi="hi-IN"/>
        </w:rPr>
        <w:t xml:space="preserve"> Novelty and Contribution</w:t>
      </w:r>
      <w:bookmarkEnd w:id="936"/>
    </w:p>
    <w:p w14:paraId="5915FBDA" w14:textId="34B9FEA4" w:rsidR="00B336E7" w:rsidRPr="00400193" w:rsidRDefault="00B336E7" w:rsidP="00B336E7">
      <w:pPr>
        <w:rPr>
          <w:lang w:eastAsia="zh-CN" w:bidi="hi-IN"/>
        </w:rPr>
      </w:pPr>
      <w:r w:rsidRPr="00400193">
        <w:rPr>
          <w:lang w:eastAsia="zh-CN" w:bidi="hi-IN"/>
        </w:rPr>
        <w:t xml:space="preserve">This research aimed to make a significant contribution to the literature on cyber-security and cyber-resilience. It proposed a new conceptual framework for cyber-resilience that can be applied by managers in the UAE public sector. It is hoped that this thesis contributes to work on cyber-resilience both theoretically and in practice. </w:t>
      </w:r>
      <w:r w:rsidRPr="00400193">
        <w:rPr>
          <w:lang w:eastAsia="zh-CN" w:bidi="hi-IN"/>
        </w:rPr>
        <w:lastRenderedPageBreak/>
        <w:t>The methodology used should also encourage advances in future research by giving an insight into the way that the UAE public sector has altered its operations.</w:t>
      </w:r>
    </w:p>
    <w:p w14:paraId="7257D6CC" w14:textId="7FD2ABC4" w:rsidR="00315F66" w:rsidRPr="00400193" w:rsidRDefault="00A02359" w:rsidP="00B336E7">
      <w:pPr>
        <w:rPr>
          <w:lang w:eastAsia="zh-CN" w:bidi="hi-IN"/>
        </w:rPr>
      </w:pPr>
      <w:r w:rsidRPr="00400193">
        <w:rPr>
          <w:lang w:eastAsia="zh-CN" w:bidi="hi-IN"/>
        </w:rPr>
        <w:t>The novelty of the research is that, although o</w:t>
      </w:r>
      <w:r w:rsidR="00B336E7" w:rsidRPr="00400193">
        <w:rPr>
          <w:lang w:eastAsia="zh-CN" w:bidi="hi-IN"/>
        </w:rPr>
        <w:t xml:space="preserve">ther researchers have examined resilience to cyber-risks, and there are also some existing frameworks, but cyber-risk is continually evolving (GCHQ, 2015). </w:t>
      </w:r>
      <w:r w:rsidR="00BB075F" w:rsidRPr="00400193">
        <w:rPr>
          <w:lang w:eastAsia="zh-CN" w:bidi="hi-IN"/>
        </w:rPr>
        <w:t>The study was unique, because it was set in a developing country (the UAE)</w:t>
      </w:r>
      <w:r w:rsidR="00536D5F" w:rsidRPr="00400193">
        <w:rPr>
          <w:lang w:eastAsia="zh-CN" w:bidi="hi-IN"/>
        </w:rPr>
        <w:t xml:space="preserve"> (International Monetary Fund, 2019)</w:t>
      </w:r>
      <w:r w:rsidR="00BB075F" w:rsidRPr="00400193">
        <w:rPr>
          <w:lang w:eastAsia="zh-CN" w:bidi="hi-IN"/>
        </w:rPr>
        <w:t xml:space="preserve">, and provided insights on the level of cyber-risks and resilience within the public sector. </w:t>
      </w:r>
      <w:r w:rsidR="00B336E7" w:rsidRPr="00400193">
        <w:rPr>
          <w:lang w:eastAsia="zh-CN" w:bidi="hi-IN"/>
        </w:rPr>
        <w:t>It is therefore essential to reconsider and update frameworks regularly. Failure to do so, or complacency about cyber-risk, are major concerns (Amoroso, 2011). The importance of this study is that it is a necessary update of existing considerations and will indicate the degree to which these are outdated, and whether there are any new risk areas or types. This will increase awareness of cyber-risk. This study also contributes to knowledge about cyber-resilience and cyber-risk awareness in the public sector of the UAE. This was used to develop the new cyber-security and resilience framework for the UAE.</w:t>
      </w:r>
    </w:p>
    <w:p w14:paraId="31926933" w14:textId="77777777" w:rsidR="00B41331" w:rsidRPr="00400193" w:rsidRDefault="00B41331" w:rsidP="00BB075F">
      <w:pPr>
        <w:pStyle w:val="Heading3"/>
      </w:pPr>
      <w:bookmarkStart w:id="937" w:name="_Ref52191965"/>
      <w:bookmarkStart w:id="938" w:name="_Toc61894847"/>
      <w:r w:rsidRPr="00400193">
        <w:t>Contributions to Theory</w:t>
      </w:r>
      <w:bookmarkEnd w:id="937"/>
      <w:bookmarkEnd w:id="938"/>
    </w:p>
    <w:p w14:paraId="5F61B7E7" w14:textId="250DA967" w:rsidR="00DC7E3A" w:rsidRPr="00EC23C0" w:rsidRDefault="00B41331" w:rsidP="00EC23C0">
      <w:pPr>
        <w:rPr>
          <w:lang w:eastAsia="zh-CN" w:bidi="hi-IN"/>
        </w:rPr>
      </w:pPr>
      <w:bookmarkStart w:id="939" w:name="_Toc61894848"/>
      <w:r w:rsidRPr="00400193">
        <w:rPr>
          <w:lang w:eastAsia="zh-CN" w:bidi="hi-IN"/>
        </w:rPr>
        <w:t>The structure of the proposed framework means that several theories of CRM and resilience were considered and combined in a new way. None of the existing frameworks included resilience as a prime objective. It is also necessary to improve cyber-risk awareness because this has been shown to reduce the risk of human error, particularly for external risk factors (Deloitte, 2011). The study aimed to use empirical analysis of primary data to contribute to bridging the gap in the theoretical literature.</w:t>
      </w:r>
      <w:r w:rsidR="00DC7E3A" w:rsidRPr="00400193">
        <w:rPr>
          <w:lang w:eastAsia="zh-CN" w:bidi="hi-IN"/>
        </w:rPr>
        <w:t xml:space="preserve"> </w:t>
      </w:r>
      <w:r w:rsidR="00E820A0" w:rsidRPr="00400193">
        <w:rPr>
          <w:lang w:eastAsia="zh-CN" w:bidi="hi-IN"/>
        </w:rPr>
        <w:t>Furthermore</w:t>
      </w:r>
      <w:r w:rsidR="00DC7E3A" w:rsidRPr="00400193">
        <w:rPr>
          <w:lang w:eastAsia="zh-CN" w:bidi="hi-IN"/>
        </w:rPr>
        <w:t xml:space="preserve">, the research contributes to our understanding of cyber threats resilience and readiness practices adoption in the public sector, by examining and incorporating literature from several disciplines, such as organisation culture, organisational </w:t>
      </w:r>
      <w:r w:rsidR="00A81BC1" w:rsidRPr="00400193">
        <w:rPr>
          <w:lang w:eastAsia="zh-CN" w:bidi="hi-IN"/>
        </w:rPr>
        <w:t>behaviours,</w:t>
      </w:r>
      <w:r w:rsidR="00DC7E3A" w:rsidRPr="00400193">
        <w:rPr>
          <w:lang w:eastAsia="zh-CN" w:bidi="hi-IN"/>
        </w:rPr>
        <w:t xml:space="preserve"> and external/ internal cyber-threats. While exploring the literature, the researcher was able to conclude that there is a wide body of literature discussing the impact of external and internal cyber-threats on organisations business continuity, however, there is a gap in the literature review on the relationship between organizational vulnerability and weaknesses, and the external/ internal cyber-threats in public sector organisations.</w:t>
      </w:r>
      <w:bookmarkEnd w:id="939"/>
    </w:p>
    <w:p w14:paraId="58DA8C36" w14:textId="42D9021E" w:rsidR="00B41331" w:rsidRPr="00400193" w:rsidRDefault="00B41331" w:rsidP="00BB075F">
      <w:pPr>
        <w:rPr>
          <w:lang w:eastAsia="zh-CN" w:bidi="hi-IN"/>
        </w:rPr>
      </w:pPr>
    </w:p>
    <w:p w14:paraId="5341E6C8" w14:textId="29CAD7DD" w:rsidR="00B41331" w:rsidRPr="00EC23C0" w:rsidRDefault="00194CF0" w:rsidP="00BB075F">
      <w:pPr>
        <w:rPr>
          <w:lang w:eastAsia="zh-CN" w:bidi="hi-IN"/>
        </w:rPr>
      </w:pPr>
      <w:r w:rsidRPr="00400193">
        <w:rPr>
          <w:lang w:eastAsia="zh-CN" w:bidi="hi-IN"/>
        </w:rPr>
        <w:lastRenderedPageBreak/>
        <w:t xml:space="preserve">The </w:t>
      </w:r>
      <w:r w:rsidR="00B41331" w:rsidRPr="00400193">
        <w:rPr>
          <w:lang w:eastAsia="zh-CN" w:bidi="hi-IN"/>
        </w:rPr>
        <w:t xml:space="preserve">CRM is a rapidly expanding branch of risk management. </w:t>
      </w:r>
      <w:r w:rsidR="00B41331" w:rsidRPr="00EC23C0">
        <w:rPr>
          <w:lang w:eastAsia="zh-CN" w:bidi="hi-IN"/>
        </w:rPr>
        <w:t xml:space="preserve">Probability risk analysis (PRA) is the usual approach for risk management </w:t>
      </w:r>
      <w:r w:rsidR="00B41331" w:rsidRPr="00400193">
        <w:rPr>
          <w:lang w:eastAsia="zh-CN" w:bidi="hi-IN"/>
        </w:rPr>
        <w:t>(Ganin</w:t>
      </w:r>
      <w:r w:rsidR="00B41331" w:rsidRPr="00EC23C0">
        <w:rPr>
          <w:lang w:eastAsia="zh-CN" w:bidi="hi-IN"/>
        </w:rPr>
        <w:t xml:space="preserve"> </w:t>
      </w:r>
      <w:r w:rsidR="00B41331" w:rsidRPr="00400193">
        <w:rPr>
          <w:lang w:eastAsia="zh-CN" w:bidi="hi-IN"/>
        </w:rPr>
        <w:t>et al., 2017)</w:t>
      </w:r>
      <w:r w:rsidR="00B41331" w:rsidRPr="00EC23C0">
        <w:rPr>
          <w:lang w:eastAsia="zh-CN" w:bidi="hi-IN"/>
        </w:rPr>
        <w:t xml:space="preserve">, although other models are available </w:t>
      </w:r>
      <w:r w:rsidR="00B41331" w:rsidRPr="00400193">
        <w:rPr>
          <w:lang w:eastAsia="zh-CN" w:bidi="hi-IN"/>
        </w:rPr>
        <w:t>(Cherdantseva</w:t>
      </w:r>
      <w:r w:rsidR="00B41331" w:rsidRPr="00EC23C0">
        <w:rPr>
          <w:lang w:eastAsia="zh-CN" w:bidi="hi-IN"/>
        </w:rPr>
        <w:t xml:space="preserve"> </w:t>
      </w:r>
      <w:r w:rsidR="00B41331" w:rsidRPr="00400193">
        <w:rPr>
          <w:lang w:eastAsia="zh-CN" w:bidi="hi-IN"/>
        </w:rPr>
        <w:t xml:space="preserve">et al., 2016; Hinde, 2003; Ralston, Graham </w:t>
      </w:r>
      <w:r w:rsidR="00337F8A" w:rsidRPr="00400193">
        <w:rPr>
          <w:lang w:eastAsia="zh-CN" w:bidi="hi-IN"/>
        </w:rPr>
        <w:t>and</w:t>
      </w:r>
      <w:r w:rsidR="00B41331" w:rsidRPr="00400193">
        <w:rPr>
          <w:lang w:eastAsia="zh-CN" w:bidi="hi-IN"/>
        </w:rPr>
        <w:t xml:space="preserve"> Hieb, 2007)</w:t>
      </w:r>
      <w:r w:rsidR="00B41331" w:rsidRPr="00EC23C0">
        <w:rPr>
          <w:lang w:eastAsia="zh-CN" w:bidi="hi-IN"/>
        </w:rPr>
        <w:t xml:space="preserve">. This research examined various models of CRM, and used additional theories from Fowler </w:t>
      </w:r>
      <w:r w:rsidR="00B41331" w:rsidRPr="00400193">
        <w:rPr>
          <w:lang w:eastAsia="zh-CN" w:bidi="hi-IN"/>
        </w:rPr>
        <w:t>(2015)</w:t>
      </w:r>
      <w:r w:rsidR="00B41331" w:rsidRPr="00EC23C0">
        <w:rPr>
          <w:lang w:eastAsia="zh-CN" w:bidi="hi-IN"/>
        </w:rPr>
        <w:t xml:space="preserve">, GCHQ </w:t>
      </w:r>
      <w:r w:rsidR="00B41331" w:rsidRPr="00400193">
        <w:rPr>
          <w:lang w:eastAsia="zh-CN" w:bidi="hi-IN"/>
        </w:rPr>
        <w:t>(2015)</w:t>
      </w:r>
      <w:r w:rsidR="00B41331" w:rsidRPr="00EC23C0">
        <w:rPr>
          <w:lang w:eastAsia="zh-CN" w:bidi="hi-IN"/>
        </w:rPr>
        <w:t xml:space="preserve">, ISO/IEC </w:t>
      </w:r>
      <w:r w:rsidR="00B41331" w:rsidRPr="00400193">
        <w:rPr>
          <w:lang w:eastAsia="zh-CN" w:bidi="hi-IN"/>
        </w:rPr>
        <w:t>(2012)</w:t>
      </w:r>
      <w:r w:rsidR="00B41331" w:rsidRPr="00EC23C0">
        <w:rPr>
          <w:lang w:eastAsia="zh-CN" w:bidi="hi-IN"/>
        </w:rPr>
        <w:t xml:space="preserve">, and Shiffman </w:t>
      </w:r>
      <w:r w:rsidR="00B41331" w:rsidRPr="00400193">
        <w:rPr>
          <w:lang w:eastAsia="zh-CN" w:bidi="hi-IN"/>
        </w:rPr>
        <w:t>(2012)</w:t>
      </w:r>
      <w:r w:rsidR="00B41331" w:rsidRPr="00EC23C0">
        <w:rPr>
          <w:lang w:eastAsia="zh-CN" w:bidi="hi-IN"/>
        </w:rPr>
        <w:t xml:space="preserve"> to gain a full understanding of the position. This research therefore adds to the theoretical understanding of CRM by combining existing theories in a new way.</w:t>
      </w:r>
    </w:p>
    <w:p w14:paraId="223F6777" w14:textId="77777777" w:rsidR="00B41331" w:rsidRPr="00400193" w:rsidRDefault="00B41331" w:rsidP="00BB075F">
      <w:pPr>
        <w:rPr>
          <w:lang w:eastAsia="zh-CN" w:bidi="hi-IN"/>
        </w:rPr>
      </w:pPr>
      <w:r w:rsidRPr="00400193">
        <w:rPr>
          <w:lang w:eastAsia="zh-CN" w:bidi="hi-IN"/>
        </w:rPr>
        <w:t>The main addition to CRM theory is gained by incorporating more elements from the cyber-resilience theories of Renn (2013) and Tran et al. (2016) than are included in the current frameworks. The importance of cyber-resilience, particularly for critical infrastructure and the public sector, has been emphasised by many researchers including Ayyub (2014). The importance of taking a holistic view of cyber-risk was also stressed by Atoum, Otoom, and Abu Ali (2014). This approach was used in this research because the UAE public sector currently uses a narrower view that risks overlooking some threats as only affecting other departments.</w:t>
      </w:r>
    </w:p>
    <w:p w14:paraId="75710DC7" w14:textId="7D18CC21" w:rsidR="00B41331" w:rsidRPr="00400193" w:rsidRDefault="00B41331" w:rsidP="00BB075F">
      <w:pPr>
        <w:rPr>
          <w:lang w:eastAsia="zh-CN" w:bidi="hi-IN"/>
        </w:rPr>
      </w:pPr>
      <w:r w:rsidRPr="00400193">
        <w:rPr>
          <w:lang w:eastAsia="zh-CN" w:bidi="hi-IN"/>
        </w:rPr>
        <w:t xml:space="preserve">This study’s major contribution to cyber-resilience is probably the integration of Renn’s (2013) “adaptive behaviour” into the conceptual framework, whilst still retaining the basic shape of the Lockheed Martin Cyber-Kill Chain™ (Hutchins, Cloppert </w:t>
      </w:r>
      <w:r w:rsidR="00337F8A" w:rsidRPr="00400193">
        <w:rPr>
          <w:lang w:eastAsia="zh-CN" w:bidi="hi-IN"/>
        </w:rPr>
        <w:t>and</w:t>
      </w:r>
      <w:r w:rsidRPr="00400193">
        <w:rPr>
          <w:lang w:eastAsia="zh-CN" w:bidi="hi-IN"/>
        </w:rPr>
        <w:t xml:space="preserve"> Amin, 2011) and the ISO/IEC (2012) framework. This concept of combining theories that examine the problem from different viewpoints is the essence of the proposed framework. The study therefore both underpins understanding of the concepts of CRM and provides greater understanding of cyber-resilience.</w:t>
      </w:r>
    </w:p>
    <w:p w14:paraId="0D2A8B6C" w14:textId="77777777" w:rsidR="00B41331" w:rsidRPr="00400193" w:rsidRDefault="00B41331" w:rsidP="00BB075F">
      <w:pPr>
        <w:pStyle w:val="Heading3"/>
      </w:pPr>
      <w:bookmarkStart w:id="940" w:name="_Ref52194903"/>
      <w:bookmarkStart w:id="941" w:name="_Toc61894849"/>
      <w:r w:rsidRPr="00400193">
        <w:t>Contributions to Practice</w:t>
      </w:r>
      <w:bookmarkEnd w:id="940"/>
      <w:bookmarkEnd w:id="941"/>
      <w:r w:rsidRPr="00400193">
        <w:t xml:space="preserve"> </w:t>
      </w:r>
    </w:p>
    <w:p w14:paraId="34337917" w14:textId="77777777" w:rsidR="00B41331" w:rsidRPr="00400193" w:rsidRDefault="00B41331" w:rsidP="00BB075F">
      <w:r w:rsidRPr="00400193">
        <w:t>This study has created a useable and easily applied framework that supports public sector management because it provides a measure of cyber-resilience that can be used as an assessment tool. It therefore helps to overcome operational threats and risk in public sector organisations. By contributing to changing practices within those organisations, the study improves the safety and security of the UAE’s critical infrastructure. This change in basic practice, combined with a move towards the proactive management of cyber-risk, should also lead to improved awareness levels throughout the organisation.</w:t>
      </w:r>
    </w:p>
    <w:p w14:paraId="35B92C71" w14:textId="559EFF4A" w:rsidR="00B41331" w:rsidRPr="00400193" w:rsidRDefault="00B41331" w:rsidP="00BB075F">
      <w:r w:rsidRPr="00400193">
        <w:lastRenderedPageBreak/>
        <w:t xml:space="preserve">The proposed conceptual framework emphasises the connection between awareness and resilience. It should therefore alter training practice. it is hoped that UAE public sector managers will become more proactive in risk management. In particular, if they become aware of a new or altered threat from any source, they should pass that awareness on to their staff, encouraging them to become more aware of cyber-risks. This change in behaviour will hopefully be sustained by the improvements that it causes by reducing weaknesses and vulnerabilities, and indirectly improving the response in place. This arises because greater awareness increases the chance of early detection (Dutt, Ahn </w:t>
      </w:r>
      <w:r w:rsidR="00337F8A" w:rsidRPr="00400193">
        <w:t>and</w:t>
      </w:r>
      <w:r w:rsidRPr="00400193">
        <w:t xml:space="preserve"> Gonzalez, 2013; Korpela, 2015; Yildirim, 2016) and therefore prompt response.</w:t>
      </w:r>
    </w:p>
    <w:p w14:paraId="1BEAB0A9" w14:textId="77777777" w:rsidR="00B41331" w:rsidRPr="00400193" w:rsidRDefault="00B41331" w:rsidP="00BB075F">
      <w:pPr>
        <w:pStyle w:val="Heading3"/>
      </w:pPr>
      <w:bookmarkStart w:id="942" w:name="_Toc61894850"/>
      <w:r w:rsidRPr="00400193">
        <w:t>Contributions to Methodology</w:t>
      </w:r>
      <w:bookmarkEnd w:id="942"/>
    </w:p>
    <w:p w14:paraId="1588136C" w14:textId="5D51D4DA" w:rsidR="00B41331" w:rsidRPr="00400193" w:rsidRDefault="00B41331" w:rsidP="00BB075F">
      <w:pPr>
        <w:rPr>
          <w:lang w:eastAsia="zh-CN" w:bidi="hi-IN"/>
        </w:rPr>
      </w:pPr>
      <w:r w:rsidRPr="00400193">
        <w:t xml:space="preserve">This research contributes to the literature on cyber-risk in the public sector by identifying new research opportunities that can be pursued in future studies. It provides a clear methodology developed directly from the requirement to produce a new cyber-resilience framework. However, the main methodological contribution of the study is the construction, within the conceptual framework, of a measurement scale for cyber-resilience within public sector organisations in the UAE. The questionnaire can be reused in any organisation in the public sector for this measurement, as the results indicate the current position. The basis of measuring “anything” in cyber-risk (Hubbard </w:t>
      </w:r>
      <w:r w:rsidR="00337F8A" w:rsidRPr="00400193">
        <w:t>and</w:t>
      </w:r>
      <w:r w:rsidRPr="00400193">
        <w:t xml:space="preserve"> Seiersen, 2016) is used in several ways. Awan, Burnap, and Rana (2015) suggested a means to detect </w:t>
      </w:r>
      <w:r w:rsidRPr="00400193">
        <w:rPr>
          <w:i/>
          <w:iCs/>
        </w:rPr>
        <w:t>“</w:t>
      </w:r>
      <w:r w:rsidRPr="00400193">
        <w:t>hotspots</w:t>
      </w:r>
      <w:r w:rsidRPr="00400193">
        <w:rPr>
          <w:i/>
          <w:iCs/>
        </w:rPr>
        <w:t>”</w:t>
      </w:r>
      <w:r w:rsidRPr="00400193">
        <w:t xml:space="preserve"> and Karabacak, Yildirim, and Baykal (2016) applied a measurement scale to national critical infrastructure, where the public sector has the biggest influence and stakeholding.</w:t>
      </w:r>
    </w:p>
    <w:p w14:paraId="3698A3F4" w14:textId="53379931" w:rsidR="00B41331" w:rsidRPr="00400193" w:rsidRDefault="00BB075F" w:rsidP="00BB075F">
      <w:pPr>
        <w:pStyle w:val="Heading2"/>
        <w:rPr>
          <w:lang w:eastAsia="zh-CN" w:bidi="hi-IN"/>
        </w:rPr>
      </w:pPr>
      <w:bookmarkStart w:id="943" w:name="_Toc61894851"/>
      <w:r w:rsidRPr="00400193">
        <w:rPr>
          <w:lang w:eastAsia="zh-CN" w:bidi="hi-IN"/>
        </w:rPr>
        <w:t>Research Achievement</w:t>
      </w:r>
      <w:bookmarkEnd w:id="943"/>
    </w:p>
    <w:p w14:paraId="7DC72BEE" w14:textId="4B848311" w:rsidR="00C8278F" w:rsidRPr="00400193" w:rsidRDefault="00C8278F" w:rsidP="00C8278F">
      <w:pPr>
        <w:suppressAutoHyphens/>
        <w:rPr>
          <w:szCs w:val="24"/>
          <w:lang w:eastAsia="zh-CN" w:bidi="hi-IN"/>
        </w:rPr>
      </w:pPr>
      <w:r w:rsidRPr="00400193">
        <w:rPr>
          <w:szCs w:val="24"/>
          <w:lang w:eastAsia="zh-CN" w:bidi="hi-IN"/>
        </w:rPr>
        <w:t xml:space="preserve">The main achievement of this thesis with regard to research into cyber-resilience is connected to the methodological processes used to test and verify the results. Taking the stance that the UAE’s public sector organisations form the backbone of the nation’s critical infrastructure, it examined the levels of awareness of cyber-risk, and agreed with Korpela </w:t>
      </w:r>
      <w:r w:rsidR="00B347F7" w:rsidRPr="00400193">
        <w:rPr>
          <w:szCs w:val="24"/>
          <w:lang w:eastAsia="zh-CN" w:bidi="hi-IN"/>
        </w:rPr>
        <w:t>(2015)</w:t>
      </w:r>
      <w:r w:rsidRPr="00400193">
        <w:rPr>
          <w:szCs w:val="24"/>
          <w:lang w:eastAsia="zh-CN" w:bidi="hi-IN"/>
        </w:rPr>
        <w:t xml:space="preserve"> that there is a clear link between increased awareness and increased resilience. An increase in either was associated with reduced weaknesses and vulnerabilities but increasing both had a greater effect than either alone. The </w:t>
      </w:r>
      <w:r w:rsidRPr="00400193">
        <w:rPr>
          <w:szCs w:val="24"/>
          <w:lang w:eastAsia="zh-CN" w:bidi="hi-IN"/>
        </w:rPr>
        <w:lastRenderedPageBreak/>
        <w:t>thesis used various statistical methods to verify the accuracy of the data collected, and to ensure that the study results were reliable.</w:t>
      </w:r>
    </w:p>
    <w:p w14:paraId="5CED5666" w14:textId="57D47E8D" w:rsidR="00C8278F" w:rsidRPr="00400193" w:rsidRDefault="00C8278F" w:rsidP="00C8278F">
      <w:pPr>
        <w:suppressAutoHyphens/>
        <w:rPr>
          <w:szCs w:val="24"/>
          <w:lang w:eastAsia="zh-CN" w:bidi="hi-IN"/>
        </w:rPr>
      </w:pPr>
      <w:r w:rsidRPr="00400193">
        <w:rPr>
          <w:szCs w:val="24"/>
          <w:lang w:eastAsia="zh-CN" w:bidi="hi-IN"/>
        </w:rPr>
        <w:t xml:space="preserve">The major achievement of this research is to present models showing the moderating effects of having appropriate responses in place and strong organisational resilience on vulnerabilities and cyber-risks. The key </w:t>
      </w:r>
      <w:r w:rsidR="005B4EB7" w:rsidRPr="00400193">
        <w:rPr>
          <w:szCs w:val="24"/>
          <w:lang w:eastAsia="zh-CN" w:bidi="hi-IN"/>
        </w:rPr>
        <w:t>a</w:t>
      </w:r>
      <w:r w:rsidR="00312257" w:rsidRPr="00400193">
        <w:rPr>
          <w:szCs w:val="24"/>
          <w:lang w:eastAsia="zh-CN" w:bidi="hi-IN"/>
        </w:rPr>
        <w:t>chievements</w:t>
      </w:r>
      <w:r w:rsidRPr="00400193">
        <w:rPr>
          <w:szCs w:val="24"/>
          <w:lang w:eastAsia="zh-CN" w:bidi="hi-IN"/>
        </w:rPr>
        <w:t xml:space="preserve"> are:</w:t>
      </w:r>
    </w:p>
    <w:p w14:paraId="18187A86" w14:textId="77777777" w:rsidR="00C8278F" w:rsidRPr="00400193" w:rsidRDefault="00C8278F" w:rsidP="00C8278F">
      <w:pPr>
        <w:pStyle w:val="ListParagraph"/>
        <w:numPr>
          <w:ilvl w:val="0"/>
          <w:numId w:val="14"/>
        </w:numPr>
        <w:suppressAutoHyphens/>
        <w:rPr>
          <w:szCs w:val="24"/>
          <w:lang w:eastAsia="zh-CN" w:bidi="hi-IN"/>
        </w:rPr>
      </w:pPr>
      <w:r w:rsidRPr="00400193">
        <w:rPr>
          <w:szCs w:val="24"/>
          <w:lang w:eastAsia="zh-CN" w:bidi="hi-IN"/>
        </w:rPr>
        <w:t>A new conceptual framework to allow a better estimation of existing levels of cyber-resilience, cyber-risk perception, internal/external risks, and vulnerabilities.</w:t>
      </w:r>
    </w:p>
    <w:p w14:paraId="7E2116A1" w14:textId="77777777" w:rsidR="00C8278F" w:rsidRPr="00400193" w:rsidRDefault="00C8278F" w:rsidP="00C8278F">
      <w:pPr>
        <w:pStyle w:val="ListParagraph"/>
        <w:numPr>
          <w:ilvl w:val="0"/>
          <w:numId w:val="14"/>
        </w:numPr>
        <w:suppressAutoHyphens/>
        <w:rPr>
          <w:szCs w:val="24"/>
          <w:lang w:eastAsia="zh-CN" w:bidi="hi-IN"/>
        </w:rPr>
      </w:pPr>
      <w:r w:rsidRPr="00400193">
        <w:rPr>
          <w:szCs w:val="24"/>
          <w:lang w:eastAsia="zh-CN" w:bidi="hi-IN"/>
        </w:rPr>
        <w:t>Using the framework, the study demonstrated that there were clear links between the highest ranked risk factors and the level of preparedness and cyber-resilience.</w:t>
      </w:r>
    </w:p>
    <w:p w14:paraId="16FCDD6C" w14:textId="566E2848" w:rsidR="00C8278F" w:rsidRPr="00400193" w:rsidRDefault="00C8278F" w:rsidP="00C8278F">
      <w:pPr>
        <w:rPr>
          <w:lang w:eastAsia="zh-CN" w:bidi="hi-IN"/>
        </w:rPr>
      </w:pPr>
      <w:r w:rsidRPr="00400193">
        <w:rPr>
          <w:szCs w:val="24"/>
          <w:lang w:eastAsia="zh-CN" w:bidi="hi-IN"/>
        </w:rPr>
        <w:t>The regression analysis then demonstrated the relationships between the factors in the framework.</w:t>
      </w:r>
    </w:p>
    <w:p w14:paraId="4583D746" w14:textId="376FF55F" w:rsidR="00C10243" w:rsidRPr="00400193" w:rsidRDefault="00C10243" w:rsidP="00C10243">
      <w:pPr>
        <w:pStyle w:val="Heading2"/>
        <w:rPr>
          <w:rFonts w:eastAsia="Arial"/>
          <w:lang w:eastAsia="zh-CN" w:bidi="hi-IN"/>
        </w:rPr>
      </w:pPr>
      <w:bookmarkStart w:id="944" w:name="_2b6jogx"/>
      <w:bookmarkStart w:id="945" w:name="_qbtyoq"/>
      <w:bookmarkStart w:id="946" w:name="_2gb3jie"/>
      <w:bookmarkStart w:id="947" w:name="_Toc61894852"/>
      <w:bookmarkEnd w:id="944"/>
      <w:bookmarkEnd w:id="945"/>
      <w:bookmarkEnd w:id="946"/>
      <w:r w:rsidRPr="00400193">
        <w:rPr>
          <w:rFonts w:eastAsia="Arial"/>
          <w:lang w:eastAsia="zh-CN" w:bidi="hi-IN"/>
        </w:rPr>
        <w:t>Research Implications</w:t>
      </w:r>
      <w:bookmarkEnd w:id="947"/>
    </w:p>
    <w:p w14:paraId="6DE66A79" w14:textId="09958B49" w:rsidR="00C10243" w:rsidRPr="00400193" w:rsidRDefault="00C10243" w:rsidP="00C10243">
      <w:pPr>
        <w:suppressAutoHyphens/>
        <w:rPr>
          <w:szCs w:val="24"/>
          <w:lang w:eastAsia="zh-CN" w:bidi="hi-IN"/>
        </w:rPr>
      </w:pPr>
      <w:r w:rsidRPr="00400193">
        <w:rPr>
          <w:szCs w:val="24"/>
          <w:lang w:eastAsia="zh-CN" w:bidi="hi-IN"/>
        </w:rPr>
        <w:t>The research aimed to provide the UAE public sector with a framework that can be used to improve cyber-resilience and -risk awareness. The research therefore has implications at all levels of the public sector.</w:t>
      </w:r>
    </w:p>
    <w:p w14:paraId="177D4864" w14:textId="77777777" w:rsidR="00332340" w:rsidRPr="00400193" w:rsidRDefault="00332340" w:rsidP="00273CE0">
      <w:pPr>
        <w:pStyle w:val="Heading3"/>
        <w:rPr>
          <w:lang w:eastAsia="zh-CN" w:bidi="hi-IN"/>
        </w:rPr>
      </w:pPr>
      <w:bookmarkStart w:id="948" w:name="_Toc61894853"/>
      <w:r w:rsidRPr="00400193">
        <w:rPr>
          <w:lang w:eastAsia="zh-CN" w:bidi="hi-IN"/>
        </w:rPr>
        <w:t>Implications for Research and Theory</w:t>
      </w:r>
      <w:bookmarkEnd w:id="948"/>
    </w:p>
    <w:p w14:paraId="3C4ED93A" w14:textId="77777777" w:rsidR="00332340" w:rsidRPr="00273CE0" w:rsidRDefault="00332340" w:rsidP="00273CE0">
      <w:pPr>
        <w:suppressAutoHyphens/>
        <w:rPr>
          <w:szCs w:val="24"/>
          <w:lang w:eastAsia="zh-CN" w:bidi="hi-IN"/>
        </w:rPr>
      </w:pPr>
      <w:r w:rsidRPr="00273CE0">
        <w:rPr>
          <w:szCs w:val="24"/>
          <w:lang w:eastAsia="zh-CN" w:bidi="hi-IN"/>
        </w:rPr>
        <w:t>The outcomes of this research present a number of important theoretical contributions. Firstly, this study investigated a conceptual model that applies a relationship between Organizational Vulnerability and Weaknesses, and the External/ Internal Cyber-Threats, and the moderating effect of resilience and response in public sector organisations setting in under-developed country. Secondly, the researcher succeeds in combining 207 variables that affect the successful cyber threats resilience’s and readiness practices adoption inside public sector organisations in one model, Thirdly, develop a quantitative data approach that enable the measurement of the current level of resilience in the organisations, or within departments as above mentioned in section 7.5.1.</w:t>
      </w:r>
    </w:p>
    <w:p w14:paraId="490D1F79" w14:textId="77777777" w:rsidR="00332340" w:rsidRPr="00400193" w:rsidRDefault="00332340" w:rsidP="00C10243">
      <w:pPr>
        <w:suppressAutoHyphens/>
        <w:rPr>
          <w:szCs w:val="24"/>
          <w:lang w:eastAsia="zh-CN" w:bidi="hi-IN"/>
        </w:rPr>
      </w:pPr>
    </w:p>
    <w:p w14:paraId="0757ABB4" w14:textId="70E34CC7" w:rsidR="00611BA1" w:rsidRPr="00273CE0" w:rsidRDefault="00DC7E3A" w:rsidP="00273CE0">
      <w:pPr>
        <w:suppressAutoHyphens/>
        <w:rPr>
          <w:szCs w:val="24"/>
          <w:lang w:eastAsia="zh-CN" w:bidi="hi-IN"/>
        </w:rPr>
      </w:pPr>
      <w:r w:rsidRPr="00273CE0">
        <w:rPr>
          <w:szCs w:val="24"/>
          <w:lang w:eastAsia="zh-CN" w:bidi="hi-IN"/>
        </w:rPr>
        <w:lastRenderedPageBreak/>
        <w:t>In addition,</w:t>
      </w:r>
      <w:r w:rsidR="003B3117" w:rsidRPr="00273CE0">
        <w:rPr>
          <w:szCs w:val="24"/>
          <w:lang w:eastAsia="zh-CN" w:bidi="hi-IN"/>
        </w:rPr>
        <w:t xml:space="preserve"> researcher follow the guidance on research paradigms (Guba, 1990; Guba and Lincoln 1994) led to the choice of a positivist and deductive approach. The quantitative approach was also supported by McDaniel and Gates (2011), who compared qualitative and quantitative research, and the quantitative approach to data collection was chosen following recommendations in the literature (e.g. Creswell, 2014; Saunders, Lewis and Thornhill, 2012).</w:t>
      </w:r>
    </w:p>
    <w:p w14:paraId="14146FC0" w14:textId="5151777B" w:rsidR="005B3085" w:rsidRPr="00273CE0" w:rsidRDefault="00611BA1" w:rsidP="00273CE0">
      <w:pPr>
        <w:suppressAutoHyphens/>
        <w:rPr>
          <w:szCs w:val="24"/>
          <w:lang w:eastAsia="zh-CN" w:bidi="hi-IN"/>
        </w:rPr>
      </w:pPr>
      <w:r w:rsidRPr="00273CE0">
        <w:rPr>
          <w:szCs w:val="24"/>
          <w:lang w:eastAsia="zh-CN" w:bidi="hi-IN"/>
        </w:rPr>
        <w:t>Therefore</w:t>
      </w:r>
      <w:r w:rsidR="003B3117" w:rsidRPr="00273CE0">
        <w:rPr>
          <w:szCs w:val="24"/>
          <w:lang w:eastAsia="zh-CN" w:bidi="hi-IN"/>
        </w:rPr>
        <w:t xml:space="preserve">, </w:t>
      </w:r>
      <w:r w:rsidRPr="00273CE0">
        <w:rPr>
          <w:szCs w:val="24"/>
          <w:lang w:eastAsia="zh-CN" w:bidi="hi-IN"/>
        </w:rPr>
        <w:t xml:space="preserve">the results of this research extend a deeper understanding of the cyber-resilience through combining </w:t>
      </w:r>
      <w:r w:rsidR="003B3117" w:rsidRPr="00273CE0">
        <w:rPr>
          <w:szCs w:val="24"/>
          <w:lang w:eastAsia="zh-CN" w:bidi="hi-IN"/>
        </w:rPr>
        <w:t xml:space="preserve"> strategies to improve cyber-resilience and to encourage education and awareness of cyber-risks provides an essential starting point for any researcher aiming to examine the </w:t>
      </w:r>
      <w:r w:rsidRPr="00273CE0">
        <w:rPr>
          <w:szCs w:val="24"/>
          <w:lang w:eastAsia="zh-CN" w:bidi="hi-IN"/>
        </w:rPr>
        <w:t>resilience level</w:t>
      </w:r>
      <w:r w:rsidR="003B3117" w:rsidRPr="00273CE0">
        <w:rPr>
          <w:szCs w:val="24"/>
          <w:lang w:eastAsia="zh-CN" w:bidi="hi-IN"/>
        </w:rPr>
        <w:t xml:space="preserve"> of an organisation whether in the public sector or elsewhere.</w:t>
      </w:r>
    </w:p>
    <w:p w14:paraId="3D618FD0" w14:textId="77777777" w:rsidR="007401F4" w:rsidRPr="00400193" w:rsidRDefault="007401F4" w:rsidP="007401F4">
      <w:pPr>
        <w:rPr>
          <w:lang w:eastAsia="zh-CN" w:bidi="hi-IN"/>
        </w:rPr>
      </w:pPr>
    </w:p>
    <w:p w14:paraId="715251CD" w14:textId="0BF63E7C" w:rsidR="00CE3F8E" w:rsidRPr="00400193" w:rsidRDefault="00B87B75" w:rsidP="00B87B75">
      <w:pPr>
        <w:pStyle w:val="Heading3"/>
        <w:rPr>
          <w:lang w:eastAsia="zh-CN" w:bidi="hi-IN"/>
        </w:rPr>
      </w:pPr>
      <w:bookmarkStart w:id="949" w:name="_Toc61894854"/>
      <w:r w:rsidRPr="00400193">
        <w:rPr>
          <w:lang w:eastAsia="zh-CN" w:bidi="hi-IN"/>
        </w:rPr>
        <w:t>Implications for Management and Practice.</w:t>
      </w:r>
      <w:bookmarkEnd w:id="949"/>
    </w:p>
    <w:p w14:paraId="6EBE7C11" w14:textId="77777777" w:rsidR="00E43D5C" w:rsidRPr="00400193" w:rsidRDefault="00E43D5C" w:rsidP="00E43D5C">
      <w:r w:rsidRPr="00400193">
        <w:t xml:space="preserve">The </w:t>
      </w:r>
      <w:r w:rsidRPr="00400193">
        <w:rPr>
          <w:noProof/>
        </w:rPr>
        <w:t>outcomes of this research</w:t>
      </w:r>
      <w:r w:rsidRPr="00400193">
        <w:t xml:space="preserve"> have many contributions for the different organisational stakeholders in public sector, such as operational teams, middle management, top management, government </w:t>
      </w:r>
      <w:r w:rsidRPr="00400193">
        <w:rPr>
          <w:noProof/>
        </w:rPr>
        <w:t>policy analyist</w:t>
      </w:r>
      <w:r w:rsidRPr="00400193">
        <w:t xml:space="preserve">, change management professionals, cyber-attacks consultants and practitioners, as is discussed below. </w:t>
      </w:r>
    </w:p>
    <w:p w14:paraId="1CAA89EB" w14:textId="43AB1255" w:rsidR="00E43D5C" w:rsidRPr="00400193" w:rsidRDefault="00E43D5C" w:rsidP="00E43D5C">
      <w:pPr>
        <w:rPr>
          <w:szCs w:val="24"/>
          <w:lang w:eastAsia="zh-CN" w:bidi="hi-IN"/>
        </w:rPr>
      </w:pPr>
      <w:r w:rsidRPr="00400193">
        <w:rPr>
          <w:lang w:eastAsia="zh-CN" w:bidi="hi-IN"/>
        </w:rPr>
        <w:t>The research supports e</w:t>
      </w:r>
      <w:r w:rsidRPr="00400193">
        <w:rPr>
          <w:szCs w:val="24"/>
          <w:lang w:eastAsia="zh-CN" w:bidi="hi-IN"/>
        </w:rPr>
        <w:t xml:space="preserve">very level of employee in the public sector who has access to computers or digital data </w:t>
      </w:r>
      <w:r w:rsidRPr="00400193">
        <w:rPr>
          <w:lang w:eastAsia="zh-CN" w:bidi="hi-IN"/>
        </w:rPr>
        <w:t xml:space="preserve">with a model that shades the light of </w:t>
      </w:r>
      <w:r w:rsidR="007401F4" w:rsidRPr="00400193">
        <w:rPr>
          <w:lang w:eastAsia="zh-CN" w:bidi="hi-IN"/>
        </w:rPr>
        <w:t xml:space="preserve">207 </w:t>
      </w:r>
      <w:r w:rsidRPr="00400193">
        <w:rPr>
          <w:szCs w:val="24"/>
          <w:lang w:eastAsia="zh-CN" w:bidi="hi-IN"/>
        </w:rPr>
        <w:t>potential cyber-risks</w:t>
      </w:r>
      <w:r w:rsidRPr="00400193">
        <w:rPr>
          <w:lang w:eastAsia="zh-CN" w:bidi="hi-IN"/>
        </w:rPr>
        <w:t xml:space="preserve"> variable</w:t>
      </w:r>
      <w:r w:rsidRPr="00400193">
        <w:rPr>
          <w:szCs w:val="24"/>
          <w:lang w:eastAsia="zh-CN" w:bidi="hi-IN"/>
        </w:rPr>
        <w:t>. This means that managers must arrange training and awareness courses for everyone (including themselves) at the earliest opportunity. The changing nature of cyber-risk means that managers must also ensure that everyone’s knowledge is kept up to date. This will require regular revision or update courses, probably at least annually. The research has repeatedly shown that cyber-risk awareness is a major contributor to cyber-resilience.</w:t>
      </w:r>
    </w:p>
    <w:p w14:paraId="5579CC05" w14:textId="5680899E" w:rsidR="00E43D5C" w:rsidRPr="00400193" w:rsidRDefault="00E43D5C" w:rsidP="00E43D5C">
      <w:pPr>
        <w:suppressAutoHyphens/>
        <w:rPr>
          <w:szCs w:val="24"/>
          <w:lang w:eastAsia="zh-CN" w:bidi="hi-IN"/>
        </w:rPr>
      </w:pPr>
      <w:r w:rsidRPr="00400193">
        <w:rPr>
          <w:szCs w:val="24"/>
          <w:lang w:eastAsia="zh-CN" w:bidi="hi-IN"/>
        </w:rPr>
        <w:t>The implications of the research for cyber-security and -resilience improvements are extensive. The new framework designed to give managers a tool to use to improve both cyber-security and cyber-resilience. There is a clear link between these and cyber-risk awareness, as well as management commitment. Applying the new framework will therefore provide the necessary improvements at national level.</w:t>
      </w:r>
    </w:p>
    <w:p w14:paraId="2BCA1D0A" w14:textId="592B2A90" w:rsidR="00A86681" w:rsidRPr="00400193" w:rsidRDefault="00E43D5C" w:rsidP="00A86681">
      <w:pPr>
        <w:rPr>
          <w:szCs w:val="24"/>
          <w:lang w:eastAsia="zh-CN" w:bidi="hi-IN"/>
        </w:rPr>
      </w:pPr>
      <w:r w:rsidRPr="00400193">
        <w:rPr>
          <w:lang w:eastAsia="zh-CN" w:bidi="hi-IN"/>
        </w:rPr>
        <w:lastRenderedPageBreak/>
        <w:t xml:space="preserve">Finally, </w:t>
      </w:r>
      <w:r w:rsidR="00A86681" w:rsidRPr="00400193">
        <w:rPr>
          <w:szCs w:val="24"/>
          <w:lang w:eastAsia="zh-CN" w:bidi="hi-IN"/>
        </w:rPr>
        <w:t xml:space="preserve">Thompson and von Solms (2005) suggested that without management commitment, cyber-risk awareness, -resilience, and -security programmes would fail. It follows from this, and from the data collected for this research, </w:t>
      </w:r>
      <w:r w:rsidRPr="00400193">
        <w:rPr>
          <w:szCs w:val="24"/>
          <w:lang w:eastAsia="zh-CN" w:bidi="hi-IN"/>
        </w:rPr>
        <w:t>that manager</w:t>
      </w:r>
      <w:r w:rsidR="00A86681" w:rsidRPr="00400193">
        <w:rPr>
          <w:szCs w:val="24"/>
          <w:lang w:eastAsia="zh-CN" w:bidi="hi-IN"/>
        </w:rPr>
        <w:t xml:space="preserve"> in UAE public sector organisations must be completely committed to the idea of cyber-resilience, -risk awareness, and -security, or the framework is unlikely to be applied correctly. The implication is that managers in the public sector must be committed to reform and to the implementation of the new framework.</w:t>
      </w:r>
    </w:p>
    <w:p w14:paraId="52268AE0" w14:textId="097F99EA" w:rsidR="006E3616" w:rsidRPr="00400193" w:rsidRDefault="00A86681" w:rsidP="006E3616">
      <w:pPr>
        <w:pStyle w:val="Heading2"/>
        <w:rPr>
          <w:rFonts w:eastAsia="Arial"/>
          <w:lang w:eastAsia="zh-CN" w:bidi="hi-IN"/>
        </w:rPr>
      </w:pPr>
      <w:bookmarkStart w:id="950" w:name="_vgdtq7"/>
      <w:bookmarkStart w:id="951" w:name="_2tq9fhf"/>
      <w:bookmarkStart w:id="952" w:name="_18vjpp8"/>
      <w:bookmarkStart w:id="953" w:name="_Toc61894855"/>
      <w:bookmarkEnd w:id="950"/>
      <w:bookmarkEnd w:id="951"/>
      <w:bookmarkEnd w:id="952"/>
      <w:r w:rsidRPr="00400193">
        <w:rPr>
          <w:rFonts w:eastAsia="Arial"/>
          <w:lang w:eastAsia="zh-CN" w:bidi="hi-IN"/>
        </w:rPr>
        <w:t xml:space="preserve">Research </w:t>
      </w:r>
      <w:r w:rsidR="006E3616" w:rsidRPr="00400193">
        <w:rPr>
          <w:rFonts w:eastAsia="Arial"/>
          <w:lang w:eastAsia="zh-CN" w:bidi="hi-IN"/>
        </w:rPr>
        <w:t>Limitations</w:t>
      </w:r>
      <w:bookmarkEnd w:id="953"/>
    </w:p>
    <w:p w14:paraId="2BAAA7BD" w14:textId="77777777" w:rsidR="006E3616" w:rsidRPr="00400193" w:rsidRDefault="006E3616" w:rsidP="006E3616">
      <w:pPr>
        <w:suppressAutoHyphens/>
        <w:rPr>
          <w:szCs w:val="24"/>
          <w:lang w:eastAsia="zh-CN" w:bidi="hi-IN"/>
        </w:rPr>
      </w:pPr>
      <w:r w:rsidRPr="00400193">
        <w:rPr>
          <w:szCs w:val="24"/>
          <w:lang w:eastAsia="zh-CN" w:bidi="hi-IN"/>
        </w:rPr>
        <w:t>The main limitation of any research into cyber-risks and attacks, particularly involving the IoT, is that the field is continually evolving, and changes occur very quickly. This unfortunately means that information about new or potential risks is often out of date by the time it has been studied. The IoT has changed the ways that cyber-security specialists have had to look at issues of connectivity, and neural networks will always be, in security terms, among the hardest things to protect. This fact limits, to some extent, the level to which this research can be applied to other organisations. The values at risk are different in the private sector and may also vary in other countries. Therefore, before simply applying the framework to another situation, it is recommended that all factors are considered and compared.</w:t>
      </w:r>
    </w:p>
    <w:p w14:paraId="4CF1DADF" w14:textId="77777777" w:rsidR="006E3616" w:rsidRPr="00400193" w:rsidRDefault="006E3616" w:rsidP="006E3616">
      <w:pPr>
        <w:pStyle w:val="Heading3"/>
        <w:rPr>
          <w:rFonts w:eastAsia="Arial"/>
          <w:lang w:eastAsia="zh-CN" w:bidi="hi-IN"/>
        </w:rPr>
      </w:pPr>
      <w:bookmarkStart w:id="954" w:name="_3sv78d1"/>
      <w:bookmarkStart w:id="955" w:name="_Toc61894856"/>
      <w:bookmarkEnd w:id="954"/>
      <w:r w:rsidRPr="00400193">
        <w:rPr>
          <w:rFonts w:eastAsia="Arial"/>
          <w:lang w:eastAsia="zh-CN" w:bidi="hi-IN"/>
        </w:rPr>
        <w:t>Methodological Limitations and Recommendations</w:t>
      </w:r>
      <w:bookmarkEnd w:id="955"/>
    </w:p>
    <w:p w14:paraId="75667559" w14:textId="77777777" w:rsidR="006E3616" w:rsidRPr="00400193" w:rsidRDefault="006E3616" w:rsidP="00056969">
      <w:pPr>
        <w:numPr>
          <w:ilvl w:val="0"/>
          <w:numId w:val="5"/>
        </w:numPr>
        <w:suppressAutoHyphens/>
        <w:spacing w:before="120" w:after="0"/>
        <w:rPr>
          <w:szCs w:val="24"/>
          <w:lang w:eastAsia="zh-CN" w:bidi="hi-IN"/>
        </w:rPr>
      </w:pPr>
      <w:r w:rsidRPr="00400193">
        <w:rPr>
          <w:szCs w:val="24"/>
          <w:lang w:eastAsia="zh-CN" w:bidi="hi-IN"/>
        </w:rPr>
        <w:t xml:space="preserve">The methodology used for this research is fundamentally sound, but the study did not involve every employee in the public sector, nor cover every aspect of cyber-risk or cyber-resilience. Future studies may use larger samples, or study other aspects of these constructs. Future studies could also fine-tune the ideas in the framework and make them more compatible with a particular ministry or other public sector organisation. </w:t>
      </w:r>
    </w:p>
    <w:p w14:paraId="76B0DD73" w14:textId="77777777" w:rsidR="006E3616" w:rsidRPr="00400193" w:rsidRDefault="006E3616" w:rsidP="00056969">
      <w:pPr>
        <w:numPr>
          <w:ilvl w:val="0"/>
          <w:numId w:val="5"/>
        </w:numPr>
        <w:suppressAutoHyphens/>
        <w:spacing w:after="0"/>
        <w:rPr>
          <w:szCs w:val="24"/>
          <w:lang w:eastAsia="zh-CN" w:bidi="hi-IN"/>
        </w:rPr>
      </w:pPr>
      <w:r w:rsidRPr="00400193">
        <w:rPr>
          <w:szCs w:val="24"/>
          <w:lang w:eastAsia="zh-CN" w:bidi="hi-IN"/>
        </w:rPr>
        <w:t xml:space="preserve">The main recommendation for any future or further research, however, is that it adopts a similar methodology to explore resilience levels or measure cyber-risk awareness. </w:t>
      </w:r>
    </w:p>
    <w:p w14:paraId="7A2C8A5F" w14:textId="7F4053EF" w:rsidR="006E3616" w:rsidRPr="00400193" w:rsidRDefault="006E3616" w:rsidP="00056969">
      <w:pPr>
        <w:numPr>
          <w:ilvl w:val="0"/>
          <w:numId w:val="5"/>
        </w:numPr>
        <w:suppressAutoHyphens/>
        <w:spacing w:after="120"/>
        <w:rPr>
          <w:szCs w:val="24"/>
          <w:lang w:eastAsia="zh-CN" w:bidi="hi-IN"/>
        </w:rPr>
      </w:pPr>
      <w:r w:rsidRPr="00400193">
        <w:rPr>
          <w:szCs w:val="24"/>
          <w:lang w:eastAsia="zh-CN" w:bidi="hi-IN"/>
        </w:rPr>
        <w:t xml:space="preserve">However, it is also recommended that a different sample of the sector is chosen, because this will both provide a new viewpoint and help to validate the results of this research. The UAE public sector must take the lead for cyber-resilience and -risk awareness, but research in the private sector would also </w:t>
      </w:r>
      <w:r w:rsidRPr="00400193">
        <w:rPr>
          <w:szCs w:val="24"/>
          <w:lang w:eastAsia="zh-CN" w:bidi="hi-IN"/>
        </w:rPr>
        <w:lastRenderedPageBreak/>
        <w:t>have value in improving the overall level of cyber-resilience and cyber-risk awareness. The basic methodology would be no different, but the sampling would need to be altered to suit specific industry areas. Overall, the private sector would need a wider-ranging survey because of the different uses to which data is put in different industries. However, once the UAE’s critical infrastructure is seen to be resilient and safe, a similar framework for private sector organisations will become increasingly important.</w:t>
      </w:r>
    </w:p>
    <w:p w14:paraId="61E10549" w14:textId="5AD3771A" w:rsidR="00A86681" w:rsidRPr="00400193" w:rsidRDefault="00684B0C" w:rsidP="00684B0C">
      <w:pPr>
        <w:pStyle w:val="Heading4"/>
        <w:rPr>
          <w:lang w:eastAsia="zh-CN" w:bidi="hi-IN"/>
        </w:rPr>
      </w:pPr>
      <w:bookmarkStart w:id="956" w:name="_Toc61894857"/>
      <w:r w:rsidRPr="00400193">
        <w:rPr>
          <w:lang w:eastAsia="zh-CN" w:bidi="hi-IN"/>
        </w:rPr>
        <w:t>Limitation of Sample Size</w:t>
      </w:r>
      <w:bookmarkEnd w:id="956"/>
    </w:p>
    <w:p w14:paraId="575B660F" w14:textId="77777777" w:rsidR="00684B0C" w:rsidRPr="00400193" w:rsidRDefault="00684B0C" w:rsidP="00684B0C">
      <w:pPr>
        <w:rPr>
          <w:lang w:eastAsia="zh-CN" w:bidi="hi-IN"/>
        </w:rPr>
      </w:pPr>
      <w:r w:rsidRPr="00400193">
        <w:rPr>
          <w:lang w:eastAsia="zh-CN" w:bidi="hi-IN"/>
        </w:rPr>
        <w:t>The data were quantitative, so the largest possible sample was used. It was not possible to circulate the online survey to every public sector employee or manager in the UAE, but it was also important to find a representative sample, and to ensure that the return rate was acceptable (Barnes, 2017; De Bruijne and Wijnant, 2014). The method used also followed the advice of Bannigan and Watson (2009) to ensure that the results were reliable and valid. The questions in the survey were designed to be non-controversial, and the anonymous nature of the survey meant that there was a lower risk of participants giving a “corporate answer” (i.e. putting the answer that they think their manager wants to see).</w:t>
      </w:r>
    </w:p>
    <w:p w14:paraId="795A29D9" w14:textId="529AC038" w:rsidR="00684B0C" w:rsidRPr="00400193" w:rsidRDefault="00684B0C" w:rsidP="00684B0C">
      <w:pPr>
        <w:rPr>
          <w:lang w:eastAsia="zh-CN" w:bidi="hi-IN"/>
        </w:rPr>
      </w:pPr>
      <w:r w:rsidRPr="00400193">
        <w:rPr>
          <w:lang w:eastAsia="zh-CN" w:bidi="hi-IN"/>
        </w:rPr>
        <w:t>These factors all added to the robustness of the research methodology. The main limitation was that it was not possible to include every employee in the public sector. However, to add to the reliability and validity of the research, the data were analysed using correlation and regression analysis (Field, 2017; MacInnes, 2017) and the results were tested statistically for reliability and found to be representative and reliable.</w:t>
      </w:r>
    </w:p>
    <w:p w14:paraId="15CCF798" w14:textId="27E1A20E" w:rsidR="00684B0C" w:rsidRPr="00400193" w:rsidRDefault="00684B0C" w:rsidP="00684B0C">
      <w:pPr>
        <w:rPr>
          <w:lang w:eastAsia="zh-CN" w:bidi="hi-IN"/>
        </w:rPr>
      </w:pPr>
      <w:r w:rsidRPr="00400193">
        <w:rPr>
          <w:lang w:eastAsia="zh-CN" w:bidi="hi-IN"/>
        </w:rPr>
        <w:t>However, it must be noted that, whilst for qualitative data for research at this level as few as five or six participants could be sufficient (Bryman, 1988), for quantitative data the 104 responses obtained is a very small number. To counter-act this apparently small sample it must be considered that</w:t>
      </w:r>
      <w:r w:rsidR="00AF403A" w:rsidRPr="00400193">
        <w:rPr>
          <w:lang w:eastAsia="zh-CN" w:bidi="hi-IN"/>
        </w:rPr>
        <w:t xml:space="preserve"> effectively the data were collected from </w:t>
      </w:r>
      <w:r w:rsidR="00B94822" w:rsidRPr="00400193">
        <w:rPr>
          <w:lang w:eastAsia="zh-CN" w:bidi="hi-IN"/>
        </w:rPr>
        <w:t>13 federal entities</w:t>
      </w:r>
      <w:r w:rsidR="006D5109" w:rsidRPr="00400193">
        <w:rPr>
          <w:lang w:eastAsia="zh-CN" w:bidi="hi-IN"/>
        </w:rPr>
        <w:t xml:space="preserve"> </w:t>
      </w:r>
      <w:r w:rsidR="00EC3AD0" w:rsidRPr="00400193">
        <w:rPr>
          <w:lang w:eastAsia="zh-CN" w:bidi="hi-IN"/>
        </w:rPr>
        <w:t>using</w:t>
      </w:r>
      <w:r w:rsidR="006D5109" w:rsidRPr="00400193">
        <w:rPr>
          <w:lang w:eastAsia="zh-CN" w:bidi="hi-IN"/>
        </w:rPr>
        <w:t xml:space="preserve"> </w:t>
      </w:r>
      <w:r w:rsidR="00F27663" w:rsidRPr="00400193">
        <w:rPr>
          <w:lang w:eastAsia="zh-CN"/>
        </w:rPr>
        <w:t>purposive sampling</w:t>
      </w:r>
      <w:r w:rsidR="009D20DF" w:rsidRPr="00400193">
        <w:rPr>
          <w:lang w:eastAsia="zh-CN"/>
        </w:rPr>
        <w:t xml:space="preserve"> and</w:t>
      </w:r>
      <w:r w:rsidR="00F27663" w:rsidRPr="00400193">
        <w:rPr>
          <w:lang w:eastAsia="zh-CN"/>
        </w:rPr>
        <w:t xml:space="preserve"> target</w:t>
      </w:r>
      <w:r w:rsidR="009D20DF" w:rsidRPr="00400193">
        <w:rPr>
          <w:lang w:eastAsia="zh-CN"/>
        </w:rPr>
        <w:t>ing</w:t>
      </w:r>
      <w:r w:rsidR="00F27663" w:rsidRPr="00400193">
        <w:rPr>
          <w:lang w:eastAsia="zh-CN"/>
        </w:rPr>
        <w:t xml:space="preserve"> </w:t>
      </w:r>
      <w:r w:rsidR="009D20DF" w:rsidRPr="00400193">
        <w:rPr>
          <w:lang w:eastAsia="zh-CN"/>
        </w:rPr>
        <w:t>the employees</w:t>
      </w:r>
      <w:r w:rsidR="00FD446F" w:rsidRPr="00400193">
        <w:rPr>
          <w:lang w:eastAsia="zh-CN"/>
        </w:rPr>
        <w:t xml:space="preserve"> </w:t>
      </w:r>
      <w:r w:rsidR="009D20DF" w:rsidRPr="00400193">
        <w:rPr>
          <w:lang w:eastAsia="zh-CN"/>
        </w:rPr>
        <w:t>who are working in support business departments.</w:t>
      </w:r>
    </w:p>
    <w:p w14:paraId="19C5599F" w14:textId="77777777" w:rsidR="006E3616" w:rsidRPr="00400193" w:rsidRDefault="006E3616" w:rsidP="006E3616">
      <w:pPr>
        <w:pStyle w:val="Heading3"/>
        <w:rPr>
          <w:rFonts w:eastAsia="Arial"/>
          <w:lang w:eastAsia="zh-CN" w:bidi="hi-IN"/>
        </w:rPr>
      </w:pPr>
      <w:bookmarkStart w:id="957" w:name="_280hiku"/>
      <w:bookmarkStart w:id="958" w:name="_Toc61894858"/>
      <w:bookmarkEnd w:id="957"/>
      <w:r w:rsidRPr="00400193">
        <w:rPr>
          <w:rFonts w:eastAsia="Arial"/>
          <w:lang w:eastAsia="zh-CN" w:bidi="hi-IN"/>
        </w:rPr>
        <w:t>Limitations for the Researcher and Recommendations</w:t>
      </w:r>
      <w:bookmarkEnd w:id="958"/>
    </w:p>
    <w:p w14:paraId="430BED06" w14:textId="77777777" w:rsidR="006E3616" w:rsidRPr="00400193" w:rsidRDefault="006E3616" w:rsidP="00056969">
      <w:pPr>
        <w:numPr>
          <w:ilvl w:val="0"/>
          <w:numId w:val="6"/>
        </w:numPr>
        <w:suppressAutoHyphens/>
        <w:spacing w:before="120" w:after="0"/>
        <w:rPr>
          <w:szCs w:val="24"/>
          <w:lang w:eastAsia="zh-CN" w:bidi="hi-IN"/>
        </w:rPr>
      </w:pPr>
      <w:r w:rsidRPr="00400193">
        <w:rPr>
          <w:szCs w:val="24"/>
          <w:lang w:eastAsia="zh-CN" w:bidi="hi-IN"/>
        </w:rPr>
        <w:t xml:space="preserve">Limited access to existing data. There has been very little research into cyber-security, cyber-resilience, or cyber-threat awareness within the UAE public </w:t>
      </w:r>
      <w:r w:rsidRPr="00400193">
        <w:rPr>
          <w:szCs w:val="24"/>
          <w:lang w:eastAsia="zh-CN" w:bidi="hi-IN"/>
        </w:rPr>
        <w:lastRenderedPageBreak/>
        <w:t>sector. As a result, it was not possible to make a comparison to other results for validation or cross-checking. The lack of existing data also meant that there was no means of checking the level of computer use and data access within the public sector, so that the sample size was not calculated, but estimated.</w:t>
      </w:r>
    </w:p>
    <w:p w14:paraId="3B90C4DD" w14:textId="77777777" w:rsidR="006E3616" w:rsidRPr="00400193" w:rsidRDefault="006E3616" w:rsidP="00056969">
      <w:pPr>
        <w:numPr>
          <w:ilvl w:val="0"/>
          <w:numId w:val="6"/>
        </w:numPr>
        <w:suppressAutoHyphens/>
        <w:spacing w:after="0"/>
        <w:rPr>
          <w:szCs w:val="24"/>
          <w:lang w:eastAsia="zh-CN" w:bidi="hi-IN"/>
        </w:rPr>
      </w:pPr>
      <w:r w:rsidRPr="00400193">
        <w:rPr>
          <w:szCs w:val="24"/>
          <w:lang w:eastAsia="zh-CN" w:bidi="hi-IN"/>
        </w:rPr>
        <w:t>Limited participant access. The lack of information about who has computer access or is responsible for data meant that it was necessary to select names from the e-mail directories of public sector organisations, on the basis that anyone with a work e-mail address must be a computer user. However, there are undoubtedly some computer users within these organisations who do not have a work e-mail address because of their position within the organisation.</w:t>
      </w:r>
    </w:p>
    <w:p w14:paraId="3BDD2947" w14:textId="77777777" w:rsidR="006E3616" w:rsidRPr="00400193" w:rsidRDefault="006E3616" w:rsidP="00056969">
      <w:pPr>
        <w:numPr>
          <w:ilvl w:val="0"/>
          <w:numId w:val="6"/>
        </w:numPr>
        <w:suppressAutoHyphens/>
        <w:spacing w:after="0"/>
        <w:rPr>
          <w:szCs w:val="24"/>
          <w:lang w:eastAsia="zh-CN" w:bidi="hi-IN"/>
        </w:rPr>
      </w:pPr>
      <w:r w:rsidRPr="00400193">
        <w:rPr>
          <w:szCs w:val="24"/>
          <w:lang w:eastAsia="zh-CN" w:bidi="hi-IN"/>
        </w:rPr>
        <w:t xml:space="preserve">Language limitations. Although English is a </w:t>
      </w:r>
      <w:r w:rsidRPr="00400193">
        <w:rPr>
          <w:i/>
          <w:szCs w:val="24"/>
          <w:lang w:eastAsia="zh-CN" w:bidi="hi-IN"/>
        </w:rPr>
        <w:t>lingua franca</w:t>
      </w:r>
      <w:r w:rsidRPr="00400193">
        <w:rPr>
          <w:szCs w:val="24"/>
          <w:lang w:eastAsia="zh-CN" w:bidi="hi-IN"/>
        </w:rPr>
        <w:t xml:space="preserve"> in the UAE, it is a second language for most workers in the public sector. It was therefore necessary to ensure that basic, clear, and unambiguous English was used throughout the questionnaire.</w:t>
      </w:r>
    </w:p>
    <w:p w14:paraId="2E855E36" w14:textId="77777777" w:rsidR="006E3616" w:rsidRPr="00400193" w:rsidRDefault="006E3616" w:rsidP="00056969">
      <w:pPr>
        <w:numPr>
          <w:ilvl w:val="0"/>
          <w:numId w:val="6"/>
        </w:numPr>
        <w:suppressAutoHyphens/>
        <w:spacing w:after="0"/>
        <w:rPr>
          <w:szCs w:val="24"/>
          <w:lang w:eastAsia="zh-CN" w:bidi="hi-IN"/>
        </w:rPr>
      </w:pPr>
      <w:r w:rsidRPr="00400193">
        <w:rPr>
          <w:szCs w:val="24"/>
          <w:lang w:eastAsia="zh-CN" w:bidi="hi-IN"/>
        </w:rPr>
        <w:t>Limited publishing opportunities. Unless research into the public sector in the UAE has been commissioned by the government it is unlikely that it will be accepted for publication. However, the research will be placed in the university repository and will be disseminated as widely as possible.</w:t>
      </w:r>
    </w:p>
    <w:p w14:paraId="27C8AC7B" w14:textId="0FBFD7D3" w:rsidR="00A86681" w:rsidRPr="00400193" w:rsidRDefault="00A86681" w:rsidP="00A86681">
      <w:pPr>
        <w:pStyle w:val="Heading2"/>
        <w:rPr>
          <w:rFonts w:eastAsia="Arial"/>
          <w:lang w:eastAsia="zh-CN" w:bidi="hi-IN"/>
        </w:rPr>
      </w:pPr>
      <w:bookmarkStart w:id="959" w:name="_n5rssn"/>
      <w:bookmarkStart w:id="960" w:name="_Toc61894859"/>
      <w:bookmarkEnd w:id="959"/>
      <w:r w:rsidRPr="00400193">
        <w:rPr>
          <w:rFonts w:eastAsia="Arial"/>
          <w:lang w:eastAsia="zh-CN" w:bidi="hi-IN"/>
        </w:rPr>
        <w:t>Future Research Agenda</w:t>
      </w:r>
      <w:bookmarkEnd w:id="960"/>
    </w:p>
    <w:p w14:paraId="0AA35929" w14:textId="1BC0309A" w:rsidR="004133DF" w:rsidRPr="00400193" w:rsidRDefault="004133DF" w:rsidP="004133DF">
      <w:pPr>
        <w:rPr>
          <w:lang w:eastAsia="zh-CN" w:bidi="hi-IN"/>
        </w:rPr>
      </w:pPr>
      <w:r w:rsidRPr="00400193">
        <w:rPr>
          <w:lang w:eastAsia="zh-CN" w:bidi="hi-IN"/>
        </w:rPr>
        <w:t>Although this research was thorough, it did not consider the longitudinal effects. This was, necessarily, a cross-sectional study in a field where changes occur very rapidly. To discover whether the framework has:</w:t>
      </w:r>
    </w:p>
    <w:p w14:paraId="37A042CD" w14:textId="77777777" w:rsidR="004133DF" w:rsidRPr="00400193" w:rsidRDefault="004133DF" w:rsidP="004133DF">
      <w:pPr>
        <w:ind w:left="720" w:firstLine="720"/>
        <w:rPr>
          <w:lang w:eastAsia="zh-CN" w:bidi="hi-IN"/>
        </w:rPr>
      </w:pPr>
      <w:r w:rsidRPr="00400193">
        <w:rPr>
          <w:lang w:eastAsia="zh-CN" w:bidi="hi-IN"/>
        </w:rPr>
        <w:t>A. Been applied, and</w:t>
      </w:r>
    </w:p>
    <w:p w14:paraId="1A2F8233" w14:textId="77777777" w:rsidR="004133DF" w:rsidRPr="00400193" w:rsidRDefault="004133DF" w:rsidP="004133DF">
      <w:pPr>
        <w:ind w:left="720" w:firstLine="720"/>
        <w:rPr>
          <w:lang w:eastAsia="zh-CN" w:bidi="hi-IN"/>
        </w:rPr>
      </w:pPr>
      <w:r w:rsidRPr="00400193">
        <w:rPr>
          <w:lang w:eastAsia="zh-CN" w:bidi="hi-IN"/>
        </w:rPr>
        <w:t>B. Been successful</w:t>
      </w:r>
    </w:p>
    <w:p w14:paraId="5686EAAB" w14:textId="774F0E2C" w:rsidR="004133DF" w:rsidRPr="00400193" w:rsidRDefault="004133DF" w:rsidP="004133DF">
      <w:pPr>
        <w:rPr>
          <w:lang w:eastAsia="zh-CN" w:bidi="hi-IN"/>
        </w:rPr>
      </w:pPr>
      <w:r w:rsidRPr="00400193">
        <w:rPr>
          <w:lang w:eastAsia="zh-CN" w:bidi="hi-IN"/>
        </w:rPr>
        <w:t>Would require at least two further research efforts. Nevertheless, assessing changes over time is very important, because this would demonstrate the efficacy of the framework.</w:t>
      </w:r>
    </w:p>
    <w:p w14:paraId="2EDFB17C" w14:textId="074BE78C" w:rsidR="004133DF" w:rsidRPr="00400193" w:rsidRDefault="004133DF" w:rsidP="004133DF">
      <w:pPr>
        <w:rPr>
          <w:lang w:eastAsia="zh-CN" w:bidi="hi-IN"/>
        </w:rPr>
      </w:pPr>
      <w:r w:rsidRPr="00400193">
        <w:rPr>
          <w:lang w:eastAsia="zh-CN" w:bidi="hi-IN"/>
        </w:rPr>
        <w:t>Thus, the future research recommendations are largely practice based, and are as follows:</w:t>
      </w:r>
    </w:p>
    <w:p w14:paraId="05FEA627" w14:textId="2DC4395B" w:rsidR="004133DF" w:rsidRPr="00400193" w:rsidRDefault="004133DF" w:rsidP="004133DF">
      <w:pPr>
        <w:pStyle w:val="ListParagraph"/>
        <w:numPr>
          <w:ilvl w:val="0"/>
          <w:numId w:val="29"/>
        </w:numPr>
        <w:rPr>
          <w:lang w:eastAsia="zh-CN" w:bidi="hi-IN"/>
        </w:rPr>
      </w:pPr>
      <w:r w:rsidRPr="00400193">
        <w:rPr>
          <w:lang w:eastAsia="zh-CN" w:bidi="hi-IN"/>
        </w:rPr>
        <w:t xml:space="preserve">The senior management of each public sector organisation </w:t>
      </w:r>
      <w:r w:rsidR="00803D7E" w:rsidRPr="00400193">
        <w:rPr>
          <w:lang w:eastAsia="zh-CN" w:bidi="hi-IN"/>
        </w:rPr>
        <w:t>should:</w:t>
      </w:r>
    </w:p>
    <w:p w14:paraId="5757794B" w14:textId="1902AEC9" w:rsidR="00803D7E" w:rsidRPr="00400193" w:rsidRDefault="00803D7E" w:rsidP="00803D7E">
      <w:pPr>
        <w:pStyle w:val="ListParagraph"/>
        <w:numPr>
          <w:ilvl w:val="1"/>
          <w:numId w:val="29"/>
        </w:numPr>
        <w:rPr>
          <w:lang w:eastAsia="zh-CN" w:bidi="hi-IN"/>
        </w:rPr>
      </w:pPr>
      <w:r w:rsidRPr="00400193">
        <w:rPr>
          <w:lang w:eastAsia="zh-CN" w:bidi="hi-IN"/>
        </w:rPr>
        <w:lastRenderedPageBreak/>
        <w:t>Apply the new framework</w:t>
      </w:r>
    </w:p>
    <w:p w14:paraId="16F8129D" w14:textId="028D67B0" w:rsidR="00803D7E" w:rsidRPr="00400193" w:rsidRDefault="00803D7E" w:rsidP="00803D7E">
      <w:pPr>
        <w:pStyle w:val="ListParagraph"/>
        <w:numPr>
          <w:ilvl w:val="1"/>
          <w:numId w:val="29"/>
        </w:numPr>
        <w:rPr>
          <w:lang w:eastAsia="zh-CN" w:bidi="hi-IN"/>
        </w:rPr>
      </w:pPr>
      <w:r w:rsidRPr="00400193">
        <w:rPr>
          <w:lang w:eastAsia="zh-CN" w:bidi="hi-IN"/>
        </w:rPr>
        <w:t>Research its effectiveness in their specific case by:</w:t>
      </w:r>
    </w:p>
    <w:p w14:paraId="05CF859C" w14:textId="7E133800" w:rsidR="00803D7E" w:rsidRPr="00400193" w:rsidRDefault="00803D7E" w:rsidP="00803D7E">
      <w:pPr>
        <w:pStyle w:val="ListParagraph"/>
        <w:numPr>
          <w:ilvl w:val="2"/>
          <w:numId w:val="29"/>
        </w:numPr>
        <w:rPr>
          <w:lang w:eastAsia="zh-CN" w:bidi="hi-IN"/>
        </w:rPr>
      </w:pPr>
      <w:r w:rsidRPr="00400193">
        <w:rPr>
          <w:lang w:eastAsia="zh-CN" w:bidi="hi-IN"/>
        </w:rPr>
        <w:t>Completing a similar survey, but of a higher percentage of employees</w:t>
      </w:r>
    </w:p>
    <w:p w14:paraId="42585654" w14:textId="46E74F83" w:rsidR="00803D7E" w:rsidRPr="00400193" w:rsidRDefault="00803D7E" w:rsidP="00803D7E">
      <w:pPr>
        <w:pStyle w:val="ListParagraph"/>
        <w:numPr>
          <w:ilvl w:val="2"/>
          <w:numId w:val="29"/>
        </w:numPr>
        <w:rPr>
          <w:lang w:eastAsia="zh-CN" w:bidi="hi-IN"/>
        </w:rPr>
      </w:pPr>
      <w:r w:rsidRPr="00400193">
        <w:rPr>
          <w:lang w:eastAsia="zh-CN" w:bidi="hi-IN"/>
        </w:rPr>
        <w:t>Analysing the collected data</w:t>
      </w:r>
    </w:p>
    <w:p w14:paraId="32E2382C" w14:textId="0A33D7E2" w:rsidR="00803D7E" w:rsidRPr="00400193" w:rsidRDefault="00803D7E" w:rsidP="00803D7E">
      <w:pPr>
        <w:pStyle w:val="ListParagraph"/>
        <w:numPr>
          <w:ilvl w:val="2"/>
          <w:numId w:val="29"/>
        </w:numPr>
        <w:rPr>
          <w:lang w:eastAsia="zh-CN" w:bidi="hi-IN"/>
        </w:rPr>
      </w:pPr>
      <w:r w:rsidRPr="00400193">
        <w:rPr>
          <w:lang w:eastAsia="zh-CN" w:bidi="hi-IN"/>
        </w:rPr>
        <w:t>Adjusting their strategies to fit the requirements.</w:t>
      </w:r>
    </w:p>
    <w:p w14:paraId="01EDB8DF" w14:textId="2B3EE457" w:rsidR="00803D7E" w:rsidRPr="00400193" w:rsidRDefault="00803D7E" w:rsidP="00803D7E">
      <w:pPr>
        <w:pStyle w:val="ListParagraph"/>
        <w:numPr>
          <w:ilvl w:val="0"/>
          <w:numId w:val="29"/>
        </w:numPr>
        <w:rPr>
          <w:lang w:eastAsia="zh-CN" w:bidi="hi-IN"/>
        </w:rPr>
      </w:pPr>
      <w:r w:rsidRPr="00400193">
        <w:rPr>
          <w:lang w:eastAsia="zh-CN" w:bidi="hi-IN"/>
        </w:rPr>
        <w:t>Government ministers should then request similar actions from other cities in the UAE – the additional data gathered can then:</w:t>
      </w:r>
    </w:p>
    <w:p w14:paraId="26CAAC82" w14:textId="03BEE29C" w:rsidR="00803D7E" w:rsidRPr="00400193" w:rsidRDefault="00803D7E" w:rsidP="00803D7E">
      <w:pPr>
        <w:pStyle w:val="ListParagraph"/>
        <w:numPr>
          <w:ilvl w:val="1"/>
          <w:numId w:val="29"/>
        </w:numPr>
        <w:rPr>
          <w:lang w:eastAsia="zh-CN" w:bidi="hi-IN"/>
        </w:rPr>
      </w:pPr>
      <w:r w:rsidRPr="00400193">
        <w:rPr>
          <w:lang w:eastAsia="zh-CN" w:bidi="hi-IN"/>
        </w:rPr>
        <w:t xml:space="preserve">Be consolidated with the data from this research and from other public sector bodies in </w:t>
      </w:r>
      <w:r w:rsidR="00133BC2" w:rsidRPr="00400193">
        <w:rPr>
          <w:lang w:eastAsia="zh-CN" w:bidi="hi-IN"/>
        </w:rPr>
        <w:t>UAE</w:t>
      </w:r>
      <w:r w:rsidRPr="00400193">
        <w:rPr>
          <w:lang w:eastAsia="zh-CN" w:bidi="hi-IN"/>
        </w:rPr>
        <w:t>, allowing a meta-analysis to be completed</w:t>
      </w:r>
    </w:p>
    <w:p w14:paraId="4B27FB7F" w14:textId="4FBCEB57" w:rsidR="00803D7E" w:rsidRPr="00400193" w:rsidRDefault="00803D7E" w:rsidP="00803D7E">
      <w:pPr>
        <w:pStyle w:val="ListParagraph"/>
        <w:numPr>
          <w:ilvl w:val="1"/>
          <w:numId w:val="29"/>
        </w:numPr>
        <w:rPr>
          <w:lang w:eastAsia="zh-CN" w:bidi="hi-IN"/>
        </w:rPr>
      </w:pPr>
      <w:r w:rsidRPr="00400193">
        <w:rPr>
          <w:lang w:eastAsia="zh-CN" w:bidi="hi-IN"/>
        </w:rPr>
        <w:t>Shared with other cities, Emirates, and governments</w:t>
      </w:r>
    </w:p>
    <w:p w14:paraId="40A1521A" w14:textId="2FE80D6C" w:rsidR="00803D7E" w:rsidRPr="00400193" w:rsidRDefault="00803D7E" w:rsidP="00803D7E">
      <w:pPr>
        <w:pStyle w:val="ListParagraph"/>
        <w:numPr>
          <w:ilvl w:val="0"/>
          <w:numId w:val="29"/>
        </w:numPr>
        <w:rPr>
          <w:lang w:eastAsia="zh-CN" w:bidi="hi-IN"/>
        </w:rPr>
      </w:pPr>
      <w:r w:rsidRPr="00400193">
        <w:rPr>
          <w:lang w:eastAsia="zh-CN" w:bidi="hi-IN"/>
        </w:rPr>
        <w:t xml:space="preserve"> A similar research programme should be proposed for management in the private sector in </w:t>
      </w:r>
      <w:r w:rsidR="00133BC2" w:rsidRPr="00400193">
        <w:rPr>
          <w:lang w:eastAsia="zh-CN" w:bidi="hi-IN"/>
        </w:rPr>
        <w:t>UAE</w:t>
      </w:r>
      <w:r w:rsidRPr="00400193">
        <w:rPr>
          <w:lang w:eastAsia="zh-CN" w:bidi="hi-IN"/>
        </w:rPr>
        <w:t>. The expansion of this research would follow the steps above, with meta-analyses and data sharing.</w:t>
      </w:r>
    </w:p>
    <w:p w14:paraId="5FD1D180" w14:textId="22EAE10E" w:rsidR="006E3616" w:rsidRPr="00400193" w:rsidRDefault="006E3616" w:rsidP="006E3616">
      <w:pPr>
        <w:pStyle w:val="Heading2"/>
        <w:rPr>
          <w:rFonts w:eastAsia="Arial"/>
          <w:lang w:eastAsia="zh-CN" w:bidi="hi-IN"/>
        </w:rPr>
      </w:pPr>
      <w:bookmarkStart w:id="961" w:name="_Toc61894860"/>
      <w:r w:rsidRPr="00400193">
        <w:rPr>
          <w:rFonts w:eastAsia="Arial"/>
          <w:lang w:eastAsia="zh-CN" w:bidi="hi-IN"/>
        </w:rPr>
        <w:t>Summary of Conclusions</w:t>
      </w:r>
      <w:bookmarkEnd w:id="961"/>
    </w:p>
    <w:p w14:paraId="0F5F00F5" w14:textId="77777777" w:rsidR="006E3616" w:rsidRPr="00400193" w:rsidRDefault="006E3616" w:rsidP="006E3616">
      <w:pPr>
        <w:suppressAutoHyphens/>
        <w:rPr>
          <w:szCs w:val="24"/>
          <w:lang w:eastAsia="zh-CN" w:bidi="hi-IN"/>
        </w:rPr>
      </w:pPr>
      <w:r w:rsidRPr="00400193">
        <w:rPr>
          <w:szCs w:val="24"/>
          <w:lang w:eastAsia="zh-CN" w:bidi="hi-IN"/>
        </w:rPr>
        <w:t>The research set out to investigate how cyber-resilience and cyber-threat awareness could be improved in UAE public sector organisations by the application of a new framework that would allow those organisations to continue to improve in the future. The IoT was seen as an under-estimated threat, and it was expected that there would be a relatively low awareness of cyber-threats from this or other sources. The general consensus when considering cyber-risk is that these may be divided into internal and external risks, although IoT devices potentially fall into both.</w:t>
      </w:r>
    </w:p>
    <w:p w14:paraId="4AB4683B" w14:textId="77777777" w:rsidR="006E3616" w:rsidRPr="00400193" w:rsidRDefault="006E3616" w:rsidP="006E3616">
      <w:pPr>
        <w:suppressAutoHyphens/>
        <w:rPr>
          <w:szCs w:val="24"/>
          <w:lang w:eastAsia="zh-CN" w:bidi="hi-IN"/>
        </w:rPr>
      </w:pPr>
      <w:r w:rsidRPr="00400193">
        <w:rPr>
          <w:szCs w:val="24"/>
          <w:lang w:eastAsia="zh-CN" w:bidi="hi-IN"/>
        </w:rPr>
        <w:t xml:space="preserve">After a literature review, an online survey was conducted among public sector staff in the UAE. The data from this survey were analysed in depth and compared to the literature. Eight hypotheses were developed and tested, and all were accepted (although two only in part), confirming that the new framework is correctly constructed. This framework will allow public sector organisations in the UAE to assess their current awareness and resilience to cyber-risks, and therefore improve their performance in both areas. This acceptance of the hypotheses also answers the five research questions, since new risks have been identified, alternative ways of classifying some </w:t>
      </w:r>
      <w:r w:rsidRPr="00400193">
        <w:rPr>
          <w:szCs w:val="24"/>
          <w:lang w:eastAsia="zh-CN" w:bidi="hi-IN"/>
        </w:rPr>
        <w:lastRenderedPageBreak/>
        <w:t>risks have been found, existing frameworks have been examined and found inadequate, new strategies have been proposed, and managers have been given a way to measure existing levels of cyber-resilience.</w:t>
      </w:r>
    </w:p>
    <w:p w14:paraId="060F863D" w14:textId="77777777" w:rsidR="006E3616" w:rsidRPr="00400193" w:rsidRDefault="006E3616" w:rsidP="006E3616">
      <w:pPr>
        <w:suppressAutoHyphens/>
        <w:rPr>
          <w:szCs w:val="24"/>
          <w:lang w:eastAsia="zh-CN" w:bidi="hi-IN"/>
        </w:rPr>
      </w:pPr>
      <w:r w:rsidRPr="00400193">
        <w:rPr>
          <w:szCs w:val="24"/>
          <w:lang w:eastAsia="zh-CN" w:bidi="hi-IN"/>
        </w:rPr>
        <w:t>The study aimed to start with a framework for public sector organisations in the UAE that would permit them to measure their current awareness and resilience, and then improve that position. The conclusion of the data analysis and the literature review was that there is a limited level of cyber-risk awareness in the UAE public sector, but that the application of the framework would assist managers to increase the levels of cyber-risk awareness and the cyber-resilience of the organisations.</w:t>
      </w:r>
    </w:p>
    <w:p w14:paraId="1C9D8DBB" w14:textId="77777777" w:rsidR="006E3616" w:rsidRPr="00400193" w:rsidRDefault="006E3616" w:rsidP="006E3616">
      <w:pPr>
        <w:suppressAutoHyphens/>
        <w:rPr>
          <w:szCs w:val="24"/>
          <w:lang w:eastAsia="zh-CN" w:bidi="hi-IN"/>
        </w:rPr>
      </w:pPr>
      <w:r w:rsidRPr="00400193">
        <w:rPr>
          <w:szCs w:val="24"/>
          <w:lang w:eastAsia="zh-CN" w:bidi="hi-IN"/>
        </w:rPr>
        <w:t>The new framework will, if applied correctly, and with full management commitment, be sufficient to begin the process of making the UAE a safe cyber-space area, with reliable, resilient critical infrastructure that gives users confidence and protects the companies and people living and working in the UAE. This will allow a new, sustainable economy to be built on a platform of technology. Finally, the detailed and complete answers to the research questions and the acceptance of the hypotheses means that the new framework is a good starting point for general improvements in cyber-risk awareness and cyber-resilience across the public sector in the UAE.</w:t>
      </w:r>
    </w:p>
    <w:p w14:paraId="635301EB" w14:textId="77777777" w:rsidR="006E3616" w:rsidRPr="00400193" w:rsidRDefault="006E3616" w:rsidP="006E3616">
      <w:pPr>
        <w:suppressAutoHyphens/>
        <w:rPr>
          <w:szCs w:val="24"/>
          <w:lang w:eastAsia="zh-CN" w:bidi="hi-IN"/>
        </w:rPr>
      </w:pPr>
    </w:p>
    <w:p w14:paraId="027D7D0D" w14:textId="77777777" w:rsidR="006E3616" w:rsidRPr="00400193" w:rsidRDefault="006E3616" w:rsidP="006E3616">
      <w:pPr>
        <w:rPr>
          <w:noProof/>
        </w:rPr>
      </w:pPr>
      <w:bookmarkStart w:id="962" w:name="_375fbgg"/>
      <w:bookmarkEnd w:id="962"/>
    </w:p>
    <w:p w14:paraId="233305AF" w14:textId="77777777" w:rsidR="006E3616" w:rsidRPr="00400193" w:rsidRDefault="006E3616" w:rsidP="006E3616"/>
    <w:p w14:paraId="776DD99F" w14:textId="77777777" w:rsidR="006E3616" w:rsidRPr="00400193" w:rsidRDefault="006E3616" w:rsidP="006E3616"/>
    <w:p w14:paraId="41BEDE44" w14:textId="77777777" w:rsidR="009E7D07" w:rsidRPr="00400193" w:rsidRDefault="009E7D07">
      <w:pPr>
        <w:spacing w:line="259" w:lineRule="auto"/>
        <w:jc w:val="left"/>
        <w:rPr>
          <w:rFonts w:eastAsia="Times New Roman"/>
          <w:b/>
          <w:sz w:val="32"/>
          <w:szCs w:val="32"/>
          <w:lang w:eastAsia="zh-CN" w:bidi="hi-IN"/>
        </w:rPr>
      </w:pPr>
      <w:r w:rsidRPr="00400193">
        <w:rPr>
          <w:lang w:eastAsia="zh-CN" w:bidi="hi-IN"/>
        </w:rPr>
        <w:br w:type="page"/>
      </w:r>
    </w:p>
    <w:p w14:paraId="4C42B1CE" w14:textId="3E75A16E" w:rsidR="006E3616" w:rsidRPr="00400193" w:rsidRDefault="006E3616" w:rsidP="00037F29">
      <w:pPr>
        <w:pStyle w:val="Heading1"/>
        <w:numPr>
          <w:ilvl w:val="0"/>
          <w:numId w:val="0"/>
        </w:numPr>
        <w:jc w:val="both"/>
        <w:rPr>
          <w:lang w:eastAsia="zh-CN" w:bidi="hi-IN"/>
        </w:rPr>
      </w:pPr>
      <w:bookmarkStart w:id="963" w:name="_Toc61894861"/>
      <w:r w:rsidRPr="00400193">
        <w:rPr>
          <w:lang w:eastAsia="zh-CN" w:bidi="hi-IN"/>
        </w:rPr>
        <w:lastRenderedPageBreak/>
        <w:t>References</w:t>
      </w:r>
      <w:bookmarkEnd w:id="963"/>
    </w:p>
    <w:p w14:paraId="77084EB7" w14:textId="63909D6D" w:rsidR="00803D7E" w:rsidRPr="00400193" w:rsidRDefault="006E3616" w:rsidP="00E90E0D">
      <w:pPr>
        <w:pStyle w:val="Bibliography"/>
        <w:jc w:val="left"/>
        <w:rPr>
          <w:noProof/>
          <w:sz w:val="24"/>
          <w:szCs w:val="24"/>
        </w:rPr>
      </w:pPr>
      <w:r w:rsidRPr="00400193">
        <w:rPr>
          <w:lang w:eastAsia="zh-CN" w:bidi="hi-IN"/>
        </w:rPr>
        <w:fldChar w:fldCharType="begin"/>
      </w:r>
      <w:r w:rsidRPr="00400193">
        <w:rPr>
          <w:lang w:eastAsia="zh-CN" w:bidi="hi-IN"/>
        </w:rPr>
        <w:instrText xml:space="preserve"> BIBLIOGRAPHY  \l 2057 </w:instrText>
      </w:r>
      <w:r w:rsidRPr="00400193">
        <w:rPr>
          <w:lang w:eastAsia="zh-CN" w:bidi="hi-IN"/>
        </w:rPr>
        <w:fldChar w:fldCharType="separate"/>
      </w:r>
      <w:r w:rsidR="00803D7E" w:rsidRPr="00400193">
        <w:rPr>
          <w:noProof/>
        </w:rPr>
        <w:t>Abu</w:t>
      </w:r>
      <w:r w:rsidR="00803D7E" w:rsidRPr="00400193">
        <w:rPr>
          <w:rFonts w:ascii="Cambria Math" w:hAnsi="Cambria Math" w:cs="Cambria Math"/>
          <w:noProof/>
        </w:rPr>
        <w:t>‐</w:t>
      </w:r>
      <w:r w:rsidR="00803D7E" w:rsidRPr="00400193">
        <w:rPr>
          <w:noProof/>
        </w:rPr>
        <w:t xml:space="preserve">Musa, A. (2010). Information security governance in Saudi organizations: an empirical study. </w:t>
      </w:r>
      <w:r w:rsidR="00803D7E" w:rsidRPr="00400193">
        <w:rPr>
          <w:i/>
          <w:iCs/>
          <w:noProof/>
        </w:rPr>
        <w:t>Information Management &amp; Computer Security, 18</w:t>
      </w:r>
      <w:r w:rsidR="00803D7E" w:rsidRPr="00400193">
        <w:rPr>
          <w:noProof/>
        </w:rPr>
        <w:t>(4), 226-276. doi:10.1108/09685221011079180</w:t>
      </w:r>
    </w:p>
    <w:p w14:paraId="14C0C2E9" w14:textId="77777777" w:rsidR="00803D7E" w:rsidRPr="00400193" w:rsidRDefault="00803D7E" w:rsidP="00E90E0D">
      <w:pPr>
        <w:pStyle w:val="Bibliography"/>
        <w:jc w:val="left"/>
        <w:rPr>
          <w:noProof/>
        </w:rPr>
      </w:pPr>
      <w:r w:rsidRPr="00400193">
        <w:rPr>
          <w:noProof/>
        </w:rPr>
        <w:t xml:space="preserve">Adams, M., &amp; Makramalla, M. (2015). Cybersecurity Skills Training: An Attacker-Centric Gamified Approach. </w:t>
      </w:r>
      <w:r w:rsidRPr="00400193">
        <w:rPr>
          <w:i/>
          <w:iCs/>
          <w:noProof/>
        </w:rPr>
        <w:t>Technology Innovation Management Review, 5</w:t>
      </w:r>
      <w:r w:rsidRPr="00400193">
        <w:rPr>
          <w:noProof/>
        </w:rPr>
        <w:t>(1), 5-14.</w:t>
      </w:r>
    </w:p>
    <w:p w14:paraId="42022502" w14:textId="7DEB8EDA" w:rsidR="00803D7E" w:rsidRPr="00400193" w:rsidRDefault="00803D7E" w:rsidP="00E90E0D">
      <w:pPr>
        <w:pStyle w:val="Bibliography"/>
        <w:jc w:val="left"/>
        <w:rPr>
          <w:noProof/>
        </w:rPr>
      </w:pPr>
      <w:r w:rsidRPr="00400193">
        <w:rPr>
          <w:noProof/>
        </w:rPr>
        <w:t xml:space="preserve">Ahmed, A., &amp; Zhang, N. (2010). Towards the realisation of context-risk-aware access control in pervasive computing. </w:t>
      </w:r>
      <w:r w:rsidRPr="00400193">
        <w:rPr>
          <w:i/>
          <w:iCs/>
          <w:noProof/>
        </w:rPr>
        <w:t>Telecommunication Systems, 45</w:t>
      </w:r>
      <w:r w:rsidRPr="00400193">
        <w:rPr>
          <w:noProof/>
        </w:rPr>
        <w:t>(2-3), 127-137. doi:10.1007/s11235-009-9240-3</w:t>
      </w:r>
    </w:p>
    <w:p w14:paraId="3B2405E9" w14:textId="77777777" w:rsidR="006D60F2" w:rsidRPr="00400193" w:rsidRDefault="006D60F2" w:rsidP="006D60F2">
      <w:pPr>
        <w:pStyle w:val="CommentText"/>
        <w:jc w:val="left"/>
        <w:rPr>
          <w:shd w:val="clear" w:color="auto" w:fill="FFFFFF"/>
        </w:rPr>
      </w:pPr>
      <w:r w:rsidRPr="00400193">
        <w:rPr>
          <w:shd w:val="clear" w:color="auto" w:fill="FFFFFF"/>
        </w:rPr>
        <w:t>Anderson, RE, Hair, JF, Bush, AJ, Almada, MGC and Almada, JC, 1995. </w:t>
      </w:r>
      <w:r w:rsidRPr="00400193">
        <w:rPr>
          <w:i/>
          <w:iCs/>
          <w:shd w:val="clear" w:color="auto" w:fill="FFFFFF"/>
        </w:rPr>
        <w:t>Sales management</w:t>
      </w:r>
      <w:r w:rsidRPr="00400193">
        <w:rPr>
          <w:shd w:val="clear" w:color="auto" w:fill="FFFFFF"/>
        </w:rPr>
        <w:t> . Mexico City, Mexico: McGraw-Hill.</w:t>
      </w:r>
    </w:p>
    <w:p w14:paraId="675298B0" w14:textId="77777777" w:rsidR="00803D7E" w:rsidRPr="00400193" w:rsidRDefault="00803D7E" w:rsidP="00E90E0D">
      <w:pPr>
        <w:pStyle w:val="Bibliography"/>
        <w:jc w:val="left"/>
        <w:rPr>
          <w:noProof/>
        </w:rPr>
      </w:pPr>
      <w:r w:rsidRPr="00400193">
        <w:rPr>
          <w:noProof/>
        </w:rPr>
        <w:t xml:space="preserve">Ahmed, U., Raza, I., Hussain, S. A., Ali, A., Iqbal, M., &amp; Wang, X. (2015). Modelling cyber security for software-defined networks those grow strong when exposed to threats. </w:t>
      </w:r>
      <w:r w:rsidRPr="00400193">
        <w:rPr>
          <w:i/>
          <w:iCs/>
          <w:noProof/>
        </w:rPr>
        <w:t>Journal of reliable intelligent environments, 1</w:t>
      </w:r>
      <w:r w:rsidRPr="00400193">
        <w:rPr>
          <w:noProof/>
        </w:rPr>
        <w:t>(2), 123-146. doi:10.1007/s40860-015-0008-0</w:t>
      </w:r>
    </w:p>
    <w:p w14:paraId="66B88568" w14:textId="77777777" w:rsidR="00803D7E" w:rsidRPr="00400193" w:rsidRDefault="00803D7E" w:rsidP="00E90E0D">
      <w:pPr>
        <w:pStyle w:val="Bibliography"/>
        <w:jc w:val="left"/>
        <w:rPr>
          <w:noProof/>
        </w:rPr>
      </w:pPr>
      <w:r w:rsidRPr="00400193">
        <w:rPr>
          <w:noProof/>
        </w:rPr>
        <w:t xml:space="preserve">Al Mazari, A., Anjariny, A. H., Habib, S. A., &amp; Nyakwende, E. (2016). Cyber Terrorism Taxonomies: Definition, Targets, Patterns, Risk Factors, and Mitigation Strategies. </w:t>
      </w:r>
      <w:r w:rsidRPr="00400193">
        <w:rPr>
          <w:i/>
          <w:iCs/>
          <w:noProof/>
        </w:rPr>
        <w:t>International Journal of Cyber Warfare and Terrorism (IJCWT), 6</w:t>
      </w:r>
      <w:r w:rsidRPr="00400193">
        <w:rPr>
          <w:noProof/>
        </w:rPr>
        <w:t>(1), 1-12. doi:10.4018/IJCWT.2016010101</w:t>
      </w:r>
    </w:p>
    <w:p w14:paraId="4FE2CF15" w14:textId="77777777" w:rsidR="00803D7E" w:rsidRPr="00400193" w:rsidRDefault="00803D7E" w:rsidP="00E90E0D">
      <w:pPr>
        <w:pStyle w:val="Bibliography"/>
        <w:jc w:val="left"/>
        <w:rPr>
          <w:noProof/>
        </w:rPr>
      </w:pPr>
      <w:r w:rsidRPr="00400193">
        <w:rPr>
          <w:noProof/>
        </w:rPr>
        <w:t xml:space="preserve">Al-Gahtani, S. S., Hubona, G. S., &amp; Wang, J. (2007). Information technology (IT) in Saudi Arabia: Culture and the acceptance and use of IT. </w:t>
      </w:r>
      <w:r w:rsidRPr="00400193">
        <w:rPr>
          <w:i/>
          <w:iCs/>
          <w:noProof/>
        </w:rPr>
        <w:t>Information &amp; Management, 44</w:t>
      </w:r>
      <w:r w:rsidRPr="00400193">
        <w:rPr>
          <w:noProof/>
        </w:rPr>
        <w:t>(8), 681-691. doi:10.1016/j.im.2007.09.002</w:t>
      </w:r>
    </w:p>
    <w:p w14:paraId="4B2F2C79" w14:textId="77777777" w:rsidR="00803D7E" w:rsidRPr="00400193" w:rsidRDefault="00803D7E" w:rsidP="00E90E0D">
      <w:pPr>
        <w:pStyle w:val="Bibliography"/>
        <w:jc w:val="left"/>
        <w:rPr>
          <w:noProof/>
        </w:rPr>
      </w:pPr>
      <w:r w:rsidRPr="00400193">
        <w:rPr>
          <w:noProof/>
        </w:rPr>
        <w:t xml:space="preserve">Allianz. (2015). </w:t>
      </w:r>
      <w:r w:rsidRPr="00400193">
        <w:rPr>
          <w:i/>
          <w:iCs/>
          <w:noProof/>
        </w:rPr>
        <w:t>A Guide to Cyber-Risk.</w:t>
      </w:r>
      <w:r w:rsidRPr="00400193">
        <w:rPr>
          <w:noProof/>
        </w:rPr>
        <w:t xml:space="preserve"> Munich: Allianz Global.</w:t>
      </w:r>
    </w:p>
    <w:p w14:paraId="6BCA019C" w14:textId="77777777" w:rsidR="00803D7E" w:rsidRPr="00400193" w:rsidRDefault="00803D7E" w:rsidP="00E90E0D">
      <w:pPr>
        <w:pStyle w:val="Bibliography"/>
        <w:jc w:val="left"/>
        <w:rPr>
          <w:noProof/>
        </w:rPr>
      </w:pPr>
      <w:r w:rsidRPr="00400193">
        <w:rPr>
          <w:noProof/>
        </w:rPr>
        <w:t xml:space="preserve">Allianz. (2016). </w:t>
      </w:r>
      <w:r w:rsidRPr="00400193">
        <w:rPr>
          <w:i/>
          <w:iCs/>
          <w:noProof/>
        </w:rPr>
        <w:t>Allianz Risk Barometer 2016</w:t>
      </w:r>
      <w:r w:rsidRPr="00400193">
        <w:rPr>
          <w:noProof/>
        </w:rPr>
        <w:t>. Retrieved March 20, 2016, from http://www.agcs.allianz.com/insights/white-papers-and-case-studies/allianz-risk-barometer-2016/</w:t>
      </w:r>
    </w:p>
    <w:p w14:paraId="3FACADD7" w14:textId="77777777" w:rsidR="00803D7E" w:rsidRPr="00400193" w:rsidRDefault="00803D7E" w:rsidP="00E90E0D">
      <w:pPr>
        <w:pStyle w:val="Bibliography"/>
        <w:jc w:val="left"/>
        <w:rPr>
          <w:noProof/>
        </w:rPr>
      </w:pPr>
      <w:r w:rsidRPr="00400193">
        <w:rPr>
          <w:noProof/>
        </w:rPr>
        <w:t xml:space="preserve">Almarhabi, K. (2016). Adherence to ICT Security and Privacy Policies in Saudi Arabia. </w:t>
      </w:r>
      <w:r w:rsidRPr="00400193">
        <w:rPr>
          <w:i/>
          <w:iCs/>
          <w:noProof/>
        </w:rPr>
        <w:t>International Journal of Computer Applications, 147</w:t>
      </w:r>
      <w:r w:rsidRPr="00400193">
        <w:rPr>
          <w:noProof/>
        </w:rPr>
        <w:t>(4), 13-18. doi:10.5120/ijca2016910974</w:t>
      </w:r>
    </w:p>
    <w:p w14:paraId="5E95E7CC" w14:textId="77777777" w:rsidR="00803D7E" w:rsidRPr="00400193" w:rsidRDefault="00803D7E" w:rsidP="00E90E0D">
      <w:pPr>
        <w:pStyle w:val="Bibliography"/>
        <w:jc w:val="left"/>
        <w:rPr>
          <w:noProof/>
        </w:rPr>
      </w:pPr>
      <w:r w:rsidRPr="00400193">
        <w:rPr>
          <w:noProof/>
        </w:rPr>
        <w:t xml:space="preserve">Alqahtani, A. (2015). Towards a framework for the potential cyber-terrorist threat to critical national infrastructure: A quantitative study. </w:t>
      </w:r>
      <w:r w:rsidRPr="00400193">
        <w:rPr>
          <w:i/>
          <w:iCs/>
          <w:noProof/>
        </w:rPr>
        <w:t>Information &amp; Computer Security, 23</w:t>
      </w:r>
      <w:r w:rsidRPr="00400193">
        <w:rPr>
          <w:noProof/>
        </w:rPr>
        <w:t>(5), 532-569. doi:10.1108/ICS-09-2014-0060</w:t>
      </w:r>
    </w:p>
    <w:p w14:paraId="37EA5D05" w14:textId="77777777" w:rsidR="00803D7E" w:rsidRPr="00400193" w:rsidRDefault="00803D7E" w:rsidP="00E90E0D">
      <w:pPr>
        <w:pStyle w:val="Bibliography"/>
        <w:jc w:val="left"/>
        <w:rPr>
          <w:noProof/>
        </w:rPr>
      </w:pPr>
      <w:r w:rsidRPr="00400193">
        <w:rPr>
          <w:noProof/>
        </w:rPr>
        <w:t xml:space="preserve">Aluja, A., Blanch, A., &amp; García, L. F. (2005). Dimensionality of the Maslach Burnout Inventory in School Teachers. </w:t>
      </w:r>
      <w:r w:rsidRPr="00400193">
        <w:rPr>
          <w:i/>
          <w:iCs/>
          <w:noProof/>
        </w:rPr>
        <w:t>European Journal of Psychological Assessment, 21</w:t>
      </w:r>
      <w:r w:rsidRPr="00400193">
        <w:rPr>
          <w:noProof/>
        </w:rPr>
        <w:t>(1), 67 - 76. doi:10.1027/1015-5759.21.1.67</w:t>
      </w:r>
    </w:p>
    <w:p w14:paraId="34FF4F7A" w14:textId="77777777" w:rsidR="00803D7E" w:rsidRPr="00400193" w:rsidRDefault="00803D7E" w:rsidP="00E90E0D">
      <w:pPr>
        <w:pStyle w:val="Bibliography"/>
        <w:jc w:val="left"/>
        <w:rPr>
          <w:noProof/>
        </w:rPr>
      </w:pPr>
      <w:r w:rsidRPr="00400193">
        <w:rPr>
          <w:noProof/>
        </w:rPr>
        <w:t xml:space="preserve">Amin, Z. (2017). A practical road map for assessing cyber risk. </w:t>
      </w:r>
      <w:r w:rsidRPr="00400193">
        <w:rPr>
          <w:i/>
          <w:iCs/>
          <w:noProof/>
        </w:rPr>
        <w:t>Journal of Risk Research</w:t>
      </w:r>
      <w:r w:rsidRPr="00400193">
        <w:rPr>
          <w:noProof/>
        </w:rPr>
        <w:t>, 1-12. doi:10.1080/13669877.2017.1351467</w:t>
      </w:r>
    </w:p>
    <w:p w14:paraId="4198B9D0" w14:textId="77777777" w:rsidR="00803D7E" w:rsidRPr="00400193" w:rsidRDefault="00803D7E" w:rsidP="00E90E0D">
      <w:pPr>
        <w:pStyle w:val="Bibliography"/>
        <w:jc w:val="left"/>
        <w:rPr>
          <w:noProof/>
        </w:rPr>
      </w:pPr>
      <w:r w:rsidRPr="00400193">
        <w:rPr>
          <w:noProof/>
        </w:rPr>
        <w:t xml:space="preserve">Amoroso, E. G. (2011). Cyber attacks: awareness. </w:t>
      </w:r>
      <w:r w:rsidRPr="00400193">
        <w:rPr>
          <w:i/>
          <w:iCs/>
          <w:noProof/>
        </w:rPr>
        <w:t>Network Security</w:t>
      </w:r>
      <w:r w:rsidRPr="00400193">
        <w:rPr>
          <w:noProof/>
        </w:rPr>
        <w:t>, 10-16.</w:t>
      </w:r>
    </w:p>
    <w:p w14:paraId="1B1D26C6" w14:textId="77777777" w:rsidR="00803D7E" w:rsidRPr="00400193" w:rsidRDefault="00803D7E" w:rsidP="00E90E0D">
      <w:pPr>
        <w:pStyle w:val="Bibliography"/>
        <w:jc w:val="left"/>
        <w:rPr>
          <w:noProof/>
        </w:rPr>
      </w:pPr>
      <w:r w:rsidRPr="00400193">
        <w:rPr>
          <w:noProof/>
        </w:rPr>
        <w:t xml:space="preserve">Andress, J., &amp; Winterfield, S. (2011). </w:t>
      </w:r>
      <w:r w:rsidRPr="00400193">
        <w:rPr>
          <w:i/>
          <w:iCs/>
          <w:noProof/>
        </w:rPr>
        <w:t>Cyber Warfare.</w:t>
      </w:r>
      <w:r w:rsidRPr="00400193">
        <w:rPr>
          <w:noProof/>
        </w:rPr>
        <w:t xml:space="preserve"> (R. Rogers, Ed.) online: Elsevier. Retrieved from https://www.dawsonera.com/readonline/9781597496384</w:t>
      </w:r>
    </w:p>
    <w:p w14:paraId="486534F9" w14:textId="77777777" w:rsidR="00803D7E" w:rsidRPr="00400193" w:rsidRDefault="00803D7E" w:rsidP="00E90E0D">
      <w:pPr>
        <w:pStyle w:val="Bibliography"/>
        <w:jc w:val="left"/>
        <w:rPr>
          <w:noProof/>
        </w:rPr>
      </w:pPr>
      <w:r w:rsidRPr="00400193">
        <w:rPr>
          <w:noProof/>
        </w:rPr>
        <w:t xml:space="preserve">Argaw, S. T., Bempong, N.-E., Eshaya-Chauvin, B., &amp; Flahault, A. (2019). The state of research on cyberattacks against hospitals and available best practice recommendations: a scoping review. </w:t>
      </w:r>
      <w:r w:rsidRPr="00400193">
        <w:rPr>
          <w:i/>
          <w:iCs/>
          <w:noProof/>
        </w:rPr>
        <w:t>BMC medical informatics and decision making, 19</w:t>
      </w:r>
      <w:r w:rsidRPr="00400193">
        <w:rPr>
          <w:noProof/>
        </w:rPr>
        <w:t>(1), 10-11. doi:10.1186/s12911-018-0724-5</w:t>
      </w:r>
    </w:p>
    <w:p w14:paraId="6DAE1364" w14:textId="77777777" w:rsidR="00803D7E" w:rsidRPr="00400193" w:rsidRDefault="00803D7E" w:rsidP="00E90E0D">
      <w:pPr>
        <w:pStyle w:val="Bibliography"/>
        <w:jc w:val="left"/>
        <w:rPr>
          <w:noProof/>
        </w:rPr>
      </w:pPr>
      <w:r w:rsidRPr="00400193">
        <w:rPr>
          <w:noProof/>
        </w:rPr>
        <w:t xml:space="preserve">Ashrafi, M. Z., &amp; Ng, S. K. (2009). Privacy-preserving e-payments using one-time payment details. </w:t>
      </w:r>
      <w:r w:rsidRPr="00400193">
        <w:rPr>
          <w:i/>
          <w:iCs/>
          <w:noProof/>
        </w:rPr>
        <w:t>Computer Standards &amp; Interfaces, 31</w:t>
      </w:r>
      <w:r w:rsidRPr="00400193">
        <w:rPr>
          <w:noProof/>
        </w:rPr>
        <w:t>(2), 321-328. doi:10.1016/j.csi.2008.04.001</w:t>
      </w:r>
    </w:p>
    <w:p w14:paraId="4A2AC27D" w14:textId="77777777" w:rsidR="00803D7E" w:rsidRPr="00400193" w:rsidRDefault="00803D7E" w:rsidP="00E90E0D">
      <w:pPr>
        <w:pStyle w:val="Bibliography"/>
        <w:jc w:val="left"/>
        <w:rPr>
          <w:noProof/>
        </w:rPr>
      </w:pPr>
      <w:r w:rsidRPr="00400193">
        <w:rPr>
          <w:noProof/>
        </w:rPr>
        <w:t xml:space="preserve">Atoum, I., Otoom, A., &amp; Abu Ali, A. (2014). A holistic cyber security implementation framework. </w:t>
      </w:r>
      <w:r w:rsidRPr="00400193">
        <w:rPr>
          <w:i/>
          <w:iCs/>
          <w:noProof/>
        </w:rPr>
        <w:t>Information Management &amp; Computer Security, 22</w:t>
      </w:r>
      <w:r w:rsidRPr="00400193">
        <w:rPr>
          <w:noProof/>
        </w:rPr>
        <w:t>(3), 251-264. doi:DOI 10.1108/IMCS-02-2013-0014</w:t>
      </w:r>
    </w:p>
    <w:p w14:paraId="65740342" w14:textId="77777777" w:rsidR="00803D7E" w:rsidRPr="00400193" w:rsidRDefault="00803D7E" w:rsidP="00E90E0D">
      <w:pPr>
        <w:pStyle w:val="Bibliography"/>
        <w:jc w:val="left"/>
        <w:rPr>
          <w:noProof/>
        </w:rPr>
      </w:pPr>
      <w:r w:rsidRPr="00400193">
        <w:rPr>
          <w:noProof/>
        </w:rPr>
        <w:t xml:space="preserve">Awan, M. S., Burnap, P., &amp; Rana, O. (2015). Identifying cyber risk hotspots: A framework for measuring temporal variance in computer network risk. </w:t>
      </w:r>
      <w:r w:rsidRPr="00400193">
        <w:rPr>
          <w:i/>
          <w:iCs/>
          <w:noProof/>
        </w:rPr>
        <w:t>Computers &amp; security, 57</w:t>
      </w:r>
      <w:r w:rsidRPr="00400193">
        <w:rPr>
          <w:noProof/>
        </w:rPr>
        <w:t>(March), 31-46. doi:10.1016/j.cose.2015.11.003</w:t>
      </w:r>
    </w:p>
    <w:p w14:paraId="2EADF09E" w14:textId="77777777" w:rsidR="00803D7E" w:rsidRPr="00400193" w:rsidRDefault="00803D7E" w:rsidP="00E90E0D">
      <w:pPr>
        <w:pStyle w:val="Bibliography"/>
        <w:jc w:val="left"/>
        <w:rPr>
          <w:noProof/>
        </w:rPr>
      </w:pPr>
      <w:r w:rsidRPr="00400193">
        <w:rPr>
          <w:noProof/>
        </w:rPr>
        <w:t xml:space="preserve">Ayyub, B. M. (2014). Systems Resilience for Multihazard Environments: Definition, Metrics, and Valuation for Decision Making. </w:t>
      </w:r>
      <w:r w:rsidRPr="00400193">
        <w:rPr>
          <w:i/>
          <w:iCs/>
          <w:noProof/>
        </w:rPr>
        <w:t>Risk Analysis: An International Journal., 34</w:t>
      </w:r>
      <w:r w:rsidRPr="00400193">
        <w:rPr>
          <w:noProof/>
        </w:rPr>
        <w:t>(2), 340-355. doi:DOI: 10.1111/risa.12093</w:t>
      </w:r>
    </w:p>
    <w:p w14:paraId="61F4979E" w14:textId="77777777" w:rsidR="00803D7E" w:rsidRPr="00400193" w:rsidRDefault="00803D7E" w:rsidP="00E90E0D">
      <w:pPr>
        <w:pStyle w:val="Bibliography"/>
        <w:jc w:val="left"/>
        <w:rPr>
          <w:noProof/>
        </w:rPr>
      </w:pPr>
      <w:r w:rsidRPr="00400193">
        <w:rPr>
          <w:noProof/>
        </w:rPr>
        <w:lastRenderedPageBreak/>
        <w:t xml:space="preserve">Baker, T. L. (1994). </w:t>
      </w:r>
      <w:r w:rsidRPr="00400193">
        <w:rPr>
          <w:i/>
          <w:iCs/>
          <w:noProof/>
        </w:rPr>
        <w:t>Doing Social Research</w:t>
      </w:r>
      <w:r w:rsidRPr="00400193">
        <w:rPr>
          <w:noProof/>
        </w:rPr>
        <w:t xml:space="preserve"> (2nd ed.). New York, NY: McGraw-Hill Inc.</w:t>
      </w:r>
    </w:p>
    <w:p w14:paraId="7F696767" w14:textId="77777777" w:rsidR="00803D7E" w:rsidRPr="00400193" w:rsidRDefault="00803D7E" w:rsidP="00E90E0D">
      <w:pPr>
        <w:pStyle w:val="Bibliography"/>
        <w:jc w:val="left"/>
        <w:rPr>
          <w:noProof/>
        </w:rPr>
      </w:pPr>
      <w:r w:rsidRPr="00400193">
        <w:rPr>
          <w:noProof/>
        </w:rPr>
        <w:t xml:space="preserve">Baldwin, A., Gheyas, I., Ioannidis, C., Pym, D., &amp; Williams, J. (2017). Contagion in cyber security attacks. </w:t>
      </w:r>
      <w:r w:rsidRPr="00400193">
        <w:rPr>
          <w:i/>
          <w:iCs/>
          <w:noProof/>
        </w:rPr>
        <w:t>Journal of the Operational Research Society, 68</w:t>
      </w:r>
      <w:r w:rsidRPr="00400193">
        <w:rPr>
          <w:noProof/>
        </w:rPr>
        <w:t>(7), 780-791. doi:10.1057/jors.2016.37</w:t>
      </w:r>
    </w:p>
    <w:p w14:paraId="09B0E6EA" w14:textId="77777777" w:rsidR="00803D7E" w:rsidRPr="00400193" w:rsidRDefault="00803D7E" w:rsidP="00E90E0D">
      <w:pPr>
        <w:pStyle w:val="Bibliography"/>
        <w:jc w:val="left"/>
        <w:rPr>
          <w:noProof/>
        </w:rPr>
      </w:pPr>
      <w:r w:rsidRPr="00400193">
        <w:rPr>
          <w:noProof/>
        </w:rPr>
        <w:t xml:space="preserve">Bannigan, K., &amp; Watson, R. (2009). Reliability and Validity in a nutshell (Methodological paper). </w:t>
      </w:r>
      <w:r w:rsidRPr="00400193">
        <w:rPr>
          <w:i/>
          <w:iCs/>
          <w:noProof/>
        </w:rPr>
        <w:t>Journal of Clinical Nursing, 18</w:t>
      </w:r>
      <w:r w:rsidRPr="00400193">
        <w:rPr>
          <w:noProof/>
        </w:rPr>
        <w:t>(23), 3237-3242.</w:t>
      </w:r>
    </w:p>
    <w:p w14:paraId="6297424C" w14:textId="77777777" w:rsidR="00803D7E" w:rsidRPr="00400193" w:rsidRDefault="00803D7E" w:rsidP="00E90E0D">
      <w:pPr>
        <w:pStyle w:val="Bibliography"/>
        <w:jc w:val="left"/>
        <w:rPr>
          <w:noProof/>
        </w:rPr>
      </w:pPr>
      <w:r w:rsidRPr="00400193">
        <w:rPr>
          <w:noProof/>
        </w:rPr>
        <w:t xml:space="preserve">Barnes, N. D. (2017). Survey design basics for information professionals. </w:t>
      </w:r>
      <w:r w:rsidRPr="00400193">
        <w:rPr>
          <w:i/>
          <w:iCs/>
          <w:noProof/>
        </w:rPr>
        <w:t>The information management journal, 51</w:t>
      </w:r>
      <w:r w:rsidRPr="00400193">
        <w:rPr>
          <w:noProof/>
        </w:rPr>
        <w:t>(1), 37-39.</w:t>
      </w:r>
    </w:p>
    <w:p w14:paraId="5FD74CA7" w14:textId="77777777" w:rsidR="00803D7E" w:rsidRPr="00400193" w:rsidRDefault="00803D7E" w:rsidP="00E90E0D">
      <w:pPr>
        <w:pStyle w:val="Bibliography"/>
        <w:jc w:val="left"/>
        <w:rPr>
          <w:noProof/>
        </w:rPr>
      </w:pPr>
      <w:r w:rsidRPr="00400193">
        <w:rPr>
          <w:noProof/>
        </w:rPr>
        <w:t xml:space="preserve">Bartolacci, M. R., LeBlanc, L. J., &amp; Podhradsky, A. (2014). personal Denial of Service (PDoS) attacks: A discussion and exploration of a new area of cyber-crime. </w:t>
      </w:r>
      <w:r w:rsidRPr="00400193">
        <w:rPr>
          <w:i/>
          <w:iCs/>
          <w:noProof/>
        </w:rPr>
        <w:t>The Journal of Digital Forensics, Security and Law : JDFSL, 9</w:t>
      </w:r>
      <w:r w:rsidRPr="00400193">
        <w:rPr>
          <w:noProof/>
        </w:rPr>
        <w:t>(1), 19-36.</w:t>
      </w:r>
    </w:p>
    <w:p w14:paraId="61A483D9" w14:textId="77777777" w:rsidR="00803D7E" w:rsidRPr="00400193" w:rsidRDefault="00803D7E" w:rsidP="00E90E0D">
      <w:pPr>
        <w:pStyle w:val="Bibliography"/>
        <w:jc w:val="left"/>
        <w:rPr>
          <w:noProof/>
        </w:rPr>
      </w:pPr>
      <w:r w:rsidRPr="00400193">
        <w:rPr>
          <w:noProof/>
        </w:rPr>
        <w:t xml:space="preserve">Baumer, E. P., O'Donnell, I., &amp; Hughes, N. (2009). The Porous Prison. </w:t>
      </w:r>
      <w:r w:rsidRPr="00400193">
        <w:rPr>
          <w:i/>
          <w:iCs/>
          <w:noProof/>
        </w:rPr>
        <w:t>The Prison Journal, 89</w:t>
      </w:r>
      <w:r w:rsidRPr="00400193">
        <w:rPr>
          <w:noProof/>
        </w:rPr>
        <w:t>(1), 119-126. doi:10.1177/0032885508330430</w:t>
      </w:r>
    </w:p>
    <w:p w14:paraId="7F630C39" w14:textId="77777777" w:rsidR="00803D7E" w:rsidRPr="00400193" w:rsidRDefault="00803D7E" w:rsidP="00E90E0D">
      <w:pPr>
        <w:pStyle w:val="Bibliography"/>
        <w:jc w:val="left"/>
        <w:rPr>
          <w:noProof/>
        </w:rPr>
      </w:pPr>
      <w:r w:rsidRPr="00400193">
        <w:rPr>
          <w:noProof/>
        </w:rPr>
        <w:t xml:space="preserve">BBC. (2011, April 25). </w:t>
      </w:r>
      <w:r w:rsidRPr="00400193">
        <w:rPr>
          <w:i/>
          <w:iCs/>
          <w:noProof/>
        </w:rPr>
        <w:t>PlayStation outage caused by hacking attack.</w:t>
      </w:r>
      <w:r w:rsidRPr="00400193">
        <w:rPr>
          <w:noProof/>
        </w:rPr>
        <w:t xml:space="preserve"> Retrieved June 09, 2016, from http://www.bbc.co.uk/news/technology-13169518</w:t>
      </w:r>
    </w:p>
    <w:p w14:paraId="15D8D23B" w14:textId="77777777" w:rsidR="00803D7E" w:rsidRPr="00400193" w:rsidRDefault="00803D7E" w:rsidP="00E90E0D">
      <w:pPr>
        <w:pStyle w:val="Bibliography"/>
        <w:jc w:val="left"/>
        <w:rPr>
          <w:noProof/>
        </w:rPr>
      </w:pPr>
      <w:r w:rsidRPr="00400193">
        <w:rPr>
          <w:noProof/>
        </w:rPr>
        <w:t xml:space="preserve">Bécue, A., Maia, E., Feeken, L., Borchers, P., &amp; Praça, I. (2020). A New Concept of Digital Twin Supporting Optimization and Resilience of Factories of the Future. </w:t>
      </w:r>
      <w:r w:rsidRPr="00400193">
        <w:rPr>
          <w:i/>
          <w:iCs/>
          <w:noProof/>
        </w:rPr>
        <w:t>Applied sciences, 10</w:t>
      </w:r>
      <w:r w:rsidRPr="00400193">
        <w:rPr>
          <w:noProof/>
        </w:rPr>
        <w:t>(13), 4482. doi:10.3390/app10134482</w:t>
      </w:r>
    </w:p>
    <w:p w14:paraId="3A05EE16" w14:textId="77777777" w:rsidR="00803D7E" w:rsidRPr="00400193" w:rsidRDefault="00803D7E" w:rsidP="00E90E0D">
      <w:pPr>
        <w:pStyle w:val="Bibliography"/>
        <w:jc w:val="left"/>
        <w:rPr>
          <w:noProof/>
        </w:rPr>
      </w:pPr>
      <w:r w:rsidRPr="00400193">
        <w:rPr>
          <w:noProof/>
        </w:rPr>
        <w:t xml:space="preserve">Bendovschi, A. (2015). Cyber-Attacks – Trends, Patterns and Security Countermeasures. </w:t>
      </w:r>
      <w:r w:rsidRPr="00400193">
        <w:rPr>
          <w:i/>
          <w:iCs/>
          <w:noProof/>
        </w:rPr>
        <w:t>7th International Conference on Financial Criminology 2015</w:t>
      </w:r>
      <w:r w:rsidRPr="00400193">
        <w:rPr>
          <w:noProof/>
        </w:rPr>
        <w:t xml:space="preserve"> (pp. 24-31). Oxford: Procedia Economics and Finance 28.</w:t>
      </w:r>
    </w:p>
    <w:p w14:paraId="108B94DE" w14:textId="77777777" w:rsidR="00803D7E" w:rsidRPr="00400193" w:rsidRDefault="00803D7E" w:rsidP="00E90E0D">
      <w:pPr>
        <w:pStyle w:val="Bibliography"/>
        <w:jc w:val="left"/>
        <w:rPr>
          <w:noProof/>
        </w:rPr>
      </w:pPr>
      <w:r w:rsidRPr="00400193">
        <w:rPr>
          <w:noProof/>
        </w:rPr>
        <w:t xml:space="preserve">Betts, L. R. (2016). </w:t>
      </w:r>
      <w:r w:rsidRPr="00400193">
        <w:rPr>
          <w:i/>
          <w:iCs/>
          <w:noProof/>
        </w:rPr>
        <w:t>Cyberbullying; Approaches, Consequences and Interventions.</w:t>
      </w:r>
      <w:r w:rsidRPr="00400193">
        <w:rPr>
          <w:noProof/>
        </w:rPr>
        <w:t xml:space="preserve"> Nottingham: Palgrave. Retrieved October 14, 2017, from http://reader.vlebooks.com/reader/open?accId=10417&amp;cite=1&amp;isbn=9781137500090&amp;maxCopy=14&amp;maxPrint=14&amp;mmLimit=0&amp;notes=1&amp;pageLimit=0&amp;shareLink=%2F%2FWWW.VLEBOOKS.COM%2FVLEWEB%2FPRODUCT%2FINDEX%2F894538&amp;startPage=0&amp;timestamp=2017-10-14T18%3A42%3A59&amp;userId=270</w:t>
      </w:r>
    </w:p>
    <w:p w14:paraId="55DAB814" w14:textId="77777777" w:rsidR="00803D7E" w:rsidRPr="00400193" w:rsidRDefault="00803D7E" w:rsidP="00E90E0D">
      <w:pPr>
        <w:pStyle w:val="Bibliography"/>
        <w:jc w:val="left"/>
        <w:rPr>
          <w:noProof/>
        </w:rPr>
      </w:pPr>
      <w:r w:rsidRPr="00400193">
        <w:rPr>
          <w:noProof/>
        </w:rPr>
        <w:t xml:space="preserve">Bland, J. M., &amp; Altman, D. G. (1997). Cronbach's alpha. </w:t>
      </w:r>
      <w:r w:rsidRPr="00400193">
        <w:rPr>
          <w:i/>
          <w:iCs/>
          <w:noProof/>
        </w:rPr>
        <w:t>British Medical Journal, 314</w:t>
      </w:r>
      <w:r w:rsidRPr="00400193">
        <w:rPr>
          <w:noProof/>
        </w:rPr>
        <w:t>(7080), 572.</w:t>
      </w:r>
    </w:p>
    <w:p w14:paraId="42D4B048" w14:textId="77777777" w:rsidR="00803D7E" w:rsidRPr="00400193" w:rsidRDefault="00803D7E" w:rsidP="00E90E0D">
      <w:pPr>
        <w:pStyle w:val="Bibliography"/>
        <w:jc w:val="left"/>
        <w:rPr>
          <w:noProof/>
        </w:rPr>
      </w:pPr>
      <w:r w:rsidRPr="00400193">
        <w:rPr>
          <w:noProof/>
        </w:rPr>
        <w:t xml:space="preserve">Bode, K. (2015). </w:t>
      </w:r>
      <w:r w:rsidRPr="00400193">
        <w:rPr>
          <w:i/>
          <w:iCs/>
          <w:noProof/>
        </w:rPr>
        <w:t>Easily Hacked Tea Kettle Latest To Highlight Pathetic Internet Of Things 'Security'</w:t>
      </w:r>
      <w:r w:rsidRPr="00400193">
        <w:rPr>
          <w:noProof/>
        </w:rPr>
        <w:t>. Retrieved September 26, 2017, from techdirt: https://www.techdirt.com/articles/20151015/13551232547/easily-hacked-tea-kettle-latest-to-highlight-pathetic-internet-things-security.shtml</w:t>
      </w:r>
    </w:p>
    <w:p w14:paraId="747B8BE6" w14:textId="77777777" w:rsidR="00803D7E" w:rsidRPr="00400193" w:rsidRDefault="00803D7E" w:rsidP="00E90E0D">
      <w:pPr>
        <w:pStyle w:val="Bibliography"/>
        <w:jc w:val="left"/>
        <w:rPr>
          <w:noProof/>
        </w:rPr>
      </w:pPr>
      <w:r w:rsidRPr="00400193">
        <w:rPr>
          <w:noProof/>
        </w:rPr>
        <w:t xml:space="preserve">Boorstin, J. (2015, November 24). The Sony hack: One year later. </w:t>
      </w:r>
      <w:r w:rsidRPr="00400193">
        <w:rPr>
          <w:i/>
          <w:iCs/>
          <w:noProof/>
        </w:rPr>
        <w:t>CNBC</w:t>
      </w:r>
      <w:r w:rsidRPr="00400193">
        <w:rPr>
          <w:noProof/>
        </w:rPr>
        <w:t>, pp. "http://www.cnbc.com/2015/11/24/the-sony-hack-one-year-later.html".</w:t>
      </w:r>
    </w:p>
    <w:p w14:paraId="42B2FD47" w14:textId="77777777" w:rsidR="00803D7E" w:rsidRPr="00400193" w:rsidRDefault="00803D7E" w:rsidP="00E90E0D">
      <w:pPr>
        <w:pStyle w:val="Bibliography"/>
        <w:jc w:val="left"/>
        <w:rPr>
          <w:noProof/>
        </w:rPr>
      </w:pPr>
      <w:r w:rsidRPr="00400193">
        <w:rPr>
          <w:noProof/>
        </w:rPr>
        <w:t xml:space="preserve">Borum, R., Felker, J., Kern, S., Dennesen, K., &amp; Feyes, T. (2015). Strategic cyber intelligence. </w:t>
      </w:r>
      <w:r w:rsidRPr="00400193">
        <w:rPr>
          <w:i/>
          <w:iCs/>
          <w:noProof/>
        </w:rPr>
        <w:t>Information and Computer Security, 23</w:t>
      </w:r>
      <w:r w:rsidRPr="00400193">
        <w:rPr>
          <w:noProof/>
        </w:rPr>
        <w:t>(3), 317-322. Retrieved from http://ezproxy.uwe.ac.uk/login?url=http://search.proquest.com.ezproxy.uwe.ac.uk/docview/1786145781?accountid=14785</w:t>
      </w:r>
    </w:p>
    <w:p w14:paraId="67AB570B" w14:textId="77777777" w:rsidR="00803D7E" w:rsidRPr="00400193" w:rsidRDefault="00803D7E" w:rsidP="00E90E0D">
      <w:pPr>
        <w:pStyle w:val="Bibliography"/>
        <w:jc w:val="left"/>
        <w:rPr>
          <w:noProof/>
        </w:rPr>
      </w:pPr>
      <w:r w:rsidRPr="00400193">
        <w:rPr>
          <w:noProof/>
        </w:rPr>
        <w:t xml:space="preserve">Brinkman, W.-P., Haakma, R., &amp; Bouwhuis, D. G. (2009). The theoretical foundation and validity of a component-based usability questionnaire. </w:t>
      </w:r>
      <w:r w:rsidRPr="00400193">
        <w:rPr>
          <w:i/>
          <w:iCs/>
          <w:noProof/>
        </w:rPr>
        <w:t>Behaviour &amp; Information Technology, 28</w:t>
      </w:r>
      <w:r w:rsidRPr="00400193">
        <w:rPr>
          <w:noProof/>
        </w:rPr>
        <w:t>(2), 121-137. doi:n/a</w:t>
      </w:r>
    </w:p>
    <w:p w14:paraId="3337416D" w14:textId="77777777" w:rsidR="00803D7E" w:rsidRPr="00400193" w:rsidRDefault="00803D7E" w:rsidP="00E90E0D">
      <w:pPr>
        <w:pStyle w:val="Bibliography"/>
        <w:jc w:val="left"/>
        <w:rPr>
          <w:noProof/>
        </w:rPr>
      </w:pPr>
      <w:r w:rsidRPr="00400193">
        <w:rPr>
          <w:noProof/>
        </w:rPr>
        <w:t xml:space="preserve">Brown, J., Anwar, M., &amp; Dozier, G. (2017). An artificial immunity approach to malware detection in a mobile platform. </w:t>
      </w:r>
      <w:r w:rsidRPr="00400193">
        <w:rPr>
          <w:i/>
          <w:iCs/>
          <w:noProof/>
        </w:rPr>
        <w:t>EURASIP Journal on Information Security, 2017</w:t>
      </w:r>
      <w:r w:rsidRPr="00400193">
        <w:rPr>
          <w:noProof/>
        </w:rPr>
        <w:t>(1), 1-10. doi:10.1186/s13635-017-0059-2</w:t>
      </w:r>
    </w:p>
    <w:p w14:paraId="69D5B2CF" w14:textId="77777777" w:rsidR="00803D7E" w:rsidRPr="00400193" w:rsidRDefault="00803D7E" w:rsidP="00E90E0D">
      <w:pPr>
        <w:pStyle w:val="Bibliography"/>
        <w:jc w:val="left"/>
        <w:rPr>
          <w:noProof/>
        </w:rPr>
      </w:pPr>
      <w:r w:rsidRPr="00400193">
        <w:rPr>
          <w:noProof/>
        </w:rPr>
        <w:t xml:space="preserve">Bryman, A. (1988). </w:t>
      </w:r>
      <w:r w:rsidRPr="00400193">
        <w:rPr>
          <w:i/>
          <w:iCs/>
          <w:noProof/>
        </w:rPr>
        <w:t>Quantity and Quality in Social Research</w:t>
      </w:r>
      <w:r w:rsidRPr="00400193">
        <w:rPr>
          <w:noProof/>
        </w:rPr>
        <w:t xml:space="preserve"> (Contemporary Social Research Series ed., Vol. 18). London: Unwin Hyman.</w:t>
      </w:r>
    </w:p>
    <w:p w14:paraId="4639A297" w14:textId="77777777" w:rsidR="00803D7E" w:rsidRPr="00400193" w:rsidRDefault="00803D7E" w:rsidP="00E90E0D">
      <w:pPr>
        <w:pStyle w:val="Bibliography"/>
        <w:jc w:val="left"/>
        <w:rPr>
          <w:noProof/>
        </w:rPr>
      </w:pPr>
      <w:r w:rsidRPr="00400193">
        <w:rPr>
          <w:noProof/>
        </w:rPr>
        <w:t xml:space="preserve">Bryman, A. (2008). </w:t>
      </w:r>
      <w:r w:rsidRPr="00400193">
        <w:rPr>
          <w:i/>
          <w:iCs/>
          <w:noProof/>
        </w:rPr>
        <w:t>Social Research Methods</w:t>
      </w:r>
      <w:r w:rsidRPr="00400193">
        <w:rPr>
          <w:noProof/>
        </w:rPr>
        <w:t xml:space="preserve"> (3rd ed.). Oxford: Oxford University Press.</w:t>
      </w:r>
    </w:p>
    <w:p w14:paraId="2C1F4A35" w14:textId="77777777" w:rsidR="00803D7E" w:rsidRPr="00400193" w:rsidRDefault="00803D7E" w:rsidP="00E90E0D">
      <w:pPr>
        <w:pStyle w:val="Bibliography"/>
        <w:jc w:val="left"/>
        <w:rPr>
          <w:noProof/>
        </w:rPr>
      </w:pPr>
      <w:r w:rsidRPr="00400193">
        <w:rPr>
          <w:noProof/>
        </w:rPr>
        <w:t xml:space="preserve">Bryman, A., &amp; Bell, E. (2015). </w:t>
      </w:r>
      <w:r w:rsidRPr="00400193">
        <w:rPr>
          <w:i/>
          <w:iCs/>
          <w:noProof/>
        </w:rPr>
        <w:t>Business Research Methods</w:t>
      </w:r>
      <w:r w:rsidRPr="00400193">
        <w:rPr>
          <w:noProof/>
        </w:rPr>
        <w:t xml:space="preserve"> (4th ed.). Oxford: Oxford University Press.</w:t>
      </w:r>
    </w:p>
    <w:p w14:paraId="476E9471" w14:textId="77777777" w:rsidR="00803D7E" w:rsidRPr="00400193" w:rsidRDefault="00803D7E" w:rsidP="00E90E0D">
      <w:pPr>
        <w:pStyle w:val="Bibliography"/>
        <w:jc w:val="left"/>
        <w:rPr>
          <w:noProof/>
        </w:rPr>
      </w:pPr>
      <w:r w:rsidRPr="00400193">
        <w:rPr>
          <w:noProof/>
        </w:rPr>
        <w:t>BSI. (2005). BS ISO/IEC 27001:2005 BS7799-2:2005: Information technology - Security techniques - Information security management systems - Requirements. London: BSI/ISO.</w:t>
      </w:r>
    </w:p>
    <w:p w14:paraId="78418DF0" w14:textId="77777777" w:rsidR="00803D7E" w:rsidRPr="00400193" w:rsidRDefault="00803D7E" w:rsidP="00E90E0D">
      <w:pPr>
        <w:pStyle w:val="Bibliography"/>
        <w:jc w:val="left"/>
        <w:rPr>
          <w:noProof/>
        </w:rPr>
      </w:pPr>
      <w:r w:rsidRPr="00400193">
        <w:rPr>
          <w:noProof/>
        </w:rPr>
        <w:lastRenderedPageBreak/>
        <w:t xml:space="preserve">BSI/ISO. (2016). </w:t>
      </w:r>
      <w:r w:rsidRPr="00400193">
        <w:rPr>
          <w:i/>
          <w:iCs/>
          <w:noProof/>
        </w:rPr>
        <w:t>Standards.UK</w:t>
      </w:r>
      <w:r w:rsidRPr="00400193">
        <w:rPr>
          <w:noProof/>
        </w:rPr>
        <w:t>. Retrieved May 16, 2016, from https://www.standardsuk.com/?gclid=CK7n8tfR3swCFUa4Gwod3fEDiQ</w:t>
      </w:r>
    </w:p>
    <w:p w14:paraId="05EF16B1" w14:textId="77777777" w:rsidR="00803D7E" w:rsidRPr="00400193" w:rsidRDefault="00803D7E" w:rsidP="00E90E0D">
      <w:pPr>
        <w:pStyle w:val="Bibliography"/>
        <w:jc w:val="left"/>
        <w:rPr>
          <w:noProof/>
        </w:rPr>
      </w:pPr>
      <w:r w:rsidRPr="00400193">
        <w:rPr>
          <w:noProof/>
        </w:rPr>
        <w:t xml:space="preserve">Button, M., &amp; Cross, C. (2017). </w:t>
      </w:r>
      <w:r w:rsidRPr="00400193">
        <w:rPr>
          <w:i/>
          <w:iCs/>
          <w:noProof/>
        </w:rPr>
        <w:t>Cyber frauds, scams and their victims.</w:t>
      </w:r>
      <w:r w:rsidRPr="00400193">
        <w:rPr>
          <w:noProof/>
        </w:rPr>
        <w:t xml:space="preserve"> Abingdon: Routledge. Retrieved October 14, 2017, from http://reader.vlebooks.com/reader/open?accId=10417&amp;bookmark=0&amp;cite=0&amp;isbn=9781317395492&amp;maxCopy=0&amp;maxPrint=0&amp;mmLimit=5&amp;notes=0&amp;pageLimit=50&amp;shareLink=&amp;startPage=1&amp;timestamp=2017-10-14T19%3A09%3A27&amp;userId=270464&amp;watermark=++++++++++++++++++++++++++++++%2F+</w:t>
      </w:r>
    </w:p>
    <w:p w14:paraId="40464A5C" w14:textId="77777777" w:rsidR="00803D7E" w:rsidRPr="00400193" w:rsidRDefault="00803D7E" w:rsidP="00E90E0D">
      <w:pPr>
        <w:pStyle w:val="Bibliography"/>
        <w:jc w:val="left"/>
        <w:rPr>
          <w:noProof/>
        </w:rPr>
      </w:pPr>
      <w:r w:rsidRPr="00400193">
        <w:rPr>
          <w:noProof/>
        </w:rPr>
        <w:t xml:space="preserve">Cain, A. A., Chiu, L., Santiago, F., &amp; Still, J. D. (2016). Swipe Authentication: Exploring Over-the-Shoulder Attack Performance. In D. Nicholson (Ed.), </w:t>
      </w:r>
      <w:r w:rsidRPr="00400193">
        <w:rPr>
          <w:i/>
          <w:iCs/>
          <w:noProof/>
        </w:rPr>
        <w:t>Advances in Human Factors in Cybersecurity</w:t>
      </w:r>
      <w:r w:rsidRPr="00400193">
        <w:rPr>
          <w:noProof/>
        </w:rPr>
        <w:t xml:space="preserve"> (pp. 327-336). Basel: Springer. doi:10.1007/978-3-319-41932-9_27</w:t>
      </w:r>
    </w:p>
    <w:p w14:paraId="639F7EE4" w14:textId="77777777" w:rsidR="00803D7E" w:rsidRPr="00400193" w:rsidRDefault="00803D7E" w:rsidP="00E90E0D">
      <w:pPr>
        <w:pStyle w:val="Bibliography"/>
        <w:jc w:val="left"/>
        <w:rPr>
          <w:noProof/>
        </w:rPr>
      </w:pPr>
      <w:r w:rsidRPr="00400193">
        <w:rPr>
          <w:noProof/>
        </w:rPr>
        <w:t xml:space="preserve">Caldwell, T. (2016). The eagle has landed – what happens next? </w:t>
      </w:r>
      <w:r w:rsidRPr="00400193">
        <w:rPr>
          <w:i/>
          <w:iCs/>
          <w:noProof/>
        </w:rPr>
        <w:t>Computer Fraud &amp; Security, 2016</w:t>
      </w:r>
      <w:r w:rsidRPr="00400193">
        <w:rPr>
          <w:noProof/>
        </w:rPr>
        <w:t>(1), 8-13. doi:10.1016/S1361-3723(16)30007-0</w:t>
      </w:r>
    </w:p>
    <w:p w14:paraId="78D3D800" w14:textId="77777777" w:rsidR="00803D7E" w:rsidRPr="00400193" w:rsidRDefault="00803D7E" w:rsidP="00E90E0D">
      <w:pPr>
        <w:pStyle w:val="Bibliography"/>
        <w:jc w:val="left"/>
        <w:rPr>
          <w:noProof/>
        </w:rPr>
      </w:pPr>
      <w:r w:rsidRPr="00400193">
        <w:rPr>
          <w:noProof/>
        </w:rPr>
        <w:t xml:space="preserve">Casey, W., Morales, J. A., Wright, E., Zhu, Q., &amp; Mishra, B. (2016). Compliance signaling games: toward modeling the deterrence of insider threats. </w:t>
      </w:r>
      <w:r w:rsidRPr="00400193">
        <w:rPr>
          <w:i/>
          <w:iCs/>
          <w:noProof/>
        </w:rPr>
        <w:t>Computational and Mathematical Organization Theory, 22</w:t>
      </w:r>
      <w:r w:rsidRPr="00400193">
        <w:rPr>
          <w:noProof/>
        </w:rPr>
        <w:t>(3), 318-349. doi:10.1007/s10588-016-9221-5</w:t>
      </w:r>
    </w:p>
    <w:p w14:paraId="72127CC5" w14:textId="77777777" w:rsidR="00803D7E" w:rsidRPr="00400193" w:rsidRDefault="00803D7E" w:rsidP="00E90E0D">
      <w:pPr>
        <w:pStyle w:val="Bibliography"/>
        <w:jc w:val="left"/>
        <w:rPr>
          <w:noProof/>
        </w:rPr>
      </w:pPr>
      <w:r w:rsidRPr="00400193">
        <w:rPr>
          <w:noProof/>
        </w:rPr>
        <w:t xml:space="preserve">Chang, Y.-H., Lai, K.-K., Lin, C.-Y., Su, F.-P., &amp; Yang, M.-C. (2017). A hybrid clustering approach to identify network positions and roles through social network and multivariate analysis. </w:t>
      </w:r>
      <w:r w:rsidRPr="00400193">
        <w:rPr>
          <w:i/>
          <w:iCs/>
          <w:noProof/>
        </w:rPr>
        <w:t>Scientometrics, 113</w:t>
      </w:r>
      <w:r w:rsidRPr="00400193">
        <w:rPr>
          <w:noProof/>
        </w:rPr>
        <w:t>(3), 1733 - 1755. doi:10.1007/s11192-017-2556-y</w:t>
      </w:r>
    </w:p>
    <w:p w14:paraId="4A498CAC" w14:textId="77777777" w:rsidR="00803D7E" w:rsidRPr="00400193" w:rsidRDefault="00803D7E" w:rsidP="00E90E0D">
      <w:pPr>
        <w:pStyle w:val="Bibliography"/>
        <w:jc w:val="left"/>
        <w:rPr>
          <w:noProof/>
        </w:rPr>
      </w:pPr>
      <w:r w:rsidRPr="00400193">
        <w:rPr>
          <w:noProof/>
        </w:rPr>
        <w:t xml:space="preserve">Chatham House. (2019). </w:t>
      </w:r>
      <w:r w:rsidRPr="00400193">
        <w:rPr>
          <w:i/>
          <w:iCs/>
          <w:noProof/>
        </w:rPr>
        <w:t>Cyber Security</w:t>
      </w:r>
      <w:r w:rsidRPr="00400193">
        <w:rPr>
          <w:noProof/>
        </w:rPr>
        <w:t>. Retrieved December 15, 2019, from Chatham House - Research: https://www.chathamhouse.org/research/topics/cyber-security#</w:t>
      </w:r>
    </w:p>
    <w:p w14:paraId="02A68D1D" w14:textId="77777777" w:rsidR="00803D7E" w:rsidRPr="00400193" w:rsidRDefault="00803D7E" w:rsidP="00E90E0D">
      <w:pPr>
        <w:pStyle w:val="Bibliography"/>
        <w:jc w:val="left"/>
        <w:rPr>
          <w:noProof/>
        </w:rPr>
      </w:pPr>
      <w:r w:rsidRPr="00400193">
        <w:rPr>
          <w:noProof/>
        </w:rPr>
        <w:t xml:space="preserve">Chen, F., Deng, P., Wan, J., Zhang, D., Vasilakos, A. V., &amp; Rong, X. (2015). Data Mining for the Internet of Things: Literature Review and Challenges. </w:t>
      </w:r>
      <w:r w:rsidRPr="00400193">
        <w:rPr>
          <w:i/>
          <w:iCs/>
          <w:noProof/>
        </w:rPr>
        <w:t>International Journal of Distributed Sensor Networks, 11</w:t>
      </w:r>
      <w:r w:rsidRPr="00400193">
        <w:rPr>
          <w:noProof/>
        </w:rPr>
        <w:t>(8), 431047. doi:10.1155/2015/431047</w:t>
      </w:r>
    </w:p>
    <w:p w14:paraId="4A8030DB" w14:textId="77777777" w:rsidR="00803D7E" w:rsidRPr="00400193" w:rsidRDefault="00803D7E" w:rsidP="00E90E0D">
      <w:pPr>
        <w:pStyle w:val="Bibliography"/>
        <w:jc w:val="left"/>
        <w:rPr>
          <w:noProof/>
        </w:rPr>
      </w:pPr>
      <w:r w:rsidRPr="00400193">
        <w:rPr>
          <w:noProof/>
        </w:rPr>
        <w:t xml:space="preserve">Chenail, R. J. (2011). Ten Steps for Conceptualizing and Conducting Qualitative Research Studies in a Pragmatically Curious Manner. </w:t>
      </w:r>
      <w:r w:rsidRPr="00400193">
        <w:rPr>
          <w:i/>
          <w:iCs/>
          <w:noProof/>
        </w:rPr>
        <w:t>The Qualitative Report, 16</w:t>
      </w:r>
      <w:r w:rsidRPr="00400193">
        <w:rPr>
          <w:noProof/>
        </w:rPr>
        <w:t>(6), 1715 - 1732.</w:t>
      </w:r>
    </w:p>
    <w:p w14:paraId="32DF188E" w14:textId="77777777" w:rsidR="00803D7E" w:rsidRPr="00400193" w:rsidRDefault="00803D7E" w:rsidP="00E90E0D">
      <w:pPr>
        <w:pStyle w:val="Bibliography"/>
        <w:jc w:val="left"/>
        <w:rPr>
          <w:noProof/>
        </w:rPr>
      </w:pPr>
      <w:r w:rsidRPr="00400193">
        <w:rPr>
          <w:noProof/>
        </w:rPr>
        <w:t xml:space="preserve">Cherdantseva, Y., Burnap, P., Blyth, A., Eden, P., Jones, K., Soulsby, H., &amp; Stoddart, K. (2016). A review of cyber security risk assessment methods for SCADA systems. </w:t>
      </w:r>
      <w:r w:rsidRPr="00400193">
        <w:rPr>
          <w:i/>
          <w:iCs/>
          <w:noProof/>
        </w:rPr>
        <w:t>Computers &amp; Security, 56</w:t>
      </w:r>
      <w:r w:rsidRPr="00400193">
        <w:rPr>
          <w:noProof/>
        </w:rPr>
        <w:t>(1), 1-27.</w:t>
      </w:r>
    </w:p>
    <w:p w14:paraId="33BDC5A5" w14:textId="77777777" w:rsidR="00803D7E" w:rsidRPr="00400193" w:rsidRDefault="00803D7E" w:rsidP="00E90E0D">
      <w:pPr>
        <w:pStyle w:val="Bibliography"/>
        <w:jc w:val="left"/>
        <w:rPr>
          <w:noProof/>
        </w:rPr>
      </w:pPr>
      <w:r w:rsidRPr="00400193">
        <w:rPr>
          <w:noProof/>
        </w:rPr>
        <w:t xml:space="preserve">Ciavaglia, L., Chemouil, P., &amp; Maggs, B. (2019). Techniques for smart and secure 5G softwarized networks. </w:t>
      </w:r>
      <w:r w:rsidRPr="00400193">
        <w:rPr>
          <w:i/>
          <w:iCs/>
          <w:noProof/>
        </w:rPr>
        <w:t>Annales des télécommunications</w:t>
      </w:r>
      <w:r w:rsidRPr="00400193">
        <w:rPr>
          <w:noProof/>
        </w:rPr>
        <w:t>(74), 543-544. doi:10.1007/s12243-019-00732-8</w:t>
      </w:r>
    </w:p>
    <w:p w14:paraId="12541E6A" w14:textId="77777777" w:rsidR="00803D7E" w:rsidRPr="00400193" w:rsidRDefault="00803D7E" w:rsidP="00E90E0D">
      <w:pPr>
        <w:pStyle w:val="Bibliography"/>
        <w:jc w:val="left"/>
        <w:rPr>
          <w:noProof/>
        </w:rPr>
      </w:pPr>
      <w:r w:rsidRPr="00400193">
        <w:rPr>
          <w:noProof/>
        </w:rPr>
        <w:t xml:space="preserve">Ciolan, I. M. (2014). Defining Cybersecurity as the Security Issue of the Twenty-First Century. A Constructivist Approach. </w:t>
      </w:r>
      <w:r w:rsidRPr="00400193">
        <w:rPr>
          <w:i/>
          <w:iCs/>
          <w:noProof/>
        </w:rPr>
        <w:t>Revista de Administratie Publica si Politici Sociale (The Public Administration and Social Policies Review), 12</w:t>
      </w:r>
      <w:r w:rsidRPr="00400193">
        <w:rPr>
          <w:noProof/>
        </w:rPr>
        <w:t>(1), 120-136.</w:t>
      </w:r>
    </w:p>
    <w:p w14:paraId="401F8952" w14:textId="77777777" w:rsidR="00803D7E" w:rsidRPr="00400193" w:rsidRDefault="00803D7E" w:rsidP="00E90E0D">
      <w:pPr>
        <w:pStyle w:val="Bibliography"/>
        <w:jc w:val="left"/>
        <w:rPr>
          <w:noProof/>
        </w:rPr>
      </w:pPr>
      <w:r w:rsidRPr="00400193">
        <w:rPr>
          <w:noProof/>
        </w:rPr>
        <w:t xml:space="preserve">Clarke, C. P. (2016). Drugs &amp; Thugs: Funding Terrorism through Narcotics Trafficking. </w:t>
      </w:r>
      <w:r w:rsidRPr="00400193">
        <w:rPr>
          <w:i/>
          <w:iCs/>
          <w:noProof/>
        </w:rPr>
        <w:t>Journal of Strategic Security, 9</w:t>
      </w:r>
      <w:r w:rsidRPr="00400193">
        <w:rPr>
          <w:noProof/>
        </w:rPr>
        <w:t>(3 (Fall 2016)), 1-15. doi:10.5038/1944-0472.9.3.1536</w:t>
      </w:r>
    </w:p>
    <w:p w14:paraId="14E3ED34" w14:textId="77777777" w:rsidR="00803D7E" w:rsidRPr="00400193" w:rsidRDefault="00803D7E" w:rsidP="00E90E0D">
      <w:pPr>
        <w:pStyle w:val="Bibliography"/>
        <w:jc w:val="left"/>
        <w:rPr>
          <w:noProof/>
        </w:rPr>
      </w:pPr>
      <w:r w:rsidRPr="00400193">
        <w:rPr>
          <w:noProof/>
        </w:rPr>
        <w:t xml:space="preserve">Clarke, R. A. (2016). The Risk of Cyber War and Cyber Terrorism. </w:t>
      </w:r>
      <w:r w:rsidRPr="00400193">
        <w:rPr>
          <w:i/>
          <w:iCs/>
          <w:noProof/>
        </w:rPr>
        <w:t>Journal of International Affairs, 70</w:t>
      </w:r>
      <w:r w:rsidRPr="00400193">
        <w:rPr>
          <w:noProof/>
        </w:rPr>
        <w:t>(1), 179-181.</w:t>
      </w:r>
    </w:p>
    <w:p w14:paraId="070F9246" w14:textId="77777777" w:rsidR="00803D7E" w:rsidRPr="00400193" w:rsidRDefault="00803D7E" w:rsidP="00E90E0D">
      <w:pPr>
        <w:pStyle w:val="Bibliography"/>
        <w:jc w:val="left"/>
        <w:rPr>
          <w:noProof/>
        </w:rPr>
      </w:pPr>
      <w:r w:rsidRPr="00400193">
        <w:rPr>
          <w:noProof/>
        </w:rPr>
        <w:t xml:space="preserve">Clinton, L. (2015). Best Practices for Operating Government-Industry Partnerships in Cyber Security. </w:t>
      </w:r>
      <w:r w:rsidRPr="00400193">
        <w:rPr>
          <w:i/>
          <w:iCs/>
          <w:noProof/>
        </w:rPr>
        <w:t>Journal of Strategic Security, 8</w:t>
      </w:r>
      <w:r w:rsidRPr="00400193">
        <w:rPr>
          <w:noProof/>
        </w:rPr>
        <w:t>(4), 53-68. doi:10.5038/1944-0472.8.4.1456</w:t>
      </w:r>
    </w:p>
    <w:p w14:paraId="7B6B4B9C" w14:textId="77777777" w:rsidR="00803D7E" w:rsidRPr="00400193" w:rsidRDefault="00803D7E" w:rsidP="00E90E0D">
      <w:pPr>
        <w:pStyle w:val="Bibliography"/>
        <w:jc w:val="left"/>
        <w:rPr>
          <w:noProof/>
        </w:rPr>
      </w:pPr>
      <w:r w:rsidRPr="00400193">
        <w:rPr>
          <w:noProof/>
        </w:rPr>
        <w:t xml:space="preserve">Cohen, D. (2013). Online Fraud Report. </w:t>
      </w:r>
      <w:r w:rsidRPr="00400193">
        <w:rPr>
          <w:i/>
          <w:iCs/>
          <w:noProof/>
        </w:rPr>
        <w:t>N. Y. EMC, 2013</w:t>
      </w:r>
      <w:r w:rsidRPr="00400193">
        <w:rPr>
          <w:noProof/>
        </w:rPr>
        <w:t>(December), 5.</w:t>
      </w:r>
    </w:p>
    <w:p w14:paraId="5E40AB1D" w14:textId="77777777" w:rsidR="00803D7E" w:rsidRPr="00400193" w:rsidRDefault="00803D7E" w:rsidP="00E90E0D">
      <w:pPr>
        <w:pStyle w:val="Bibliography"/>
        <w:jc w:val="left"/>
        <w:rPr>
          <w:noProof/>
        </w:rPr>
      </w:pPr>
      <w:r w:rsidRPr="00400193">
        <w:rPr>
          <w:noProof/>
        </w:rPr>
        <w:t xml:space="preserve">Colin, B. C. (2017). </w:t>
      </w:r>
      <w:r w:rsidRPr="00400193">
        <w:rPr>
          <w:i/>
          <w:iCs/>
          <w:noProof/>
        </w:rPr>
        <w:t>Examples of cyberterrorism</w:t>
      </w:r>
      <w:r w:rsidRPr="00400193">
        <w:rPr>
          <w:noProof/>
        </w:rPr>
        <w:t>. Retrieved May 27, 2017, from Stanford.edu: https://cs.stanford.edu/people/eroberts/cs181/projects/2010-11/Hacktivism/cyberterrorism.html</w:t>
      </w:r>
    </w:p>
    <w:p w14:paraId="71F152B8" w14:textId="77777777" w:rsidR="00803D7E" w:rsidRPr="00400193" w:rsidRDefault="00803D7E" w:rsidP="00E90E0D">
      <w:pPr>
        <w:pStyle w:val="Bibliography"/>
        <w:jc w:val="left"/>
        <w:rPr>
          <w:noProof/>
        </w:rPr>
      </w:pPr>
      <w:r w:rsidRPr="00400193">
        <w:rPr>
          <w:noProof/>
        </w:rPr>
        <w:t xml:space="preserve">Contol Risks. (2016). </w:t>
      </w:r>
      <w:r w:rsidRPr="00400193">
        <w:rPr>
          <w:i/>
          <w:iCs/>
          <w:noProof/>
        </w:rPr>
        <w:t>Riskmap Report 2016</w:t>
      </w:r>
      <w:r w:rsidRPr="00400193">
        <w:rPr>
          <w:noProof/>
        </w:rPr>
        <w:t xml:space="preserve"> (2016 ed.). London: Control Risks Group.</w:t>
      </w:r>
    </w:p>
    <w:p w14:paraId="51FF5F38" w14:textId="77777777" w:rsidR="00803D7E" w:rsidRPr="00400193" w:rsidRDefault="00803D7E" w:rsidP="00E90E0D">
      <w:pPr>
        <w:pStyle w:val="Bibliography"/>
        <w:jc w:val="left"/>
        <w:rPr>
          <w:noProof/>
        </w:rPr>
      </w:pPr>
      <w:r w:rsidRPr="00400193">
        <w:rPr>
          <w:noProof/>
        </w:rPr>
        <w:t xml:space="preserve">Cooper, D. R., &amp; Schindler, P. S. (2006). </w:t>
      </w:r>
      <w:r w:rsidRPr="00400193">
        <w:rPr>
          <w:i/>
          <w:iCs/>
          <w:noProof/>
        </w:rPr>
        <w:t>Business Research Methods.</w:t>
      </w:r>
      <w:r w:rsidRPr="00400193">
        <w:rPr>
          <w:noProof/>
        </w:rPr>
        <w:t xml:space="preserve"> New York, NY: McGraw-Hill Irwin.</w:t>
      </w:r>
    </w:p>
    <w:p w14:paraId="4CF4C348" w14:textId="77777777" w:rsidR="00803D7E" w:rsidRPr="00400193" w:rsidRDefault="00803D7E" w:rsidP="00E90E0D">
      <w:pPr>
        <w:pStyle w:val="Bibliography"/>
        <w:jc w:val="left"/>
        <w:rPr>
          <w:noProof/>
        </w:rPr>
      </w:pPr>
      <w:r w:rsidRPr="00400193">
        <w:rPr>
          <w:noProof/>
        </w:rPr>
        <w:t xml:space="preserve">Corfield, G. (2017). </w:t>
      </w:r>
      <w:r w:rsidRPr="00400193">
        <w:rPr>
          <w:i/>
          <w:iCs/>
          <w:noProof/>
        </w:rPr>
        <w:t>More brilliant Internet of Things gadgetry: A £1,300 mousetrap</w:t>
      </w:r>
      <w:r w:rsidRPr="00400193">
        <w:rPr>
          <w:noProof/>
        </w:rPr>
        <w:t>. Retrieved September 26, 2017, from The Register: https://m.theregister.co.uk/2017/02/23/rentokil_1300_pound_iot_mousetrap/</w:t>
      </w:r>
    </w:p>
    <w:p w14:paraId="64F4761F" w14:textId="77777777" w:rsidR="00803D7E" w:rsidRPr="00400193" w:rsidRDefault="00803D7E" w:rsidP="00E90E0D">
      <w:pPr>
        <w:pStyle w:val="Bibliography"/>
        <w:jc w:val="left"/>
        <w:rPr>
          <w:noProof/>
        </w:rPr>
      </w:pPr>
      <w:r w:rsidRPr="00400193">
        <w:rPr>
          <w:noProof/>
        </w:rPr>
        <w:lastRenderedPageBreak/>
        <w:t xml:space="preserve">COSO. (2015a). </w:t>
      </w:r>
      <w:r w:rsidRPr="00400193">
        <w:rPr>
          <w:i/>
          <w:iCs/>
          <w:noProof/>
        </w:rPr>
        <w:t>The Committee of Sponsoring Organizations of the Treadway Commission</w:t>
      </w:r>
      <w:r w:rsidRPr="00400193">
        <w:rPr>
          <w:noProof/>
        </w:rPr>
        <w:t>. Retrieved May 16, 2016, from http://www.coso.org/</w:t>
      </w:r>
    </w:p>
    <w:p w14:paraId="116482B8" w14:textId="77777777" w:rsidR="00803D7E" w:rsidRPr="00400193" w:rsidRDefault="00803D7E" w:rsidP="00E90E0D">
      <w:pPr>
        <w:pStyle w:val="Bibliography"/>
        <w:jc w:val="left"/>
        <w:rPr>
          <w:noProof/>
        </w:rPr>
      </w:pPr>
      <w:r w:rsidRPr="00400193">
        <w:rPr>
          <w:noProof/>
        </w:rPr>
        <w:t>COSO. (2015b). COSO in the Cyber Age: Report Offers Guidance on Using Frameworks to Assess Cyber Risks. New York: COSO.</w:t>
      </w:r>
    </w:p>
    <w:p w14:paraId="57F77F32" w14:textId="77777777" w:rsidR="00803D7E" w:rsidRPr="00400193" w:rsidRDefault="00803D7E" w:rsidP="00E90E0D">
      <w:pPr>
        <w:pStyle w:val="Bibliography"/>
        <w:jc w:val="left"/>
        <w:rPr>
          <w:noProof/>
        </w:rPr>
      </w:pPr>
      <w:r w:rsidRPr="00400193">
        <w:rPr>
          <w:noProof/>
        </w:rPr>
        <w:t xml:space="preserve">Covey, S. R. (1999). </w:t>
      </w:r>
      <w:r w:rsidRPr="00400193">
        <w:rPr>
          <w:i/>
          <w:iCs/>
          <w:noProof/>
        </w:rPr>
        <w:t>The 7 Habits of Highly Effective People: Personal Workbook.</w:t>
      </w:r>
      <w:r w:rsidRPr="00400193">
        <w:rPr>
          <w:noProof/>
        </w:rPr>
        <w:t xml:space="preserve"> London: Simon &amp; Schuster.</w:t>
      </w:r>
    </w:p>
    <w:p w14:paraId="4CD77D66" w14:textId="77777777" w:rsidR="00803D7E" w:rsidRPr="00400193" w:rsidRDefault="00803D7E" w:rsidP="00E90E0D">
      <w:pPr>
        <w:pStyle w:val="Bibliography"/>
        <w:jc w:val="left"/>
        <w:rPr>
          <w:noProof/>
        </w:rPr>
      </w:pPr>
      <w:r w:rsidRPr="00400193">
        <w:rPr>
          <w:noProof/>
        </w:rPr>
        <w:t xml:space="preserve">Creswell, J. W. (2003). </w:t>
      </w:r>
      <w:r w:rsidRPr="00400193">
        <w:rPr>
          <w:i/>
          <w:iCs/>
          <w:noProof/>
        </w:rPr>
        <w:t>Research design: Qualitative, quantitative, and mixed method approaches</w:t>
      </w:r>
      <w:r w:rsidRPr="00400193">
        <w:rPr>
          <w:noProof/>
        </w:rPr>
        <w:t xml:space="preserve"> (2nd ed.). Thousand Oaks, CA: Sage.</w:t>
      </w:r>
    </w:p>
    <w:p w14:paraId="01F2A2E7" w14:textId="77777777" w:rsidR="00803D7E" w:rsidRPr="00400193" w:rsidRDefault="00803D7E" w:rsidP="00E90E0D">
      <w:pPr>
        <w:pStyle w:val="Bibliography"/>
        <w:jc w:val="left"/>
        <w:rPr>
          <w:noProof/>
        </w:rPr>
      </w:pPr>
      <w:r w:rsidRPr="00400193">
        <w:rPr>
          <w:noProof/>
        </w:rPr>
        <w:t xml:space="preserve">Crosman, P. (2016). Banks Especially Must Beware of Tax Season Surge in Phishing Attacks. </w:t>
      </w:r>
      <w:r w:rsidRPr="00400193">
        <w:rPr>
          <w:i/>
          <w:iCs/>
          <w:noProof/>
        </w:rPr>
        <w:t>The American banker, 1</w:t>
      </w:r>
      <w:r w:rsidRPr="00400193">
        <w:rPr>
          <w:noProof/>
        </w:rPr>
        <w:t>(f358).</w:t>
      </w:r>
    </w:p>
    <w:p w14:paraId="54601A29" w14:textId="77777777" w:rsidR="00803D7E" w:rsidRPr="00400193" w:rsidRDefault="00803D7E" w:rsidP="00E90E0D">
      <w:pPr>
        <w:pStyle w:val="Bibliography"/>
        <w:jc w:val="left"/>
        <w:rPr>
          <w:noProof/>
        </w:rPr>
      </w:pPr>
      <w:r w:rsidRPr="00400193">
        <w:rPr>
          <w:noProof/>
        </w:rPr>
        <w:t xml:space="preserve">Cross, F. B. (1997). The Positivist/Realist Perspective. </w:t>
      </w:r>
      <w:r w:rsidRPr="00400193">
        <w:rPr>
          <w:i/>
          <w:iCs/>
          <w:noProof/>
        </w:rPr>
        <w:t>Journal of Leagal Studies Education, 15</w:t>
      </w:r>
      <w:r w:rsidRPr="00400193">
        <w:rPr>
          <w:noProof/>
        </w:rPr>
        <w:t>(1), 10-13. doi:10.1111/j.1744-1722.1997.tb00057.x.</w:t>
      </w:r>
    </w:p>
    <w:p w14:paraId="05D8711D" w14:textId="77777777" w:rsidR="00803D7E" w:rsidRPr="00400193" w:rsidRDefault="00803D7E" w:rsidP="00E90E0D">
      <w:pPr>
        <w:pStyle w:val="Bibliography"/>
        <w:jc w:val="left"/>
        <w:rPr>
          <w:noProof/>
        </w:rPr>
      </w:pPr>
      <w:r w:rsidRPr="00400193">
        <w:rPr>
          <w:noProof/>
        </w:rPr>
        <w:t xml:space="preserve">Crotty, M. (1998). </w:t>
      </w:r>
      <w:r w:rsidRPr="00400193">
        <w:rPr>
          <w:i/>
          <w:iCs/>
          <w:noProof/>
        </w:rPr>
        <w:t>The Foundations of Social Research: Meaning and Perspective in the Research Process.</w:t>
      </w:r>
      <w:r w:rsidRPr="00400193">
        <w:rPr>
          <w:noProof/>
        </w:rPr>
        <w:t xml:space="preserve"> London: Sage.</w:t>
      </w:r>
    </w:p>
    <w:p w14:paraId="5B782453" w14:textId="77777777" w:rsidR="00803D7E" w:rsidRPr="00400193" w:rsidRDefault="00803D7E" w:rsidP="00E90E0D">
      <w:pPr>
        <w:pStyle w:val="Bibliography"/>
        <w:jc w:val="left"/>
        <w:rPr>
          <w:noProof/>
        </w:rPr>
      </w:pPr>
      <w:r w:rsidRPr="00400193">
        <w:rPr>
          <w:noProof/>
        </w:rPr>
        <w:t xml:space="preserve">Cupchick, G. (2001). Constructive Realism: An Ontology That Encompasses Positivist and Constructivist Approaches to the Social Sciences. </w:t>
      </w:r>
      <w:r w:rsidRPr="00400193">
        <w:rPr>
          <w:i/>
          <w:iCs/>
          <w:noProof/>
        </w:rPr>
        <w:t>Forum, Qualitative Social Research, 2</w:t>
      </w:r>
      <w:r w:rsidRPr="00400193">
        <w:rPr>
          <w:noProof/>
        </w:rPr>
        <w:t>(1), art 7. Retrieved from http://nbnresolving.de/urn:nbn:de:0114-fqs01017</w:t>
      </w:r>
    </w:p>
    <w:p w14:paraId="2B16663C" w14:textId="77777777" w:rsidR="00803D7E" w:rsidRPr="00400193" w:rsidRDefault="00803D7E" w:rsidP="00E90E0D">
      <w:pPr>
        <w:pStyle w:val="Bibliography"/>
        <w:jc w:val="left"/>
        <w:rPr>
          <w:noProof/>
        </w:rPr>
      </w:pPr>
      <w:r w:rsidRPr="00400193">
        <w:rPr>
          <w:noProof/>
        </w:rPr>
        <w:t xml:space="preserve">D’Amico, A., Buchanan, L., Kirkpatrick, D., &amp; Walczak, P. (2016). Cyber Operator Perspectives on Security Visualization. In D. Nicholson (Ed.), </w:t>
      </w:r>
      <w:r w:rsidRPr="00400193">
        <w:rPr>
          <w:i/>
          <w:iCs/>
          <w:noProof/>
        </w:rPr>
        <w:t>Advances in Human Factors in Cybersecurity</w:t>
      </w:r>
      <w:r w:rsidRPr="00400193">
        <w:rPr>
          <w:noProof/>
        </w:rPr>
        <w:t xml:space="preserve"> (pp. 69-84). Basel: Springer. doi:10.1007/978-3-319-41932-9_7</w:t>
      </w:r>
    </w:p>
    <w:p w14:paraId="155CDCB9" w14:textId="77777777" w:rsidR="00803D7E" w:rsidRPr="00400193" w:rsidRDefault="00803D7E" w:rsidP="00E90E0D">
      <w:pPr>
        <w:pStyle w:val="Bibliography"/>
        <w:jc w:val="left"/>
        <w:rPr>
          <w:noProof/>
        </w:rPr>
      </w:pPr>
      <w:r w:rsidRPr="00400193">
        <w:rPr>
          <w:noProof/>
        </w:rPr>
        <w:t xml:space="preserve">Dale, S. (2014). Gamification: Making work fun, or Making fun of work? </w:t>
      </w:r>
      <w:r w:rsidRPr="00400193">
        <w:rPr>
          <w:i/>
          <w:iCs/>
          <w:noProof/>
        </w:rPr>
        <w:t>Business Information Review, 31</w:t>
      </w:r>
      <w:r w:rsidRPr="00400193">
        <w:rPr>
          <w:noProof/>
        </w:rPr>
        <w:t>(2), 82-90. doi:10.1177/0266382114538350</w:t>
      </w:r>
    </w:p>
    <w:p w14:paraId="268C5F47" w14:textId="77777777" w:rsidR="00803D7E" w:rsidRPr="00400193" w:rsidRDefault="00803D7E" w:rsidP="00E90E0D">
      <w:pPr>
        <w:pStyle w:val="Bibliography"/>
        <w:jc w:val="left"/>
        <w:rPr>
          <w:noProof/>
        </w:rPr>
      </w:pPr>
      <w:r w:rsidRPr="00400193">
        <w:rPr>
          <w:noProof/>
        </w:rPr>
        <w:t xml:space="preserve">Darkmatter. (2020). </w:t>
      </w:r>
      <w:r w:rsidRPr="00400193">
        <w:rPr>
          <w:i/>
          <w:iCs/>
          <w:noProof/>
        </w:rPr>
        <w:t>Smart and Safe Digital</w:t>
      </w:r>
      <w:r w:rsidRPr="00400193">
        <w:rPr>
          <w:noProof/>
        </w:rPr>
        <w:t>. Retrieved April 20, 2020, from DarkMatter: https://www.darkmatter.ae/</w:t>
      </w:r>
    </w:p>
    <w:p w14:paraId="722FF7DD" w14:textId="77777777" w:rsidR="00803D7E" w:rsidRPr="00400193" w:rsidRDefault="00803D7E" w:rsidP="00E90E0D">
      <w:pPr>
        <w:pStyle w:val="Bibliography"/>
        <w:jc w:val="left"/>
        <w:rPr>
          <w:noProof/>
        </w:rPr>
      </w:pPr>
      <w:r w:rsidRPr="00400193">
        <w:rPr>
          <w:noProof/>
        </w:rPr>
        <w:t xml:space="preserve">de Bernardi, C. (2018). Reflections on the hegemonic exclusion of critical realism from academic settings: alone in a room full of people. </w:t>
      </w:r>
      <w:r w:rsidRPr="00400193">
        <w:rPr>
          <w:i/>
          <w:iCs/>
          <w:noProof/>
        </w:rPr>
        <w:t>Journal of critical realism, 17</w:t>
      </w:r>
      <w:r w:rsidRPr="00400193">
        <w:rPr>
          <w:noProof/>
        </w:rPr>
        <w:t>(4), 374-389. doi:10.1080/14767430.2018.1497316</w:t>
      </w:r>
    </w:p>
    <w:p w14:paraId="3544C7A8" w14:textId="77777777" w:rsidR="00803D7E" w:rsidRPr="00400193" w:rsidRDefault="00803D7E" w:rsidP="00E90E0D">
      <w:pPr>
        <w:pStyle w:val="Bibliography"/>
        <w:jc w:val="left"/>
        <w:rPr>
          <w:noProof/>
        </w:rPr>
      </w:pPr>
      <w:r w:rsidRPr="00400193">
        <w:rPr>
          <w:noProof/>
        </w:rPr>
        <w:t xml:space="preserve">De Bruijne, M., &amp; Wijnant, A. (2014). Improving Response Rates and Questionnaire Design for Mobile Web Surveys. </w:t>
      </w:r>
      <w:r w:rsidRPr="00400193">
        <w:rPr>
          <w:i/>
          <w:iCs/>
          <w:noProof/>
        </w:rPr>
        <w:t>Public Opinion Quarterly, 78</w:t>
      </w:r>
      <w:r w:rsidRPr="00400193">
        <w:rPr>
          <w:noProof/>
        </w:rPr>
        <w:t>(4), 951-962. doi:10.1093/poq/nfu046</w:t>
      </w:r>
    </w:p>
    <w:p w14:paraId="2AAC40F0" w14:textId="77777777" w:rsidR="00803D7E" w:rsidRPr="00400193" w:rsidRDefault="00803D7E" w:rsidP="00E90E0D">
      <w:pPr>
        <w:pStyle w:val="Bibliography"/>
        <w:jc w:val="left"/>
        <w:rPr>
          <w:noProof/>
        </w:rPr>
      </w:pPr>
      <w:r w:rsidRPr="00400193">
        <w:rPr>
          <w:noProof/>
        </w:rPr>
        <w:t xml:space="preserve">de Laat, P. B. (2015). The use of software tools and autonomous bots against vandalism: eroding Wikipedia’s moral order? </w:t>
      </w:r>
      <w:r w:rsidRPr="00400193">
        <w:rPr>
          <w:i/>
          <w:iCs/>
          <w:noProof/>
        </w:rPr>
        <w:t>Ethics and Information Technology, 17</w:t>
      </w:r>
      <w:r w:rsidRPr="00400193">
        <w:rPr>
          <w:noProof/>
        </w:rPr>
        <w:t>(3), 175-188. doi:10.1007/s10676-015-9366-9</w:t>
      </w:r>
    </w:p>
    <w:p w14:paraId="2D4406EA" w14:textId="77777777" w:rsidR="00803D7E" w:rsidRPr="00400193" w:rsidRDefault="00803D7E" w:rsidP="00E90E0D">
      <w:pPr>
        <w:pStyle w:val="Bibliography"/>
        <w:jc w:val="left"/>
        <w:rPr>
          <w:noProof/>
        </w:rPr>
      </w:pPr>
      <w:r w:rsidRPr="00400193">
        <w:rPr>
          <w:noProof/>
        </w:rPr>
        <w:t xml:space="preserve">Deloitte. (2011). </w:t>
      </w:r>
      <w:r w:rsidRPr="00400193">
        <w:rPr>
          <w:i/>
          <w:iCs/>
          <w:noProof/>
        </w:rPr>
        <w:t>Risk Intelligent governance in the age of cyber threats: What you don't know could hurt you.</w:t>
      </w:r>
      <w:r w:rsidRPr="00400193">
        <w:rPr>
          <w:noProof/>
        </w:rPr>
        <w:t xml:space="preserve"> London: Deloitte Development LLC.</w:t>
      </w:r>
    </w:p>
    <w:p w14:paraId="25C9FCAD" w14:textId="77777777" w:rsidR="00803D7E" w:rsidRPr="00400193" w:rsidRDefault="00803D7E" w:rsidP="00E90E0D">
      <w:pPr>
        <w:pStyle w:val="Bibliography"/>
        <w:jc w:val="left"/>
        <w:rPr>
          <w:noProof/>
        </w:rPr>
      </w:pPr>
      <w:r w:rsidRPr="00400193">
        <w:rPr>
          <w:noProof/>
        </w:rPr>
        <w:t xml:space="preserve">Deming, W. E. (2000). </w:t>
      </w:r>
      <w:r w:rsidRPr="00400193">
        <w:rPr>
          <w:i/>
          <w:iCs/>
          <w:noProof/>
        </w:rPr>
        <w:t>Out of the Crisis</w:t>
      </w:r>
      <w:r w:rsidRPr="00400193">
        <w:rPr>
          <w:noProof/>
        </w:rPr>
        <w:t xml:space="preserve"> (1 ed.). Boston: SPC Books.</w:t>
      </w:r>
    </w:p>
    <w:p w14:paraId="50EF3F21" w14:textId="77777777" w:rsidR="00803D7E" w:rsidRPr="00400193" w:rsidRDefault="00803D7E" w:rsidP="00E90E0D">
      <w:pPr>
        <w:pStyle w:val="Bibliography"/>
        <w:jc w:val="left"/>
        <w:rPr>
          <w:noProof/>
        </w:rPr>
      </w:pPr>
      <w:r w:rsidRPr="00400193">
        <w:rPr>
          <w:noProof/>
        </w:rPr>
        <w:t xml:space="preserve">Denscombe, M. (2007). </w:t>
      </w:r>
      <w:r w:rsidRPr="00400193">
        <w:rPr>
          <w:i/>
          <w:iCs/>
          <w:noProof/>
        </w:rPr>
        <w:t>The Good Research Guide</w:t>
      </w:r>
      <w:r w:rsidRPr="00400193">
        <w:rPr>
          <w:noProof/>
        </w:rPr>
        <w:t xml:space="preserve"> (3rd ed.). Milton Keynes: Open University Press.</w:t>
      </w:r>
    </w:p>
    <w:p w14:paraId="0555BD5E" w14:textId="77777777" w:rsidR="00803D7E" w:rsidRPr="00400193" w:rsidRDefault="00803D7E" w:rsidP="00E90E0D">
      <w:pPr>
        <w:pStyle w:val="Bibliography"/>
        <w:jc w:val="left"/>
        <w:rPr>
          <w:noProof/>
        </w:rPr>
      </w:pPr>
      <w:r w:rsidRPr="00400193">
        <w:rPr>
          <w:noProof/>
        </w:rPr>
        <w:t xml:space="preserve">DeRose, R. A. (2017). </w:t>
      </w:r>
      <w:r w:rsidRPr="00400193">
        <w:rPr>
          <w:i/>
          <w:iCs/>
          <w:noProof/>
        </w:rPr>
        <w:t>IoT Security Risks: 4 Types of Cyber Attacks to be Aware Of.</w:t>
      </w:r>
      <w:r w:rsidRPr="00400193">
        <w:rPr>
          <w:noProof/>
        </w:rPr>
        <w:t xml:space="preserve"> Retrieved September 29, 2017, from L-Tron Corporation: https://www.l-tron.com/iot-security-risks-4-types-of-cyber-attacks/</w:t>
      </w:r>
    </w:p>
    <w:p w14:paraId="454E7399" w14:textId="77777777" w:rsidR="00803D7E" w:rsidRPr="00400193" w:rsidRDefault="00803D7E" w:rsidP="00E90E0D">
      <w:pPr>
        <w:pStyle w:val="Bibliography"/>
        <w:jc w:val="left"/>
        <w:rPr>
          <w:noProof/>
        </w:rPr>
      </w:pPr>
      <w:r w:rsidRPr="00400193">
        <w:rPr>
          <w:noProof/>
        </w:rPr>
        <w:t xml:space="preserve">Dev, P. R. (2015). "Use of Force" and "Armed Attack" Thresholds in Cyber Conflict: The Looming Definitional Gaps and the Growing Need for Formal U.N. Response. </w:t>
      </w:r>
      <w:r w:rsidRPr="00400193">
        <w:rPr>
          <w:i/>
          <w:iCs/>
          <w:noProof/>
        </w:rPr>
        <w:t>Texas International Law Journal, 50</w:t>
      </w:r>
      <w:r w:rsidRPr="00400193">
        <w:rPr>
          <w:noProof/>
        </w:rPr>
        <w:t>(2/3), 381-401.</w:t>
      </w:r>
    </w:p>
    <w:p w14:paraId="6DB5941D" w14:textId="77777777" w:rsidR="00803D7E" w:rsidRPr="00400193" w:rsidRDefault="00803D7E" w:rsidP="00E90E0D">
      <w:pPr>
        <w:pStyle w:val="Bibliography"/>
        <w:jc w:val="left"/>
        <w:rPr>
          <w:noProof/>
        </w:rPr>
      </w:pPr>
      <w:r w:rsidRPr="00400193">
        <w:rPr>
          <w:noProof/>
        </w:rPr>
        <w:t xml:space="preserve">DeVellis, R. F. (2003). </w:t>
      </w:r>
      <w:r w:rsidRPr="00400193">
        <w:rPr>
          <w:i/>
          <w:iCs/>
          <w:noProof/>
        </w:rPr>
        <w:t>Scale Development: Theory and Applications.</w:t>
      </w:r>
      <w:r w:rsidRPr="00400193">
        <w:rPr>
          <w:noProof/>
        </w:rPr>
        <w:t xml:space="preserve"> London: Sage.</w:t>
      </w:r>
    </w:p>
    <w:p w14:paraId="6A000D13" w14:textId="77777777" w:rsidR="00803D7E" w:rsidRPr="00400193" w:rsidRDefault="00803D7E" w:rsidP="00E90E0D">
      <w:pPr>
        <w:pStyle w:val="Bibliography"/>
        <w:jc w:val="left"/>
        <w:rPr>
          <w:noProof/>
        </w:rPr>
      </w:pPr>
      <w:r w:rsidRPr="00400193">
        <w:rPr>
          <w:noProof/>
        </w:rPr>
        <w:t xml:space="preserve">Djaouti, D., Alvarez, J., Jessel, J.-P., &amp; Rampnoux, O. (2012). Origins of Serious Games. </w:t>
      </w:r>
      <w:r w:rsidRPr="00400193">
        <w:rPr>
          <w:i/>
          <w:iCs/>
          <w:noProof/>
        </w:rPr>
        <w:t>Ludoscience [online]</w:t>
      </w:r>
      <w:r w:rsidRPr="00400193">
        <w:rPr>
          <w:noProof/>
        </w:rPr>
        <w:t>, http://www.ludoscience.com/files/ressources/origins_of_serious_games.pdf.</w:t>
      </w:r>
    </w:p>
    <w:p w14:paraId="1F028B83" w14:textId="77777777" w:rsidR="00803D7E" w:rsidRPr="00400193" w:rsidRDefault="00803D7E" w:rsidP="00E90E0D">
      <w:pPr>
        <w:pStyle w:val="Bibliography"/>
        <w:jc w:val="left"/>
        <w:rPr>
          <w:noProof/>
        </w:rPr>
      </w:pPr>
      <w:r w:rsidRPr="00400193">
        <w:rPr>
          <w:noProof/>
        </w:rPr>
        <w:t xml:space="preserve">Djemame, K., Padgett, J., Gourlay, I., &amp; Armstrong, D. (2011). Brokering of risk-aware service level agreements in grids. </w:t>
      </w:r>
      <w:r w:rsidRPr="00400193">
        <w:rPr>
          <w:i/>
          <w:iCs/>
          <w:noProof/>
        </w:rPr>
        <w:t>Concurrency and Computation - Practice and Experience, 23</w:t>
      </w:r>
      <w:r w:rsidRPr="00400193">
        <w:rPr>
          <w:noProof/>
        </w:rPr>
        <w:t>(13), 1558-1582. doi:10.1002/cpe.1721</w:t>
      </w:r>
    </w:p>
    <w:p w14:paraId="3FAEF2DD" w14:textId="77777777" w:rsidR="00803D7E" w:rsidRPr="00400193" w:rsidRDefault="00803D7E" w:rsidP="00E90E0D">
      <w:pPr>
        <w:pStyle w:val="Bibliography"/>
        <w:jc w:val="left"/>
        <w:rPr>
          <w:noProof/>
        </w:rPr>
      </w:pPr>
      <w:r w:rsidRPr="00400193">
        <w:rPr>
          <w:noProof/>
        </w:rPr>
        <w:lastRenderedPageBreak/>
        <w:t xml:space="preserve">Douglas, D. M. (2016). Doxing: a conceptual analysis. </w:t>
      </w:r>
      <w:r w:rsidRPr="00400193">
        <w:rPr>
          <w:i/>
          <w:iCs/>
          <w:noProof/>
        </w:rPr>
        <w:t>Ethics and Information Technology, 18</w:t>
      </w:r>
      <w:r w:rsidRPr="00400193">
        <w:rPr>
          <w:noProof/>
        </w:rPr>
        <w:t>(3), 199-210. doi:10.1007/s10676-016-9406-0</w:t>
      </w:r>
    </w:p>
    <w:p w14:paraId="35A7CCB2" w14:textId="77777777" w:rsidR="00803D7E" w:rsidRPr="00400193" w:rsidRDefault="00803D7E" w:rsidP="00E90E0D">
      <w:pPr>
        <w:pStyle w:val="Bibliography"/>
        <w:jc w:val="left"/>
        <w:rPr>
          <w:noProof/>
        </w:rPr>
      </w:pPr>
      <w:r w:rsidRPr="00400193">
        <w:rPr>
          <w:noProof/>
        </w:rPr>
        <w:t xml:space="preserve">Drmola, J., Bastl, M., &amp; Mares, M. (2015). Modeling Hacktivism Using System Dynamics. </w:t>
      </w:r>
      <w:r w:rsidRPr="00400193">
        <w:rPr>
          <w:i/>
          <w:iCs/>
          <w:noProof/>
        </w:rPr>
        <w:t>Journal of Applied Security Research, 10</w:t>
      </w:r>
      <w:r w:rsidRPr="00400193">
        <w:rPr>
          <w:noProof/>
        </w:rPr>
        <w:t>(2), 238-248. doi:10.1080/19361610.2015.1004514</w:t>
      </w:r>
    </w:p>
    <w:p w14:paraId="01649C4A" w14:textId="77777777" w:rsidR="00803D7E" w:rsidRPr="00400193" w:rsidRDefault="00803D7E" w:rsidP="00E90E0D">
      <w:pPr>
        <w:pStyle w:val="Bibliography"/>
        <w:jc w:val="left"/>
        <w:rPr>
          <w:noProof/>
        </w:rPr>
      </w:pPr>
      <w:r w:rsidRPr="00400193">
        <w:rPr>
          <w:noProof/>
        </w:rPr>
        <w:t xml:space="preserve">Dubai Electronic Security Center. (2017). </w:t>
      </w:r>
      <w:r w:rsidRPr="00400193">
        <w:rPr>
          <w:i/>
          <w:iCs/>
          <w:noProof/>
        </w:rPr>
        <w:t>Dubai Cyber Security Strategy</w:t>
      </w:r>
      <w:r w:rsidRPr="00400193">
        <w:rPr>
          <w:noProof/>
        </w:rPr>
        <w:t xml:space="preserve"> ( Version 2.0 ed.). Dubai: Dubai Electronic Security Center.</w:t>
      </w:r>
    </w:p>
    <w:p w14:paraId="0BCC6B46" w14:textId="77777777" w:rsidR="00803D7E" w:rsidRPr="00400193" w:rsidRDefault="00803D7E" w:rsidP="00E90E0D">
      <w:pPr>
        <w:pStyle w:val="Bibliography"/>
        <w:jc w:val="left"/>
        <w:rPr>
          <w:noProof/>
        </w:rPr>
      </w:pPr>
      <w:r w:rsidRPr="00400193">
        <w:rPr>
          <w:noProof/>
        </w:rPr>
        <w:t xml:space="preserve">Dunn Cavelty, M. (2014). Breaking the Cyber-Security Dilemma: Aligning Security Needs and Removing Vulnerabilities. </w:t>
      </w:r>
      <w:r w:rsidRPr="00400193">
        <w:rPr>
          <w:i/>
          <w:iCs/>
          <w:noProof/>
        </w:rPr>
        <w:t>Science and Engineering Ethics, 20</w:t>
      </w:r>
      <w:r w:rsidRPr="00400193">
        <w:rPr>
          <w:noProof/>
        </w:rPr>
        <w:t>(3), 701-715. doi:10.1007/s11948-014-9551-y</w:t>
      </w:r>
    </w:p>
    <w:p w14:paraId="3C3C0C3C" w14:textId="77777777" w:rsidR="00803D7E" w:rsidRPr="00400193" w:rsidRDefault="00803D7E" w:rsidP="00E90E0D">
      <w:pPr>
        <w:pStyle w:val="Bibliography"/>
        <w:jc w:val="left"/>
        <w:rPr>
          <w:noProof/>
        </w:rPr>
      </w:pPr>
      <w:r w:rsidRPr="00400193">
        <w:rPr>
          <w:noProof/>
        </w:rPr>
        <w:t xml:space="preserve">Dutt, V., Ahn, Y.-S., &amp; Gonzalez, C. (2013). Cyber Situation Awareness. </w:t>
      </w:r>
      <w:r w:rsidRPr="00400193">
        <w:rPr>
          <w:i/>
          <w:iCs/>
          <w:noProof/>
        </w:rPr>
        <w:t>Human Factors, 55</w:t>
      </w:r>
      <w:r w:rsidRPr="00400193">
        <w:rPr>
          <w:noProof/>
        </w:rPr>
        <w:t>(3), 605-618. doi:10.1177/0018720812464045</w:t>
      </w:r>
    </w:p>
    <w:p w14:paraId="66AE3ACA" w14:textId="77777777" w:rsidR="00803D7E" w:rsidRPr="00400193" w:rsidRDefault="00803D7E" w:rsidP="00E90E0D">
      <w:pPr>
        <w:pStyle w:val="Bibliography"/>
        <w:jc w:val="left"/>
        <w:rPr>
          <w:noProof/>
        </w:rPr>
      </w:pPr>
      <w:r w:rsidRPr="00400193">
        <w:rPr>
          <w:noProof/>
        </w:rPr>
        <w:t xml:space="preserve">Dutt, V., Moisan, F., &amp; Gonzalez, C. (2016). Role of Intrusion-Detection Systems in Cyber-Attack Detection. In D. Nicholson (Ed.), </w:t>
      </w:r>
      <w:r w:rsidRPr="00400193">
        <w:rPr>
          <w:i/>
          <w:iCs/>
          <w:noProof/>
        </w:rPr>
        <w:t>Advances in Human Factors in Cybersecurity</w:t>
      </w:r>
      <w:r w:rsidRPr="00400193">
        <w:rPr>
          <w:noProof/>
        </w:rPr>
        <w:t xml:space="preserve"> (pp. 97-109). Basel: Springer. doi:10.1007/978-3-319-41932-9_9</w:t>
      </w:r>
    </w:p>
    <w:p w14:paraId="45124993" w14:textId="77777777" w:rsidR="00803D7E" w:rsidRPr="00400193" w:rsidRDefault="00803D7E" w:rsidP="00E90E0D">
      <w:pPr>
        <w:pStyle w:val="Bibliography"/>
        <w:jc w:val="left"/>
        <w:rPr>
          <w:noProof/>
        </w:rPr>
      </w:pPr>
      <w:r w:rsidRPr="00400193">
        <w:rPr>
          <w:noProof/>
        </w:rPr>
        <w:t xml:space="preserve">Efthymiopoulos, M.-P. (2016). Cyber-Security in smart cities: the case of Dubai . </w:t>
      </w:r>
      <w:r w:rsidRPr="00400193">
        <w:rPr>
          <w:i/>
          <w:iCs/>
          <w:noProof/>
        </w:rPr>
        <w:t>Journal of Innovation and Entrepreneurship, 5</w:t>
      </w:r>
      <w:r w:rsidRPr="00400193">
        <w:rPr>
          <w:noProof/>
        </w:rPr>
        <w:t>(1).</w:t>
      </w:r>
    </w:p>
    <w:p w14:paraId="699D5F59" w14:textId="77777777" w:rsidR="00803D7E" w:rsidRPr="00400193" w:rsidRDefault="00803D7E" w:rsidP="00E90E0D">
      <w:pPr>
        <w:pStyle w:val="Bibliography"/>
        <w:jc w:val="left"/>
        <w:rPr>
          <w:noProof/>
        </w:rPr>
      </w:pPr>
      <w:r w:rsidRPr="00400193">
        <w:rPr>
          <w:noProof/>
        </w:rPr>
        <w:t xml:space="preserve">Ehsan, E. (2013). Risk management: the next source of competitive advantage. </w:t>
      </w:r>
      <w:r w:rsidRPr="00400193">
        <w:rPr>
          <w:i/>
          <w:iCs/>
          <w:noProof/>
        </w:rPr>
        <w:t>Foresight, 15</w:t>
      </w:r>
      <w:r w:rsidRPr="00400193">
        <w:rPr>
          <w:noProof/>
        </w:rPr>
        <w:t>(2), 117-131. doi:10.1108/14636681311321121</w:t>
      </w:r>
    </w:p>
    <w:p w14:paraId="555FB618" w14:textId="77777777" w:rsidR="00803D7E" w:rsidRPr="00400193" w:rsidRDefault="00803D7E" w:rsidP="00E90E0D">
      <w:pPr>
        <w:pStyle w:val="Bibliography"/>
        <w:jc w:val="left"/>
        <w:rPr>
          <w:noProof/>
        </w:rPr>
      </w:pPr>
      <w:r w:rsidRPr="00400193">
        <w:rPr>
          <w:noProof/>
        </w:rPr>
        <w:t xml:space="preserve">Eich, J., John, L., Smith, K., &amp; Cankaya, E. C. (2016). Extended Password Security via Cloud: CloudPass. In D. Nicholson (Ed.), </w:t>
      </w:r>
      <w:r w:rsidRPr="00400193">
        <w:rPr>
          <w:i/>
          <w:iCs/>
          <w:noProof/>
        </w:rPr>
        <w:t>Advances in Human Factors in Cybersecurity</w:t>
      </w:r>
      <w:r w:rsidRPr="00400193">
        <w:rPr>
          <w:noProof/>
        </w:rPr>
        <w:t xml:space="preserve"> (pp. 33-42). Basel: Springer. doi:10.1007/978-3-319-41932-9_4</w:t>
      </w:r>
    </w:p>
    <w:p w14:paraId="53D98B9D" w14:textId="77777777" w:rsidR="00803D7E" w:rsidRPr="00400193" w:rsidRDefault="00803D7E" w:rsidP="00E90E0D">
      <w:pPr>
        <w:pStyle w:val="Bibliography"/>
        <w:jc w:val="left"/>
        <w:rPr>
          <w:noProof/>
        </w:rPr>
      </w:pPr>
      <w:r w:rsidRPr="00400193">
        <w:rPr>
          <w:noProof/>
        </w:rPr>
        <w:t xml:space="preserve">Falkner, E. M., &amp; Hiebl, M. R. (2015). Risk management in SMEs: a systematic review of available evidence. </w:t>
      </w:r>
      <w:r w:rsidRPr="00400193">
        <w:rPr>
          <w:i/>
          <w:iCs/>
          <w:noProof/>
        </w:rPr>
        <w:t>The journal of risk finance, 16</w:t>
      </w:r>
      <w:r w:rsidRPr="00400193">
        <w:rPr>
          <w:noProof/>
        </w:rPr>
        <w:t>(2), 122-144. doi:10.1108/JRF-06-2014-0079</w:t>
      </w:r>
    </w:p>
    <w:p w14:paraId="5BCDD828" w14:textId="77777777" w:rsidR="00803D7E" w:rsidRPr="00400193" w:rsidRDefault="00803D7E" w:rsidP="00E90E0D">
      <w:pPr>
        <w:pStyle w:val="Bibliography"/>
        <w:jc w:val="left"/>
        <w:rPr>
          <w:noProof/>
        </w:rPr>
      </w:pPr>
      <w:r w:rsidRPr="00400193">
        <w:rPr>
          <w:noProof/>
        </w:rPr>
        <w:t xml:space="preserve">Fan, K., Ge, N., Gong, Y., Li, H., Su, R., &amp; Yang, Y. (2017). An ultra-lightweight RFID authentication scheme for mobile commerce. </w:t>
      </w:r>
      <w:r w:rsidRPr="00400193">
        <w:rPr>
          <w:i/>
          <w:iCs/>
          <w:noProof/>
        </w:rPr>
        <w:t>Peer-to-Peer Networking and Applications, 10</w:t>
      </w:r>
      <w:r w:rsidRPr="00400193">
        <w:rPr>
          <w:noProof/>
        </w:rPr>
        <w:t>(2), 368-376. doi:10.1007/s12083-016-0443-6</w:t>
      </w:r>
    </w:p>
    <w:p w14:paraId="02EA535F" w14:textId="77777777" w:rsidR="00803D7E" w:rsidRPr="00400193" w:rsidRDefault="00803D7E" w:rsidP="00E90E0D">
      <w:pPr>
        <w:pStyle w:val="Bibliography"/>
        <w:jc w:val="left"/>
        <w:rPr>
          <w:noProof/>
        </w:rPr>
      </w:pPr>
      <w:r w:rsidRPr="00400193">
        <w:rPr>
          <w:noProof/>
        </w:rPr>
        <w:t xml:space="preserve">Farooq, M. U., Waseem, M., Mazhar, S., Khairi, A., &amp; Kamal, T. (2015). A Review on Internet of Things (IoT). </w:t>
      </w:r>
      <w:r w:rsidRPr="00400193">
        <w:rPr>
          <w:i/>
          <w:iCs/>
          <w:noProof/>
        </w:rPr>
        <w:t>International Journal of Computer Applications , 113</w:t>
      </w:r>
      <w:r w:rsidRPr="00400193">
        <w:rPr>
          <w:noProof/>
        </w:rPr>
        <w:t>(1), 1-7.</w:t>
      </w:r>
    </w:p>
    <w:p w14:paraId="728D1902" w14:textId="77777777" w:rsidR="00803D7E" w:rsidRPr="00400193" w:rsidRDefault="00803D7E" w:rsidP="00E90E0D">
      <w:pPr>
        <w:pStyle w:val="Bibliography"/>
        <w:jc w:val="left"/>
        <w:rPr>
          <w:noProof/>
        </w:rPr>
      </w:pPr>
      <w:r w:rsidRPr="00400193">
        <w:rPr>
          <w:noProof/>
        </w:rPr>
        <w:t xml:space="preserve">Fernández-Caramés, T. M., Fraga-Lamas, P., Suárez-Albela, M., &amp; Castedo, L. (2017). Reverse Engineering and Security Evaluation of Commercial Tags for RFID-Based IoT Applications. </w:t>
      </w:r>
      <w:r w:rsidRPr="00400193">
        <w:rPr>
          <w:i/>
          <w:iCs/>
          <w:noProof/>
        </w:rPr>
        <w:t>Sensors (Basel, Switzerland), 17</w:t>
      </w:r>
      <w:r w:rsidRPr="00400193">
        <w:rPr>
          <w:noProof/>
        </w:rPr>
        <w:t>(1), 28-59. doi:10.3390/s17010028</w:t>
      </w:r>
    </w:p>
    <w:p w14:paraId="2A055618" w14:textId="77777777" w:rsidR="00803D7E" w:rsidRPr="00400193" w:rsidRDefault="00803D7E" w:rsidP="00E90E0D">
      <w:pPr>
        <w:pStyle w:val="Bibliography"/>
        <w:jc w:val="left"/>
        <w:rPr>
          <w:noProof/>
        </w:rPr>
      </w:pPr>
      <w:r w:rsidRPr="00400193">
        <w:rPr>
          <w:noProof/>
        </w:rPr>
        <w:t xml:space="preserve">Ferraris, M. (2015). Transcendental Realism. </w:t>
      </w:r>
      <w:r w:rsidRPr="00400193">
        <w:rPr>
          <w:i/>
          <w:iCs/>
          <w:noProof/>
        </w:rPr>
        <w:t>The Monist, 98</w:t>
      </w:r>
      <w:r w:rsidRPr="00400193">
        <w:rPr>
          <w:noProof/>
        </w:rPr>
        <w:t>(2), 215-232. doi:10.1093/monist/onv007</w:t>
      </w:r>
    </w:p>
    <w:p w14:paraId="29C4A492" w14:textId="77777777" w:rsidR="00803D7E" w:rsidRPr="00400193" w:rsidRDefault="00803D7E" w:rsidP="00E90E0D">
      <w:pPr>
        <w:pStyle w:val="Bibliography"/>
        <w:jc w:val="left"/>
        <w:rPr>
          <w:noProof/>
        </w:rPr>
      </w:pPr>
      <w:r w:rsidRPr="00400193">
        <w:rPr>
          <w:noProof/>
        </w:rPr>
        <w:t xml:space="preserve">Field, A. (2017). </w:t>
      </w:r>
      <w:r w:rsidRPr="00400193">
        <w:rPr>
          <w:i/>
          <w:iCs/>
          <w:noProof/>
        </w:rPr>
        <w:t>Discovering Statistics Using IBM SPSS Statistics Paperback</w:t>
      </w:r>
      <w:r w:rsidRPr="00400193">
        <w:rPr>
          <w:noProof/>
        </w:rPr>
        <w:t xml:space="preserve"> (5th ed.). London: Sage.</w:t>
      </w:r>
    </w:p>
    <w:p w14:paraId="77EA444F" w14:textId="77777777" w:rsidR="00803D7E" w:rsidRPr="00400193" w:rsidRDefault="00803D7E" w:rsidP="00E90E0D">
      <w:pPr>
        <w:pStyle w:val="Bibliography"/>
        <w:jc w:val="left"/>
        <w:rPr>
          <w:noProof/>
        </w:rPr>
      </w:pPr>
      <w:r w:rsidRPr="00400193">
        <w:rPr>
          <w:noProof/>
        </w:rPr>
        <w:t xml:space="preserve">Fielder, A., Panaousis, E., Malacaria, P., Hankin, C., &amp; Smeraldi, F. (2016). Decision support approaches for cyber security investment. </w:t>
      </w:r>
      <w:r w:rsidRPr="00400193">
        <w:rPr>
          <w:i/>
          <w:iCs/>
          <w:noProof/>
        </w:rPr>
        <w:t>Decision Support Systems, 86</w:t>
      </w:r>
      <w:r w:rsidRPr="00400193">
        <w:rPr>
          <w:noProof/>
        </w:rPr>
        <w:t>(1), 13-22. doi:10.1016/j.dss.2016.02.012</w:t>
      </w:r>
    </w:p>
    <w:p w14:paraId="714B91A4" w14:textId="77777777" w:rsidR="00803D7E" w:rsidRPr="00400193" w:rsidRDefault="00803D7E" w:rsidP="00E90E0D">
      <w:pPr>
        <w:pStyle w:val="Bibliography"/>
        <w:jc w:val="left"/>
        <w:rPr>
          <w:noProof/>
        </w:rPr>
      </w:pPr>
      <w:r w:rsidRPr="00400193">
        <w:rPr>
          <w:noProof/>
        </w:rPr>
        <w:t xml:space="preserve">Fisk, D. (2012). Cyber security, building automation, and the intelligent building. </w:t>
      </w:r>
      <w:r w:rsidRPr="00400193">
        <w:rPr>
          <w:i/>
          <w:iCs/>
          <w:noProof/>
        </w:rPr>
        <w:t>Intelligent Buildings International, 4</w:t>
      </w:r>
      <w:r w:rsidRPr="00400193">
        <w:rPr>
          <w:noProof/>
        </w:rPr>
        <w:t>(3), 169-181. doi:10.1080/17508975.2012.695277</w:t>
      </w:r>
    </w:p>
    <w:p w14:paraId="7B1F4606" w14:textId="77777777" w:rsidR="00803D7E" w:rsidRPr="00400193" w:rsidRDefault="00803D7E" w:rsidP="00E90E0D">
      <w:pPr>
        <w:pStyle w:val="Bibliography"/>
        <w:jc w:val="left"/>
        <w:rPr>
          <w:noProof/>
        </w:rPr>
      </w:pPr>
      <w:r w:rsidRPr="00400193">
        <w:rPr>
          <w:noProof/>
        </w:rPr>
        <w:t xml:space="preserve">Fornell, C., &amp; Larcker, D. F. (1981). Evaluating Structural Equation Models with Unobservable Variables and Measurement Error. </w:t>
      </w:r>
      <w:r w:rsidRPr="00400193">
        <w:rPr>
          <w:i/>
          <w:iCs/>
          <w:noProof/>
        </w:rPr>
        <w:t>Journal of Marketing Research, 18</w:t>
      </w:r>
      <w:r w:rsidRPr="00400193">
        <w:rPr>
          <w:noProof/>
        </w:rPr>
        <w:t>(1), 39 - 50. doi:10.2307/3151312</w:t>
      </w:r>
    </w:p>
    <w:p w14:paraId="79CE4159" w14:textId="77777777" w:rsidR="00803D7E" w:rsidRPr="00400193" w:rsidRDefault="00803D7E" w:rsidP="00E90E0D">
      <w:pPr>
        <w:pStyle w:val="Bibliography"/>
        <w:jc w:val="left"/>
        <w:rPr>
          <w:noProof/>
        </w:rPr>
      </w:pPr>
      <w:r w:rsidRPr="00400193">
        <w:rPr>
          <w:noProof/>
        </w:rPr>
        <w:t xml:space="preserve">Fowler, K. (2015). Cybersecurity. In P. E. Green, </w:t>
      </w:r>
      <w:r w:rsidRPr="00400193">
        <w:rPr>
          <w:i/>
          <w:iCs/>
          <w:noProof/>
        </w:rPr>
        <w:t>Enterprise Risk Management: A Common Framework for the Entire Organization</w:t>
      </w:r>
      <w:r w:rsidRPr="00400193">
        <w:rPr>
          <w:noProof/>
        </w:rPr>
        <w:t xml:space="preserve"> (pp. 91-108). London: Butterworth-Heinemann.</w:t>
      </w:r>
    </w:p>
    <w:p w14:paraId="78ADE632" w14:textId="77777777" w:rsidR="00803D7E" w:rsidRPr="00400193" w:rsidRDefault="00803D7E" w:rsidP="00E90E0D">
      <w:pPr>
        <w:pStyle w:val="Bibliography"/>
        <w:jc w:val="left"/>
        <w:rPr>
          <w:noProof/>
        </w:rPr>
      </w:pPr>
      <w:r w:rsidRPr="00400193">
        <w:rPr>
          <w:noProof/>
        </w:rPr>
        <w:t xml:space="preserve">Fransen, F., Smulders, A., &amp; Kerkdijk, R. (2015). Cyber security information exchange to gain insight into the effects of cyber threats and incidents. </w:t>
      </w:r>
      <w:r w:rsidRPr="00400193">
        <w:rPr>
          <w:i/>
          <w:iCs/>
          <w:noProof/>
        </w:rPr>
        <w:t>Elektrotechnik und Informationstechnik, 132</w:t>
      </w:r>
      <w:r w:rsidRPr="00400193">
        <w:rPr>
          <w:noProof/>
        </w:rPr>
        <w:t>(2), 106-112. doi:10.1007/s00502-015-0289-2</w:t>
      </w:r>
    </w:p>
    <w:p w14:paraId="4264F789" w14:textId="77777777" w:rsidR="00803D7E" w:rsidRPr="00400193" w:rsidRDefault="00803D7E" w:rsidP="00E90E0D">
      <w:pPr>
        <w:pStyle w:val="Bibliography"/>
        <w:jc w:val="left"/>
        <w:rPr>
          <w:noProof/>
        </w:rPr>
      </w:pPr>
      <w:r w:rsidRPr="00400193">
        <w:rPr>
          <w:noProof/>
        </w:rPr>
        <w:t xml:space="preserve">French, R. (2007). </w:t>
      </w:r>
      <w:r w:rsidRPr="00400193">
        <w:rPr>
          <w:i/>
          <w:iCs/>
          <w:noProof/>
        </w:rPr>
        <w:t>Cross-Cultural Management in Work Organisations.</w:t>
      </w:r>
      <w:r w:rsidRPr="00400193">
        <w:rPr>
          <w:noProof/>
        </w:rPr>
        <w:t xml:space="preserve"> London: CIPD.</w:t>
      </w:r>
    </w:p>
    <w:p w14:paraId="367927D9" w14:textId="77777777" w:rsidR="00803D7E" w:rsidRPr="00400193" w:rsidRDefault="00803D7E" w:rsidP="00E90E0D">
      <w:pPr>
        <w:pStyle w:val="Bibliography"/>
        <w:jc w:val="left"/>
        <w:rPr>
          <w:noProof/>
        </w:rPr>
      </w:pPr>
      <w:r w:rsidRPr="00400193">
        <w:rPr>
          <w:noProof/>
        </w:rPr>
        <w:lastRenderedPageBreak/>
        <w:t xml:space="preserve">Gama, A. P., &amp; Geraldes, H. S. (2012). Credit risk assessment and the impact of the New Basel Capital Accord on small and medium-sized enterprises: An empirical analysis. </w:t>
      </w:r>
      <w:r w:rsidRPr="00400193">
        <w:rPr>
          <w:i/>
          <w:iCs/>
          <w:noProof/>
        </w:rPr>
        <w:t>Management Research Review, 35</w:t>
      </w:r>
      <w:r w:rsidRPr="00400193">
        <w:rPr>
          <w:noProof/>
        </w:rPr>
        <w:t>(8), 727-749. doi:10.1108/01409171211247712</w:t>
      </w:r>
    </w:p>
    <w:p w14:paraId="60FA8AF1" w14:textId="77777777" w:rsidR="00803D7E" w:rsidRPr="00400193" w:rsidRDefault="00803D7E" w:rsidP="00E90E0D">
      <w:pPr>
        <w:pStyle w:val="Bibliography"/>
        <w:jc w:val="left"/>
        <w:rPr>
          <w:noProof/>
        </w:rPr>
      </w:pPr>
      <w:r w:rsidRPr="00400193">
        <w:rPr>
          <w:noProof/>
        </w:rPr>
        <w:t xml:space="preserve">Ganin, A. A., Quach, P., Panwar, M., Keisler, J. M., Marchese, D., &amp; Linkov, I. (2017). Multicriteria Decision Framework for Cybersecurity Risk Assessment and Management. </w:t>
      </w:r>
      <w:r w:rsidRPr="00400193">
        <w:rPr>
          <w:i/>
          <w:iCs/>
          <w:noProof/>
        </w:rPr>
        <w:t>Risk Analysis</w:t>
      </w:r>
      <w:r w:rsidRPr="00400193">
        <w:rPr>
          <w:noProof/>
        </w:rPr>
        <w:t>, 1-16. doi:10.1111/risa.12891</w:t>
      </w:r>
    </w:p>
    <w:p w14:paraId="06B13AF6" w14:textId="77777777" w:rsidR="00803D7E" w:rsidRPr="00400193" w:rsidRDefault="00803D7E" w:rsidP="00E90E0D">
      <w:pPr>
        <w:pStyle w:val="Bibliography"/>
        <w:jc w:val="left"/>
        <w:rPr>
          <w:noProof/>
        </w:rPr>
      </w:pPr>
      <w:r w:rsidRPr="00400193">
        <w:rPr>
          <w:noProof/>
        </w:rPr>
        <w:t xml:space="preserve">GCHQ. (2015). </w:t>
      </w:r>
      <w:r w:rsidRPr="00400193">
        <w:rPr>
          <w:i/>
          <w:iCs/>
          <w:noProof/>
        </w:rPr>
        <w:t>Common Cyber Attacks: Reducing the Impact.</w:t>
      </w:r>
      <w:r w:rsidRPr="00400193">
        <w:rPr>
          <w:noProof/>
        </w:rPr>
        <w:t xml:space="preserve"> Cheltenham: GCHQ/CERT-UK.</w:t>
      </w:r>
    </w:p>
    <w:p w14:paraId="582FA910" w14:textId="0F404A4D" w:rsidR="00803D7E" w:rsidRPr="00400193" w:rsidRDefault="00803D7E" w:rsidP="00E90E0D">
      <w:pPr>
        <w:pStyle w:val="Bibliography"/>
        <w:jc w:val="left"/>
        <w:rPr>
          <w:noProof/>
        </w:rPr>
      </w:pPr>
      <w:r w:rsidRPr="00400193">
        <w:rPr>
          <w:noProof/>
        </w:rPr>
        <w:t xml:space="preserve">George, D., &amp; Mallery, P. (2010). </w:t>
      </w:r>
      <w:r w:rsidRPr="00400193">
        <w:rPr>
          <w:i/>
          <w:iCs/>
          <w:noProof/>
        </w:rPr>
        <w:t>SPSS for Windows Step by Step: A Simple Guide and Reference</w:t>
      </w:r>
      <w:r w:rsidRPr="00400193">
        <w:rPr>
          <w:noProof/>
        </w:rPr>
        <w:t xml:space="preserve"> (10th ed.). Boston: Pearson.</w:t>
      </w:r>
    </w:p>
    <w:p w14:paraId="7057D124" w14:textId="77777777" w:rsidR="006D60F2" w:rsidRPr="00400193" w:rsidRDefault="006D60F2" w:rsidP="006D60F2">
      <w:pPr>
        <w:pStyle w:val="CommentText"/>
        <w:jc w:val="left"/>
        <w:rPr>
          <w:shd w:val="clear" w:color="auto" w:fill="FFFFFF"/>
        </w:rPr>
      </w:pPr>
      <w:r w:rsidRPr="00400193">
        <w:rPr>
          <w:shd w:val="clear" w:color="auto" w:fill="FFFFFF"/>
        </w:rPr>
        <w:t>Gorsuch, R.L. and Venable, G.D., 1983. Development of an" age universal" IE scale. </w:t>
      </w:r>
      <w:r w:rsidRPr="00400193">
        <w:rPr>
          <w:i/>
          <w:iCs/>
          <w:shd w:val="clear" w:color="auto" w:fill="FFFFFF"/>
        </w:rPr>
        <w:t>Journal for the scientific study of religion</w:t>
      </w:r>
      <w:r w:rsidRPr="00400193">
        <w:rPr>
          <w:shd w:val="clear" w:color="auto" w:fill="FFFFFF"/>
        </w:rPr>
        <w:t>, pp.181-187.</w:t>
      </w:r>
    </w:p>
    <w:p w14:paraId="37759F68" w14:textId="77777777" w:rsidR="00803D7E" w:rsidRPr="00400193" w:rsidRDefault="00803D7E" w:rsidP="00E90E0D">
      <w:pPr>
        <w:pStyle w:val="Bibliography"/>
        <w:jc w:val="left"/>
        <w:rPr>
          <w:noProof/>
        </w:rPr>
      </w:pPr>
      <w:r w:rsidRPr="00400193">
        <w:rPr>
          <w:noProof/>
        </w:rPr>
        <w:t xml:space="preserve">Ghadge, A., Weiß, M., Caldwell, N. D., &amp; Wilding, R. (2019). Managing cyber risk in supply chains: a review and research agenda. </w:t>
      </w:r>
      <w:r w:rsidRPr="00400193">
        <w:rPr>
          <w:i/>
          <w:iCs/>
          <w:noProof/>
        </w:rPr>
        <w:t>Supply chain management, 25</w:t>
      </w:r>
      <w:r w:rsidRPr="00400193">
        <w:rPr>
          <w:noProof/>
        </w:rPr>
        <w:t>(2), 223-240. doi:10.1108/scm-10-2018-0357</w:t>
      </w:r>
    </w:p>
    <w:p w14:paraId="36713565" w14:textId="77777777" w:rsidR="00803D7E" w:rsidRPr="00400193" w:rsidRDefault="00803D7E" w:rsidP="00E90E0D">
      <w:pPr>
        <w:pStyle w:val="Bibliography"/>
        <w:jc w:val="left"/>
        <w:rPr>
          <w:noProof/>
        </w:rPr>
      </w:pPr>
      <w:r w:rsidRPr="00400193">
        <w:rPr>
          <w:noProof/>
        </w:rPr>
        <w:t xml:space="preserve">Gheorghe-Iulian, O. (2011). A BRIEF ANALYSIS OF THE CRIMES FROM THE CATEGORY OF CYBERCRIMES INCRIMINATED BY LAW NO. 161/2003 AND BY THE NEW ROMANIAN CRIMINAL CODE/O SCURTA ANALIZA A INFRACTIUNILOR DIN SFERA CRIMINALITATII INFORMATICE INCRIMINATE ÎN LEGEA NR. 161/2003 SI ÎN NOUL COD. </w:t>
      </w:r>
      <w:r w:rsidRPr="00400193">
        <w:rPr>
          <w:i/>
          <w:iCs/>
          <w:noProof/>
        </w:rPr>
        <w:t>Romanian Journal of Forensic Science, 11</w:t>
      </w:r>
      <w:r w:rsidRPr="00400193">
        <w:rPr>
          <w:noProof/>
        </w:rPr>
        <w:t>(74), 673-681.</w:t>
      </w:r>
    </w:p>
    <w:p w14:paraId="301A2AA6" w14:textId="77777777" w:rsidR="00803D7E" w:rsidRPr="00400193" w:rsidRDefault="00803D7E" w:rsidP="00E90E0D">
      <w:pPr>
        <w:pStyle w:val="Bibliography"/>
        <w:jc w:val="left"/>
        <w:rPr>
          <w:noProof/>
        </w:rPr>
      </w:pPr>
      <w:r w:rsidRPr="00400193">
        <w:rPr>
          <w:noProof/>
        </w:rPr>
        <w:t xml:space="preserve">Gonzalez, R. D., &amp; Martins, M. F. (2014). Knowledge management: an Analysis From the Organisational Development. </w:t>
      </w:r>
      <w:r w:rsidRPr="00400193">
        <w:rPr>
          <w:i/>
          <w:iCs/>
          <w:noProof/>
        </w:rPr>
        <w:t>Journal of Technology Management &amp; Innovation, 9</w:t>
      </w:r>
      <w:r w:rsidRPr="00400193">
        <w:rPr>
          <w:noProof/>
        </w:rPr>
        <w:t>(1), 653-663.</w:t>
      </w:r>
    </w:p>
    <w:p w14:paraId="76E2FCAA" w14:textId="77777777" w:rsidR="00803D7E" w:rsidRPr="00400193" w:rsidRDefault="00803D7E" w:rsidP="00E90E0D">
      <w:pPr>
        <w:pStyle w:val="Bibliography"/>
        <w:jc w:val="left"/>
        <w:rPr>
          <w:noProof/>
        </w:rPr>
      </w:pPr>
      <w:r w:rsidRPr="00400193">
        <w:rPr>
          <w:noProof/>
        </w:rPr>
        <w:t xml:space="preserve">Goodman, M. (2016). </w:t>
      </w:r>
      <w:r w:rsidRPr="00400193">
        <w:rPr>
          <w:i/>
          <w:iCs/>
          <w:noProof/>
        </w:rPr>
        <w:t>Future Crimes: Inside The Digital Underground and the Battle For Our Connected World.</w:t>
      </w:r>
      <w:r w:rsidRPr="00400193">
        <w:rPr>
          <w:noProof/>
        </w:rPr>
        <w:t xml:space="preserve"> London: Transworld Press.</w:t>
      </w:r>
    </w:p>
    <w:p w14:paraId="7D040834" w14:textId="77777777" w:rsidR="00803D7E" w:rsidRPr="00400193" w:rsidRDefault="00803D7E" w:rsidP="00E90E0D">
      <w:pPr>
        <w:pStyle w:val="Bibliography"/>
        <w:jc w:val="left"/>
        <w:rPr>
          <w:noProof/>
        </w:rPr>
      </w:pPr>
      <w:r w:rsidRPr="00400193">
        <w:rPr>
          <w:noProof/>
        </w:rPr>
        <w:t xml:space="preserve">Greenberg, A. (2015). </w:t>
      </w:r>
      <w:r w:rsidRPr="00400193">
        <w:rPr>
          <w:i/>
          <w:iCs/>
          <w:noProof/>
        </w:rPr>
        <w:t>Hackers Can Disable a Sniper Rifle—Or Change Its Target</w:t>
      </w:r>
      <w:r w:rsidRPr="00400193">
        <w:rPr>
          <w:noProof/>
        </w:rPr>
        <w:t>. Retrieved September 26, 2017, from https://www.wired.com/2015/07/hackers-can-disable-sniper-rifleor-change-target/</w:t>
      </w:r>
    </w:p>
    <w:p w14:paraId="1EBBBC3D" w14:textId="77777777" w:rsidR="00803D7E" w:rsidRPr="00400193" w:rsidRDefault="00803D7E" w:rsidP="00E90E0D">
      <w:pPr>
        <w:pStyle w:val="Bibliography"/>
        <w:jc w:val="left"/>
        <w:rPr>
          <w:noProof/>
        </w:rPr>
      </w:pPr>
      <w:r w:rsidRPr="00400193">
        <w:rPr>
          <w:noProof/>
        </w:rPr>
        <w:t xml:space="preserve">Greenberg, A. (2016). </w:t>
      </w:r>
      <w:r w:rsidRPr="00400193">
        <w:rPr>
          <w:i/>
          <w:iCs/>
          <w:noProof/>
        </w:rPr>
        <w:t>The Jeep Hackers Are Back to Prove Car Hacking can get much worse</w:t>
      </w:r>
      <w:r w:rsidRPr="00400193">
        <w:rPr>
          <w:noProof/>
        </w:rPr>
        <w:t>. Retrieved September 26, 2017, from https://www.wired.com/2016/08/jeep-hackers-return-high-speed-steering-acceleration-hacks/</w:t>
      </w:r>
    </w:p>
    <w:p w14:paraId="233121B1" w14:textId="77777777" w:rsidR="00803D7E" w:rsidRPr="00400193" w:rsidRDefault="00803D7E" w:rsidP="00E90E0D">
      <w:pPr>
        <w:pStyle w:val="Bibliography"/>
        <w:jc w:val="left"/>
        <w:rPr>
          <w:noProof/>
        </w:rPr>
      </w:pPr>
      <w:r w:rsidRPr="00400193">
        <w:rPr>
          <w:noProof/>
        </w:rPr>
        <w:t xml:space="preserve">Greitzer, F. L., Moore, A. P., Cappelli, D. M., Andrews, D. H., Carroll, L. A., &amp; Hull, T. D. (2008). Combating the Insider Cyber Threat. </w:t>
      </w:r>
      <w:r w:rsidRPr="00400193">
        <w:rPr>
          <w:i/>
          <w:iCs/>
          <w:noProof/>
        </w:rPr>
        <w:t>IEEE Security and Privacy, 6</w:t>
      </w:r>
      <w:r w:rsidRPr="00400193">
        <w:rPr>
          <w:noProof/>
        </w:rPr>
        <w:t>(1), 61-64. doi:10.1109/MSP.2008.8</w:t>
      </w:r>
    </w:p>
    <w:p w14:paraId="2EE63940" w14:textId="77777777" w:rsidR="00803D7E" w:rsidRPr="00400193" w:rsidRDefault="00803D7E" w:rsidP="00E90E0D">
      <w:pPr>
        <w:pStyle w:val="Bibliography"/>
        <w:jc w:val="left"/>
        <w:rPr>
          <w:noProof/>
        </w:rPr>
      </w:pPr>
      <w:r w:rsidRPr="00400193">
        <w:rPr>
          <w:noProof/>
        </w:rPr>
        <w:t xml:space="preserve">Gribaudo, M., Iacono, M., &amp; Levis, A. H. (2017). An IoT-based monitoring approach for cultural heritage sites: The Matera case. </w:t>
      </w:r>
      <w:r w:rsidRPr="00400193">
        <w:rPr>
          <w:i/>
          <w:iCs/>
          <w:noProof/>
        </w:rPr>
        <w:t>Concurrency and Computation: Practice and Experience, 29</w:t>
      </w:r>
      <w:r w:rsidRPr="00400193">
        <w:rPr>
          <w:noProof/>
        </w:rPr>
        <w:t>(11), 1-13. doi:10.1002/cpe.4153</w:t>
      </w:r>
    </w:p>
    <w:p w14:paraId="512F1DB2" w14:textId="77777777" w:rsidR="00803D7E" w:rsidRPr="00400193" w:rsidRDefault="00803D7E" w:rsidP="00E90E0D">
      <w:pPr>
        <w:pStyle w:val="Bibliography"/>
        <w:jc w:val="left"/>
        <w:rPr>
          <w:noProof/>
        </w:rPr>
      </w:pPr>
      <w:r w:rsidRPr="00400193">
        <w:rPr>
          <w:noProof/>
        </w:rPr>
        <w:t xml:space="preserve">Griffin, P. H. (2016). Biometric-Based Cybersecurity Techniques. In D. Nicholson (Ed.), </w:t>
      </w:r>
      <w:r w:rsidRPr="00400193">
        <w:rPr>
          <w:i/>
          <w:iCs/>
          <w:noProof/>
        </w:rPr>
        <w:t>Advances in Human Factors in Cybersecurity</w:t>
      </w:r>
      <w:r w:rsidRPr="00400193">
        <w:rPr>
          <w:noProof/>
        </w:rPr>
        <w:t xml:space="preserve"> (pp. 43-54). Basel: Springer. doi:10.1007/978-3-319-41932-9_5</w:t>
      </w:r>
    </w:p>
    <w:p w14:paraId="17932084" w14:textId="77777777" w:rsidR="00803D7E" w:rsidRPr="00400193" w:rsidRDefault="00803D7E" w:rsidP="00E90E0D">
      <w:pPr>
        <w:pStyle w:val="Bibliography"/>
        <w:jc w:val="left"/>
        <w:rPr>
          <w:noProof/>
        </w:rPr>
      </w:pPr>
      <w:r w:rsidRPr="00400193">
        <w:rPr>
          <w:noProof/>
        </w:rPr>
        <w:t xml:space="preserve">Gross, M. L., Canetti, D., &amp; Vashdi, D. R. (2016). The psychological effects of cyber terrorism. </w:t>
      </w:r>
      <w:r w:rsidRPr="00400193">
        <w:rPr>
          <w:i/>
          <w:iCs/>
          <w:noProof/>
        </w:rPr>
        <w:t>Bulletin of the Atomic Scientists, 72</w:t>
      </w:r>
      <w:r w:rsidRPr="00400193">
        <w:rPr>
          <w:noProof/>
        </w:rPr>
        <w:t>(5), 284-291. doi:10.1080/00963402.2016.1216502</w:t>
      </w:r>
    </w:p>
    <w:p w14:paraId="02531C2F" w14:textId="77777777" w:rsidR="00803D7E" w:rsidRPr="00400193" w:rsidRDefault="00803D7E" w:rsidP="00E90E0D">
      <w:pPr>
        <w:pStyle w:val="Bibliography"/>
        <w:jc w:val="left"/>
        <w:rPr>
          <w:noProof/>
        </w:rPr>
      </w:pPr>
      <w:r w:rsidRPr="00400193">
        <w:rPr>
          <w:noProof/>
        </w:rPr>
        <w:t xml:space="preserve">Groves, R. M., Fowler, F. J., Couper, M., Lepkowski, J. M., Singer, E., &amp; Tourangeau, R. (2009). </w:t>
      </w:r>
      <w:r w:rsidRPr="00400193">
        <w:rPr>
          <w:i/>
          <w:iCs/>
          <w:noProof/>
        </w:rPr>
        <w:t>Survey Methodology.</w:t>
      </w:r>
      <w:r w:rsidRPr="00400193">
        <w:rPr>
          <w:noProof/>
        </w:rPr>
        <w:t xml:space="preserve"> Hoboken N.J.: Wiley.</w:t>
      </w:r>
    </w:p>
    <w:p w14:paraId="496CDB57" w14:textId="77777777" w:rsidR="00803D7E" w:rsidRPr="00400193" w:rsidRDefault="00803D7E" w:rsidP="00E90E0D">
      <w:pPr>
        <w:pStyle w:val="Bibliography"/>
        <w:jc w:val="left"/>
        <w:rPr>
          <w:noProof/>
        </w:rPr>
      </w:pPr>
      <w:r w:rsidRPr="00400193">
        <w:rPr>
          <w:noProof/>
        </w:rPr>
        <w:t xml:space="preserve">Grow, B., Epstien, K., &amp; Tschang, C.-C. (2008). The New E-Spionage Threat; A BusinessWeek probe of rising attacks on America's most sensitive computer networks uncovers startling security gaps. </w:t>
      </w:r>
      <w:r w:rsidRPr="00400193">
        <w:rPr>
          <w:i/>
          <w:iCs/>
          <w:noProof/>
        </w:rPr>
        <w:t>Bloomberg Business Week, April</w:t>
      </w:r>
      <w:r w:rsidRPr="00400193">
        <w:rPr>
          <w:noProof/>
        </w:rPr>
        <w:t>(4080), 033-041.</w:t>
      </w:r>
    </w:p>
    <w:p w14:paraId="70276F26" w14:textId="77777777" w:rsidR="00803D7E" w:rsidRPr="00400193" w:rsidRDefault="00803D7E" w:rsidP="00E90E0D">
      <w:pPr>
        <w:pStyle w:val="Bibliography"/>
        <w:jc w:val="left"/>
        <w:rPr>
          <w:noProof/>
        </w:rPr>
      </w:pPr>
      <w:r w:rsidRPr="00400193">
        <w:rPr>
          <w:noProof/>
        </w:rPr>
        <w:t xml:space="preserve">Guba, E. G. (Ed.). (1990). </w:t>
      </w:r>
      <w:r w:rsidRPr="00400193">
        <w:rPr>
          <w:i/>
          <w:iCs/>
          <w:noProof/>
        </w:rPr>
        <w:t>The Paradigm Dialog.</w:t>
      </w:r>
      <w:r w:rsidRPr="00400193">
        <w:rPr>
          <w:noProof/>
        </w:rPr>
        <w:t xml:space="preserve"> Newbury Park, CA: Sage.</w:t>
      </w:r>
    </w:p>
    <w:p w14:paraId="33DFEDC8" w14:textId="77777777" w:rsidR="00803D7E" w:rsidRPr="00400193" w:rsidRDefault="00803D7E" w:rsidP="00E90E0D">
      <w:pPr>
        <w:pStyle w:val="Bibliography"/>
        <w:jc w:val="left"/>
        <w:rPr>
          <w:noProof/>
        </w:rPr>
      </w:pPr>
      <w:r w:rsidRPr="00400193">
        <w:rPr>
          <w:noProof/>
        </w:rPr>
        <w:t xml:space="preserve">Guba, E. G., &amp; Lincoln, Y. S. (1994). </w:t>
      </w:r>
      <w:r w:rsidRPr="00400193">
        <w:rPr>
          <w:i/>
          <w:iCs/>
          <w:noProof/>
        </w:rPr>
        <w:t>Competing Paradigms in Qualitative Research.</w:t>
      </w:r>
      <w:r w:rsidRPr="00400193">
        <w:rPr>
          <w:noProof/>
        </w:rPr>
        <w:t xml:space="preserve"> (N. K. Denzin, &amp; Y. S. Lincoln, Eds.) Thousand Oaks, CA: Sage.</w:t>
      </w:r>
    </w:p>
    <w:p w14:paraId="30B1D791" w14:textId="77777777" w:rsidR="00803D7E" w:rsidRPr="00400193" w:rsidRDefault="00803D7E" w:rsidP="00E90E0D">
      <w:pPr>
        <w:pStyle w:val="Bibliography"/>
        <w:jc w:val="left"/>
        <w:rPr>
          <w:noProof/>
        </w:rPr>
      </w:pPr>
      <w:r w:rsidRPr="00400193">
        <w:rPr>
          <w:noProof/>
        </w:rPr>
        <w:t xml:space="preserve">Habash, R. W., Groza, V., &amp; Burr, K. (2013). Risk Management Framework for the Power Grid Cyber-Physical Security. </w:t>
      </w:r>
      <w:r w:rsidRPr="00400193">
        <w:rPr>
          <w:i/>
          <w:iCs/>
          <w:noProof/>
        </w:rPr>
        <w:t>British journal of applied science &amp; technology, 3</w:t>
      </w:r>
      <w:r w:rsidRPr="00400193">
        <w:rPr>
          <w:noProof/>
        </w:rPr>
        <w:t>(4), 1070-1085. doi:10.9734/BJAST/2013/3682</w:t>
      </w:r>
    </w:p>
    <w:p w14:paraId="31A79B36" w14:textId="77777777" w:rsidR="00803D7E" w:rsidRPr="00400193" w:rsidRDefault="00803D7E" w:rsidP="00E90E0D">
      <w:pPr>
        <w:pStyle w:val="Bibliography"/>
        <w:jc w:val="left"/>
        <w:rPr>
          <w:noProof/>
        </w:rPr>
      </w:pPr>
      <w:r w:rsidRPr="00400193">
        <w:rPr>
          <w:noProof/>
        </w:rPr>
        <w:lastRenderedPageBreak/>
        <w:t xml:space="preserve">Hadlington, L., &amp; Chivers, S. (2020). Segmentation Analysis of Susceptibility to Cybercrime: Exploring Individual Differences in Information Security Awareness and Personality Factors. </w:t>
      </w:r>
      <w:r w:rsidRPr="00400193">
        <w:rPr>
          <w:i/>
          <w:iCs/>
          <w:noProof/>
        </w:rPr>
        <w:t>Policing : a journal of policy and practice, 14</w:t>
      </w:r>
      <w:r w:rsidRPr="00400193">
        <w:rPr>
          <w:noProof/>
        </w:rPr>
        <w:t>(2), 479-492. doi:10.1093/police/pay027</w:t>
      </w:r>
    </w:p>
    <w:p w14:paraId="05FA2FAD" w14:textId="77777777" w:rsidR="00803D7E" w:rsidRPr="00400193" w:rsidRDefault="00803D7E" w:rsidP="00E90E0D">
      <w:pPr>
        <w:pStyle w:val="Bibliography"/>
        <w:jc w:val="left"/>
        <w:rPr>
          <w:noProof/>
        </w:rPr>
      </w:pPr>
      <w:r w:rsidRPr="00400193">
        <w:rPr>
          <w:noProof/>
        </w:rPr>
        <w:t xml:space="preserve">Haimes, Y. Y. (2009). On the Definition of Resilience in Systems. </w:t>
      </w:r>
      <w:r w:rsidRPr="00400193">
        <w:rPr>
          <w:i/>
          <w:iCs/>
          <w:noProof/>
        </w:rPr>
        <w:t>Risk Analysis, 29</w:t>
      </w:r>
      <w:r w:rsidRPr="00400193">
        <w:rPr>
          <w:noProof/>
        </w:rPr>
        <w:t>(4), 498-501. doi:DOI: 10.1111/j.1539-6924.2009.01216.x</w:t>
      </w:r>
    </w:p>
    <w:p w14:paraId="6A03B724" w14:textId="77777777" w:rsidR="00803D7E" w:rsidRPr="00400193" w:rsidRDefault="00803D7E" w:rsidP="00E90E0D">
      <w:pPr>
        <w:pStyle w:val="Bibliography"/>
        <w:jc w:val="left"/>
        <w:rPr>
          <w:noProof/>
        </w:rPr>
      </w:pPr>
      <w:r w:rsidRPr="00400193">
        <w:rPr>
          <w:noProof/>
        </w:rPr>
        <w:t xml:space="preserve">Hair, J. F., Black, W. C., &amp; Babin, B. J. (2010). </w:t>
      </w:r>
      <w:r w:rsidRPr="00400193">
        <w:rPr>
          <w:i/>
          <w:iCs/>
          <w:noProof/>
        </w:rPr>
        <w:t>Multivariate Data Analysis: A Global Perspective</w:t>
      </w:r>
      <w:r w:rsidRPr="00400193">
        <w:rPr>
          <w:noProof/>
        </w:rPr>
        <w:t xml:space="preserve"> (7th ed.). London: Pearson Education.</w:t>
      </w:r>
    </w:p>
    <w:p w14:paraId="2B95E23B" w14:textId="77777777" w:rsidR="00803D7E" w:rsidRPr="00400193" w:rsidRDefault="00803D7E" w:rsidP="00E90E0D">
      <w:pPr>
        <w:pStyle w:val="Bibliography"/>
        <w:jc w:val="left"/>
        <w:rPr>
          <w:noProof/>
        </w:rPr>
      </w:pPr>
      <w:r w:rsidRPr="00400193">
        <w:rPr>
          <w:noProof/>
        </w:rPr>
        <w:t xml:space="preserve">Hajian, S., Domingo-Ferrer, J., Monreale, A., Pedreschi, D., &amp; Giannotti, F. (2015). Discrimination- and privacy-aware patterns. </w:t>
      </w:r>
      <w:r w:rsidRPr="00400193">
        <w:rPr>
          <w:i/>
          <w:iCs/>
          <w:noProof/>
        </w:rPr>
        <w:t>Data Mining and Knowledge Discovery, 29</w:t>
      </w:r>
      <w:r w:rsidRPr="00400193">
        <w:rPr>
          <w:noProof/>
        </w:rPr>
        <w:t>(6), 1733-1782. doi:10.1007/s10618-014-0393-7</w:t>
      </w:r>
    </w:p>
    <w:p w14:paraId="3014B878" w14:textId="77777777" w:rsidR="00803D7E" w:rsidRPr="00400193" w:rsidRDefault="00803D7E" w:rsidP="00E90E0D">
      <w:pPr>
        <w:pStyle w:val="Bibliography"/>
        <w:jc w:val="left"/>
        <w:rPr>
          <w:noProof/>
        </w:rPr>
      </w:pPr>
      <w:r w:rsidRPr="00400193">
        <w:rPr>
          <w:noProof/>
        </w:rPr>
        <w:t xml:space="preserve">Halupka, M. (2014). Clicktivism: A Systematic Heuristic. </w:t>
      </w:r>
      <w:r w:rsidRPr="00400193">
        <w:rPr>
          <w:i/>
          <w:iCs/>
          <w:noProof/>
        </w:rPr>
        <w:t>Policy and Internet, 6</w:t>
      </w:r>
      <w:r w:rsidRPr="00400193">
        <w:rPr>
          <w:noProof/>
        </w:rPr>
        <w:t>(2), 115-132. doi:10.1002/1944-2866.POI355</w:t>
      </w:r>
    </w:p>
    <w:p w14:paraId="25F58E90" w14:textId="77777777" w:rsidR="00803D7E" w:rsidRPr="00400193" w:rsidRDefault="00803D7E" w:rsidP="00E90E0D">
      <w:pPr>
        <w:pStyle w:val="Bibliography"/>
        <w:jc w:val="left"/>
        <w:rPr>
          <w:noProof/>
        </w:rPr>
      </w:pPr>
      <w:r w:rsidRPr="00400193">
        <w:rPr>
          <w:noProof/>
        </w:rPr>
        <w:t xml:space="preserve">Hamelink, C. J. (2000). </w:t>
      </w:r>
      <w:r w:rsidRPr="00400193">
        <w:rPr>
          <w:i/>
          <w:iCs/>
          <w:noProof/>
        </w:rPr>
        <w:t>The Ethics of Cyberspace</w:t>
      </w:r>
      <w:r w:rsidRPr="00400193">
        <w:rPr>
          <w:noProof/>
        </w:rPr>
        <w:t xml:space="preserve"> (English Language ed.). (C. J. Hamelink, Trans.) London: Sage.</w:t>
      </w:r>
    </w:p>
    <w:p w14:paraId="586B0247" w14:textId="77777777" w:rsidR="00803D7E" w:rsidRPr="00400193" w:rsidRDefault="00803D7E" w:rsidP="00E90E0D">
      <w:pPr>
        <w:pStyle w:val="Bibliography"/>
        <w:jc w:val="left"/>
        <w:rPr>
          <w:noProof/>
        </w:rPr>
      </w:pPr>
      <w:r w:rsidRPr="00400193">
        <w:rPr>
          <w:noProof/>
        </w:rPr>
        <w:t xml:space="preserve">Hammoudeh, M. M. (2012). </w:t>
      </w:r>
      <w:r w:rsidRPr="00400193">
        <w:rPr>
          <w:i/>
          <w:iCs/>
          <w:noProof/>
        </w:rPr>
        <w:t>Islamic Values and Management Practices</w:t>
      </w:r>
      <w:r w:rsidRPr="00400193">
        <w:rPr>
          <w:noProof/>
        </w:rPr>
        <w:t xml:space="preserve"> (Electronic ed.). London: Gower (e-book).</w:t>
      </w:r>
    </w:p>
    <w:p w14:paraId="1C434113" w14:textId="77777777" w:rsidR="00803D7E" w:rsidRPr="00400193" w:rsidRDefault="00803D7E" w:rsidP="00E90E0D">
      <w:pPr>
        <w:pStyle w:val="Bibliography"/>
        <w:jc w:val="left"/>
        <w:rPr>
          <w:noProof/>
        </w:rPr>
      </w:pPr>
      <w:r w:rsidRPr="00400193">
        <w:rPr>
          <w:noProof/>
        </w:rPr>
        <w:t xml:space="preserve">Hancock, M., Calderon, F., Drayton, M., Stapleton, E., Nida, J., Williamson, S., . . . Brown, P. (2016). Multi-cultural Empirical Study of Password Strength Versus Ergonomic Utility. In D. Nicholson (Ed.), </w:t>
      </w:r>
      <w:r w:rsidRPr="00400193">
        <w:rPr>
          <w:i/>
          <w:iCs/>
          <w:noProof/>
        </w:rPr>
        <w:t>Advances in Human Factors in Cybersecurity</w:t>
      </w:r>
      <w:r w:rsidRPr="00400193">
        <w:rPr>
          <w:noProof/>
        </w:rPr>
        <w:t xml:space="preserve"> (pp. 315-326). Basel: Springer. doi:10.1007/978-3-319-41932-9_26</w:t>
      </w:r>
    </w:p>
    <w:p w14:paraId="5B24433A" w14:textId="77777777" w:rsidR="00803D7E" w:rsidRPr="00400193" w:rsidRDefault="00803D7E" w:rsidP="00E90E0D">
      <w:pPr>
        <w:pStyle w:val="Bibliography"/>
        <w:jc w:val="left"/>
        <w:rPr>
          <w:noProof/>
        </w:rPr>
      </w:pPr>
      <w:r w:rsidRPr="00400193">
        <w:rPr>
          <w:noProof/>
        </w:rPr>
        <w:t xml:space="preserve">Hashem, I. A., Chang, V., Anuar, N. B., Adewole, K., Yaqoob, I., Gani, A., . . . Chiroma, H. (2016). The role of big data in smart city. </w:t>
      </w:r>
      <w:r w:rsidRPr="00400193">
        <w:rPr>
          <w:i/>
          <w:iCs/>
          <w:noProof/>
        </w:rPr>
        <w:t>International Journal of Information Management, 36</w:t>
      </w:r>
      <w:r w:rsidRPr="00400193">
        <w:rPr>
          <w:noProof/>
        </w:rPr>
        <w:t>(5), 748-758. doi:10.1016/j.ijinfomgt.2016.05.002</w:t>
      </w:r>
    </w:p>
    <w:p w14:paraId="1933F34C" w14:textId="77777777" w:rsidR="00803D7E" w:rsidRPr="00400193" w:rsidRDefault="00803D7E" w:rsidP="00E90E0D">
      <w:pPr>
        <w:pStyle w:val="Bibliography"/>
        <w:jc w:val="left"/>
        <w:rPr>
          <w:noProof/>
        </w:rPr>
      </w:pPr>
      <w:r w:rsidRPr="00400193">
        <w:rPr>
          <w:noProof/>
        </w:rPr>
        <w:t xml:space="preserve">Hatch, K. E. (2011). Determining the Effects of Technology on Children. </w:t>
      </w:r>
      <w:r w:rsidRPr="00400193">
        <w:rPr>
          <w:i/>
          <w:iCs/>
          <w:noProof/>
        </w:rPr>
        <w:t>Senior Honors Projects, University of Rhode Island</w:t>
      </w:r>
      <w:r w:rsidRPr="00400193">
        <w:rPr>
          <w:noProof/>
        </w:rPr>
        <w:t>. Rhode Island: University of Rhode Island.</w:t>
      </w:r>
    </w:p>
    <w:p w14:paraId="79095B4F" w14:textId="77777777" w:rsidR="00803D7E" w:rsidRPr="00400193" w:rsidRDefault="00803D7E" w:rsidP="00E90E0D">
      <w:pPr>
        <w:pStyle w:val="Bibliography"/>
        <w:jc w:val="left"/>
        <w:rPr>
          <w:noProof/>
        </w:rPr>
      </w:pPr>
      <w:r w:rsidRPr="00400193">
        <w:rPr>
          <w:noProof/>
        </w:rPr>
        <w:t xml:space="preserve">Hathaway, O. A., Crootof, R., Levitz, P., Nix, H., Nowlan, A., Perdue, W., &amp; Spiegel, J. (2012). The Law of Cyber-Attack. </w:t>
      </w:r>
      <w:r w:rsidRPr="00400193">
        <w:rPr>
          <w:i/>
          <w:iCs/>
          <w:noProof/>
        </w:rPr>
        <w:t>California law review, 100</w:t>
      </w:r>
      <w:r w:rsidRPr="00400193">
        <w:rPr>
          <w:noProof/>
        </w:rPr>
        <w:t>(4), 817-885.</w:t>
      </w:r>
    </w:p>
    <w:p w14:paraId="7700E872" w14:textId="77777777" w:rsidR="00803D7E" w:rsidRPr="00400193" w:rsidRDefault="00803D7E" w:rsidP="00E90E0D">
      <w:pPr>
        <w:pStyle w:val="Bibliography"/>
        <w:jc w:val="left"/>
        <w:rPr>
          <w:noProof/>
        </w:rPr>
      </w:pPr>
      <w:r w:rsidRPr="00400193">
        <w:rPr>
          <w:noProof/>
        </w:rPr>
        <w:t xml:space="preserve">Hayes, A. F. (2018). Partial, conditional, and moderated moderated mediation: Quantification, inference, and interpretation. </w:t>
      </w:r>
      <w:r w:rsidRPr="00400193">
        <w:rPr>
          <w:i/>
          <w:iCs/>
          <w:noProof/>
        </w:rPr>
        <w:t>Communication monographs, 85</w:t>
      </w:r>
      <w:r w:rsidRPr="00400193">
        <w:rPr>
          <w:noProof/>
        </w:rPr>
        <w:t>(1), 4-40. doi:10.1080/03637751.2017.1352100</w:t>
      </w:r>
    </w:p>
    <w:p w14:paraId="78E25C44" w14:textId="77777777" w:rsidR="00803D7E" w:rsidRPr="00400193" w:rsidRDefault="00803D7E" w:rsidP="00E90E0D">
      <w:pPr>
        <w:pStyle w:val="Bibliography"/>
        <w:jc w:val="left"/>
        <w:rPr>
          <w:noProof/>
        </w:rPr>
      </w:pPr>
      <w:r w:rsidRPr="00400193">
        <w:rPr>
          <w:noProof/>
        </w:rPr>
        <w:t xml:space="preserve">Healey, J. (2013). </w:t>
      </w:r>
      <w:r w:rsidRPr="00400193">
        <w:rPr>
          <w:i/>
          <w:iCs/>
          <w:noProof/>
        </w:rPr>
        <w:t>China Is a Cyber Victim, Too.</w:t>
      </w:r>
      <w:r w:rsidRPr="00400193">
        <w:rPr>
          <w:noProof/>
        </w:rPr>
        <w:t xml:space="preserve"> Retrieved September 27, 2017, from Foreign Policy: http://foreignpolicy.com/2013/04/16/china-is-a-cyber-victim-too/</w:t>
      </w:r>
    </w:p>
    <w:p w14:paraId="1EFA8A7A" w14:textId="77777777" w:rsidR="00803D7E" w:rsidRPr="00400193" w:rsidRDefault="00803D7E" w:rsidP="00E90E0D">
      <w:pPr>
        <w:pStyle w:val="Bibliography"/>
        <w:jc w:val="left"/>
        <w:rPr>
          <w:noProof/>
        </w:rPr>
      </w:pPr>
      <w:r w:rsidRPr="00400193">
        <w:rPr>
          <w:noProof/>
        </w:rPr>
        <w:t xml:space="preserve">Heartfield, R., &amp; Loukas, G. (2016). A Taxonomy of Attacks and a Survey of Defence Mechanisms for Semantic Social Engineering Attacks. </w:t>
      </w:r>
      <w:r w:rsidRPr="00400193">
        <w:rPr>
          <w:i/>
          <w:iCs/>
          <w:noProof/>
        </w:rPr>
        <w:t>ACM Computing Surveys (CSUR), 48</w:t>
      </w:r>
      <w:r w:rsidRPr="00400193">
        <w:rPr>
          <w:noProof/>
        </w:rPr>
        <w:t>(3), 37. doi:10.1145/2835375</w:t>
      </w:r>
    </w:p>
    <w:p w14:paraId="0C9F21D8" w14:textId="77777777" w:rsidR="00803D7E" w:rsidRPr="00400193" w:rsidRDefault="00803D7E" w:rsidP="00E90E0D">
      <w:pPr>
        <w:pStyle w:val="Bibliography"/>
        <w:jc w:val="left"/>
        <w:rPr>
          <w:noProof/>
        </w:rPr>
      </w:pPr>
      <w:r w:rsidRPr="00400193">
        <w:rPr>
          <w:noProof/>
        </w:rPr>
        <w:t xml:space="preserve">Heickerö, R. (2014). Cyber Terrorism: Electronic Jihad. </w:t>
      </w:r>
      <w:r w:rsidRPr="00400193">
        <w:rPr>
          <w:i/>
          <w:iCs/>
          <w:noProof/>
        </w:rPr>
        <w:t>Strategic Analysis, 38</w:t>
      </w:r>
      <w:r w:rsidRPr="00400193">
        <w:rPr>
          <w:noProof/>
        </w:rPr>
        <w:t>(4), 554-565. doi:10.1080/09700161.2014.918435</w:t>
      </w:r>
    </w:p>
    <w:p w14:paraId="4FE225CC" w14:textId="77777777" w:rsidR="00803D7E" w:rsidRPr="00400193" w:rsidRDefault="00803D7E" w:rsidP="00E90E0D">
      <w:pPr>
        <w:pStyle w:val="Bibliography"/>
        <w:jc w:val="left"/>
        <w:rPr>
          <w:noProof/>
        </w:rPr>
      </w:pPr>
      <w:r w:rsidRPr="00400193">
        <w:rPr>
          <w:noProof/>
        </w:rPr>
        <w:t xml:space="preserve">Held, D., &amp; McGrew, A. (2003). The Great Globalisation Debate: An Introduction. In D. Held, &amp; A. McGrew (Eds.), </w:t>
      </w:r>
      <w:r w:rsidRPr="00400193">
        <w:rPr>
          <w:i/>
          <w:iCs/>
          <w:noProof/>
        </w:rPr>
        <w:t>The Global Transformations Reader: An Introduction to the Globalization Debate</w:t>
      </w:r>
      <w:r w:rsidRPr="00400193">
        <w:rPr>
          <w:noProof/>
        </w:rPr>
        <w:t xml:space="preserve"> (2nd ed., pp. 1-50). Malden: Polity.</w:t>
      </w:r>
    </w:p>
    <w:p w14:paraId="31D0E425" w14:textId="77777777" w:rsidR="00803D7E" w:rsidRPr="00400193" w:rsidRDefault="00803D7E" w:rsidP="00E90E0D">
      <w:pPr>
        <w:pStyle w:val="Bibliography"/>
        <w:jc w:val="left"/>
        <w:rPr>
          <w:noProof/>
        </w:rPr>
      </w:pPr>
      <w:r w:rsidRPr="00400193">
        <w:rPr>
          <w:noProof/>
        </w:rPr>
        <w:t xml:space="preserve">Herzog, S. (2011). Revisiting the Estonian Cyber Attacks: Digital Threats and Multinational Responses. </w:t>
      </w:r>
      <w:r w:rsidRPr="00400193">
        <w:rPr>
          <w:i/>
          <w:iCs/>
          <w:noProof/>
        </w:rPr>
        <w:t>Journal of Strategic Security, 4</w:t>
      </w:r>
      <w:r w:rsidRPr="00400193">
        <w:rPr>
          <w:noProof/>
        </w:rPr>
        <w:t>(2), 49-60. doi:10.5038/1944-0472.4.2.3</w:t>
      </w:r>
    </w:p>
    <w:p w14:paraId="35CD1B89" w14:textId="77777777" w:rsidR="00803D7E" w:rsidRPr="00400193" w:rsidRDefault="00803D7E" w:rsidP="00E90E0D">
      <w:pPr>
        <w:pStyle w:val="Bibliography"/>
        <w:jc w:val="left"/>
        <w:rPr>
          <w:noProof/>
        </w:rPr>
      </w:pPr>
      <w:r w:rsidRPr="00400193">
        <w:rPr>
          <w:noProof/>
        </w:rPr>
        <w:t>Hessami, A. G., Jahankhani, H., &amp; Nkhoma, N. (2015). Responsive Cyber-Physical Risk Management (RECYPHR). (pp. 263-274). London: 10th International Conference, ICGS3 2015. doi:10.1007/978-3-319-23276-8_24</w:t>
      </w:r>
    </w:p>
    <w:p w14:paraId="18A6242C" w14:textId="77777777" w:rsidR="00803D7E" w:rsidRPr="00400193" w:rsidRDefault="00803D7E" w:rsidP="00E90E0D">
      <w:pPr>
        <w:pStyle w:val="Bibliography"/>
        <w:jc w:val="left"/>
        <w:rPr>
          <w:noProof/>
        </w:rPr>
      </w:pPr>
      <w:r w:rsidRPr="00400193">
        <w:rPr>
          <w:noProof/>
        </w:rPr>
        <w:t xml:space="preserve">Hesseldahl, A. (2011). </w:t>
      </w:r>
      <w:r w:rsidRPr="00400193">
        <w:rPr>
          <w:i/>
          <w:iCs/>
          <w:noProof/>
        </w:rPr>
        <w:t>Lockheed Martin confirms it came under attack.</w:t>
      </w:r>
      <w:r w:rsidRPr="00400193">
        <w:rPr>
          <w:noProof/>
        </w:rPr>
        <w:t xml:space="preserve"> Retrieved September 27, 2017, from C|Net: http://www.cnet.com/news/lockheed-martin-confirms-itcame-under-attack/</w:t>
      </w:r>
    </w:p>
    <w:p w14:paraId="38C677D0" w14:textId="77777777" w:rsidR="00803D7E" w:rsidRPr="00400193" w:rsidRDefault="00803D7E" w:rsidP="00E90E0D">
      <w:pPr>
        <w:pStyle w:val="Bibliography"/>
        <w:jc w:val="left"/>
        <w:rPr>
          <w:noProof/>
        </w:rPr>
      </w:pPr>
      <w:r w:rsidRPr="00400193">
        <w:rPr>
          <w:noProof/>
        </w:rPr>
        <w:t xml:space="preserve">Hinde, S. (2003). The law, cybercrime, risk assessment and cyber protection. </w:t>
      </w:r>
      <w:r w:rsidRPr="00400193">
        <w:rPr>
          <w:i/>
          <w:iCs/>
          <w:noProof/>
        </w:rPr>
        <w:t>Computers &amp; Security, 22</w:t>
      </w:r>
      <w:r w:rsidRPr="00400193">
        <w:rPr>
          <w:noProof/>
        </w:rPr>
        <w:t>(2), 90-95. doi:10.1016/S0167-4048(03)00203-7</w:t>
      </w:r>
    </w:p>
    <w:p w14:paraId="30EF3982" w14:textId="77777777" w:rsidR="00803D7E" w:rsidRPr="00400193" w:rsidRDefault="00803D7E" w:rsidP="00E90E0D">
      <w:pPr>
        <w:pStyle w:val="Bibliography"/>
        <w:jc w:val="left"/>
        <w:rPr>
          <w:noProof/>
        </w:rPr>
      </w:pPr>
      <w:r w:rsidRPr="00400193">
        <w:rPr>
          <w:noProof/>
        </w:rPr>
        <w:lastRenderedPageBreak/>
        <w:t xml:space="preserve">Hinduja, S., &amp; Kooi, B. (2013). Curtailing cyber and information security vulnerabilities through situational crime prevention. </w:t>
      </w:r>
      <w:r w:rsidRPr="00400193">
        <w:rPr>
          <w:i/>
          <w:iCs/>
          <w:noProof/>
        </w:rPr>
        <w:t>Security Journal, suppl. Special Issue: Security in a digital world: Understanding, 26</w:t>
      </w:r>
      <w:r w:rsidRPr="00400193">
        <w:rPr>
          <w:noProof/>
        </w:rPr>
        <w:t>(4), 383-402.</w:t>
      </w:r>
    </w:p>
    <w:p w14:paraId="647E0CFC" w14:textId="77777777" w:rsidR="00803D7E" w:rsidRPr="00400193" w:rsidRDefault="00803D7E" w:rsidP="00E90E0D">
      <w:pPr>
        <w:pStyle w:val="Bibliography"/>
        <w:jc w:val="left"/>
        <w:rPr>
          <w:noProof/>
        </w:rPr>
      </w:pPr>
      <w:r w:rsidRPr="00400193">
        <w:rPr>
          <w:noProof/>
        </w:rPr>
        <w:t xml:space="preserve">Hoelscher, P. (2017). </w:t>
      </w:r>
      <w:r w:rsidRPr="00400193">
        <w:rPr>
          <w:i/>
          <w:iCs/>
          <w:noProof/>
        </w:rPr>
        <w:t>What Is Phishing?</w:t>
      </w:r>
      <w:r w:rsidRPr="00400193">
        <w:rPr>
          <w:noProof/>
        </w:rPr>
        <w:t xml:space="preserve"> Retrieved May 27, 2017, from Infosec Institute: http://resources.infosecinstitute.com/category/enterprise/phishing/phishing-variations/</w:t>
      </w:r>
    </w:p>
    <w:p w14:paraId="52C51ACE" w14:textId="77777777" w:rsidR="00803D7E" w:rsidRPr="00400193" w:rsidRDefault="00803D7E" w:rsidP="00E90E0D">
      <w:pPr>
        <w:pStyle w:val="Bibliography"/>
        <w:jc w:val="left"/>
        <w:rPr>
          <w:noProof/>
        </w:rPr>
      </w:pPr>
      <w:r w:rsidRPr="00400193">
        <w:rPr>
          <w:noProof/>
        </w:rPr>
        <w:t xml:space="preserve">Hofmann, D. A., &amp; Freise, M. (Eds.). (2011). </w:t>
      </w:r>
      <w:r w:rsidRPr="00400193">
        <w:rPr>
          <w:i/>
          <w:iCs/>
          <w:noProof/>
        </w:rPr>
        <w:t>Errors in Organizations</w:t>
      </w:r>
      <w:r w:rsidRPr="00400193">
        <w:rPr>
          <w:noProof/>
        </w:rPr>
        <w:t xml:space="preserve"> (1st (Electronic) ed.). London: Routledge. doi:eText ISBN: 9781136731853, 1136731857</w:t>
      </w:r>
    </w:p>
    <w:p w14:paraId="6EA222F4" w14:textId="77777777" w:rsidR="00803D7E" w:rsidRPr="00400193" w:rsidRDefault="00803D7E" w:rsidP="00E90E0D">
      <w:pPr>
        <w:pStyle w:val="Bibliography"/>
        <w:jc w:val="left"/>
        <w:rPr>
          <w:noProof/>
        </w:rPr>
      </w:pPr>
      <w:r w:rsidRPr="00400193">
        <w:rPr>
          <w:noProof/>
        </w:rPr>
        <w:t xml:space="preserve">Hollnagel, E., Woods, D. D., Fujita, Y., Hale, A., Heijer, T., &amp; Pariès, J. (2006). </w:t>
      </w:r>
      <w:r w:rsidRPr="00400193">
        <w:rPr>
          <w:i/>
          <w:iCs/>
          <w:noProof/>
        </w:rPr>
        <w:t>Resilience engineering: concepts and precepts.</w:t>
      </w:r>
      <w:r w:rsidRPr="00400193">
        <w:rPr>
          <w:noProof/>
        </w:rPr>
        <w:t xml:space="preserve"> (E. Hollnagel, &amp; D. D. Woods, Eds.) Boston: CRC Press.</w:t>
      </w:r>
    </w:p>
    <w:p w14:paraId="5D23EDD7" w14:textId="77777777" w:rsidR="00803D7E" w:rsidRPr="00400193" w:rsidRDefault="00803D7E" w:rsidP="00E90E0D">
      <w:pPr>
        <w:pStyle w:val="Bibliography"/>
        <w:jc w:val="left"/>
        <w:rPr>
          <w:noProof/>
        </w:rPr>
      </w:pPr>
      <w:r w:rsidRPr="00400193">
        <w:rPr>
          <w:noProof/>
        </w:rPr>
        <w:t xml:space="preserve">Hong, J. (2012). The State of Phishing Attacks. </w:t>
      </w:r>
      <w:r w:rsidRPr="00400193">
        <w:rPr>
          <w:i/>
          <w:iCs/>
          <w:noProof/>
        </w:rPr>
        <w:t>Communications of the ACM, 55</w:t>
      </w:r>
      <w:r w:rsidRPr="00400193">
        <w:rPr>
          <w:noProof/>
        </w:rPr>
        <w:t>(1), 74-81. doi:10.1145/2063176.2063197</w:t>
      </w:r>
    </w:p>
    <w:p w14:paraId="46682D0B" w14:textId="77777777" w:rsidR="00803D7E" w:rsidRPr="00400193" w:rsidRDefault="00803D7E" w:rsidP="00E90E0D">
      <w:pPr>
        <w:pStyle w:val="Bibliography"/>
        <w:jc w:val="left"/>
        <w:rPr>
          <w:noProof/>
        </w:rPr>
      </w:pPr>
      <w:r w:rsidRPr="00400193">
        <w:rPr>
          <w:noProof/>
        </w:rPr>
        <w:t xml:space="preserve">Hong, Y.-W. P., Huang, W.-J., &amp; K. C.-C. (2010). </w:t>
      </w:r>
      <w:r w:rsidRPr="00400193">
        <w:rPr>
          <w:i/>
          <w:iCs/>
          <w:noProof/>
        </w:rPr>
        <w:t>Cooperative Communications and Networking.</w:t>
      </w:r>
      <w:r w:rsidRPr="00400193">
        <w:rPr>
          <w:noProof/>
        </w:rPr>
        <w:t xml:space="preserve"> Chichester: Springer.</w:t>
      </w:r>
    </w:p>
    <w:p w14:paraId="2594D3F7" w14:textId="77777777" w:rsidR="00803D7E" w:rsidRPr="00400193" w:rsidRDefault="00803D7E" w:rsidP="00E90E0D">
      <w:pPr>
        <w:pStyle w:val="Bibliography"/>
        <w:jc w:val="left"/>
        <w:rPr>
          <w:noProof/>
        </w:rPr>
      </w:pPr>
      <w:r w:rsidRPr="00400193">
        <w:rPr>
          <w:noProof/>
        </w:rPr>
        <w:t xml:space="preserve">Hopkin, P. (2018). </w:t>
      </w:r>
      <w:r w:rsidRPr="00400193">
        <w:rPr>
          <w:i/>
          <w:iCs/>
          <w:noProof/>
        </w:rPr>
        <w:t>Fundamentals of Risk Management: Understanding, Evaluating and Implementing Effective Risk Management</w:t>
      </w:r>
      <w:r w:rsidRPr="00400193">
        <w:rPr>
          <w:noProof/>
        </w:rPr>
        <w:t xml:space="preserve"> (5th ed.). London: Kogan Page.</w:t>
      </w:r>
    </w:p>
    <w:p w14:paraId="599483D2" w14:textId="77777777" w:rsidR="00803D7E" w:rsidRPr="00400193" w:rsidRDefault="00803D7E" w:rsidP="00E90E0D">
      <w:pPr>
        <w:pStyle w:val="Bibliography"/>
        <w:jc w:val="left"/>
        <w:rPr>
          <w:noProof/>
        </w:rPr>
      </w:pPr>
      <w:r w:rsidRPr="00400193">
        <w:rPr>
          <w:noProof/>
        </w:rPr>
        <w:t xml:space="preserve">Hopkyns, S. (2017). A Conflict of Desires: Global English and its effects on cultural identity in the United Arab Emirates. </w:t>
      </w:r>
      <w:r w:rsidRPr="00400193">
        <w:rPr>
          <w:i/>
          <w:iCs/>
          <w:noProof/>
        </w:rPr>
        <w:t>PhD Thesis</w:t>
      </w:r>
      <w:r w:rsidRPr="00400193">
        <w:rPr>
          <w:noProof/>
        </w:rPr>
        <w:t>. Leicester: University of Leicester. Retrieved August 19, 2020, from https://www.researchgate.net/publication/321747060_A_Conflict_of_Desires_Global_English_and_its_Effects_on_Cultural_Identity_in_the_United_Arab_Emirates</w:t>
      </w:r>
    </w:p>
    <w:p w14:paraId="3191E801" w14:textId="77777777" w:rsidR="00803D7E" w:rsidRPr="00400193" w:rsidRDefault="00803D7E" w:rsidP="00E90E0D">
      <w:pPr>
        <w:pStyle w:val="Bibliography"/>
        <w:jc w:val="left"/>
        <w:rPr>
          <w:noProof/>
        </w:rPr>
      </w:pPr>
      <w:r w:rsidRPr="00400193">
        <w:rPr>
          <w:noProof/>
        </w:rPr>
        <w:t xml:space="preserve">Howard, D., Prince, K., &amp; Schneier, B. (2011). </w:t>
      </w:r>
      <w:r w:rsidRPr="00400193">
        <w:rPr>
          <w:i/>
          <w:iCs/>
          <w:noProof/>
        </w:rPr>
        <w:t>Security 2020: Reduce Security Risks This Decade</w:t>
      </w:r>
      <w:r w:rsidRPr="00400193">
        <w:rPr>
          <w:noProof/>
        </w:rPr>
        <w:t xml:space="preserve"> (Electronic ed.). Indianapolis, IN: Wiley &amp; Sons. doi:9780470639559</w:t>
      </w:r>
    </w:p>
    <w:p w14:paraId="457E4A9A" w14:textId="77777777" w:rsidR="00803D7E" w:rsidRPr="00400193" w:rsidRDefault="00803D7E" w:rsidP="00E90E0D">
      <w:pPr>
        <w:pStyle w:val="Bibliography"/>
        <w:jc w:val="left"/>
        <w:rPr>
          <w:noProof/>
        </w:rPr>
      </w:pPr>
      <w:r w:rsidRPr="00400193">
        <w:rPr>
          <w:noProof/>
        </w:rPr>
        <w:t xml:space="preserve">Hoyng, R. (2016). From Infrastructural Breakdown to Data Vandalism. </w:t>
      </w:r>
      <w:r w:rsidRPr="00400193">
        <w:rPr>
          <w:i/>
          <w:iCs/>
          <w:noProof/>
        </w:rPr>
        <w:t>Television and New Media, 17</w:t>
      </w:r>
      <w:r w:rsidRPr="00400193">
        <w:rPr>
          <w:noProof/>
        </w:rPr>
        <w:t>(5), 397–415. doi:10.1177/1527476415617032</w:t>
      </w:r>
    </w:p>
    <w:p w14:paraId="1900C06D" w14:textId="77777777" w:rsidR="00803D7E" w:rsidRPr="00400193" w:rsidRDefault="00803D7E" w:rsidP="00E90E0D">
      <w:pPr>
        <w:pStyle w:val="Bibliography"/>
        <w:jc w:val="left"/>
        <w:rPr>
          <w:noProof/>
        </w:rPr>
      </w:pPr>
      <w:r w:rsidRPr="00400193">
        <w:rPr>
          <w:noProof/>
        </w:rPr>
        <w:t xml:space="preserve">Huang, Y., Jin, L., Li, N., Zhong, Z., &amp; Xu, X. (2017). Secret key generation based on private pilot under man-in-the-middle attack. </w:t>
      </w:r>
      <w:r w:rsidRPr="00400193">
        <w:rPr>
          <w:i/>
          <w:iCs/>
          <w:noProof/>
        </w:rPr>
        <w:t>Science China Information Sciences, 60</w:t>
      </w:r>
      <w:r w:rsidRPr="00400193">
        <w:rPr>
          <w:noProof/>
        </w:rPr>
        <w:t>(100307), 1-14. doi:10.1007/s11432-017-9195-3</w:t>
      </w:r>
    </w:p>
    <w:p w14:paraId="4CE2DE34" w14:textId="77777777" w:rsidR="00803D7E" w:rsidRPr="00400193" w:rsidRDefault="00803D7E" w:rsidP="00E90E0D">
      <w:pPr>
        <w:pStyle w:val="Bibliography"/>
        <w:jc w:val="left"/>
        <w:rPr>
          <w:noProof/>
        </w:rPr>
      </w:pPr>
      <w:r w:rsidRPr="00400193">
        <w:rPr>
          <w:noProof/>
        </w:rPr>
        <w:t xml:space="preserve">Hubbard, D. W., &amp; Seiersen, R. (2016). </w:t>
      </w:r>
      <w:r w:rsidRPr="00400193">
        <w:rPr>
          <w:i/>
          <w:iCs/>
          <w:noProof/>
        </w:rPr>
        <w:t>How to Measure Anything in Cybersecurity Risk.</w:t>
      </w:r>
      <w:r w:rsidRPr="00400193">
        <w:rPr>
          <w:noProof/>
        </w:rPr>
        <w:t xml:space="preserve"> online: Wiley-Blackwell. Retrieved from https://www.vlebooks.com/vleweb/Product/Index/862478?page=0</w:t>
      </w:r>
    </w:p>
    <w:p w14:paraId="36734B1B" w14:textId="77777777" w:rsidR="00803D7E" w:rsidRPr="00400193" w:rsidRDefault="00803D7E" w:rsidP="00E90E0D">
      <w:pPr>
        <w:pStyle w:val="Bibliography"/>
        <w:jc w:val="left"/>
        <w:rPr>
          <w:noProof/>
        </w:rPr>
      </w:pPr>
      <w:r w:rsidRPr="00400193">
        <w:rPr>
          <w:noProof/>
        </w:rPr>
        <w:t>Hutchins, E. M., Cloppert, M. J., &amp; Amin, R. M. (2011). Intelligence-Driven Computer Network Defense Informed by Analysis of Adversary Campaigns and Intrusion Kill Chains. Bethesda, MY: Lockheed Martin Corporation.</w:t>
      </w:r>
    </w:p>
    <w:p w14:paraId="001518F7" w14:textId="77777777" w:rsidR="00803D7E" w:rsidRPr="00400193" w:rsidRDefault="00803D7E" w:rsidP="00E90E0D">
      <w:pPr>
        <w:pStyle w:val="Bibliography"/>
        <w:jc w:val="left"/>
        <w:rPr>
          <w:noProof/>
        </w:rPr>
      </w:pPr>
      <w:r w:rsidRPr="00400193">
        <w:rPr>
          <w:noProof/>
        </w:rPr>
        <w:t xml:space="preserve">Hypponen, M., &amp; Nyman, L. (2017). The Internet of (Vulnerable) Things: On Hypponen's Law, Security Engineering, and IoT Legislation. </w:t>
      </w:r>
      <w:r w:rsidRPr="00400193">
        <w:rPr>
          <w:i/>
          <w:iCs/>
          <w:noProof/>
        </w:rPr>
        <w:t>Technology Innovation Management Review, 7</w:t>
      </w:r>
      <w:r w:rsidRPr="00400193">
        <w:rPr>
          <w:noProof/>
        </w:rPr>
        <w:t>(4), 5-11.</w:t>
      </w:r>
    </w:p>
    <w:p w14:paraId="446B5A27" w14:textId="77777777" w:rsidR="00803D7E" w:rsidRPr="00400193" w:rsidRDefault="00803D7E" w:rsidP="00E90E0D">
      <w:pPr>
        <w:pStyle w:val="Bibliography"/>
        <w:jc w:val="left"/>
        <w:rPr>
          <w:noProof/>
        </w:rPr>
      </w:pPr>
      <w:r w:rsidRPr="00400193">
        <w:rPr>
          <w:noProof/>
        </w:rPr>
        <w:t xml:space="preserve">IMF. (2019). </w:t>
      </w:r>
      <w:r w:rsidRPr="00400193">
        <w:rPr>
          <w:i/>
          <w:iCs/>
          <w:noProof/>
        </w:rPr>
        <w:t>List of developed and developing economies.</w:t>
      </w:r>
      <w:r w:rsidRPr="00400193">
        <w:rPr>
          <w:noProof/>
        </w:rPr>
        <w:t xml:space="preserve"> Retrieved June 5, 2020, from International Monetary Fund (IMF): https://www.imf.org/~/media/Files/Publications/WEO/2019/October/English/TableA.ashx</w:t>
      </w:r>
    </w:p>
    <w:p w14:paraId="656E5A44" w14:textId="77777777" w:rsidR="00803D7E" w:rsidRPr="00400193" w:rsidRDefault="00803D7E" w:rsidP="00E90E0D">
      <w:pPr>
        <w:pStyle w:val="Bibliography"/>
        <w:jc w:val="left"/>
        <w:rPr>
          <w:noProof/>
        </w:rPr>
      </w:pPr>
      <w:r w:rsidRPr="00400193">
        <w:rPr>
          <w:noProof/>
        </w:rPr>
        <w:t xml:space="preserve">Infosec institute. (2016, March 09). </w:t>
      </w:r>
      <w:r w:rsidRPr="00400193">
        <w:rPr>
          <w:i/>
          <w:iCs/>
          <w:noProof/>
        </w:rPr>
        <w:t>The Ferizi Case: The First Man Charged with Cyber Terrorism</w:t>
      </w:r>
      <w:r w:rsidRPr="00400193">
        <w:rPr>
          <w:noProof/>
        </w:rPr>
        <w:t>. Retrieved May 27, 2017, from Infosec Institute: http://resources.infosecinstitute.com/the-ferizi-case-the-first-man-charged-with-cyber-terrorism/#gref</w:t>
      </w:r>
    </w:p>
    <w:p w14:paraId="5589D0D9" w14:textId="77777777" w:rsidR="00803D7E" w:rsidRPr="00400193" w:rsidRDefault="00803D7E" w:rsidP="00E90E0D">
      <w:pPr>
        <w:pStyle w:val="Bibliography"/>
        <w:jc w:val="left"/>
        <w:rPr>
          <w:noProof/>
        </w:rPr>
      </w:pPr>
      <w:r w:rsidRPr="00400193">
        <w:rPr>
          <w:noProof/>
        </w:rPr>
        <w:t xml:space="preserve">IRM. (2014). </w:t>
      </w:r>
      <w:r w:rsidRPr="00400193">
        <w:rPr>
          <w:i/>
          <w:iCs/>
          <w:noProof/>
        </w:rPr>
        <w:t>IRM Cyber Risk: Executive Summary.</w:t>
      </w:r>
      <w:r w:rsidRPr="00400193">
        <w:rPr>
          <w:noProof/>
        </w:rPr>
        <w:t xml:space="preserve"> London: The Institute of Risk Management.</w:t>
      </w:r>
    </w:p>
    <w:p w14:paraId="231DEF1F" w14:textId="77777777" w:rsidR="00803D7E" w:rsidRPr="00400193" w:rsidRDefault="00803D7E" w:rsidP="00E90E0D">
      <w:pPr>
        <w:pStyle w:val="Bibliography"/>
        <w:jc w:val="left"/>
        <w:rPr>
          <w:noProof/>
        </w:rPr>
      </w:pPr>
      <w:r w:rsidRPr="00400193">
        <w:rPr>
          <w:noProof/>
        </w:rPr>
        <w:t>ISO/IEC. (2012). ISO/IEC 27032:2012 Information technology -- Security techniques -- Guidelines for cybersecurity. Geneva: ISO/IEC.</w:t>
      </w:r>
    </w:p>
    <w:p w14:paraId="4E6B4D61" w14:textId="77777777" w:rsidR="00803D7E" w:rsidRPr="00400193" w:rsidRDefault="00803D7E" w:rsidP="00E90E0D">
      <w:pPr>
        <w:pStyle w:val="Bibliography"/>
        <w:jc w:val="left"/>
        <w:rPr>
          <w:noProof/>
        </w:rPr>
      </w:pPr>
      <w:r w:rsidRPr="00400193">
        <w:rPr>
          <w:noProof/>
        </w:rPr>
        <w:t xml:space="preserve">Ito, A., Zhang, G., Martinho, M., Venne, R., Fajerman, M., Pewitt, J., . . . Odom., C. (2016). </w:t>
      </w:r>
      <w:r w:rsidRPr="00400193">
        <w:rPr>
          <w:i/>
          <w:iCs/>
          <w:noProof/>
        </w:rPr>
        <w:t>Good Practices of Accessible Urban Development.</w:t>
      </w:r>
      <w:r w:rsidRPr="00400193">
        <w:rPr>
          <w:noProof/>
        </w:rPr>
        <w:t xml:space="preserve"> New York, NY, USA: UN Secretariat for the Convention on the Rights of Persons with Disabilities, Division of Social Policy and Development, Department of Economic and Social Affairs of the United Nations (SCRPD/DSPD/DESA).</w:t>
      </w:r>
    </w:p>
    <w:p w14:paraId="05846945" w14:textId="77777777" w:rsidR="00803D7E" w:rsidRPr="00400193" w:rsidRDefault="00803D7E" w:rsidP="00E90E0D">
      <w:pPr>
        <w:pStyle w:val="Bibliography"/>
        <w:jc w:val="left"/>
        <w:rPr>
          <w:noProof/>
        </w:rPr>
      </w:pPr>
      <w:r w:rsidRPr="00400193">
        <w:rPr>
          <w:noProof/>
        </w:rPr>
        <w:t xml:space="preserve">Jing, Q., Vasilakos, A. V., Wan, J., Lu, J., &amp; Qiu, D. (2014). Security of the Internet of Things: perspectives and challenges. </w:t>
      </w:r>
      <w:r w:rsidRPr="00400193">
        <w:rPr>
          <w:i/>
          <w:iCs/>
          <w:noProof/>
        </w:rPr>
        <w:t>Wireless Networks, 20</w:t>
      </w:r>
      <w:r w:rsidRPr="00400193">
        <w:rPr>
          <w:noProof/>
        </w:rPr>
        <w:t>(8), 2481-2501. doi:10.1007/s11276-014-0761-7</w:t>
      </w:r>
    </w:p>
    <w:p w14:paraId="43C7262D" w14:textId="77777777" w:rsidR="00803D7E" w:rsidRPr="00400193" w:rsidRDefault="00803D7E" w:rsidP="00E90E0D">
      <w:pPr>
        <w:pStyle w:val="Bibliography"/>
        <w:jc w:val="left"/>
        <w:rPr>
          <w:noProof/>
        </w:rPr>
      </w:pPr>
      <w:r w:rsidRPr="00400193">
        <w:rPr>
          <w:noProof/>
        </w:rPr>
        <w:lastRenderedPageBreak/>
        <w:t xml:space="preserve">Julisch, K. (2013). Understanding and overcoming cyber security anti-patterns. </w:t>
      </w:r>
      <w:r w:rsidRPr="00400193">
        <w:rPr>
          <w:i/>
          <w:iCs/>
          <w:noProof/>
        </w:rPr>
        <w:t>Computer Networks, 57</w:t>
      </w:r>
      <w:r w:rsidRPr="00400193">
        <w:rPr>
          <w:noProof/>
        </w:rPr>
        <w:t>(2), 2206-2211.</w:t>
      </w:r>
    </w:p>
    <w:p w14:paraId="4A106955" w14:textId="77777777" w:rsidR="00803D7E" w:rsidRPr="00400193" w:rsidRDefault="00803D7E" w:rsidP="00E90E0D">
      <w:pPr>
        <w:pStyle w:val="Bibliography"/>
        <w:jc w:val="left"/>
        <w:rPr>
          <w:noProof/>
        </w:rPr>
      </w:pPr>
      <w:r w:rsidRPr="00400193">
        <w:rPr>
          <w:noProof/>
        </w:rPr>
        <w:t xml:space="preserve">Jung, H., &amp; Chung, K. (2015). Ontology-driven slope modeling for disaster management service. </w:t>
      </w:r>
      <w:r w:rsidRPr="00400193">
        <w:rPr>
          <w:i/>
          <w:iCs/>
          <w:noProof/>
        </w:rPr>
        <w:t>Cluster Computing, 18</w:t>
      </w:r>
      <w:r w:rsidRPr="00400193">
        <w:rPr>
          <w:noProof/>
        </w:rPr>
        <w:t>(2), 677-692. doi: 10.1007/s10586-015-0424-1</w:t>
      </w:r>
    </w:p>
    <w:p w14:paraId="72A5CBAD" w14:textId="77777777" w:rsidR="00803D7E" w:rsidRPr="00400193" w:rsidRDefault="00803D7E" w:rsidP="00E90E0D">
      <w:pPr>
        <w:pStyle w:val="Bibliography"/>
        <w:jc w:val="left"/>
        <w:rPr>
          <w:noProof/>
        </w:rPr>
      </w:pPr>
      <w:r w:rsidRPr="00400193">
        <w:rPr>
          <w:noProof/>
        </w:rPr>
        <w:t xml:space="preserve">Kaiser, H. (1958). The varimax criterion for analytic rotation in factor analysis. </w:t>
      </w:r>
      <w:r w:rsidRPr="00400193">
        <w:rPr>
          <w:i/>
          <w:iCs/>
          <w:noProof/>
        </w:rPr>
        <w:t>Psychometrika, 23</w:t>
      </w:r>
      <w:r w:rsidRPr="00400193">
        <w:rPr>
          <w:noProof/>
        </w:rPr>
        <w:t>(3), 187-200. doi:10.1007/BF02289233</w:t>
      </w:r>
    </w:p>
    <w:p w14:paraId="5D8397F8" w14:textId="77777777" w:rsidR="00803D7E" w:rsidRPr="00400193" w:rsidRDefault="00803D7E" w:rsidP="00E90E0D">
      <w:pPr>
        <w:pStyle w:val="Bibliography"/>
        <w:jc w:val="left"/>
        <w:rPr>
          <w:noProof/>
        </w:rPr>
      </w:pPr>
      <w:r w:rsidRPr="00400193">
        <w:rPr>
          <w:noProof/>
        </w:rPr>
        <w:t xml:space="preserve">Kandasamy, K., Srinivas, S., Achuthan, K., &amp; Rangan, V. P. (2020). IoT cyber risk: a holistic analysis of cyber risk assessment frameworks, risk vectors, and risk ranking process. </w:t>
      </w:r>
      <w:r w:rsidRPr="00400193">
        <w:rPr>
          <w:i/>
          <w:iCs/>
          <w:noProof/>
        </w:rPr>
        <w:t>EURASIP Journal on Information Security, 2020</w:t>
      </w:r>
      <w:r w:rsidRPr="00400193">
        <w:rPr>
          <w:noProof/>
        </w:rPr>
        <w:t>(1), 1-18. doi:10.1186/s13635-020-00111-0</w:t>
      </w:r>
    </w:p>
    <w:p w14:paraId="1C69E322" w14:textId="77777777" w:rsidR="00803D7E" w:rsidRPr="00400193" w:rsidRDefault="00803D7E" w:rsidP="00E90E0D">
      <w:pPr>
        <w:pStyle w:val="Bibliography"/>
        <w:jc w:val="left"/>
        <w:rPr>
          <w:noProof/>
        </w:rPr>
      </w:pPr>
      <w:r w:rsidRPr="00400193">
        <w:rPr>
          <w:noProof/>
        </w:rPr>
        <w:t xml:space="preserve">Kaplan, J. M., Bailey, T., O'Halloran, D., Marcus, A., &amp; Rezek, C. (2015). </w:t>
      </w:r>
      <w:r w:rsidRPr="00400193">
        <w:rPr>
          <w:i/>
          <w:iCs/>
          <w:noProof/>
        </w:rPr>
        <w:t>Beyond cybersecurity: protecting your digital business.</w:t>
      </w:r>
      <w:r w:rsidRPr="00400193">
        <w:rPr>
          <w:noProof/>
        </w:rPr>
        <w:t xml:space="preserve"> online: Wiley-Blackwell. Retrieved from https://www.vlebooks.com/vleweb/Product/Index/491036?page=0</w:t>
      </w:r>
    </w:p>
    <w:p w14:paraId="253B4141" w14:textId="77777777" w:rsidR="00803D7E" w:rsidRPr="00400193" w:rsidRDefault="00803D7E" w:rsidP="00E90E0D">
      <w:pPr>
        <w:pStyle w:val="Bibliography"/>
        <w:jc w:val="left"/>
        <w:rPr>
          <w:noProof/>
        </w:rPr>
      </w:pPr>
      <w:r w:rsidRPr="00400193">
        <w:rPr>
          <w:noProof/>
        </w:rPr>
        <w:t xml:space="preserve">Karabacak, B., Yildirim, S. O., &amp; Baykal, N. (2016). A vulnerability-driven cyber security maturity model for measuring national critical infrastructure protection preparedness. </w:t>
      </w:r>
      <w:r w:rsidRPr="00400193">
        <w:rPr>
          <w:i/>
          <w:iCs/>
          <w:noProof/>
        </w:rPr>
        <w:t>International Journal of Critical Infrastructure Protection, 15</w:t>
      </w:r>
      <w:r w:rsidRPr="00400193">
        <w:rPr>
          <w:noProof/>
        </w:rPr>
        <w:t>(2016), 47-59. doi:10.1016/j.ijcip.2016.10.001</w:t>
      </w:r>
    </w:p>
    <w:p w14:paraId="6D433367" w14:textId="77777777" w:rsidR="00803D7E" w:rsidRPr="00400193" w:rsidRDefault="00803D7E" w:rsidP="00E90E0D">
      <w:pPr>
        <w:pStyle w:val="Bibliography"/>
        <w:jc w:val="left"/>
        <w:rPr>
          <w:noProof/>
        </w:rPr>
      </w:pPr>
      <w:r w:rsidRPr="00400193">
        <w:rPr>
          <w:noProof/>
        </w:rPr>
        <w:t xml:space="preserve">Kaspersky. (2018, December 4). </w:t>
      </w:r>
      <w:r w:rsidRPr="00400193">
        <w:rPr>
          <w:i/>
          <w:iCs/>
          <w:noProof/>
        </w:rPr>
        <w:t>Kaspersky Security Bulletin 2018. Statistics</w:t>
      </w:r>
      <w:r w:rsidRPr="00400193">
        <w:rPr>
          <w:noProof/>
        </w:rPr>
        <w:t>. Retrieved from https://securelist.com/kaspersky-security-bulletin-2018-statistics/89145/</w:t>
      </w:r>
    </w:p>
    <w:p w14:paraId="4617D99F" w14:textId="77777777" w:rsidR="00803D7E" w:rsidRPr="00400193" w:rsidRDefault="00803D7E" w:rsidP="00E90E0D">
      <w:pPr>
        <w:pStyle w:val="Bibliography"/>
        <w:jc w:val="left"/>
        <w:rPr>
          <w:noProof/>
        </w:rPr>
      </w:pPr>
      <w:r w:rsidRPr="00400193">
        <w:rPr>
          <w:noProof/>
        </w:rPr>
        <w:t xml:space="preserve">Kaul, A., Chaudhri, V., Cherian, D., Freberg, K., Mishra, S., Kumar, R., . . . Carroll, C. E. (2015). Social Media: The New Mantra for Managing Reputation. </w:t>
      </w:r>
      <w:r w:rsidRPr="00400193">
        <w:rPr>
          <w:i/>
          <w:iCs/>
          <w:noProof/>
        </w:rPr>
        <w:t>Vikalpa: The Journal for Decision Makers, 40</w:t>
      </w:r>
      <w:r w:rsidRPr="00400193">
        <w:rPr>
          <w:noProof/>
        </w:rPr>
        <w:t>(4), 455-491. doi:10.1177/0256090915618029</w:t>
      </w:r>
    </w:p>
    <w:p w14:paraId="1C04957C" w14:textId="77777777" w:rsidR="00803D7E" w:rsidRPr="00400193" w:rsidRDefault="00803D7E" w:rsidP="00E90E0D">
      <w:pPr>
        <w:pStyle w:val="Bibliography"/>
        <w:jc w:val="left"/>
        <w:rPr>
          <w:noProof/>
        </w:rPr>
      </w:pPr>
      <w:r w:rsidRPr="00400193">
        <w:rPr>
          <w:noProof/>
        </w:rPr>
        <w:t xml:space="preserve">Keith, J. L. (2014). Enterprise Risk Management: Developing a Strategic ERM Alignment Framework - Financial Sector. </w:t>
      </w:r>
      <w:r w:rsidRPr="00400193">
        <w:rPr>
          <w:i/>
          <w:iCs/>
          <w:noProof/>
        </w:rPr>
        <w:t>A Thesis submitted for the degree of Doctor of Philosophy</w:t>
      </w:r>
      <w:r w:rsidRPr="00400193">
        <w:rPr>
          <w:noProof/>
        </w:rPr>
        <w:t>. London: Brunel University.</w:t>
      </w:r>
    </w:p>
    <w:p w14:paraId="76E77F06" w14:textId="77777777" w:rsidR="00803D7E" w:rsidRPr="00400193" w:rsidRDefault="00803D7E" w:rsidP="00E90E0D">
      <w:pPr>
        <w:pStyle w:val="Bibliography"/>
        <w:jc w:val="left"/>
        <w:rPr>
          <w:noProof/>
        </w:rPr>
      </w:pPr>
      <w:r w:rsidRPr="00400193">
        <w:rPr>
          <w:noProof/>
        </w:rPr>
        <w:t xml:space="preserve">Khomami, N. (2017, July 27). More than 70 prisoners released by mistake in 2016-17 amid violence surge. </w:t>
      </w:r>
      <w:r w:rsidRPr="00400193">
        <w:rPr>
          <w:i/>
          <w:iCs/>
          <w:noProof/>
        </w:rPr>
        <w:t>The Guardian</w:t>
      </w:r>
      <w:r w:rsidRPr="00400193">
        <w:rPr>
          <w:noProof/>
        </w:rPr>
        <w:t>, p. online. Retrieved October 18, 2017, from https://www.theguardian.com/society/2017/jul/27/prisoners-released-by-mistake-amid-surge-violence-england-wales-prisons</w:t>
      </w:r>
    </w:p>
    <w:p w14:paraId="2A01063D" w14:textId="77777777" w:rsidR="00803D7E" w:rsidRPr="00400193" w:rsidRDefault="00803D7E" w:rsidP="00E90E0D">
      <w:pPr>
        <w:pStyle w:val="Bibliography"/>
        <w:jc w:val="left"/>
        <w:rPr>
          <w:noProof/>
        </w:rPr>
      </w:pPr>
      <w:r w:rsidRPr="00400193">
        <w:rPr>
          <w:noProof/>
        </w:rPr>
        <w:t xml:space="preserve">Kim, J.-H., &amp; Lee, K.-H. (2015). Vulnerabilities of intelligent automobiles using TPEG update based on T-DMB and its countermeasures. </w:t>
      </w:r>
      <w:r w:rsidRPr="00400193">
        <w:rPr>
          <w:i/>
          <w:iCs/>
          <w:noProof/>
        </w:rPr>
        <w:t>Journal of Computer Virology and Hacking Techniques, 11</w:t>
      </w:r>
      <w:r w:rsidRPr="00400193">
        <w:rPr>
          <w:noProof/>
        </w:rPr>
        <w:t>(3), 143-148. doi:10.1007/s11416-015-0243-1</w:t>
      </w:r>
    </w:p>
    <w:p w14:paraId="04590BC9" w14:textId="77777777" w:rsidR="00803D7E" w:rsidRPr="00400193" w:rsidRDefault="00803D7E" w:rsidP="00E90E0D">
      <w:pPr>
        <w:pStyle w:val="Bibliography"/>
        <w:jc w:val="left"/>
        <w:rPr>
          <w:noProof/>
        </w:rPr>
      </w:pPr>
      <w:r w:rsidRPr="00400193">
        <w:rPr>
          <w:noProof/>
        </w:rPr>
        <w:t xml:space="preserve">Klein, J. J. (2015). Deterring and Dissuading Cyberterrorism. </w:t>
      </w:r>
      <w:r w:rsidRPr="00400193">
        <w:rPr>
          <w:i/>
          <w:iCs/>
          <w:noProof/>
        </w:rPr>
        <w:t>Journal of Strategic Security, 8</w:t>
      </w:r>
      <w:r w:rsidRPr="00400193">
        <w:rPr>
          <w:noProof/>
        </w:rPr>
        <w:t>(4), 23-38. doi:10.5038/1944-0472.8.4.1460</w:t>
      </w:r>
    </w:p>
    <w:p w14:paraId="6725C548" w14:textId="77777777" w:rsidR="00803D7E" w:rsidRPr="00400193" w:rsidRDefault="00803D7E" w:rsidP="00E90E0D">
      <w:pPr>
        <w:pStyle w:val="Bibliography"/>
        <w:jc w:val="left"/>
        <w:rPr>
          <w:noProof/>
        </w:rPr>
      </w:pPr>
      <w:r w:rsidRPr="00400193">
        <w:rPr>
          <w:noProof/>
        </w:rPr>
        <w:t xml:space="preserve">Korpela, K. (2015). Improving Cyber Security Awareness and Training Programs with Data Analytics. </w:t>
      </w:r>
      <w:r w:rsidRPr="00400193">
        <w:rPr>
          <w:i/>
          <w:iCs/>
          <w:noProof/>
        </w:rPr>
        <w:t>Information Security Journal: A Global Perspective, 24</w:t>
      </w:r>
      <w:r w:rsidRPr="00400193">
        <w:rPr>
          <w:noProof/>
        </w:rPr>
        <w:t>(1-3), 72-77.</w:t>
      </w:r>
    </w:p>
    <w:p w14:paraId="2F0E3BE4" w14:textId="77777777" w:rsidR="00803D7E" w:rsidRPr="00400193" w:rsidRDefault="00803D7E" w:rsidP="00E90E0D">
      <w:pPr>
        <w:pStyle w:val="Bibliography"/>
        <w:jc w:val="left"/>
        <w:rPr>
          <w:noProof/>
        </w:rPr>
      </w:pPr>
      <w:r w:rsidRPr="00400193">
        <w:rPr>
          <w:noProof/>
        </w:rPr>
        <w:t xml:space="preserve">Kosub, T. (2015). Components and challenges of integrated cyber risk management. </w:t>
      </w:r>
      <w:r w:rsidRPr="00400193">
        <w:rPr>
          <w:i/>
          <w:iCs/>
          <w:noProof/>
        </w:rPr>
        <w:t>Zeitschrift für die gesamte Versicherungswissenschaft, 104</w:t>
      </w:r>
      <w:r w:rsidRPr="00400193">
        <w:rPr>
          <w:noProof/>
        </w:rPr>
        <w:t>(5), 615-634. doi:10.1007/s12297-015-0316-8</w:t>
      </w:r>
    </w:p>
    <w:p w14:paraId="501C6069" w14:textId="77777777" w:rsidR="00803D7E" w:rsidRPr="00400193" w:rsidRDefault="00803D7E" w:rsidP="00E90E0D">
      <w:pPr>
        <w:pStyle w:val="Bibliography"/>
        <w:jc w:val="left"/>
        <w:rPr>
          <w:noProof/>
        </w:rPr>
      </w:pPr>
      <w:r w:rsidRPr="00400193">
        <w:rPr>
          <w:noProof/>
        </w:rPr>
        <w:t xml:space="preserve">Kuhn, T. (1970). </w:t>
      </w:r>
      <w:r w:rsidRPr="00400193">
        <w:rPr>
          <w:i/>
          <w:iCs/>
          <w:noProof/>
        </w:rPr>
        <w:t>The Structure of Scientific Revolutions</w:t>
      </w:r>
      <w:r w:rsidRPr="00400193">
        <w:rPr>
          <w:noProof/>
        </w:rPr>
        <w:t xml:space="preserve"> (2nd ed.). Chicago, IL: University of Chicago Press.</w:t>
      </w:r>
    </w:p>
    <w:p w14:paraId="6BAB7A07" w14:textId="77777777" w:rsidR="00803D7E" w:rsidRPr="00400193" w:rsidRDefault="00803D7E" w:rsidP="00E90E0D">
      <w:pPr>
        <w:pStyle w:val="Bibliography"/>
        <w:jc w:val="left"/>
        <w:rPr>
          <w:noProof/>
        </w:rPr>
      </w:pPr>
      <w:r w:rsidRPr="00400193">
        <w:rPr>
          <w:noProof/>
        </w:rPr>
        <w:t xml:space="preserve">Kusic, D., &amp; Kandasamy, N. (2007). Risk-aware limited lookahead control for dynamic resource provisioning in enterprise computing systems. </w:t>
      </w:r>
      <w:r w:rsidRPr="00400193">
        <w:rPr>
          <w:i/>
          <w:iCs/>
          <w:noProof/>
        </w:rPr>
        <w:t>Cluster Computing, 10</w:t>
      </w:r>
      <w:r w:rsidRPr="00400193">
        <w:rPr>
          <w:noProof/>
        </w:rPr>
        <w:t>(4), 395-408. doi: 10.1007/s10586-007-0022-y</w:t>
      </w:r>
    </w:p>
    <w:p w14:paraId="2C754F3D" w14:textId="77777777" w:rsidR="00803D7E" w:rsidRPr="00400193" w:rsidRDefault="00803D7E" w:rsidP="00E90E0D">
      <w:pPr>
        <w:pStyle w:val="Bibliography"/>
        <w:jc w:val="left"/>
        <w:rPr>
          <w:noProof/>
        </w:rPr>
      </w:pPr>
      <w:r w:rsidRPr="00400193">
        <w:rPr>
          <w:noProof/>
        </w:rPr>
        <w:t xml:space="preserve">Larson, S. (2015). The cyber security fair: an effective method for training users to improve their cyber security behaviors? </w:t>
      </w:r>
      <w:r w:rsidRPr="00400193">
        <w:rPr>
          <w:i/>
          <w:iCs/>
          <w:noProof/>
        </w:rPr>
        <w:t>Information Education Security Journal, 2</w:t>
      </w:r>
      <w:r w:rsidRPr="00400193">
        <w:rPr>
          <w:noProof/>
        </w:rPr>
        <w:t>(1), 11-19.</w:t>
      </w:r>
    </w:p>
    <w:p w14:paraId="2B6D91D5" w14:textId="77777777" w:rsidR="00803D7E" w:rsidRPr="00400193" w:rsidRDefault="00803D7E" w:rsidP="00E90E0D">
      <w:pPr>
        <w:pStyle w:val="Bibliography"/>
        <w:jc w:val="left"/>
        <w:rPr>
          <w:noProof/>
        </w:rPr>
      </w:pPr>
      <w:r w:rsidRPr="00400193">
        <w:rPr>
          <w:noProof/>
        </w:rPr>
        <w:t xml:space="preserve">Lathrop, S. D., Trent, S., &amp; Hoffman, R. (2016). Applying Human Factors Research Towards Cyberspace Operations: A Practitioner’s Perspective. In D. Nicholson (Ed.), </w:t>
      </w:r>
      <w:r w:rsidRPr="00400193">
        <w:rPr>
          <w:i/>
          <w:iCs/>
          <w:noProof/>
        </w:rPr>
        <w:t>Advances in Human Factors in Cybersecurity</w:t>
      </w:r>
      <w:r w:rsidRPr="00400193">
        <w:rPr>
          <w:noProof/>
        </w:rPr>
        <w:t xml:space="preserve"> (pp. 281-293). Basel: Springer. doi:10.1007/978-3-319-41932-9_23</w:t>
      </w:r>
    </w:p>
    <w:p w14:paraId="25805479" w14:textId="77777777" w:rsidR="00803D7E" w:rsidRPr="00400193" w:rsidRDefault="00803D7E" w:rsidP="00E90E0D">
      <w:pPr>
        <w:pStyle w:val="Bibliography"/>
        <w:jc w:val="left"/>
        <w:rPr>
          <w:noProof/>
        </w:rPr>
      </w:pPr>
      <w:r w:rsidRPr="00400193">
        <w:rPr>
          <w:noProof/>
        </w:rPr>
        <w:t xml:space="preserve">Laube, S., &amp; Böhme, R. (2017). Strategic Aspects of Cyber Risk Information Sharing. </w:t>
      </w:r>
      <w:r w:rsidRPr="00400193">
        <w:rPr>
          <w:i/>
          <w:iCs/>
          <w:noProof/>
        </w:rPr>
        <w:t>ACM Computing Surveys (CSUR), 50</w:t>
      </w:r>
      <w:r w:rsidRPr="00400193">
        <w:rPr>
          <w:noProof/>
        </w:rPr>
        <w:t>(5), 1 - 36. doi:10.1145/3124398</w:t>
      </w:r>
    </w:p>
    <w:p w14:paraId="4735735C" w14:textId="77777777" w:rsidR="00803D7E" w:rsidRPr="00400193" w:rsidRDefault="00803D7E" w:rsidP="00E90E0D">
      <w:pPr>
        <w:pStyle w:val="Bibliography"/>
        <w:jc w:val="left"/>
        <w:rPr>
          <w:noProof/>
        </w:rPr>
      </w:pPr>
      <w:r w:rsidRPr="00400193">
        <w:rPr>
          <w:noProof/>
        </w:rPr>
        <w:t xml:space="preserve">Leonard, G. (2015, May 28). </w:t>
      </w:r>
      <w:r w:rsidRPr="00400193">
        <w:rPr>
          <w:i/>
          <w:iCs/>
          <w:noProof/>
        </w:rPr>
        <w:t>IDS, IPS and UTM - What’s the Difference?</w:t>
      </w:r>
      <w:r w:rsidRPr="00400193">
        <w:rPr>
          <w:noProof/>
        </w:rPr>
        <w:t xml:space="preserve"> Retrieved August 22, 2016, from https://www.alienvault.com/blogs/security-essentials/ids-ips-and-utm-whats-the-difference</w:t>
      </w:r>
    </w:p>
    <w:p w14:paraId="68975C3F" w14:textId="77777777" w:rsidR="00803D7E" w:rsidRPr="00400193" w:rsidRDefault="00803D7E" w:rsidP="00E90E0D">
      <w:pPr>
        <w:pStyle w:val="Bibliography"/>
        <w:jc w:val="left"/>
        <w:rPr>
          <w:noProof/>
        </w:rPr>
      </w:pPr>
      <w:r w:rsidRPr="00400193">
        <w:rPr>
          <w:noProof/>
        </w:rPr>
        <w:lastRenderedPageBreak/>
        <w:t xml:space="preserve">Lesjak, C., Druml, N., Matischek, R., Ruprechter, T., &amp; Holweg, G. (2016). Security in industrial IoT – quo vadis? </w:t>
      </w:r>
      <w:r w:rsidRPr="00400193">
        <w:rPr>
          <w:i/>
          <w:iCs/>
          <w:noProof/>
        </w:rPr>
        <w:t>e &amp; i Elektrotechnik und Informationstechnik, 133</w:t>
      </w:r>
      <w:r w:rsidRPr="00400193">
        <w:rPr>
          <w:noProof/>
        </w:rPr>
        <w:t>(7), 324-429.</w:t>
      </w:r>
    </w:p>
    <w:p w14:paraId="11BAD633" w14:textId="77777777" w:rsidR="00803D7E" w:rsidRPr="00400193" w:rsidRDefault="00803D7E" w:rsidP="00E90E0D">
      <w:pPr>
        <w:pStyle w:val="Bibliography"/>
        <w:jc w:val="left"/>
        <w:rPr>
          <w:noProof/>
        </w:rPr>
      </w:pPr>
      <w:r w:rsidRPr="00400193">
        <w:rPr>
          <w:noProof/>
        </w:rPr>
        <w:t xml:space="preserve">Lewallen, J. (2020). Emerging technologies and problem definition uncertainty: The case of cybersecurity. </w:t>
      </w:r>
      <w:r w:rsidRPr="00400193">
        <w:rPr>
          <w:i/>
          <w:iCs/>
          <w:noProof/>
        </w:rPr>
        <w:t>Regulation &amp; governance, 2020</w:t>
      </w:r>
      <w:r w:rsidRPr="00400193">
        <w:rPr>
          <w:noProof/>
        </w:rPr>
        <w:t>(-), -. doi:10.1111/rego.12341</w:t>
      </w:r>
    </w:p>
    <w:p w14:paraId="47B818ED" w14:textId="77777777" w:rsidR="00803D7E" w:rsidRPr="00400193" w:rsidRDefault="00803D7E" w:rsidP="00E90E0D">
      <w:pPr>
        <w:pStyle w:val="Bibliography"/>
        <w:jc w:val="left"/>
        <w:rPr>
          <w:noProof/>
        </w:rPr>
      </w:pPr>
      <w:r w:rsidRPr="00400193">
        <w:rPr>
          <w:noProof/>
        </w:rPr>
        <w:t xml:space="preserve">Li, F., Vögler, M., Sehic, S., Qanbari, S., Nastic, S., Truong, H.-L., &amp; Dustdar, S. (2013). Web-Scale Service Delivery for Smart Cities. </w:t>
      </w:r>
      <w:r w:rsidRPr="00400193">
        <w:rPr>
          <w:i/>
          <w:iCs/>
          <w:noProof/>
        </w:rPr>
        <w:t>IEEE Internet Computing, 17</w:t>
      </w:r>
      <w:r w:rsidRPr="00400193">
        <w:rPr>
          <w:noProof/>
        </w:rPr>
        <w:t>(4), 78-83. doi:10.1109/MIC.2013.79</w:t>
      </w:r>
    </w:p>
    <w:p w14:paraId="7CA110FD" w14:textId="77777777" w:rsidR="00803D7E" w:rsidRPr="00400193" w:rsidRDefault="00803D7E" w:rsidP="00E90E0D">
      <w:pPr>
        <w:pStyle w:val="Bibliography"/>
        <w:jc w:val="left"/>
        <w:rPr>
          <w:noProof/>
        </w:rPr>
      </w:pPr>
      <w:r w:rsidRPr="00400193">
        <w:rPr>
          <w:noProof/>
        </w:rPr>
        <w:t xml:space="preserve">Li, X., Pak, C., &amp; Bi, K. (2020). Analysis of the development trends and innovation characteristics of Internet of Things technology - based on patentometrics and bibliometrics. </w:t>
      </w:r>
      <w:r w:rsidRPr="00400193">
        <w:rPr>
          <w:i/>
          <w:iCs/>
          <w:noProof/>
        </w:rPr>
        <w:t>Technology Analysis &amp; Strategic Management, 32</w:t>
      </w:r>
      <w:r w:rsidRPr="00400193">
        <w:rPr>
          <w:noProof/>
        </w:rPr>
        <w:t>(1), 104-118. doi:10.1080/09537325.2019.1636960</w:t>
      </w:r>
    </w:p>
    <w:p w14:paraId="4A15B265" w14:textId="77777777" w:rsidR="00803D7E" w:rsidRPr="00400193" w:rsidRDefault="00803D7E" w:rsidP="00E90E0D">
      <w:pPr>
        <w:pStyle w:val="Bibliography"/>
        <w:jc w:val="left"/>
        <w:rPr>
          <w:noProof/>
        </w:rPr>
      </w:pPr>
      <w:r w:rsidRPr="00400193">
        <w:rPr>
          <w:noProof/>
        </w:rPr>
        <w:t xml:space="preserve">Li, X., Wang, M., Wang, H., Yu, Y., &amp; Qian, C. (2019). Toward Secure and Efficient Communication for the Internet of Things. </w:t>
      </w:r>
      <w:r w:rsidRPr="00400193">
        <w:rPr>
          <w:i/>
          <w:iCs/>
          <w:noProof/>
        </w:rPr>
        <w:t>IEEE/ACM Transactions on Networking, 27</w:t>
      </w:r>
      <w:r w:rsidRPr="00400193">
        <w:rPr>
          <w:noProof/>
        </w:rPr>
        <w:t>(2), 621-634. doi:10.1109/TNET.2019.2893249</w:t>
      </w:r>
    </w:p>
    <w:p w14:paraId="3D69A987" w14:textId="77777777" w:rsidR="00803D7E" w:rsidRPr="00400193" w:rsidRDefault="00803D7E" w:rsidP="00E90E0D">
      <w:pPr>
        <w:pStyle w:val="Bibliography"/>
        <w:jc w:val="left"/>
        <w:rPr>
          <w:noProof/>
        </w:rPr>
      </w:pPr>
      <w:r w:rsidRPr="00400193">
        <w:rPr>
          <w:noProof/>
        </w:rPr>
        <w:t xml:space="preserve">Lincoln, Y. S., &amp; Guba, E. G. (1985). </w:t>
      </w:r>
      <w:r w:rsidRPr="00400193">
        <w:rPr>
          <w:i/>
          <w:iCs/>
          <w:noProof/>
        </w:rPr>
        <w:t>Naturalistic Inquiry.</w:t>
      </w:r>
      <w:r w:rsidRPr="00400193">
        <w:rPr>
          <w:noProof/>
        </w:rPr>
        <w:t xml:space="preserve"> Newbury Park, CA: Sage.</w:t>
      </w:r>
    </w:p>
    <w:p w14:paraId="19997BE8" w14:textId="77777777" w:rsidR="00803D7E" w:rsidRPr="00400193" w:rsidRDefault="00803D7E" w:rsidP="00E90E0D">
      <w:pPr>
        <w:pStyle w:val="Bibliography"/>
        <w:jc w:val="left"/>
        <w:rPr>
          <w:noProof/>
        </w:rPr>
      </w:pPr>
      <w:r w:rsidRPr="00400193">
        <w:rPr>
          <w:noProof/>
        </w:rPr>
        <w:t xml:space="preserve">Little, R. J. (1988). A Test of Missing Completely at Random for Multivariate Data with Missing Values. </w:t>
      </w:r>
      <w:r w:rsidRPr="00400193">
        <w:rPr>
          <w:i/>
          <w:iCs/>
          <w:noProof/>
        </w:rPr>
        <w:t>Journal of the American Statistical Association, 83</w:t>
      </w:r>
      <w:r w:rsidRPr="00400193">
        <w:rPr>
          <w:noProof/>
        </w:rPr>
        <w:t>(404), 1198 - 1202.</w:t>
      </w:r>
    </w:p>
    <w:p w14:paraId="30334148" w14:textId="77777777" w:rsidR="00803D7E" w:rsidRPr="00400193" w:rsidRDefault="00803D7E" w:rsidP="00E90E0D">
      <w:pPr>
        <w:pStyle w:val="Bibliography"/>
        <w:jc w:val="left"/>
        <w:rPr>
          <w:noProof/>
        </w:rPr>
      </w:pPr>
      <w:r w:rsidRPr="00400193">
        <w:rPr>
          <w:noProof/>
        </w:rPr>
        <w:t xml:space="preserve">Liu, J., Xiao, Y., Li, S., Liang, W., &amp; Chen, C. P. (2012). Cyber Security and Privacy Issues in Smart Grids. </w:t>
      </w:r>
      <w:r w:rsidRPr="00400193">
        <w:rPr>
          <w:i/>
          <w:iCs/>
          <w:noProof/>
        </w:rPr>
        <w:t>IEEE Communications Surveys &amp; Tutorials, 14</w:t>
      </w:r>
      <w:r w:rsidRPr="00400193">
        <w:rPr>
          <w:noProof/>
        </w:rPr>
        <w:t>(4).</w:t>
      </w:r>
    </w:p>
    <w:p w14:paraId="395C445E" w14:textId="77777777" w:rsidR="00803D7E" w:rsidRPr="00400193" w:rsidRDefault="00803D7E" w:rsidP="00E90E0D">
      <w:pPr>
        <w:pStyle w:val="Bibliography"/>
        <w:jc w:val="left"/>
        <w:rPr>
          <w:noProof/>
        </w:rPr>
      </w:pPr>
      <w:r w:rsidRPr="00400193">
        <w:rPr>
          <w:noProof/>
        </w:rPr>
        <w:t xml:space="preserve">Lu, Y., Hu, S., Liang, Q., Lin, D., &amp; Peng, C. (2013). Exit, voice and loyalty as firm strategic responses to institutional pressures: A comparative case study of Google and Baidu in mainland China. </w:t>
      </w:r>
      <w:r w:rsidRPr="00400193">
        <w:rPr>
          <w:i/>
          <w:iCs/>
          <w:noProof/>
        </w:rPr>
        <w:t>Chinese Management Studies, 7</w:t>
      </w:r>
      <w:r w:rsidRPr="00400193">
        <w:rPr>
          <w:noProof/>
        </w:rPr>
        <w:t>(3), 419-446. doi:10.1108/CMS-Nov-2011-0095</w:t>
      </w:r>
    </w:p>
    <w:p w14:paraId="23B7A27E" w14:textId="77777777" w:rsidR="00803D7E" w:rsidRPr="00400193" w:rsidRDefault="00803D7E" w:rsidP="00E90E0D">
      <w:pPr>
        <w:pStyle w:val="Bibliography"/>
        <w:jc w:val="left"/>
        <w:rPr>
          <w:noProof/>
        </w:rPr>
      </w:pPr>
      <w:r w:rsidRPr="00400193">
        <w:rPr>
          <w:noProof/>
        </w:rPr>
        <w:t xml:space="preserve">Lv, K., Chen, Y., &amp; Hu, C. (2019). Dynamic defense strategy against advanced persistent threat under heterogeneous networks. </w:t>
      </w:r>
      <w:r w:rsidRPr="00400193">
        <w:rPr>
          <w:i/>
          <w:iCs/>
          <w:noProof/>
        </w:rPr>
        <w:t>Information Fusion, 49</w:t>
      </w:r>
      <w:r w:rsidRPr="00400193">
        <w:rPr>
          <w:noProof/>
        </w:rPr>
        <w:t>(1), 216-226. doi:10.1016/j.inffus.2019.01.001</w:t>
      </w:r>
    </w:p>
    <w:p w14:paraId="56E1752B" w14:textId="77777777" w:rsidR="00803D7E" w:rsidRPr="00400193" w:rsidRDefault="00803D7E" w:rsidP="00E90E0D">
      <w:pPr>
        <w:pStyle w:val="Bibliography"/>
        <w:jc w:val="left"/>
        <w:rPr>
          <w:noProof/>
        </w:rPr>
      </w:pPr>
      <w:r w:rsidRPr="00400193">
        <w:rPr>
          <w:noProof/>
        </w:rPr>
        <w:t xml:space="preserve">MacInnes, J. (2017). </w:t>
      </w:r>
      <w:r w:rsidRPr="00400193">
        <w:rPr>
          <w:i/>
          <w:iCs/>
          <w:noProof/>
        </w:rPr>
        <w:t>An Introduction to Secondary Data Analysis with IBM SPSS Statistics</w:t>
      </w:r>
      <w:r w:rsidRPr="00400193">
        <w:rPr>
          <w:noProof/>
        </w:rPr>
        <w:t xml:space="preserve"> (1st ed.). London: Sage.</w:t>
      </w:r>
    </w:p>
    <w:p w14:paraId="2258D1B5" w14:textId="77777777" w:rsidR="00803D7E" w:rsidRPr="00400193" w:rsidRDefault="00803D7E" w:rsidP="00E90E0D">
      <w:pPr>
        <w:pStyle w:val="Bibliography"/>
        <w:jc w:val="left"/>
        <w:rPr>
          <w:noProof/>
        </w:rPr>
      </w:pPr>
      <w:r w:rsidRPr="00400193">
        <w:rPr>
          <w:noProof/>
        </w:rPr>
        <w:t xml:space="preserve">Mackalski, R., &amp; Belisle, J.-F. (2015). Measuring the short-term spillover impact of a product recall on a brand ecosystem. </w:t>
      </w:r>
      <w:r w:rsidRPr="00400193">
        <w:rPr>
          <w:i/>
          <w:iCs/>
          <w:noProof/>
        </w:rPr>
        <w:t>Journal of Brand Management, 22</w:t>
      </w:r>
      <w:r w:rsidRPr="00400193">
        <w:rPr>
          <w:noProof/>
        </w:rPr>
        <w:t>(4), 323-339. doi:10.1057%2Fbm.2015.19.pdf</w:t>
      </w:r>
    </w:p>
    <w:p w14:paraId="4471D37C" w14:textId="77777777" w:rsidR="00803D7E" w:rsidRPr="00400193" w:rsidRDefault="00803D7E" w:rsidP="00E90E0D">
      <w:pPr>
        <w:pStyle w:val="Bibliography"/>
        <w:jc w:val="left"/>
        <w:rPr>
          <w:noProof/>
        </w:rPr>
      </w:pPr>
      <w:r w:rsidRPr="00400193">
        <w:rPr>
          <w:noProof/>
        </w:rPr>
        <w:t xml:space="preserve">Madni, A. M., Erwin, D., &amp; Sievers, M. (2020). Constructing Models for Systems Resilience: Challenges, Concepts, and Formal Methods. </w:t>
      </w:r>
      <w:r w:rsidRPr="00400193">
        <w:rPr>
          <w:i/>
          <w:iCs/>
          <w:noProof/>
        </w:rPr>
        <w:t>Systems (Basel), 8</w:t>
      </w:r>
      <w:r w:rsidRPr="00400193">
        <w:rPr>
          <w:noProof/>
        </w:rPr>
        <w:t>(1), 3. doi:10.3390/systems8010003</w:t>
      </w:r>
    </w:p>
    <w:p w14:paraId="5DCB27DE" w14:textId="77777777" w:rsidR="00803D7E" w:rsidRPr="00400193" w:rsidRDefault="00803D7E" w:rsidP="00E90E0D">
      <w:pPr>
        <w:pStyle w:val="Bibliography"/>
        <w:jc w:val="left"/>
        <w:rPr>
          <w:noProof/>
        </w:rPr>
      </w:pPr>
      <w:r w:rsidRPr="00400193">
        <w:rPr>
          <w:noProof/>
        </w:rPr>
        <w:t xml:space="preserve">Mantello, P. (2016). The machine that ate bad people: The ontopolitics of the precrime assemblage. </w:t>
      </w:r>
      <w:r w:rsidRPr="00400193">
        <w:rPr>
          <w:i/>
          <w:iCs/>
          <w:noProof/>
        </w:rPr>
        <w:t>Big Data &amp; Society, 2016</w:t>
      </w:r>
      <w:r w:rsidRPr="00400193">
        <w:rPr>
          <w:noProof/>
        </w:rPr>
        <w:t>(3), 1-11. doi:10.1177/2053951716682538</w:t>
      </w:r>
    </w:p>
    <w:p w14:paraId="55C55819" w14:textId="77777777" w:rsidR="00803D7E" w:rsidRPr="00400193" w:rsidRDefault="00803D7E" w:rsidP="00E90E0D">
      <w:pPr>
        <w:pStyle w:val="Bibliography"/>
        <w:jc w:val="left"/>
        <w:rPr>
          <w:noProof/>
        </w:rPr>
      </w:pPr>
      <w:r w:rsidRPr="00400193">
        <w:rPr>
          <w:noProof/>
        </w:rPr>
        <w:t xml:space="preserve">McCumber, J. (2004). </w:t>
      </w:r>
      <w:r w:rsidRPr="00400193">
        <w:rPr>
          <w:i/>
          <w:iCs/>
          <w:noProof/>
        </w:rPr>
        <w:t>Assessing and Managing Security Risk in IT Systems: A Structured Methodology</w:t>
      </w:r>
      <w:r w:rsidRPr="00400193">
        <w:rPr>
          <w:noProof/>
        </w:rPr>
        <w:t xml:space="preserve"> (Electronic ed.). New York: Auerbach Publishers Inc. Retrieved April 25, 2020</w:t>
      </w:r>
    </w:p>
    <w:p w14:paraId="0ED198DE" w14:textId="77777777" w:rsidR="00803D7E" w:rsidRPr="00400193" w:rsidRDefault="00803D7E" w:rsidP="00E90E0D">
      <w:pPr>
        <w:pStyle w:val="Bibliography"/>
        <w:jc w:val="left"/>
        <w:rPr>
          <w:noProof/>
        </w:rPr>
      </w:pPr>
      <w:r w:rsidRPr="00400193">
        <w:rPr>
          <w:noProof/>
        </w:rPr>
        <w:t xml:space="preserve">McDaniel Jr., C., &amp; Gates, R. (2011). </w:t>
      </w:r>
      <w:r w:rsidRPr="00400193">
        <w:rPr>
          <w:i/>
          <w:iCs/>
          <w:noProof/>
        </w:rPr>
        <w:t>Marketing Research Essentials Paperback</w:t>
      </w:r>
      <w:r w:rsidRPr="00400193">
        <w:rPr>
          <w:noProof/>
        </w:rPr>
        <w:t xml:space="preserve"> (7th ed.). Chichester: John Wiley &amp; Sons.</w:t>
      </w:r>
    </w:p>
    <w:p w14:paraId="19E231B3" w14:textId="77777777" w:rsidR="00803D7E" w:rsidRPr="00400193" w:rsidRDefault="00803D7E" w:rsidP="00E90E0D">
      <w:pPr>
        <w:pStyle w:val="Bibliography"/>
        <w:jc w:val="left"/>
        <w:rPr>
          <w:noProof/>
        </w:rPr>
      </w:pPr>
      <w:r w:rsidRPr="00400193">
        <w:rPr>
          <w:noProof/>
        </w:rPr>
        <w:t xml:space="preserve">McEvoy, P., &amp; Still, J. D. (2016). Contextualizing Mnemonic Phrase Passwords. In D. Nicholson (Ed.), </w:t>
      </w:r>
      <w:r w:rsidRPr="00400193">
        <w:rPr>
          <w:i/>
          <w:iCs/>
          <w:noProof/>
        </w:rPr>
        <w:t>Advances in Human Factors in Cybersecurity</w:t>
      </w:r>
      <w:r w:rsidRPr="00400193">
        <w:rPr>
          <w:noProof/>
        </w:rPr>
        <w:t xml:space="preserve"> (pp. 295-304). Basel: Springer. doi:10.1007/978-3-319-41932-9_24</w:t>
      </w:r>
    </w:p>
    <w:p w14:paraId="15996A95" w14:textId="6A083866" w:rsidR="00803D7E" w:rsidRPr="00400193" w:rsidRDefault="00803D7E" w:rsidP="00E90E0D">
      <w:pPr>
        <w:pStyle w:val="Bibliography"/>
        <w:jc w:val="left"/>
        <w:rPr>
          <w:noProof/>
        </w:rPr>
      </w:pPr>
      <w:r w:rsidRPr="00400193">
        <w:rPr>
          <w:noProof/>
        </w:rPr>
        <w:t xml:space="preserve">Mckenna, S., Staheli, D., &amp; Meyer, M. (2015). Unlocking user-centered design methods for building cyber security visualizations. </w:t>
      </w:r>
      <w:r w:rsidRPr="00400193">
        <w:rPr>
          <w:i/>
          <w:iCs/>
          <w:noProof/>
        </w:rPr>
        <w:t>2015 IEEE Symposium on Visualization for Cyber Security (VizSec)</w:t>
      </w:r>
      <w:r w:rsidRPr="00400193">
        <w:rPr>
          <w:noProof/>
        </w:rPr>
        <w:t xml:space="preserve"> (pp. 1 - 8). Chicago, IL: IEEE. doi:10.1109/VIZSEC.2015.7312771</w:t>
      </w:r>
    </w:p>
    <w:p w14:paraId="27D9B503" w14:textId="77777777" w:rsidR="006D60F2" w:rsidRPr="00400193" w:rsidRDefault="006D60F2" w:rsidP="006D60F2">
      <w:pPr>
        <w:pStyle w:val="CommentText"/>
        <w:jc w:val="left"/>
      </w:pPr>
      <w:r w:rsidRPr="00400193">
        <w:rPr>
          <w:shd w:val="clear" w:color="auto" w:fill="FFFFFF"/>
        </w:rPr>
        <w:t>MacCallum, R.C., Widaman, K.F., Preacher, K.J. and Hong, S., 2001. Sample size in factor analysis: The role of model error. </w:t>
      </w:r>
      <w:r w:rsidRPr="00400193">
        <w:rPr>
          <w:i/>
          <w:iCs/>
          <w:shd w:val="clear" w:color="auto" w:fill="FFFFFF"/>
        </w:rPr>
        <w:t>Multivariate behavioral research</w:t>
      </w:r>
      <w:r w:rsidRPr="00400193">
        <w:rPr>
          <w:shd w:val="clear" w:color="auto" w:fill="FFFFFF"/>
        </w:rPr>
        <w:t>, </w:t>
      </w:r>
      <w:r w:rsidRPr="00400193">
        <w:rPr>
          <w:i/>
          <w:iCs/>
          <w:shd w:val="clear" w:color="auto" w:fill="FFFFFF"/>
        </w:rPr>
        <w:t>36</w:t>
      </w:r>
      <w:r w:rsidRPr="00400193">
        <w:rPr>
          <w:shd w:val="clear" w:color="auto" w:fill="FFFFFF"/>
        </w:rPr>
        <w:t>(4), pp.611-637.</w:t>
      </w:r>
    </w:p>
    <w:p w14:paraId="66020310" w14:textId="77777777" w:rsidR="006D60F2" w:rsidRPr="00400193" w:rsidRDefault="006D60F2" w:rsidP="006D60F2">
      <w:pPr>
        <w:pStyle w:val="CommentText"/>
        <w:jc w:val="left"/>
        <w:rPr>
          <w:shd w:val="clear" w:color="auto" w:fill="FFFFFF"/>
        </w:rPr>
      </w:pPr>
      <w:r w:rsidRPr="00400193">
        <w:rPr>
          <w:shd w:val="clear" w:color="auto" w:fill="FFFFFF"/>
        </w:rPr>
        <w:t>MacCallum, R.C., Widaman, K.F., Zhang, S. and Hong, S., 1999. Sample size in factor analysis. </w:t>
      </w:r>
      <w:r w:rsidRPr="00400193">
        <w:rPr>
          <w:i/>
          <w:iCs/>
          <w:shd w:val="clear" w:color="auto" w:fill="FFFFFF"/>
        </w:rPr>
        <w:t>Psychological methods</w:t>
      </w:r>
      <w:r w:rsidRPr="00400193">
        <w:rPr>
          <w:shd w:val="clear" w:color="auto" w:fill="FFFFFF"/>
        </w:rPr>
        <w:t>, </w:t>
      </w:r>
      <w:r w:rsidRPr="00400193">
        <w:rPr>
          <w:i/>
          <w:iCs/>
          <w:shd w:val="clear" w:color="auto" w:fill="FFFFFF"/>
        </w:rPr>
        <w:t>4</w:t>
      </w:r>
      <w:r w:rsidRPr="00400193">
        <w:rPr>
          <w:shd w:val="clear" w:color="auto" w:fill="FFFFFF"/>
        </w:rPr>
        <w:t>(1), p.84.</w:t>
      </w:r>
    </w:p>
    <w:p w14:paraId="399AA5B4" w14:textId="77777777" w:rsidR="00803D7E" w:rsidRPr="00400193" w:rsidRDefault="00803D7E" w:rsidP="00E90E0D">
      <w:pPr>
        <w:pStyle w:val="Bibliography"/>
        <w:jc w:val="left"/>
        <w:rPr>
          <w:noProof/>
        </w:rPr>
      </w:pPr>
      <w:r w:rsidRPr="00400193">
        <w:rPr>
          <w:noProof/>
        </w:rPr>
        <w:t xml:space="preserve">Microsoft. (2017, June 13). </w:t>
      </w:r>
      <w:r w:rsidRPr="00400193">
        <w:rPr>
          <w:i/>
          <w:iCs/>
          <w:noProof/>
        </w:rPr>
        <w:t>Microsoft Security Advisory 4025685.</w:t>
      </w:r>
      <w:r w:rsidRPr="00400193">
        <w:rPr>
          <w:noProof/>
        </w:rPr>
        <w:t xml:space="preserve"> Retrieved October 19, 2017, from Security Tech Center: https://technet.microsoft.com/en-us/library/security/4025685.aspx</w:t>
      </w:r>
    </w:p>
    <w:p w14:paraId="7CD3C07B" w14:textId="77777777" w:rsidR="00803D7E" w:rsidRPr="00400193" w:rsidRDefault="00803D7E" w:rsidP="00E90E0D">
      <w:pPr>
        <w:pStyle w:val="Bibliography"/>
        <w:jc w:val="left"/>
        <w:rPr>
          <w:noProof/>
        </w:rPr>
      </w:pPr>
      <w:r w:rsidRPr="00400193">
        <w:rPr>
          <w:noProof/>
        </w:rPr>
        <w:t xml:space="preserve">Mierzejewska, L., &amp; Wdowicka, M. (2019, December). City Resilience vs. Resilient City: Terminological Intricacies and Concept Inaccuracies. </w:t>
      </w:r>
      <w:r w:rsidRPr="00400193">
        <w:rPr>
          <w:i/>
          <w:iCs/>
          <w:noProof/>
        </w:rPr>
        <w:t>Quaestiones Geographicae, 37</w:t>
      </w:r>
      <w:r w:rsidRPr="00400193">
        <w:rPr>
          <w:noProof/>
        </w:rPr>
        <w:t>(2), 7-15. doi:10.2478/quageo-2018-0018</w:t>
      </w:r>
    </w:p>
    <w:p w14:paraId="628C2392" w14:textId="77777777" w:rsidR="00803D7E" w:rsidRPr="00400193" w:rsidRDefault="00803D7E" w:rsidP="00E90E0D">
      <w:pPr>
        <w:pStyle w:val="Bibliography"/>
        <w:jc w:val="left"/>
        <w:rPr>
          <w:noProof/>
        </w:rPr>
      </w:pPr>
      <w:r w:rsidRPr="00400193">
        <w:rPr>
          <w:noProof/>
        </w:rPr>
        <w:lastRenderedPageBreak/>
        <w:t xml:space="preserve">Miles, M. B., Huberman, A. M., &amp; Saldaña, J. (2014). </w:t>
      </w:r>
      <w:r w:rsidRPr="00400193">
        <w:rPr>
          <w:i/>
          <w:iCs/>
          <w:noProof/>
        </w:rPr>
        <w:t>Qualitative Data Analysis</w:t>
      </w:r>
      <w:r w:rsidRPr="00400193">
        <w:rPr>
          <w:noProof/>
        </w:rPr>
        <w:t xml:space="preserve"> (3rd ed.). Thousand Oaks, CA: Sage.</w:t>
      </w:r>
    </w:p>
    <w:p w14:paraId="353D7FAA" w14:textId="77777777" w:rsidR="00803D7E" w:rsidRPr="00400193" w:rsidRDefault="00803D7E" w:rsidP="00E90E0D">
      <w:pPr>
        <w:pStyle w:val="Bibliography"/>
        <w:jc w:val="left"/>
        <w:rPr>
          <w:noProof/>
        </w:rPr>
      </w:pPr>
      <w:r w:rsidRPr="00400193">
        <w:rPr>
          <w:noProof/>
        </w:rPr>
        <w:t xml:space="preserve">Miller, R. L., &amp; Brewer, J. (Eds.). (2003). </w:t>
      </w:r>
      <w:r w:rsidRPr="00400193">
        <w:rPr>
          <w:i/>
          <w:iCs/>
          <w:noProof/>
        </w:rPr>
        <w:t>The A-Z of Social Research.</w:t>
      </w:r>
      <w:r w:rsidRPr="00400193">
        <w:rPr>
          <w:noProof/>
        </w:rPr>
        <w:t xml:space="preserve"> London: Sage. doi:10.4135/9780857020024</w:t>
      </w:r>
    </w:p>
    <w:p w14:paraId="13577E9E" w14:textId="77777777" w:rsidR="00803D7E" w:rsidRPr="00400193" w:rsidRDefault="00803D7E" w:rsidP="00E90E0D">
      <w:pPr>
        <w:pStyle w:val="Bibliography"/>
        <w:jc w:val="left"/>
        <w:rPr>
          <w:noProof/>
        </w:rPr>
      </w:pPr>
      <w:r w:rsidRPr="00400193">
        <w:rPr>
          <w:noProof/>
        </w:rPr>
        <w:t xml:space="preserve">MITRE. (2017). </w:t>
      </w:r>
      <w:r w:rsidRPr="00400193">
        <w:rPr>
          <w:i/>
          <w:iCs/>
          <w:noProof/>
        </w:rPr>
        <w:t>CVE Overview</w:t>
      </w:r>
      <w:r w:rsidRPr="00400193">
        <w:rPr>
          <w:noProof/>
        </w:rPr>
        <w:t>. Retrieved June 05, 2017, from The MITRE Corporation: https://www.first.org/resources/papers/raleigh2017/FIRSTPSIRT-CVE_and_CNA_program.pdf</w:t>
      </w:r>
    </w:p>
    <w:p w14:paraId="1EA12F6B" w14:textId="77777777" w:rsidR="00803D7E" w:rsidRPr="00400193" w:rsidRDefault="00803D7E" w:rsidP="00E90E0D">
      <w:pPr>
        <w:pStyle w:val="Bibliography"/>
        <w:jc w:val="left"/>
        <w:rPr>
          <w:noProof/>
        </w:rPr>
      </w:pPr>
      <w:r w:rsidRPr="00400193">
        <w:rPr>
          <w:noProof/>
        </w:rPr>
        <w:t xml:space="preserve">Morency, K. (2015). Cybersecurity finally takes center stage in the U.S. </w:t>
      </w:r>
      <w:r w:rsidRPr="00400193">
        <w:rPr>
          <w:i/>
          <w:iCs/>
          <w:noProof/>
        </w:rPr>
        <w:t>Journal of high technology law, 15</w:t>
      </w:r>
      <w:r w:rsidRPr="00400193">
        <w:rPr>
          <w:noProof/>
        </w:rPr>
        <w:t>(1), 192-229.</w:t>
      </w:r>
    </w:p>
    <w:p w14:paraId="28A4E24E" w14:textId="77777777" w:rsidR="00803D7E" w:rsidRPr="00400193" w:rsidRDefault="00803D7E" w:rsidP="00E90E0D">
      <w:pPr>
        <w:pStyle w:val="Bibliography"/>
        <w:jc w:val="left"/>
        <w:rPr>
          <w:noProof/>
        </w:rPr>
      </w:pPr>
      <w:r w:rsidRPr="00400193">
        <w:rPr>
          <w:noProof/>
        </w:rPr>
        <w:t xml:space="preserve">Mukhopadhyay, A., Chatterjee, S., Saha, D., Mahanti, A., &amp; Sadhukhan, S. K. (2013). Cyber-risk decision models: To insure IT or not? </w:t>
      </w:r>
      <w:r w:rsidRPr="00400193">
        <w:rPr>
          <w:i/>
          <w:iCs/>
          <w:noProof/>
        </w:rPr>
        <w:t>Decision Support Systems, 56</w:t>
      </w:r>
      <w:r w:rsidRPr="00400193">
        <w:rPr>
          <w:noProof/>
        </w:rPr>
        <w:t>(1), 11-26.</w:t>
      </w:r>
    </w:p>
    <w:p w14:paraId="588A9A49" w14:textId="77777777" w:rsidR="00803D7E" w:rsidRPr="00400193" w:rsidRDefault="00803D7E" w:rsidP="00E90E0D">
      <w:pPr>
        <w:pStyle w:val="Bibliography"/>
        <w:jc w:val="left"/>
        <w:rPr>
          <w:noProof/>
        </w:rPr>
      </w:pPr>
      <w:r w:rsidRPr="00400193">
        <w:rPr>
          <w:noProof/>
        </w:rPr>
        <w:t xml:space="preserve">Newsom, J. T., Jones, R. N., &amp; Hofer, S. M. (Eds.). (2005). </w:t>
      </w:r>
      <w:r w:rsidRPr="00400193">
        <w:rPr>
          <w:i/>
          <w:iCs/>
          <w:noProof/>
        </w:rPr>
        <w:t>Longitudinal Data Analysis : A Practical Guide for Researchers in Aging, Health, and Social Sciences.</w:t>
      </w:r>
      <w:r w:rsidRPr="00400193">
        <w:rPr>
          <w:noProof/>
        </w:rPr>
        <w:t xml:space="preserve"> London: Routledge.</w:t>
      </w:r>
    </w:p>
    <w:p w14:paraId="584DB517" w14:textId="77777777" w:rsidR="00803D7E" w:rsidRPr="00400193" w:rsidRDefault="00803D7E" w:rsidP="00E90E0D">
      <w:pPr>
        <w:pStyle w:val="Bibliography"/>
        <w:jc w:val="left"/>
        <w:rPr>
          <w:noProof/>
        </w:rPr>
      </w:pPr>
      <w:r w:rsidRPr="00400193">
        <w:rPr>
          <w:noProof/>
        </w:rPr>
        <w:t xml:space="preserve">Niblett, G. (2016). Cyber Response. </w:t>
      </w:r>
      <w:r w:rsidRPr="00400193">
        <w:rPr>
          <w:i/>
          <w:iCs/>
          <w:noProof/>
        </w:rPr>
        <w:t>ITNow, 58</w:t>
      </w:r>
      <w:r w:rsidRPr="00400193">
        <w:rPr>
          <w:noProof/>
        </w:rPr>
        <w:t>(1), 21. doi:10.1093/itnow/bww008</w:t>
      </w:r>
    </w:p>
    <w:p w14:paraId="382913A4" w14:textId="77777777" w:rsidR="00803D7E" w:rsidRPr="00400193" w:rsidRDefault="00803D7E" w:rsidP="00E90E0D">
      <w:pPr>
        <w:pStyle w:val="Bibliography"/>
        <w:jc w:val="left"/>
        <w:rPr>
          <w:noProof/>
        </w:rPr>
      </w:pPr>
      <w:r w:rsidRPr="00400193">
        <w:rPr>
          <w:noProof/>
        </w:rPr>
        <w:t xml:space="preserve">Niglas, K. (2000, September 20-23). </w:t>
      </w:r>
      <w:r w:rsidRPr="00400193">
        <w:rPr>
          <w:i/>
          <w:iCs/>
          <w:noProof/>
        </w:rPr>
        <w:t>Combining quantitative and qualitative approaches.</w:t>
      </w:r>
      <w:r w:rsidRPr="00400193">
        <w:rPr>
          <w:noProof/>
        </w:rPr>
        <w:t xml:space="preserve"> Retrieved from Leeds University: http://www.leeds.ac.uk/educol/documents/00001544.htm</w:t>
      </w:r>
    </w:p>
    <w:p w14:paraId="1AE33DB7" w14:textId="77777777" w:rsidR="00803D7E" w:rsidRPr="00400193" w:rsidRDefault="00803D7E" w:rsidP="00E90E0D">
      <w:pPr>
        <w:pStyle w:val="Bibliography"/>
        <w:jc w:val="left"/>
        <w:rPr>
          <w:noProof/>
        </w:rPr>
      </w:pPr>
      <w:r w:rsidRPr="00400193">
        <w:rPr>
          <w:noProof/>
        </w:rPr>
        <w:t xml:space="preserve">Nunnally, J., &amp; Bernstein, I. (1994). The Assessment of Reliability. </w:t>
      </w:r>
      <w:r w:rsidRPr="00400193">
        <w:rPr>
          <w:i/>
          <w:iCs/>
          <w:noProof/>
        </w:rPr>
        <w:t>Psychometric Theory, 6</w:t>
      </w:r>
      <w:r w:rsidRPr="00400193">
        <w:rPr>
          <w:noProof/>
        </w:rPr>
        <w:t>(1), 248 - 292.</w:t>
      </w:r>
    </w:p>
    <w:p w14:paraId="1AC365BB" w14:textId="77777777" w:rsidR="00803D7E" w:rsidRPr="00400193" w:rsidRDefault="00803D7E" w:rsidP="00E90E0D">
      <w:pPr>
        <w:pStyle w:val="Bibliography"/>
        <w:jc w:val="left"/>
        <w:rPr>
          <w:noProof/>
        </w:rPr>
      </w:pPr>
      <w:r w:rsidRPr="00400193">
        <w:rPr>
          <w:noProof/>
        </w:rPr>
        <w:t xml:space="preserve">Obama, B. (2009). </w:t>
      </w:r>
      <w:r w:rsidRPr="00400193">
        <w:rPr>
          <w:i/>
          <w:iCs/>
          <w:noProof/>
        </w:rPr>
        <w:t>Cyberspace Policy Review, Assuring a Trusted and Resikient Information and Communications Infrastructure.</w:t>
      </w:r>
      <w:r w:rsidRPr="00400193">
        <w:rPr>
          <w:noProof/>
        </w:rPr>
        <w:t xml:space="preserve"> Retrieved from Executive Office of the President White House,gov: https://www.whitehouse.gov/assets/documents/Cyberspace_Policy_Review_final.pdf</w:t>
      </w:r>
    </w:p>
    <w:p w14:paraId="55227F03" w14:textId="77777777" w:rsidR="00803D7E" w:rsidRPr="00400193" w:rsidRDefault="00803D7E" w:rsidP="00E90E0D">
      <w:pPr>
        <w:pStyle w:val="Bibliography"/>
        <w:jc w:val="left"/>
        <w:rPr>
          <w:noProof/>
        </w:rPr>
      </w:pPr>
      <w:r w:rsidRPr="00400193">
        <w:rPr>
          <w:noProof/>
        </w:rPr>
        <w:t xml:space="preserve">Oliver, R. M. (2015). The structure of unrevealed Bads in Good/Bad risk scores. </w:t>
      </w:r>
      <w:r w:rsidRPr="00400193">
        <w:rPr>
          <w:i/>
          <w:iCs/>
          <w:noProof/>
        </w:rPr>
        <w:t>Journal of the Operational Research Society, 66</w:t>
      </w:r>
      <w:r w:rsidRPr="00400193">
        <w:rPr>
          <w:noProof/>
        </w:rPr>
        <w:t>(2), 308-315. doi:10.1057%2Fjors.2013.186</w:t>
      </w:r>
    </w:p>
    <w:p w14:paraId="276F8C41" w14:textId="77777777" w:rsidR="00803D7E" w:rsidRPr="00400193" w:rsidRDefault="00803D7E" w:rsidP="00E90E0D">
      <w:pPr>
        <w:pStyle w:val="Bibliography"/>
        <w:jc w:val="left"/>
        <w:rPr>
          <w:noProof/>
        </w:rPr>
      </w:pPr>
      <w:r w:rsidRPr="00400193">
        <w:rPr>
          <w:noProof/>
        </w:rPr>
        <w:t xml:space="preserve">O'Neil, C. (2016). </w:t>
      </w:r>
      <w:r w:rsidRPr="00400193">
        <w:rPr>
          <w:i/>
          <w:iCs/>
          <w:noProof/>
        </w:rPr>
        <w:t>Weapons of Math Destruction: How Big Data Increases Inequality and Threatens Democracy.</w:t>
      </w:r>
      <w:r w:rsidRPr="00400193">
        <w:rPr>
          <w:noProof/>
        </w:rPr>
        <w:t xml:space="preserve"> London: Penguin.</w:t>
      </w:r>
    </w:p>
    <w:p w14:paraId="7D645E3F" w14:textId="77777777" w:rsidR="00803D7E" w:rsidRPr="00400193" w:rsidRDefault="00803D7E" w:rsidP="00E90E0D">
      <w:pPr>
        <w:pStyle w:val="Bibliography"/>
        <w:jc w:val="left"/>
        <w:rPr>
          <w:noProof/>
        </w:rPr>
      </w:pPr>
      <w:r w:rsidRPr="00400193">
        <w:rPr>
          <w:noProof/>
        </w:rPr>
        <w:t xml:space="preserve">ONS. (2017). </w:t>
      </w:r>
      <w:r w:rsidRPr="00400193">
        <w:rPr>
          <w:i/>
          <w:iCs/>
          <w:noProof/>
        </w:rPr>
        <w:t>Overview of fraud statistics: year ending Mar 2016.</w:t>
      </w:r>
      <w:r w:rsidRPr="00400193">
        <w:rPr>
          <w:noProof/>
        </w:rPr>
        <w:t xml:space="preserve"> Retrieved May 15, 2017, from https://www.ons.gov.uk/peoplepopulationandcommunity/crimeandjustice/articles/overviewoffraudstatistics/yearendingmarch2016#what-are-the-long-term-trends-in-fraud</w:t>
      </w:r>
    </w:p>
    <w:p w14:paraId="0E807F6A" w14:textId="77777777" w:rsidR="00803D7E" w:rsidRPr="00400193" w:rsidRDefault="00803D7E" w:rsidP="00E90E0D">
      <w:pPr>
        <w:pStyle w:val="Bibliography"/>
        <w:jc w:val="left"/>
        <w:rPr>
          <w:noProof/>
        </w:rPr>
      </w:pPr>
      <w:r w:rsidRPr="00400193">
        <w:rPr>
          <w:noProof/>
        </w:rPr>
        <w:t xml:space="preserve">Ortiz, E., Reinerman-Jones, L., &amp; Matthews, G. (2016). Developing an Insider Threat Training Environment. In D. Nicholson (Ed.), </w:t>
      </w:r>
      <w:r w:rsidRPr="00400193">
        <w:rPr>
          <w:i/>
          <w:iCs/>
          <w:noProof/>
        </w:rPr>
        <w:t>Advances in Human Factors in Cybersecurity</w:t>
      </w:r>
      <w:r w:rsidRPr="00400193">
        <w:rPr>
          <w:noProof/>
        </w:rPr>
        <w:t xml:space="preserve"> (pp. 267-277). Basel: Springer. doi:10.1007/978-3-319-41932-9_22</w:t>
      </w:r>
    </w:p>
    <w:p w14:paraId="72A4C7F7" w14:textId="77777777" w:rsidR="00803D7E" w:rsidRPr="00400193" w:rsidRDefault="00803D7E" w:rsidP="00E90E0D">
      <w:pPr>
        <w:pStyle w:val="Bibliography"/>
        <w:jc w:val="left"/>
        <w:rPr>
          <w:noProof/>
        </w:rPr>
      </w:pPr>
      <w:r w:rsidRPr="00400193">
        <w:rPr>
          <w:noProof/>
        </w:rPr>
        <w:t xml:space="preserve">Osborne, J. W. (2015). What is Rotating in Exploratory Factor Analysis? </w:t>
      </w:r>
      <w:r w:rsidRPr="00400193">
        <w:rPr>
          <w:i/>
          <w:iCs/>
          <w:noProof/>
        </w:rPr>
        <w:t>Assessment, 20</w:t>
      </w:r>
      <w:r w:rsidRPr="00400193">
        <w:rPr>
          <w:noProof/>
        </w:rPr>
        <w:t>(2), 1 - 8.</w:t>
      </w:r>
    </w:p>
    <w:p w14:paraId="3698535B" w14:textId="77777777" w:rsidR="00803D7E" w:rsidRPr="00400193" w:rsidRDefault="00803D7E" w:rsidP="00E90E0D">
      <w:pPr>
        <w:pStyle w:val="Bibliography"/>
        <w:jc w:val="left"/>
        <w:rPr>
          <w:noProof/>
        </w:rPr>
      </w:pPr>
      <w:r w:rsidRPr="00400193">
        <w:rPr>
          <w:noProof/>
        </w:rPr>
        <w:t xml:space="preserve">Owens, B. (2020). How hospitals can protect themselves from cyber attack. </w:t>
      </w:r>
      <w:r w:rsidRPr="00400193">
        <w:rPr>
          <w:i/>
          <w:iCs/>
          <w:noProof/>
        </w:rPr>
        <w:t>Canadian Medical Association journal (CMAJ), 192</w:t>
      </w:r>
      <w:r w:rsidRPr="00400193">
        <w:rPr>
          <w:noProof/>
        </w:rPr>
        <w:t>(4), E101-E102. doi:10.1503/cmaj.1095841</w:t>
      </w:r>
    </w:p>
    <w:p w14:paraId="0CC29105" w14:textId="77777777" w:rsidR="00803D7E" w:rsidRPr="00400193" w:rsidRDefault="00803D7E" w:rsidP="00E90E0D">
      <w:pPr>
        <w:pStyle w:val="Bibliography"/>
        <w:jc w:val="left"/>
        <w:rPr>
          <w:noProof/>
        </w:rPr>
      </w:pPr>
      <w:r w:rsidRPr="00400193">
        <w:rPr>
          <w:noProof/>
        </w:rPr>
        <w:t xml:space="preserve">Panguluri, S., Phillips, W., &amp; Cusimano, J. (2011). Protecting water and wastewater infrastructure from cyber attacks. </w:t>
      </w:r>
      <w:r w:rsidRPr="00400193">
        <w:rPr>
          <w:i/>
          <w:iCs/>
          <w:noProof/>
        </w:rPr>
        <w:t>Frontiers of Earth Science, 5</w:t>
      </w:r>
      <w:r w:rsidRPr="00400193">
        <w:rPr>
          <w:noProof/>
        </w:rPr>
        <w:t>(4), 406-413. doi: 10.1007/s11707-011-0199-5</w:t>
      </w:r>
    </w:p>
    <w:p w14:paraId="1F4220D2" w14:textId="77777777" w:rsidR="00803D7E" w:rsidRPr="00400193" w:rsidRDefault="00803D7E" w:rsidP="00E90E0D">
      <w:pPr>
        <w:pStyle w:val="Bibliography"/>
        <w:jc w:val="left"/>
        <w:rPr>
          <w:noProof/>
        </w:rPr>
      </w:pPr>
      <w:r w:rsidRPr="00400193">
        <w:rPr>
          <w:noProof/>
        </w:rPr>
        <w:t xml:space="preserve">Patton, M. Q. (1990). </w:t>
      </w:r>
      <w:r w:rsidRPr="00400193">
        <w:rPr>
          <w:i/>
          <w:iCs/>
          <w:noProof/>
        </w:rPr>
        <w:t>Qualitative evaluation and research methods</w:t>
      </w:r>
      <w:r w:rsidRPr="00400193">
        <w:rPr>
          <w:noProof/>
        </w:rPr>
        <w:t xml:space="preserve"> (2nd ed.). New York, NY: Sage Publications, Inc.</w:t>
      </w:r>
    </w:p>
    <w:p w14:paraId="46F1CE03" w14:textId="77777777" w:rsidR="00803D7E" w:rsidRPr="00400193" w:rsidRDefault="00803D7E" w:rsidP="00E90E0D">
      <w:pPr>
        <w:pStyle w:val="Bibliography"/>
        <w:jc w:val="left"/>
        <w:rPr>
          <w:noProof/>
        </w:rPr>
      </w:pPr>
      <w:r w:rsidRPr="00400193">
        <w:rPr>
          <w:noProof/>
        </w:rPr>
        <w:t xml:space="preserve">Pawlowski, S. D., &amp; Jung, Y. (2015). Social Representations of Cybersecurity by University Students and Implications for Instructional Design. </w:t>
      </w:r>
      <w:r w:rsidRPr="00400193">
        <w:rPr>
          <w:i/>
          <w:iCs/>
          <w:noProof/>
        </w:rPr>
        <w:t>Journal of Information Systems Education, 26</w:t>
      </w:r>
      <w:r w:rsidRPr="00400193">
        <w:rPr>
          <w:noProof/>
        </w:rPr>
        <w:t>(4), 281-294.</w:t>
      </w:r>
    </w:p>
    <w:p w14:paraId="45792BFF" w14:textId="77777777" w:rsidR="00803D7E" w:rsidRPr="00400193" w:rsidRDefault="00803D7E" w:rsidP="00E90E0D">
      <w:pPr>
        <w:pStyle w:val="Bibliography"/>
        <w:jc w:val="left"/>
        <w:rPr>
          <w:noProof/>
        </w:rPr>
      </w:pPr>
      <w:r w:rsidRPr="00400193">
        <w:rPr>
          <w:noProof/>
        </w:rPr>
        <w:t xml:space="preserve">Payne, C., &amp; Finlay, L. (2017). Addressing obstacles to cyber-attribution: a model based on state response to cyber-attacks. </w:t>
      </w:r>
      <w:r w:rsidRPr="00400193">
        <w:rPr>
          <w:i/>
          <w:iCs/>
          <w:noProof/>
        </w:rPr>
        <w:t>The George Washington international law review, 49</w:t>
      </w:r>
      <w:r w:rsidRPr="00400193">
        <w:rPr>
          <w:noProof/>
        </w:rPr>
        <w:t>(3), 535-568.</w:t>
      </w:r>
    </w:p>
    <w:p w14:paraId="5499A67C" w14:textId="77777777" w:rsidR="00803D7E" w:rsidRPr="00400193" w:rsidRDefault="00803D7E" w:rsidP="00E90E0D">
      <w:pPr>
        <w:pStyle w:val="Bibliography"/>
        <w:jc w:val="left"/>
        <w:rPr>
          <w:noProof/>
        </w:rPr>
      </w:pPr>
      <w:r w:rsidRPr="00400193">
        <w:rPr>
          <w:noProof/>
        </w:rPr>
        <w:t xml:space="preserve">Pelekis, N., Tampakis, P., Vodas, M., Doulkeridis, C., &amp; Theodoridis, Y. (2017). On temporal-constrained sub-trajectory cluster analysis. </w:t>
      </w:r>
      <w:r w:rsidRPr="00400193">
        <w:rPr>
          <w:i/>
          <w:iCs/>
          <w:noProof/>
        </w:rPr>
        <w:t>Data Mining and Knowledge Discovery, 31</w:t>
      </w:r>
      <w:r w:rsidRPr="00400193">
        <w:rPr>
          <w:noProof/>
        </w:rPr>
        <w:t>(5), 1294 - 1330. doi:10.1007/s10618-017-0503-4</w:t>
      </w:r>
    </w:p>
    <w:p w14:paraId="2594BC83" w14:textId="77777777" w:rsidR="00803D7E" w:rsidRPr="00400193" w:rsidRDefault="00803D7E" w:rsidP="00E90E0D">
      <w:pPr>
        <w:pStyle w:val="Bibliography"/>
        <w:jc w:val="left"/>
        <w:rPr>
          <w:noProof/>
        </w:rPr>
      </w:pPr>
      <w:r w:rsidRPr="00400193">
        <w:rPr>
          <w:noProof/>
        </w:rPr>
        <w:t>Peng, L., Wijeskera, D., Wingfield, T. C., &amp; Michael, J. B. (2006). An ontology</w:t>
      </w:r>
      <w:r w:rsidRPr="00400193">
        <w:rPr>
          <w:rFonts w:ascii="Cambria Math" w:hAnsi="Cambria Math" w:cs="Cambria Math"/>
          <w:noProof/>
        </w:rPr>
        <w:t>‐</w:t>
      </w:r>
      <w:r w:rsidRPr="00400193">
        <w:rPr>
          <w:noProof/>
        </w:rPr>
        <w:t xml:space="preserve">based distributed whiteboard to determine legal responses to online cyber attacks. </w:t>
      </w:r>
      <w:r w:rsidRPr="00400193">
        <w:rPr>
          <w:i/>
          <w:iCs/>
          <w:noProof/>
        </w:rPr>
        <w:t>Internet Research, 16</w:t>
      </w:r>
      <w:r w:rsidRPr="00400193">
        <w:rPr>
          <w:noProof/>
        </w:rPr>
        <w:t>(5), 475-490. doi:10.1108/10662240610710969</w:t>
      </w:r>
    </w:p>
    <w:p w14:paraId="5610C2C8" w14:textId="77777777" w:rsidR="00803D7E" w:rsidRPr="00400193" w:rsidRDefault="00803D7E" w:rsidP="00E90E0D">
      <w:pPr>
        <w:pStyle w:val="Bibliography"/>
        <w:jc w:val="left"/>
        <w:rPr>
          <w:noProof/>
        </w:rPr>
      </w:pPr>
      <w:r w:rsidRPr="00400193">
        <w:rPr>
          <w:noProof/>
        </w:rPr>
        <w:lastRenderedPageBreak/>
        <w:t xml:space="preserve">Peterson, A. (2015, November 14). </w:t>
      </w:r>
      <w:r w:rsidRPr="00400193">
        <w:rPr>
          <w:i/>
          <w:iCs/>
          <w:noProof/>
        </w:rPr>
        <w:t>The Guardian.com - Why tech firms pay hackers to hack them.</w:t>
      </w:r>
      <w:r w:rsidRPr="00400193">
        <w:rPr>
          <w:noProof/>
        </w:rPr>
        <w:t xml:space="preserve"> Retrieved June 09, 2016, from https://www.theguardian.com/technology/2015/nov/14/hackers-technology-bounty-discover-flaws</w:t>
      </w:r>
    </w:p>
    <w:p w14:paraId="5C0D60A6" w14:textId="77777777" w:rsidR="00803D7E" w:rsidRPr="00400193" w:rsidRDefault="00803D7E" w:rsidP="00E90E0D">
      <w:pPr>
        <w:pStyle w:val="Bibliography"/>
        <w:jc w:val="left"/>
        <w:rPr>
          <w:noProof/>
        </w:rPr>
      </w:pPr>
      <w:r w:rsidRPr="00400193">
        <w:rPr>
          <w:noProof/>
        </w:rPr>
        <w:t xml:space="preserve">Philippsohn, S., &amp; Thomas, S. (2003). IP Theft &amp; Corporate Espionage: Remedies. </w:t>
      </w:r>
      <w:r w:rsidRPr="00400193">
        <w:rPr>
          <w:i/>
          <w:iCs/>
          <w:noProof/>
        </w:rPr>
        <w:t>Computer Fraud &amp; Security, 2003</w:t>
      </w:r>
      <w:r w:rsidRPr="00400193">
        <w:rPr>
          <w:noProof/>
        </w:rPr>
        <w:t>(9), 9-12. doi:10.1016/S1361-3723(03)09008-0</w:t>
      </w:r>
    </w:p>
    <w:p w14:paraId="0841B306" w14:textId="77777777" w:rsidR="00803D7E" w:rsidRPr="00400193" w:rsidRDefault="00803D7E" w:rsidP="00E90E0D">
      <w:pPr>
        <w:pStyle w:val="Bibliography"/>
        <w:jc w:val="left"/>
        <w:rPr>
          <w:noProof/>
        </w:rPr>
      </w:pPr>
      <w:r w:rsidRPr="00400193">
        <w:rPr>
          <w:noProof/>
        </w:rPr>
        <w:t xml:space="preserve">Podhorec, M. (2012). Cyber Security Within The Globalisation Process. </w:t>
      </w:r>
      <w:r w:rsidRPr="00400193">
        <w:rPr>
          <w:i/>
          <w:iCs/>
          <w:noProof/>
        </w:rPr>
        <w:t>Journal of Defense Resources Management, 3</w:t>
      </w:r>
      <w:r w:rsidRPr="00400193">
        <w:rPr>
          <w:noProof/>
        </w:rPr>
        <w:t>(1), 19 - 26.</w:t>
      </w:r>
    </w:p>
    <w:p w14:paraId="5B7DA42D" w14:textId="77777777" w:rsidR="00803D7E" w:rsidRPr="00400193" w:rsidRDefault="00803D7E" w:rsidP="00E90E0D">
      <w:pPr>
        <w:pStyle w:val="Bibliography"/>
        <w:jc w:val="left"/>
        <w:rPr>
          <w:noProof/>
        </w:rPr>
      </w:pPr>
      <w:r w:rsidRPr="00400193">
        <w:rPr>
          <w:noProof/>
        </w:rPr>
        <w:t xml:space="preserve">Police 1. (2017). </w:t>
      </w:r>
      <w:r w:rsidRPr="00400193">
        <w:rPr>
          <w:i/>
          <w:iCs/>
          <w:noProof/>
        </w:rPr>
        <w:t>9 cyberattacks that threatened officer safety and obstructed justice.</w:t>
      </w:r>
      <w:r w:rsidRPr="00400193">
        <w:rPr>
          <w:noProof/>
        </w:rPr>
        <w:t xml:space="preserve"> Retrieved September 29, 2017, from police 1.com: https://www.policeone.com/cyber-attack/articles/371392006--9-cyberattacks-that-threatened-officer-safety-and-obstructed-justice/</w:t>
      </w:r>
    </w:p>
    <w:p w14:paraId="7E10389F" w14:textId="77777777" w:rsidR="00803D7E" w:rsidRPr="00400193" w:rsidRDefault="00803D7E" w:rsidP="00E90E0D">
      <w:pPr>
        <w:pStyle w:val="Bibliography"/>
        <w:jc w:val="left"/>
        <w:rPr>
          <w:noProof/>
        </w:rPr>
      </w:pPr>
      <w:r w:rsidRPr="00400193">
        <w:rPr>
          <w:noProof/>
        </w:rPr>
        <w:t xml:space="preserve">Polit, D. F., &amp; Hungler, B. P. (1999). </w:t>
      </w:r>
      <w:r w:rsidRPr="00400193">
        <w:rPr>
          <w:i/>
          <w:iCs/>
          <w:noProof/>
        </w:rPr>
        <w:t>Nursing Research: Principles and Methods</w:t>
      </w:r>
      <w:r w:rsidRPr="00400193">
        <w:rPr>
          <w:noProof/>
        </w:rPr>
        <w:t xml:space="preserve"> (7th ed.). Philadelphia, PA: Lippincott Company.</w:t>
      </w:r>
    </w:p>
    <w:p w14:paraId="4F5929A4" w14:textId="77777777" w:rsidR="00803D7E" w:rsidRPr="00400193" w:rsidRDefault="00803D7E" w:rsidP="00E90E0D">
      <w:pPr>
        <w:pStyle w:val="Bibliography"/>
        <w:jc w:val="left"/>
        <w:rPr>
          <w:noProof/>
        </w:rPr>
      </w:pPr>
      <w:r w:rsidRPr="00400193">
        <w:rPr>
          <w:noProof/>
        </w:rPr>
        <w:t xml:space="preserve">Polit, D. F., Beck, C., &amp; Hungler, B. P. (2001). </w:t>
      </w:r>
      <w:r w:rsidRPr="00400193">
        <w:rPr>
          <w:i/>
          <w:iCs/>
          <w:noProof/>
        </w:rPr>
        <w:t>Essentials of Nursing Research: Methods, Appraisal, and Utilization</w:t>
      </w:r>
      <w:r w:rsidRPr="00400193">
        <w:rPr>
          <w:noProof/>
        </w:rPr>
        <w:t xml:space="preserve"> (5th ed.). Philadelphia, PA: Lippincott Williams and Wilkins.</w:t>
      </w:r>
    </w:p>
    <w:p w14:paraId="2A9F586A" w14:textId="77777777" w:rsidR="00803D7E" w:rsidRPr="00400193" w:rsidRDefault="00803D7E" w:rsidP="00E90E0D">
      <w:pPr>
        <w:pStyle w:val="Bibliography"/>
        <w:jc w:val="left"/>
        <w:rPr>
          <w:noProof/>
        </w:rPr>
      </w:pPr>
      <w:r w:rsidRPr="00400193">
        <w:rPr>
          <w:noProof/>
        </w:rPr>
        <w:t xml:space="preserve">Purser, S. (2011). The European cooperative approach to securing critical information infrastructure. </w:t>
      </w:r>
      <w:r w:rsidRPr="00400193">
        <w:rPr>
          <w:i/>
          <w:iCs/>
          <w:noProof/>
        </w:rPr>
        <w:t>Journal of Business Continuity &amp; Emergency Planning, 5</w:t>
      </w:r>
      <w:r w:rsidRPr="00400193">
        <w:rPr>
          <w:noProof/>
        </w:rPr>
        <w:t>(3), 237 - 245.</w:t>
      </w:r>
    </w:p>
    <w:p w14:paraId="3E0F9A33" w14:textId="77777777" w:rsidR="00803D7E" w:rsidRPr="00400193" w:rsidRDefault="00803D7E" w:rsidP="00E90E0D">
      <w:pPr>
        <w:pStyle w:val="Bibliography"/>
        <w:jc w:val="left"/>
        <w:rPr>
          <w:noProof/>
        </w:rPr>
      </w:pPr>
      <w:r w:rsidRPr="00400193">
        <w:rPr>
          <w:noProof/>
        </w:rPr>
        <w:t xml:space="preserve">PWC. (2014). </w:t>
      </w:r>
      <w:r w:rsidRPr="00400193">
        <w:rPr>
          <w:i/>
          <w:iCs/>
          <w:noProof/>
        </w:rPr>
        <w:t>Threats to the Financial Services Sector.</w:t>
      </w:r>
      <w:r w:rsidRPr="00400193">
        <w:rPr>
          <w:noProof/>
        </w:rPr>
        <w:t xml:space="preserve"> London: Price-Waterhouse Cooper.</w:t>
      </w:r>
    </w:p>
    <w:p w14:paraId="779B5923" w14:textId="77777777" w:rsidR="00803D7E" w:rsidRPr="00400193" w:rsidRDefault="00803D7E" w:rsidP="00E90E0D">
      <w:pPr>
        <w:pStyle w:val="Bibliography"/>
        <w:jc w:val="left"/>
        <w:rPr>
          <w:noProof/>
        </w:rPr>
      </w:pPr>
      <w:r w:rsidRPr="00400193">
        <w:rPr>
          <w:noProof/>
        </w:rPr>
        <w:t xml:space="preserve">PytlikZillig, L. M., Wang, S., Soh, L.-K., Tomkins, A. J., Samal, A., Bernadt, T. K., &amp; Hayes, M. J. (2015). Exploring Reactions to Hacktivism Among STEM College Students. </w:t>
      </w:r>
      <w:r w:rsidRPr="00400193">
        <w:rPr>
          <w:i/>
          <w:iCs/>
          <w:noProof/>
        </w:rPr>
        <w:t>Social Science Computer Review, 33</w:t>
      </w:r>
      <w:r w:rsidRPr="00400193">
        <w:rPr>
          <w:noProof/>
        </w:rPr>
        <w:t>(4), 479-497. doi:10.1177/0894439314546815</w:t>
      </w:r>
    </w:p>
    <w:p w14:paraId="1DB77FEA" w14:textId="77777777" w:rsidR="00803D7E" w:rsidRPr="00400193" w:rsidRDefault="00803D7E" w:rsidP="00E90E0D">
      <w:pPr>
        <w:pStyle w:val="Bibliography"/>
        <w:jc w:val="left"/>
        <w:rPr>
          <w:noProof/>
        </w:rPr>
      </w:pPr>
      <w:r w:rsidRPr="00400193">
        <w:rPr>
          <w:noProof/>
        </w:rPr>
        <w:t xml:space="preserve">Radanliev, P., De Roure, D., Page, K., Nurse, J. R., Montalvo, R. M., Santos, O., . . . Burnap, P. (2020). Cyber risk at the edge: current and future trends on cyber risk analytics and artificial intelligence in the industrial internet of things and industry 4.0 supply chains. </w:t>
      </w:r>
      <w:r w:rsidRPr="00400193">
        <w:rPr>
          <w:i/>
          <w:iCs/>
          <w:noProof/>
        </w:rPr>
        <w:t>Cybersecurity, 3</w:t>
      </w:r>
      <w:r w:rsidRPr="00400193">
        <w:rPr>
          <w:noProof/>
        </w:rPr>
        <w:t>(1), 1-21. doi:10.1186/s42400-020-00052-8</w:t>
      </w:r>
    </w:p>
    <w:p w14:paraId="23B2F293" w14:textId="77777777" w:rsidR="00803D7E" w:rsidRPr="00400193" w:rsidRDefault="00803D7E" w:rsidP="00E90E0D">
      <w:pPr>
        <w:pStyle w:val="Bibliography"/>
        <w:jc w:val="left"/>
        <w:rPr>
          <w:noProof/>
        </w:rPr>
      </w:pPr>
      <w:r w:rsidRPr="00400193">
        <w:rPr>
          <w:noProof/>
        </w:rPr>
        <w:t xml:space="preserve">Raikov, A. N. (2009). Business reputation potential. </w:t>
      </w:r>
      <w:r w:rsidRPr="00400193">
        <w:rPr>
          <w:i/>
          <w:iCs/>
          <w:noProof/>
        </w:rPr>
        <w:t>Scientific and technical information processing, 36</w:t>
      </w:r>
      <w:r w:rsidRPr="00400193">
        <w:rPr>
          <w:noProof/>
        </w:rPr>
        <w:t>(3), 170-176. doi:10.3103/S0147688209030071</w:t>
      </w:r>
    </w:p>
    <w:p w14:paraId="2310BE95" w14:textId="77777777" w:rsidR="00803D7E" w:rsidRPr="00400193" w:rsidRDefault="00803D7E" w:rsidP="00E90E0D">
      <w:pPr>
        <w:pStyle w:val="Bibliography"/>
        <w:jc w:val="left"/>
        <w:rPr>
          <w:noProof/>
        </w:rPr>
      </w:pPr>
      <w:r w:rsidRPr="00400193">
        <w:rPr>
          <w:noProof/>
        </w:rPr>
        <w:t xml:space="preserve">Raiu, C. (2012). Cyber-Threat Evolution: the Past Year. </w:t>
      </w:r>
      <w:r w:rsidRPr="00400193">
        <w:rPr>
          <w:i/>
          <w:iCs/>
          <w:noProof/>
        </w:rPr>
        <w:t>Computer Fraud and Security</w:t>
      </w:r>
      <w:r w:rsidRPr="00400193">
        <w:rPr>
          <w:noProof/>
        </w:rPr>
        <w:t>, 5-8.</w:t>
      </w:r>
    </w:p>
    <w:p w14:paraId="546C110D" w14:textId="77777777" w:rsidR="00803D7E" w:rsidRPr="00400193" w:rsidRDefault="00803D7E" w:rsidP="00E90E0D">
      <w:pPr>
        <w:pStyle w:val="Bibliography"/>
        <w:jc w:val="left"/>
        <w:rPr>
          <w:noProof/>
        </w:rPr>
      </w:pPr>
      <w:r w:rsidRPr="00400193">
        <w:rPr>
          <w:noProof/>
        </w:rPr>
        <w:t xml:space="preserve">Ralston, P. S., Graham, J. H., &amp; Hieb, J. L. (2007). Cyber security risk assessment for SCADA and DCS networks. </w:t>
      </w:r>
      <w:r w:rsidRPr="00400193">
        <w:rPr>
          <w:i/>
          <w:iCs/>
          <w:noProof/>
        </w:rPr>
        <w:t>ISA Transactions, 46</w:t>
      </w:r>
      <w:r w:rsidRPr="00400193">
        <w:rPr>
          <w:noProof/>
        </w:rPr>
        <w:t>(5), 583-594.</w:t>
      </w:r>
    </w:p>
    <w:p w14:paraId="50D6FF08" w14:textId="77777777" w:rsidR="00803D7E" w:rsidRPr="00400193" w:rsidRDefault="00803D7E" w:rsidP="00E90E0D">
      <w:pPr>
        <w:pStyle w:val="Bibliography"/>
        <w:jc w:val="left"/>
        <w:rPr>
          <w:noProof/>
        </w:rPr>
      </w:pPr>
      <w:r w:rsidRPr="00400193">
        <w:rPr>
          <w:noProof/>
        </w:rPr>
        <w:t xml:space="preserve">Rass, S., König, S., &amp; Schauer, S. (2017). Defending Against Advanced Persistent Threats Using Game-Theory. </w:t>
      </w:r>
      <w:r w:rsidRPr="00400193">
        <w:rPr>
          <w:i/>
          <w:iCs/>
          <w:noProof/>
        </w:rPr>
        <w:t>PloS One, 12</w:t>
      </w:r>
      <w:r w:rsidRPr="00400193">
        <w:rPr>
          <w:noProof/>
        </w:rPr>
        <w:t>(1), e0168675. doi:10.1371/journal.pone.0168675</w:t>
      </w:r>
    </w:p>
    <w:p w14:paraId="6302B18B" w14:textId="77777777" w:rsidR="00803D7E" w:rsidRPr="00400193" w:rsidRDefault="00803D7E" w:rsidP="00E90E0D">
      <w:pPr>
        <w:pStyle w:val="Bibliography"/>
        <w:jc w:val="left"/>
        <w:rPr>
          <w:noProof/>
        </w:rPr>
      </w:pPr>
      <w:r w:rsidRPr="00400193">
        <w:rPr>
          <w:noProof/>
        </w:rPr>
        <w:t xml:space="preserve">Raths, D. (2016). Increased Connectivity Brings Cybersecurity Threats to 911 Call Centers. </w:t>
      </w:r>
      <w:r w:rsidRPr="00400193">
        <w:rPr>
          <w:i/>
          <w:iCs/>
          <w:noProof/>
        </w:rPr>
        <w:t>Emergency Management (online), 2016</w:t>
      </w:r>
      <w:r w:rsidRPr="00400193">
        <w:rPr>
          <w:noProof/>
        </w:rPr>
        <w:t>(October), np. Retrieved from Emergency Management: http://www.govtech.com/em/next-gen-911/The-911-Cyber-Challenge.html</w:t>
      </w:r>
    </w:p>
    <w:p w14:paraId="796200F4" w14:textId="77777777" w:rsidR="00803D7E" w:rsidRPr="00400193" w:rsidRDefault="00803D7E" w:rsidP="00E90E0D">
      <w:pPr>
        <w:pStyle w:val="Bibliography"/>
        <w:jc w:val="left"/>
        <w:rPr>
          <w:noProof/>
        </w:rPr>
      </w:pPr>
      <w:r w:rsidRPr="00400193">
        <w:rPr>
          <w:noProof/>
        </w:rPr>
        <w:t xml:space="preserve">Raywood, D. (2012, July 10). </w:t>
      </w:r>
      <w:r w:rsidRPr="00400193">
        <w:rPr>
          <w:i/>
          <w:iCs/>
          <w:noProof/>
        </w:rPr>
        <w:t>The future of IPS, IDS and SIEM.</w:t>
      </w:r>
      <w:r w:rsidRPr="00400193">
        <w:rPr>
          <w:noProof/>
        </w:rPr>
        <w:t xml:space="preserve"> Retrieved August 22, 2016, from http://www.scmagazineuk.com/the-future-of-ips-ids-and-siem/article/249422/</w:t>
      </w:r>
    </w:p>
    <w:p w14:paraId="3FCB7A37" w14:textId="77777777" w:rsidR="00803D7E" w:rsidRPr="00400193" w:rsidRDefault="00803D7E" w:rsidP="00E90E0D">
      <w:pPr>
        <w:pStyle w:val="Bibliography"/>
        <w:jc w:val="left"/>
        <w:rPr>
          <w:noProof/>
        </w:rPr>
      </w:pPr>
      <w:r w:rsidRPr="00400193">
        <w:rPr>
          <w:noProof/>
        </w:rPr>
        <w:t xml:space="preserve">Recorded Future. (2015). </w:t>
      </w:r>
      <w:r w:rsidRPr="00400193">
        <w:rPr>
          <w:i/>
          <w:iCs/>
          <w:noProof/>
        </w:rPr>
        <w:t>Analyzing Attack Vector Trends by Industry, Country, and More</w:t>
      </w:r>
      <w:r w:rsidRPr="00400193">
        <w:rPr>
          <w:noProof/>
        </w:rPr>
        <w:t>. Retrieved December 01, 2016, from https://www.recordedfuture.com/attack-vector-trends/</w:t>
      </w:r>
    </w:p>
    <w:p w14:paraId="7C1C6745" w14:textId="77777777" w:rsidR="00803D7E" w:rsidRPr="00400193" w:rsidRDefault="00803D7E" w:rsidP="00E90E0D">
      <w:pPr>
        <w:pStyle w:val="Bibliography"/>
        <w:jc w:val="left"/>
        <w:rPr>
          <w:noProof/>
        </w:rPr>
      </w:pPr>
      <w:r w:rsidRPr="00400193">
        <w:rPr>
          <w:noProof/>
        </w:rPr>
        <w:t xml:space="preserve">Rehak, D. (2020). Assessing and strengthening organisational resilience in a critical infrastructure system: Case study of the Slovak Republic. </w:t>
      </w:r>
      <w:r w:rsidRPr="00400193">
        <w:rPr>
          <w:i/>
          <w:iCs/>
          <w:noProof/>
        </w:rPr>
        <w:t>Safety Science, 123</w:t>
      </w:r>
      <w:r w:rsidRPr="00400193">
        <w:rPr>
          <w:noProof/>
        </w:rPr>
        <w:t>(-), 104573. doi:10.1016/j.ssci.2019.104573</w:t>
      </w:r>
    </w:p>
    <w:p w14:paraId="68B2B35B" w14:textId="77777777" w:rsidR="00803D7E" w:rsidRPr="00400193" w:rsidRDefault="00803D7E" w:rsidP="00E90E0D">
      <w:pPr>
        <w:pStyle w:val="Bibliography"/>
        <w:jc w:val="left"/>
        <w:rPr>
          <w:noProof/>
        </w:rPr>
      </w:pPr>
      <w:r w:rsidRPr="00400193">
        <w:rPr>
          <w:noProof/>
        </w:rPr>
        <w:t xml:space="preserve">Renn, O. (2013, August 30). </w:t>
      </w:r>
      <w:r w:rsidRPr="00400193">
        <w:rPr>
          <w:i/>
          <w:iCs/>
          <w:noProof/>
        </w:rPr>
        <w:t>Towards Increased Resilience.</w:t>
      </w:r>
      <w:r w:rsidRPr="00400193">
        <w:rPr>
          <w:noProof/>
        </w:rPr>
        <w:t xml:space="preserve"> Retrieved December 02, 2016, from http://www.slideshare.net/GRFDavos/ortwinn-renn-towards-increased-resilience-25750367</w:t>
      </w:r>
    </w:p>
    <w:p w14:paraId="2A979C7A" w14:textId="77777777" w:rsidR="00803D7E" w:rsidRPr="00400193" w:rsidRDefault="00803D7E" w:rsidP="00E90E0D">
      <w:pPr>
        <w:pStyle w:val="Bibliography"/>
        <w:jc w:val="left"/>
        <w:rPr>
          <w:noProof/>
        </w:rPr>
      </w:pPr>
      <w:r w:rsidRPr="00400193">
        <w:rPr>
          <w:noProof/>
        </w:rPr>
        <w:t xml:space="preserve">Richards, K. E., &amp; Norcio, A. F. (2016). Research Directions in Authentication and Personal Data. In D. Nicholson (Ed.), </w:t>
      </w:r>
      <w:r w:rsidRPr="00400193">
        <w:rPr>
          <w:i/>
          <w:iCs/>
          <w:noProof/>
        </w:rPr>
        <w:t>Advances in Human Factors in Cybersecurity</w:t>
      </w:r>
      <w:r w:rsidRPr="00400193">
        <w:rPr>
          <w:noProof/>
        </w:rPr>
        <w:t xml:space="preserve"> (pp. 305-312). Basel: Springer. doi:10.1007/978-3-319-41932-9_25</w:t>
      </w:r>
    </w:p>
    <w:p w14:paraId="155AB5D0" w14:textId="77777777" w:rsidR="00803D7E" w:rsidRPr="00400193" w:rsidRDefault="00803D7E" w:rsidP="00E90E0D">
      <w:pPr>
        <w:pStyle w:val="Bibliography"/>
        <w:jc w:val="left"/>
        <w:rPr>
          <w:noProof/>
        </w:rPr>
      </w:pPr>
      <w:r w:rsidRPr="00400193">
        <w:rPr>
          <w:noProof/>
        </w:rPr>
        <w:t xml:space="preserve">Risk Nexus. (2014). </w:t>
      </w:r>
      <w:r w:rsidRPr="00400193">
        <w:rPr>
          <w:i/>
          <w:iCs/>
          <w:noProof/>
        </w:rPr>
        <w:t>Global cyber governance: preparing for new business risks.</w:t>
      </w:r>
      <w:r w:rsidRPr="00400193">
        <w:rPr>
          <w:noProof/>
        </w:rPr>
        <w:t xml:space="preserve"> Zurich: ESADE/Zurich Insurance.</w:t>
      </w:r>
    </w:p>
    <w:p w14:paraId="53FD9699" w14:textId="77777777" w:rsidR="00803D7E" w:rsidRPr="00400193" w:rsidRDefault="00803D7E" w:rsidP="00E90E0D">
      <w:pPr>
        <w:pStyle w:val="Bibliography"/>
        <w:jc w:val="left"/>
        <w:rPr>
          <w:noProof/>
        </w:rPr>
      </w:pPr>
      <w:r w:rsidRPr="00400193">
        <w:rPr>
          <w:noProof/>
        </w:rPr>
        <w:lastRenderedPageBreak/>
        <w:t xml:space="preserve">Rodionova, Z. (2017, May` 12). Barclays CEO Jes Staley fooled into comic email exchange with prankster posing as bank's chairman. </w:t>
      </w:r>
      <w:r w:rsidRPr="00400193">
        <w:rPr>
          <w:i/>
          <w:iCs/>
          <w:noProof/>
        </w:rPr>
        <w:t>The Idependent</w:t>
      </w:r>
      <w:r w:rsidRPr="00400193">
        <w:rPr>
          <w:noProof/>
        </w:rPr>
        <w:t>, p. online. Retrieved July 20, 2019, from https://www.independent.co.uk/news/business/news/barclays-ceo-jes-staley-email-prank-bank-chairman-john-mcfarlane-scotch-clapton-guitar-courage-a7731871.html</w:t>
      </w:r>
    </w:p>
    <w:p w14:paraId="4287419A" w14:textId="77777777" w:rsidR="00803D7E" w:rsidRPr="00400193" w:rsidRDefault="00803D7E" w:rsidP="00E90E0D">
      <w:pPr>
        <w:pStyle w:val="Bibliography"/>
        <w:jc w:val="left"/>
        <w:rPr>
          <w:noProof/>
        </w:rPr>
      </w:pPr>
      <w:r w:rsidRPr="00400193">
        <w:rPr>
          <w:noProof/>
        </w:rPr>
        <w:t xml:space="preserve">Ross, N. (2000). The decline and fall of high-tech corporate culture. </w:t>
      </w:r>
      <w:r w:rsidRPr="00400193">
        <w:rPr>
          <w:i/>
          <w:iCs/>
          <w:noProof/>
        </w:rPr>
        <w:t>IEEE Software, 17</w:t>
      </w:r>
      <w:r w:rsidRPr="00400193">
        <w:rPr>
          <w:noProof/>
        </w:rPr>
        <w:t>(6), 12-15. doi:10.1109/52.895161</w:t>
      </w:r>
    </w:p>
    <w:p w14:paraId="59EC7880" w14:textId="77777777" w:rsidR="00803D7E" w:rsidRPr="00400193" w:rsidRDefault="00803D7E" w:rsidP="00E90E0D">
      <w:pPr>
        <w:pStyle w:val="Bibliography"/>
        <w:jc w:val="left"/>
        <w:rPr>
          <w:noProof/>
        </w:rPr>
      </w:pPr>
      <w:r w:rsidRPr="00400193">
        <w:rPr>
          <w:noProof/>
        </w:rPr>
        <w:t xml:space="preserve">Rossi, B. (2015, June). </w:t>
      </w:r>
      <w:r w:rsidRPr="00400193">
        <w:rPr>
          <w:i/>
          <w:iCs/>
          <w:noProof/>
        </w:rPr>
        <w:t>6 critical steps for responding to a cyber attack.</w:t>
      </w:r>
      <w:r w:rsidRPr="00400193">
        <w:rPr>
          <w:noProof/>
        </w:rPr>
        <w:t xml:space="preserve"> Retrieved October 03, 2017, from Information age: http://www.information-age.com/was-tv5monde-hacked-russia-123459640/</w:t>
      </w:r>
    </w:p>
    <w:p w14:paraId="5FD7B23F" w14:textId="77777777" w:rsidR="00803D7E" w:rsidRPr="00400193" w:rsidRDefault="00803D7E" w:rsidP="00E90E0D">
      <w:pPr>
        <w:pStyle w:val="Bibliography"/>
        <w:jc w:val="left"/>
        <w:rPr>
          <w:noProof/>
        </w:rPr>
      </w:pPr>
      <w:r w:rsidRPr="00400193">
        <w:rPr>
          <w:noProof/>
        </w:rPr>
        <w:t xml:space="preserve">Roxas, B., Battisti, M., &amp; Deakins, D. (2014). Learning, innovation and firm performance: knowledge management in small firms. </w:t>
      </w:r>
      <w:r w:rsidRPr="00400193">
        <w:rPr>
          <w:i/>
          <w:iCs/>
          <w:noProof/>
        </w:rPr>
        <w:t>Knowledge Management Research &amp; Practice</w:t>
      </w:r>
      <w:r w:rsidRPr="00400193">
        <w:rPr>
          <w:noProof/>
        </w:rPr>
        <w:t>(12), 443-453.</w:t>
      </w:r>
    </w:p>
    <w:p w14:paraId="70DDFC5E" w14:textId="77777777" w:rsidR="00803D7E" w:rsidRPr="00400193" w:rsidRDefault="00803D7E" w:rsidP="00E90E0D">
      <w:pPr>
        <w:pStyle w:val="Bibliography"/>
        <w:jc w:val="left"/>
        <w:rPr>
          <w:noProof/>
        </w:rPr>
      </w:pPr>
      <w:r w:rsidRPr="00400193">
        <w:rPr>
          <w:noProof/>
        </w:rPr>
        <w:t xml:space="preserve">Ruan, K. (2017). Introducing cybernomics: A unifying economic framework for measuring cyber risk. </w:t>
      </w:r>
      <w:r w:rsidRPr="00400193">
        <w:rPr>
          <w:i/>
          <w:iCs/>
          <w:noProof/>
        </w:rPr>
        <w:t>Computers and Security, 65</w:t>
      </w:r>
      <w:r w:rsidRPr="00400193">
        <w:rPr>
          <w:noProof/>
        </w:rPr>
        <w:t>, 77-89. doi:10.1016/j.cose.2016.10.009</w:t>
      </w:r>
    </w:p>
    <w:p w14:paraId="0F27880E" w14:textId="77777777" w:rsidR="00803D7E" w:rsidRPr="00400193" w:rsidRDefault="00803D7E" w:rsidP="00E90E0D">
      <w:pPr>
        <w:pStyle w:val="Bibliography"/>
        <w:jc w:val="left"/>
        <w:rPr>
          <w:noProof/>
        </w:rPr>
      </w:pPr>
      <w:r w:rsidRPr="00400193">
        <w:rPr>
          <w:noProof/>
        </w:rPr>
        <w:t xml:space="preserve">Rubio-Hernan, J., De Cicco, L., &amp; Garcia-Alfaro, J. (2017). On the use of watermark-based schemes to detect cyber-physical attacks. </w:t>
      </w:r>
      <w:r w:rsidRPr="00400193">
        <w:rPr>
          <w:i/>
          <w:iCs/>
          <w:noProof/>
        </w:rPr>
        <w:t>EURASIP Journal on Information Security, 2017</w:t>
      </w:r>
      <w:r w:rsidRPr="00400193">
        <w:rPr>
          <w:noProof/>
        </w:rPr>
        <w:t>(1), 1-25. doi:10.1186/s13635-017-0060-9</w:t>
      </w:r>
    </w:p>
    <w:p w14:paraId="7A9B35C2" w14:textId="77777777" w:rsidR="00803D7E" w:rsidRPr="00400193" w:rsidRDefault="00803D7E" w:rsidP="00E90E0D">
      <w:pPr>
        <w:pStyle w:val="Bibliography"/>
        <w:jc w:val="left"/>
        <w:rPr>
          <w:noProof/>
        </w:rPr>
      </w:pPr>
      <w:r w:rsidRPr="00400193">
        <w:rPr>
          <w:noProof/>
        </w:rPr>
        <w:t xml:space="preserve">Saini, H., Rao, Y. S., &amp; Panda, T. C. (2012). Cyber-Crimes and their Impacts: A Review. </w:t>
      </w:r>
      <w:r w:rsidRPr="00400193">
        <w:rPr>
          <w:i/>
          <w:iCs/>
          <w:noProof/>
        </w:rPr>
        <w:t>International Journal of Engineering Research and Applications (IJERA), 2</w:t>
      </w:r>
      <w:r w:rsidRPr="00400193">
        <w:rPr>
          <w:noProof/>
        </w:rPr>
        <w:t>(2), 202-209.</w:t>
      </w:r>
    </w:p>
    <w:p w14:paraId="2F6A47EB" w14:textId="77777777" w:rsidR="00803D7E" w:rsidRPr="00400193" w:rsidRDefault="00803D7E" w:rsidP="00E90E0D">
      <w:pPr>
        <w:pStyle w:val="Bibliography"/>
        <w:jc w:val="left"/>
        <w:rPr>
          <w:noProof/>
        </w:rPr>
      </w:pPr>
      <w:r w:rsidRPr="00400193">
        <w:rPr>
          <w:noProof/>
        </w:rPr>
        <w:t xml:space="preserve">Sano, F., Okamoto, T., Winarno, I., Hata, Y., &amp; Ishida, Y. (2016). A cyber attack-resilient server inspired by biological diversity. </w:t>
      </w:r>
      <w:r w:rsidRPr="00400193">
        <w:rPr>
          <w:i/>
          <w:iCs/>
          <w:noProof/>
        </w:rPr>
        <w:t>Artificial Life and Robotics, 21</w:t>
      </w:r>
      <w:r w:rsidRPr="00400193">
        <w:rPr>
          <w:noProof/>
        </w:rPr>
        <w:t>(3), 345-350. doi:10.1007/s10015-016-0286-5</w:t>
      </w:r>
    </w:p>
    <w:p w14:paraId="1B55C057" w14:textId="77777777" w:rsidR="00803D7E" w:rsidRPr="00400193" w:rsidRDefault="00803D7E" w:rsidP="00E90E0D">
      <w:pPr>
        <w:pStyle w:val="Bibliography"/>
        <w:jc w:val="left"/>
        <w:rPr>
          <w:noProof/>
        </w:rPr>
      </w:pPr>
      <w:r w:rsidRPr="00400193">
        <w:rPr>
          <w:noProof/>
        </w:rPr>
        <w:t xml:space="preserve">Saunders, M., Lewis, P., &amp; Thornhill, A. (2012). </w:t>
      </w:r>
      <w:r w:rsidRPr="00400193">
        <w:rPr>
          <w:i/>
          <w:iCs/>
          <w:noProof/>
        </w:rPr>
        <w:t>Research Methods for Business Students</w:t>
      </w:r>
      <w:r w:rsidRPr="00400193">
        <w:rPr>
          <w:noProof/>
        </w:rPr>
        <w:t xml:space="preserve"> (6th ed.). Harlow: Pearson.</w:t>
      </w:r>
    </w:p>
    <w:p w14:paraId="43C08566" w14:textId="77777777" w:rsidR="00803D7E" w:rsidRPr="00400193" w:rsidRDefault="00803D7E" w:rsidP="00E90E0D">
      <w:pPr>
        <w:pStyle w:val="Bibliography"/>
        <w:jc w:val="left"/>
        <w:rPr>
          <w:noProof/>
        </w:rPr>
      </w:pPr>
      <w:r w:rsidRPr="00400193">
        <w:rPr>
          <w:noProof/>
        </w:rPr>
        <w:t xml:space="preserve">Schatz, D., Bashroush, R., &amp; Wall, J. (2017). Towards a More Representative Definition of Cyber Security. </w:t>
      </w:r>
      <w:r w:rsidRPr="00400193">
        <w:rPr>
          <w:i/>
          <w:iCs/>
          <w:noProof/>
        </w:rPr>
        <w:t>The journal of digital forensics, security and law, 12</w:t>
      </w:r>
      <w:r w:rsidRPr="00400193">
        <w:rPr>
          <w:noProof/>
        </w:rPr>
        <w:t>(2), 53-74. doi:10.15394/jdfsl.2017.1476</w:t>
      </w:r>
    </w:p>
    <w:p w14:paraId="4BCA71F2" w14:textId="77777777" w:rsidR="00803D7E" w:rsidRPr="00400193" w:rsidRDefault="00803D7E" w:rsidP="00E90E0D">
      <w:pPr>
        <w:pStyle w:val="Bibliography"/>
        <w:jc w:val="left"/>
        <w:rPr>
          <w:noProof/>
        </w:rPr>
      </w:pPr>
      <w:r w:rsidRPr="00400193">
        <w:rPr>
          <w:noProof/>
        </w:rPr>
        <w:t xml:space="preserve">Schlesinger, J. (2016, June 28). </w:t>
      </w:r>
      <w:r w:rsidRPr="00400193">
        <w:rPr>
          <w:i/>
          <w:iCs/>
          <w:noProof/>
        </w:rPr>
        <w:t>Most people unaware of the risks of using public Wi-Fi.</w:t>
      </w:r>
      <w:r w:rsidRPr="00400193">
        <w:rPr>
          <w:noProof/>
        </w:rPr>
        <w:t xml:space="preserve"> Retrieved September 28, 2017, from CNBC - Cyber Security: https://www.cnbc.com/2016/06/28/most-people-unaware-of-the-risks-of-using-public-wi-fi.html</w:t>
      </w:r>
    </w:p>
    <w:p w14:paraId="30822D3A" w14:textId="77777777" w:rsidR="00803D7E" w:rsidRPr="00400193" w:rsidRDefault="00803D7E" w:rsidP="00E90E0D">
      <w:pPr>
        <w:pStyle w:val="Bibliography"/>
        <w:jc w:val="left"/>
        <w:rPr>
          <w:noProof/>
        </w:rPr>
      </w:pPr>
      <w:r w:rsidRPr="00400193">
        <w:rPr>
          <w:noProof/>
        </w:rPr>
        <w:t xml:space="preserve">Schneier, B. (2000). </w:t>
      </w:r>
      <w:r w:rsidRPr="00400193">
        <w:rPr>
          <w:i/>
          <w:iCs/>
          <w:noProof/>
        </w:rPr>
        <w:t>Secrets an Lies: Digital Security in a Networked World.</w:t>
      </w:r>
      <w:r w:rsidRPr="00400193">
        <w:rPr>
          <w:noProof/>
        </w:rPr>
        <w:t xml:space="preserve"> New York, NY: Wiley Computer Publishing.</w:t>
      </w:r>
    </w:p>
    <w:p w14:paraId="0D0DDB85" w14:textId="77777777" w:rsidR="00803D7E" w:rsidRPr="00400193" w:rsidRDefault="00803D7E" w:rsidP="00E90E0D">
      <w:pPr>
        <w:pStyle w:val="Bibliography"/>
        <w:jc w:val="left"/>
        <w:rPr>
          <w:noProof/>
        </w:rPr>
      </w:pPr>
      <w:r w:rsidRPr="00400193">
        <w:rPr>
          <w:noProof/>
        </w:rPr>
        <w:t xml:space="preserve">Schneier, B. (2012). </w:t>
      </w:r>
      <w:r w:rsidRPr="00400193">
        <w:rPr>
          <w:i/>
          <w:iCs/>
          <w:noProof/>
        </w:rPr>
        <w:t>Liars and Outliers - Enabling the Trust That Society Needs to Thrive.</w:t>
      </w:r>
      <w:r w:rsidRPr="00400193">
        <w:rPr>
          <w:noProof/>
        </w:rPr>
        <w:t xml:space="preserve"> Indianapolis, IN: Jihn Wiley &amp; Sons Inc.</w:t>
      </w:r>
    </w:p>
    <w:p w14:paraId="67AB41CC" w14:textId="77777777" w:rsidR="00803D7E" w:rsidRPr="00400193" w:rsidRDefault="00803D7E" w:rsidP="00E90E0D">
      <w:pPr>
        <w:pStyle w:val="Bibliography"/>
        <w:jc w:val="left"/>
        <w:rPr>
          <w:noProof/>
        </w:rPr>
      </w:pPr>
      <w:r w:rsidRPr="00400193">
        <w:rPr>
          <w:noProof/>
        </w:rPr>
        <w:t xml:space="preserve">Schneier, B. (2015). </w:t>
      </w:r>
      <w:r w:rsidRPr="00400193">
        <w:rPr>
          <w:i/>
          <w:iCs/>
          <w:noProof/>
        </w:rPr>
        <w:t>Data and Goliath.</w:t>
      </w:r>
      <w:r w:rsidRPr="00400193">
        <w:rPr>
          <w:noProof/>
        </w:rPr>
        <w:t xml:space="preserve"> New York, NY: W. W. Norton.</w:t>
      </w:r>
    </w:p>
    <w:p w14:paraId="30083010" w14:textId="77777777" w:rsidR="00803D7E" w:rsidRPr="00400193" w:rsidRDefault="00803D7E" w:rsidP="00E90E0D">
      <w:pPr>
        <w:pStyle w:val="Bibliography"/>
        <w:jc w:val="left"/>
        <w:rPr>
          <w:noProof/>
        </w:rPr>
      </w:pPr>
      <w:r w:rsidRPr="00400193">
        <w:rPr>
          <w:noProof/>
        </w:rPr>
        <w:t xml:space="preserve">Sedjelmaci, H., Senouci, S. M., &amp; Ansari, N. (2017). A Hierarchical Detection and Response System to Enhance Security Against Lethal Cyber-Attacks in UAV Networks. </w:t>
      </w:r>
      <w:r w:rsidRPr="00400193">
        <w:rPr>
          <w:i/>
          <w:iCs/>
          <w:noProof/>
        </w:rPr>
        <w:t>IEEE Transactions on Systems, Man, and Cybernetics: Systems, PP</w:t>
      </w:r>
      <w:r w:rsidRPr="00400193">
        <w:rPr>
          <w:noProof/>
        </w:rPr>
        <w:t>(99), 1-13. doi:10.1109/TSMC.2017.2681698</w:t>
      </w:r>
    </w:p>
    <w:p w14:paraId="4528A071" w14:textId="77777777" w:rsidR="00803D7E" w:rsidRPr="00400193" w:rsidRDefault="00803D7E" w:rsidP="00E90E0D">
      <w:pPr>
        <w:pStyle w:val="Bibliography"/>
        <w:jc w:val="left"/>
        <w:rPr>
          <w:noProof/>
        </w:rPr>
      </w:pPr>
      <w:r w:rsidRPr="00400193">
        <w:rPr>
          <w:noProof/>
        </w:rPr>
        <w:t xml:space="preserve">Seifert, D., &amp; Reza, H. (2016). A Security Analysis of Cyber-Physical Systems Architecture for Healthcare. </w:t>
      </w:r>
      <w:r w:rsidRPr="00400193">
        <w:rPr>
          <w:i/>
          <w:iCs/>
          <w:noProof/>
        </w:rPr>
        <w:t>Computers, 5</w:t>
      </w:r>
      <w:r w:rsidRPr="00400193">
        <w:rPr>
          <w:noProof/>
        </w:rPr>
        <w:t>(4), 1-24. doi:10.3390/computers5040027</w:t>
      </w:r>
    </w:p>
    <w:p w14:paraId="429FE598" w14:textId="77777777" w:rsidR="00803D7E" w:rsidRPr="00400193" w:rsidRDefault="00803D7E" w:rsidP="00E90E0D">
      <w:pPr>
        <w:pStyle w:val="Bibliography"/>
        <w:jc w:val="left"/>
        <w:rPr>
          <w:noProof/>
        </w:rPr>
      </w:pPr>
      <w:r w:rsidRPr="00400193">
        <w:rPr>
          <w:noProof/>
        </w:rPr>
        <w:t xml:space="preserve">Shackelford, S., &amp; Fort, T. L. (2016). Sustainable Cybersecurity: Applying Lessons from the Green Movement to Managing Cyber Attacks. </w:t>
      </w:r>
      <w:r w:rsidRPr="00400193">
        <w:rPr>
          <w:i/>
          <w:iCs/>
          <w:noProof/>
        </w:rPr>
        <w:t>University of Illinois Law Review, 2016</w:t>
      </w:r>
      <w:r w:rsidRPr="00400193">
        <w:rPr>
          <w:noProof/>
        </w:rPr>
        <w:t>.</w:t>
      </w:r>
    </w:p>
    <w:p w14:paraId="0B37CA32" w14:textId="77777777" w:rsidR="00803D7E" w:rsidRPr="00400193" w:rsidRDefault="00803D7E" w:rsidP="00E90E0D">
      <w:pPr>
        <w:pStyle w:val="Bibliography"/>
        <w:jc w:val="left"/>
        <w:rPr>
          <w:noProof/>
        </w:rPr>
      </w:pPr>
      <w:r w:rsidRPr="00400193">
        <w:rPr>
          <w:noProof/>
        </w:rPr>
        <w:t xml:space="preserve">Shakarian, P., Shakarian, J., &amp; Ruef, A. (2013). The Dragon and the Computer: Why Intellectual Property Theft is Compatible with Chinese Cyber-Warfare Doctrine. </w:t>
      </w:r>
      <w:r w:rsidRPr="00400193">
        <w:rPr>
          <w:i/>
          <w:iCs/>
          <w:noProof/>
        </w:rPr>
        <w:t>Cryptography and Security (cs.CR), 1309</w:t>
      </w:r>
      <w:r w:rsidRPr="00400193">
        <w:rPr>
          <w:noProof/>
        </w:rPr>
        <w:t>(6450v1), 1-13.</w:t>
      </w:r>
    </w:p>
    <w:p w14:paraId="765488B3" w14:textId="77777777" w:rsidR="00803D7E" w:rsidRPr="00400193" w:rsidRDefault="00803D7E" w:rsidP="00E90E0D">
      <w:pPr>
        <w:pStyle w:val="Bibliography"/>
        <w:jc w:val="left"/>
        <w:rPr>
          <w:noProof/>
        </w:rPr>
      </w:pPr>
      <w:r w:rsidRPr="00400193">
        <w:rPr>
          <w:noProof/>
        </w:rPr>
        <w:t xml:space="preserve">Shameli-Sendi, A., &amp; Dagenais, M. (2014). ARITO: Cyber-attack response system using accurate risk impact tolerance. </w:t>
      </w:r>
      <w:r w:rsidRPr="00400193">
        <w:rPr>
          <w:i/>
          <w:iCs/>
          <w:noProof/>
        </w:rPr>
        <w:t>International Journal of Information Security, 13</w:t>
      </w:r>
      <w:r w:rsidRPr="00400193">
        <w:rPr>
          <w:noProof/>
        </w:rPr>
        <w:t>(4), 367-390. doi:10.1007/s10207-013-0222-9</w:t>
      </w:r>
    </w:p>
    <w:p w14:paraId="240D1F22" w14:textId="77777777" w:rsidR="00803D7E" w:rsidRPr="00400193" w:rsidRDefault="00803D7E" w:rsidP="00E90E0D">
      <w:pPr>
        <w:pStyle w:val="Bibliography"/>
        <w:jc w:val="left"/>
        <w:rPr>
          <w:noProof/>
        </w:rPr>
      </w:pPr>
      <w:r w:rsidRPr="00400193">
        <w:rPr>
          <w:noProof/>
        </w:rPr>
        <w:t xml:space="preserve">Sharma, P. S., &amp; Bohra, S. U. (2015). Mobile Cloud Computing: Its Challenges and Solutions. </w:t>
      </w:r>
      <w:r w:rsidRPr="00400193">
        <w:rPr>
          <w:i/>
          <w:iCs/>
          <w:noProof/>
        </w:rPr>
        <w:t>International Journal of Computer Science and Mobile Computing, 4</w:t>
      </w:r>
      <w:r w:rsidRPr="00400193">
        <w:rPr>
          <w:noProof/>
        </w:rPr>
        <w:t>(5), 287-293. Retrieved from Available Online at www.ijcsmc.com</w:t>
      </w:r>
    </w:p>
    <w:p w14:paraId="2670289B" w14:textId="77777777" w:rsidR="00803D7E" w:rsidRPr="00400193" w:rsidRDefault="00803D7E" w:rsidP="00E90E0D">
      <w:pPr>
        <w:pStyle w:val="Bibliography"/>
        <w:jc w:val="left"/>
        <w:rPr>
          <w:noProof/>
        </w:rPr>
      </w:pPr>
      <w:r w:rsidRPr="00400193">
        <w:rPr>
          <w:noProof/>
        </w:rPr>
        <w:t xml:space="preserve">Shields, K. (2015). Cybersecurity: Recognizing the Risk and Protecting against Attacks. </w:t>
      </w:r>
      <w:r w:rsidRPr="00400193">
        <w:rPr>
          <w:i/>
          <w:iCs/>
          <w:noProof/>
        </w:rPr>
        <w:t>North Carolina School Banking Institute Journal, 19</w:t>
      </w:r>
      <w:r w:rsidRPr="00400193">
        <w:rPr>
          <w:noProof/>
        </w:rPr>
        <w:t>, 345-372.</w:t>
      </w:r>
    </w:p>
    <w:p w14:paraId="37D28033" w14:textId="77777777" w:rsidR="00803D7E" w:rsidRPr="00400193" w:rsidRDefault="00803D7E" w:rsidP="00E90E0D">
      <w:pPr>
        <w:pStyle w:val="Bibliography"/>
        <w:jc w:val="left"/>
        <w:rPr>
          <w:noProof/>
        </w:rPr>
      </w:pPr>
      <w:r w:rsidRPr="00400193">
        <w:rPr>
          <w:noProof/>
        </w:rPr>
        <w:lastRenderedPageBreak/>
        <w:t xml:space="preserve">Shiffman, D. (2012). </w:t>
      </w:r>
      <w:r w:rsidRPr="00400193">
        <w:rPr>
          <w:i/>
          <w:iCs/>
          <w:noProof/>
        </w:rPr>
        <w:t>The Nature of Code</w:t>
      </w:r>
      <w:r w:rsidRPr="00400193">
        <w:rPr>
          <w:noProof/>
        </w:rPr>
        <w:t xml:space="preserve"> (1st ed.). New York, NY: Shiffman. Retrieved from http://natureofcode.com/book/chapter-10-neural-networks/</w:t>
      </w:r>
    </w:p>
    <w:p w14:paraId="218CFFB8" w14:textId="77777777" w:rsidR="00803D7E" w:rsidRPr="00400193" w:rsidRDefault="00803D7E" w:rsidP="00E90E0D">
      <w:pPr>
        <w:pStyle w:val="Bibliography"/>
        <w:jc w:val="left"/>
        <w:rPr>
          <w:noProof/>
        </w:rPr>
      </w:pPr>
      <w:r w:rsidRPr="00400193">
        <w:rPr>
          <w:noProof/>
        </w:rPr>
        <w:t xml:space="preserve">Shin, J., Son, H., ur, R. K., &amp; Heo, G. (2015). Development of a cyber security risk model using Bayesian networks. </w:t>
      </w:r>
      <w:r w:rsidRPr="00400193">
        <w:rPr>
          <w:i/>
          <w:iCs/>
          <w:noProof/>
        </w:rPr>
        <w:t>Reliability Engineering and System Safety, 134</w:t>
      </w:r>
      <w:r w:rsidRPr="00400193">
        <w:rPr>
          <w:noProof/>
        </w:rPr>
        <w:t>(2015), 209-217. doi:10.1016/j.ress.2014.10.006</w:t>
      </w:r>
    </w:p>
    <w:p w14:paraId="393AEB7E" w14:textId="77777777" w:rsidR="00803D7E" w:rsidRPr="00400193" w:rsidRDefault="00803D7E" w:rsidP="00E90E0D">
      <w:pPr>
        <w:pStyle w:val="Bibliography"/>
        <w:jc w:val="left"/>
        <w:rPr>
          <w:noProof/>
        </w:rPr>
      </w:pPr>
      <w:r w:rsidRPr="00400193">
        <w:rPr>
          <w:noProof/>
        </w:rPr>
        <w:t xml:space="preserve">Shulman, H., &amp; Waidner, M. (2014). DNSSEC for cyber forensics. </w:t>
      </w:r>
      <w:r w:rsidRPr="00400193">
        <w:rPr>
          <w:i/>
          <w:iCs/>
          <w:noProof/>
        </w:rPr>
        <w:t>EURASIP Journal on Information Security, 2014</w:t>
      </w:r>
      <w:r w:rsidRPr="00400193">
        <w:rPr>
          <w:noProof/>
        </w:rPr>
        <w:t>(16). doi:10.1186%2Fs13635-014-0016-2</w:t>
      </w:r>
    </w:p>
    <w:p w14:paraId="24691CB6" w14:textId="77777777" w:rsidR="00803D7E" w:rsidRPr="00400193" w:rsidRDefault="00803D7E" w:rsidP="00E90E0D">
      <w:pPr>
        <w:pStyle w:val="Bibliography"/>
        <w:jc w:val="left"/>
        <w:rPr>
          <w:noProof/>
        </w:rPr>
      </w:pPr>
      <w:r w:rsidRPr="00400193">
        <w:rPr>
          <w:noProof/>
        </w:rPr>
        <w:t xml:space="preserve">Silic, M., &amp; Back, A. (2016). The dark side of social networking sites:Understanding phishing risks. </w:t>
      </w:r>
      <w:r w:rsidRPr="00400193">
        <w:rPr>
          <w:i/>
          <w:iCs/>
          <w:noProof/>
        </w:rPr>
        <w:t>Computers in human behavior, 60</w:t>
      </w:r>
      <w:r w:rsidRPr="00400193">
        <w:rPr>
          <w:noProof/>
        </w:rPr>
        <w:t>(July), 35-43. doi:10.1016/j.chb.2016.02.050</w:t>
      </w:r>
    </w:p>
    <w:p w14:paraId="6F7F4715" w14:textId="77777777" w:rsidR="00803D7E" w:rsidRPr="00400193" w:rsidRDefault="00803D7E" w:rsidP="00E90E0D">
      <w:pPr>
        <w:pStyle w:val="Bibliography"/>
        <w:jc w:val="left"/>
        <w:rPr>
          <w:noProof/>
        </w:rPr>
      </w:pPr>
      <w:r w:rsidRPr="00400193">
        <w:rPr>
          <w:noProof/>
        </w:rPr>
        <w:t xml:space="preserve">Silverman, D. (2000). </w:t>
      </w:r>
      <w:r w:rsidRPr="00400193">
        <w:rPr>
          <w:i/>
          <w:iCs/>
          <w:noProof/>
        </w:rPr>
        <w:t>Doing Qualitative Research.</w:t>
      </w:r>
      <w:r w:rsidRPr="00400193">
        <w:rPr>
          <w:noProof/>
        </w:rPr>
        <w:t xml:space="preserve"> London: Sage Publications Ltd.</w:t>
      </w:r>
    </w:p>
    <w:p w14:paraId="00D6F016" w14:textId="77777777" w:rsidR="00803D7E" w:rsidRPr="00400193" w:rsidRDefault="00803D7E" w:rsidP="00E90E0D">
      <w:pPr>
        <w:pStyle w:val="Bibliography"/>
        <w:jc w:val="left"/>
        <w:rPr>
          <w:noProof/>
        </w:rPr>
      </w:pPr>
      <w:r w:rsidRPr="00400193">
        <w:rPr>
          <w:noProof/>
        </w:rPr>
        <w:t xml:space="preserve">Skopik, F., Settanni, G., &amp; Fiedler, R. (2016). A problem shared is a problem halved: A survey on the dimensions of collective cyber defense through security information sharing. </w:t>
      </w:r>
      <w:r w:rsidRPr="00400193">
        <w:rPr>
          <w:i/>
          <w:iCs/>
          <w:noProof/>
        </w:rPr>
        <w:t>Computers &amp; Security, 60</w:t>
      </w:r>
      <w:r w:rsidRPr="00400193">
        <w:rPr>
          <w:noProof/>
        </w:rPr>
        <w:t>(July), 154-176. doi:10.1016/j.cose.2016.04.003</w:t>
      </w:r>
    </w:p>
    <w:p w14:paraId="50C52E6B" w14:textId="77777777" w:rsidR="00803D7E" w:rsidRPr="00400193" w:rsidRDefault="00803D7E" w:rsidP="00E90E0D">
      <w:pPr>
        <w:pStyle w:val="Bibliography"/>
        <w:jc w:val="left"/>
        <w:rPr>
          <w:noProof/>
        </w:rPr>
      </w:pPr>
      <w:r w:rsidRPr="00400193">
        <w:rPr>
          <w:noProof/>
        </w:rPr>
        <w:t xml:space="preserve">Sky News. (2016, May 27). </w:t>
      </w:r>
      <w:r w:rsidRPr="00400193">
        <w:rPr>
          <w:i/>
          <w:iCs/>
          <w:noProof/>
        </w:rPr>
        <w:t>Bank Heists Linked To Sony Hack And North Korea.</w:t>
      </w:r>
      <w:r w:rsidRPr="00400193">
        <w:rPr>
          <w:noProof/>
        </w:rPr>
        <w:t xml:space="preserve"> Retrieved June 09, 2016, from http://news.sky.com/story/1703191/bank-heists-linked-to-sony-hack-and-north-korea</w:t>
      </w:r>
    </w:p>
    <w:p w14:paraId="3792A214" w14:textId="77777777" w:rsidR="00803D7E" w:rsidRPr="00400193" w:rsidRDefault="00803D7E" w:rsidP="00E90E0D">
      <w:pPr>
        <w:pStyle w:val="Bibliography"/>
        <w:jc w:val="left"/>
        <w:rPr>
          <w:noProof/>
        </w:rPr>
      </w:pPr>
      <w:r w:rsidRPr="00400193">
        <w:rPr>
          <w:noProof/>
        </w:rPr>
        <w:t xml:space="preserve">Smith, A. D., &amp; Rupp, W. T. (2002). Issues in cybersecurity; understanding the potential risks associated with hackers/crackers. </w:t>
      </w:r>
      <w:r w:rsidRPr="00400193">
        <w:rPr>
          <w:i/>
          <w:iCs/>
          <w:noProof/>
        </w:rPr>
        <w:t>Information Management &amp; Computer Security, 10</w:t>
      </w:r>
      <w:r w:rsidRPr="00400193">
        <w:rPr>
          <w:noProof/>
        </w:rPr>
        <w:t>(4), 178-183. doi:10.1108/09685220210436976</w:t>
      </w:r>
    </w:p>
    <w:p w14:paraId="0F60AB17" w14:textId="77777777" w:rsidR="00803D7E" w:rsidRPr="00400193" w:rsidRDefault="00803D7E" w:rsidP="00E90E0D">
      <w:pPr>
        <w:pStyle w:val="Bibliography"/>
        <w:jc w:val="left"/>
        <w:rPr>
          <w:noProof/>
        </w:rPr>
      </w:pPr>
      <w:r w:rsidRPr="00400193">
        <w:rPr>
          <w:noProof/>
        </w:rPr>
        <w:t xml:space="preserve">Smith, G. S. (2015). Management models for international cybercrime. </w:t>
      </w:r>
      <w:r w:rsidRPr="00400193">
        <w:rPr>
          <w:i/>
          <w:iCs/>
          <w:noProof/>
        </w:rPr>
        <w:t>Journal of Financial Crime, 22</w:t>
      </w:r>
      <w:r w:rsidRPr="00400193">
        <w:rPr>
          <w:noProof/>
        </w:rPr>
        <w:t>(1), 104-125.</w:t>
      </w:r>
    </w:p>
    <w:p w14:paraId="0A905252" w14:textId="77777777" w:rsidR="00803D7E" w:rsidRPr="00400193" w:rsidRDefault="00803D7E" w:rsidP="00E90E0D">
      <w:pPr>
        <w:pStyle w:val="Bibliography"/>
        <w:jc w:val="left"/>
        <w:rPr>
          <w:noProof/>
        </w:rPr>
      </w:pPr>
      <w:r w:rsidRPr="00400193">
        <w:rPr>
          <w:noProof/>
        </w:rPr>
        <w:t xml:space="preserve">Sommestad, T., Ekstedt, M., &amp; Holm, H. (2013). The Cyber Security Modeling Language: A Tool for Assessing the Vulnerability of Enterprise System Architectures. </w:t>
      </w:r>
      <w:r w:rsidRPr="00400193">
        <w:rPr>
          <w:i/>
          <w:iCs/>
          <w:noProof/>
        </w:rPr>
        <w:t>IEEE Systems Journal, 7</w:t>
      </w:r>
      <w:r w:rsidRPr="00400193">
        <w:rPr>
          <w:noProof/>
        </w:rPr>
        <w:t>(3), 363 - 373. doi:10.1109/JSYST.2012.2221853</w:t>
      </w:r>
    </w:p>
    <w:p w14:paraId="5DB2D9C5" w14:textId="77777777" w:rsidR="00803D7E" w:rsidRPr="00400193" w:rsidRDefault="00803D7E" w:rsidP="00E90E0D">
      <w:pPr>
        <w:pStyle w:val="Bibliography"/>
        <w:jc w:val="left"/>
        <w:rPr>
          <w:noProof/>
        </w:rPr>
      </w:pPr>
      <w:r w:rsidRPr="00400193">
        <w:rPr>
          <w:noProof/>
        </w:rPr>
        <w:t xml:space="preserve">SOS. (2015). </w:t>
      </w:r>
      <w:r w:rsidRPr="00400193">
        <w:rPr>
          <w:i/>
          <w:iCs/>
          <w:noProof/>
        </w:rPr>
        <w:t>Statistics Online Support (SOS) - Frequency Tables, Pie Charts, and Bar Charts.</w:t>
      </w:r>
      <w:r w:rsidRPr="00400193">
        <w:rPr>
          <w:noProof/>
        </w:rPr>
        <w:t xml:space="preserve"> Retrieved December 05, 2015, from University of Texas at Austin: http://sites.utexas.edu/sos/guided/descriptive/descriptivec/frequency/</w:t>
      </w:r>
    </w:p>
    <w:p w14:paraId="31594D6F" w14:textId="77777777" w:rsidR="00803D7E" w:rsidRPr="00400193" w:rsidRDefault="00803D7E" w:rsidP="00E90E0D">
      <w:pPr>
        <w:pStyle w:val="Bibliography"/>
        <w:jc w:val="left"/>
        <w:rPr>
          <w:noProof/>
        </w:rPr>
      </w:pPr>
      <w:r w:rsidRPr="00400193">
        <w:rPr>
          <w:noProof/>
        </w:rPr>
        <w:t xml:space="preserve">Steinke, J., Bolunmez, B., Fletcher, L., Wang, V., Tomassetti, A. J., Repchick, K. M., . . . Tetrick, L. E. (2015). Improving Cybersecurity Incident Response Team Effectiveness Using Teams-Based Research. </w:t>
      </w:r>
      <w:r w:rsidRPr="00400193">
        <w:rPr>
          <w:i/>
          <w:iCs/>
          <w:noProof/>
        </w:rPr>
        <w:t>IEEE Security &amp; Privacy, 13</w:t>
      </w:r>
      <w:r w:rsidRPr="00400193">
        <w:rPr>
          <w:noProof/>
        </w:rPr>
        <w:t>(4), 20-29. doi:10.1109/MSP.2015.71</w:t>
      </w:r>
    </w:p>
    <w:p w14:paraId="49FC6042" w14:textId="77777777" w:rsidR="00803D7E" w:rsidRPr="00400193" w:rsidRDefault="00803D7E" w:rsidP="00E90E0D">
      <w:pPr>
        <w:pStyle w:val="Bibliography"/>
        <w:jc w:val="left"/>
        <w:rPr>
          <w:noProof/>
        </w:rPr>
      </w:pPr>
      <w:r w:rsidRPr="00400193">
        <w:rPr>
          <w:noProof/>
        </w:rPr>
        <w:t xml:space="preserve">Sticha, P. J., &amp; Axelrad, E. T. (2016). Using dynamic models to support inferences of insider threat risk. </w:t>
      </w:r>
      <w:r w:rsidRPr="00400193">
        <w:rPr>
          <w:i/>
          <w:iCs/>
          <w:noProof/>
        </w:rPr>
        <w:t>Computational and Mathematical Organization Theory, 22</w:t>
      </w:r>
      <w:r w:rsidRPr="00400193">
        <w:rPr>
          <w:noProof/>
        </w:rPr>
        <w:t>(3), 350-381. doi:10.1007/s10588-016-9209-1</w:t>
      </w:r>
    </w:p>
    <w:p w14:paraId="7205A202" w14:textId="77777777" w:rsidR="00803D7E" w:rsidRPr="00400193" w:rsidRDefault="00803D7E" w:rsidP="00E90E0D">
      <w:pPr>
        <w:pStyle w:val="Bibliography"/>
        <w:jc w:val="left"/>
        <w:rPr>
          <w:noProof/>
        </w:rPr>
      </w:pPr>
      <w:r w:rsidRPr="00400193">
        <w:rPr>
          <w:noProof/>
        </w:rPr>
        <w:t xml:space="preserve">Subashini, S., &amp; Kavitha, V. (2011). A survey on security issues in service delivery models of cloud computing. </w:t>
      </w:r>
      <w:r w:rsidRPr="00400193">
        <w:rPr>
          <w:i/>
          <w:iCs/>
          <w:noProof/>
        </w:rPr>
        <w:t>Journal of Network and Computer Applications, 34</w:t>
      </w:r>
      <w:r w:rsidRPr="00400193">
        <w:rPr>
          <w:noProof/>
        </w:rPr>
        <w:t>, 1-11. doi:10.1016/j.jnca.2010.07.006</w:t>
      </w:r>
    </w:p>
    <w:p w14:paraId="5D25255B" w14:textId="77777777" w:rsidR="00803D7E" w:rsidRPr="00400193" w:rsidRDefault="00803D7E" w:rsidP="00E90E0D">
      <w:pPr>
        <w:pStyle w:val="Bibliography"/>
        <w:jc w:val="left"/>
        <w:rPr>
          <w:noProof/>
        </w:rPr>
      </w:pPr>
      <w:r w:rsidRPr="00400193">
        <w:rPr>
          <w:noProof/>
        </w:rPr>
        <w:t xml:space="preserve">Sulaymani, O., Fleer, M., &amp; Chapman, D. (2018). A Reciprocal Digital Relationship Between Home and School: A Case Study from Saudi Arabia Using Cultural–Historical Theory. </w:t>
      </w:r>
      <w:r w:rsidRPr="00400193">
        <w:rPr>
          <w:i/>
          <w:iCs/>
          <w:noProof/>
        </w:rPr>
        <w:t>International Journal of Early Childhood,, 50</w:t>
      </w:r>
      <w:r w:rsidRPr="00400193">
        <w:rPr>
          <w:noProof/>
        </w:rPr>
        <w:t>(2), 227 - 240. doi:10.1007/s13158-018-0217-9</w:t>
      </w:r>
    </w:p>
    <w:p w14:paraId="7516ECFF" w14:textId="77777777" w:rsidR="00803D7E" w:rsidRPr="00400193" w:rsidRDefault="00803D7E" w:rsidP="00E90E0D">
      <w:pPr>
        <w:pStyle w:val="Bibliography"/>
        <w:jc w:val="left"/>
        <w:rPr>
          <w:noProof/>
        </w:rPr>
      </w:pPr>
      <w:r w:rsidRPr="00400193">
        <w:rPr>
          <w:noProof/>
        </w:rPr>
        <w:t xml:space="preserve">Tabachnick, B. G., &amp; Fidell, L. S. (2007). </w:t>
      </w:r>
      <w:r w:rsidRPr="00400193">
        <w:rPr>
          <w:i/>
          <w:iCs/>
          <w:noProof/>
        </w:rPr>
        <w:t>Using Multivariate Statistics</w:t>
      </w:r>
      <w:r w:rsidRPr="00400193">
        <w:rPr>
          <w:noProof/>
        </w:rPr>
        <w:t xml:space="preserve"> (6th ed.). London: Pearson.</w:t>
      </w:r>
    </w:p>
    <w:p w14:paraId="0B8EE3C8" w14:textId="77777777" w:rsidR="00803D7E" w:rsidRPr="00400193" w:rsidRDefault="00803D7E" w:rsidP="00E90E0D">
      <w:pPr>
        <w:pStyle w:val="Bibliography"/>
        <w:jc w:val="left"/>
        <w:rPr>
          <w:noProof/>
        </w:rPr>
      </w:pPr>
      <w:r w:rsidRPr="00400193">
        <w:rPr>
          <w:noProof/>
        </w:rPr>
        <w:t xml:space="preserve">Thomson, K.-L., &amp; von Solms, R. (2005). Information security obedience: a definition. </w:t>
      </w:r>
      <w:r w:rsidRPr="00400193">
        <w:rPr>
          <w:i/>
          <w:iCs/>
          <w:noProof/>
        </w:rPr>
        <w:t>Computers &amp; Security, 24</w:t>
      </w:r>
      <w:r w:rsidRPr="00400193">
        <w:rPr>
          <w:noProof/>
        </w:rPr>
        <w:t>(1), 69 - 75. doi:10.1016/j.cose.2004.10.005</w:t>
      </w:r>
    </w:p>
    <w:p w14:paraId="03C52DED" w14:textId="77777777" w:rsidR="00803D7E" w:rsidRPr="00400193" w:rsidRDefault="00803D7E" w:rsidP="00E90E0D">
      <w:pPr>
        <w:pStyle w:val="Bibliography"/>
        <w:jc w:val="left"/>
        <w:rPr>
          <w:noProof/>
        </w:rPr>
      </w:pPr>
      <w:r w:rsidRPr="00400193">
        <w:rPr>
          <w:noProof/>
        </w:rPr>
        <w:t xml:space="preserve">Tomlinson, J. (2003). 23. Globalization and Cultural Identity. In D. Held, &amp; A. McGrew (Eds.), </w:t>
      </w:r>
      <w:r w:rsidRPr="00400193">
        <w:rPr>
          <w:i/>
          <w:iCs/>
          <w:noProof/>
        </w:rPr>
        <w:t>The Global Transformations Reader: An Introduction to the Globalisation Debate</w:t>
      </w:r>
      <w:r w:rsidRPr="00400193">
        <w:rPr>
          <w:noProof/>
        </w:rPr>
        <w:t xml:space="preserve"> (pp. 269-277). Malden: Polity.</w:t>
      </w:r>
    </w:p>
    <w:p w14:paraId="3E7F8E67" w14:textId="77777777" w:rsidR="00803D7E" w:rsidRPr="00400193" w:rsidRDefault="00803D7E" w:rsidP="00E90E0D">
      <w:pPr>
        <w:pStyle w:val="Bibliography"/>
        <w:jc w:val="left"/>
        <w:rPr>
          <w:noProof/>
        </w:rPr>
      </w:pPr>
      <w:r w:rsidRPr="00400193">
        <w:rPr>
          <w:noProof/>
        </w:rPr>
        <w:t xml:space="preserve">TRA. (2020). </w:t>
      </w:r>
      <w:r w:rsidRPr="00400193">
        <w:rPr>
          <w:i/>
          <w:iCs/>
          <w:noProof/>
        </w:rPr>
        <w:t>Home</w:t>
      </w:r>
      <w:r w:rsidRPr="00400193">
        <w:rPr>
          <w:noProof/>
        </w:rPr>
        <w:t>. Retrieved April 25, 2020, from Telecommunication Regulatory Authority: https://www.tra.gov.ae/en/home.aspx</w:t>
      </w:r>
    </w:p>
    <w:p w14:paraId="3E86CCD3" w14:textId="77777777" w:rsidR="00803D7E" w:rsidRPr="00400193" w:rsidRDefault="00803D7E" w:rsidP="00E90E0D">
      <w:pPr>
        <w:pStyle w:val="Bibliography"/>
        <w:jc w:val="left"/>
        <w:rPr>
          <w:noProof/>
        </w:rPr>
      </w:pPr>
      <w:r w:rsidRPr="00400193">
        <w:rPr>
          <w:noProof/>
        </w:rPr>
        <w:t xml:space="preserve">Tran, H., Campos-Nanez, E., Fomin, P., &amp; Wasek, J. (2016). Cyber resilience recovery model to combat zero-day malware attacks. </w:t>
      </w:r>
      <w:r w:rsidRPr="00400193">
        <w:rPr>
          <w:i/>
          <w:iCs/>
          <w:noProof/>
        </w:rPr>
        <w:t>computers &amp; security, 61</w:t>
      </w:r>
      <w:r w:rsidRPr="00400193">
        <w:rPr>
          <w:noProof/>
        </w:rPr>
        <w:t>(August), 19-31. doi:10.1016/j.cose.2016.05.001</w:t>
      </w:r>
    </w:p>
    <w:p w14:paraId="546C9876" w14:textId="77777777" w:rsidR="00803D7E" w:rsidRPr="00400193" w:rsidRDefault="00803D7E" w:rsidP="00E90E0D">
      <w:pPr>
        <w:pStyle w:val="Bibliography"/>
        <w:jc w:val="left"/>
        <w:rPr>
          <w:noProof/>
        </w:rPr>
      </w:pPr>
      <w:r w:rsidRPr="00400193">
        <w:rPr>
          <w:noProof/>
        </w:rPr>
        <w:lastRenderedPageBreak/>
        <w:t xml:space="preserve">Trim, P. R., &amp; Lee, Y.-I. (2017). </w:t>
      </w:r>
      <w:r w:rsidRPr="00400193">
        <w:rPr>
          <w:i/>
          <w:iCs/>
          <w:noProof/>
        </w:rPr>
        <w:t>Cyber Security Management: A Governance, Risk and Compliance Framework</w:t>
      </w:r>
      <w:r w:rsidRPr="00400193">
        <w:rPr>
          <w:noProof/>
        </w:rPr>
        <w:t xml:space="preserve"> (Electronic (PDF) ed.). Chichester: Taylor and Francis (Routledge). doi:ISBN: 9781317155263</w:t>
      </w:r>
    </w:p>
    <w:p w14:paraId="6521D097" w14:textId="77777777" w:rsidR="00803D7E" w:rsidRPr="00400193" w:rsidRDefault="00803D7E" w:rsidP="00E90E0D">
      <w:pPr>
        <w:pStyle w:val="Bibliography"/>
        <w:jc w:val="left"/>
        <w:rPr>
          <w:noProof/>
        </w:rPr>
      </w:pPr>
      <w:r w:rsidRPr="00400193">
        <w:rPr>
          <w:noProof/>
        </w:rPr>
        <w:t xml:space="preserve">Tsigkritis, T., &amp; Spanoudakis, G. (2013). Assessing the genuineness of events in runtime monitoring of cyber systems. </w:t>
      </w:r>
      <w:r w:rsidRPr="00400193">
        <w:rPr>
          <w:i/>
          <w:iCs/>
          <w:noProof/>
        </w:rPr>
        <w:t>Computers &amp; Security, 38</w:t>
      </w:r>
      <w:r w:rsidRPr="00400193">
        <w:rPr>
          <w:noProof/>
        </w:rPr>
        <w:t>(October), 76-96. doi:10.1016/j.cose.2013.03.011</w:t>
      </w:r>
    </w:p>
    <w:p w14:paraId="5D4C1602" w14:textId="77777777" w:rsidR="00803D7E" w:rsidRPr="00400193" w:rsidRDefault="00803D7E" w:rsidP="00E90E0D">
      <w:pPr>
        <w:pStyle w:val="Bibliography"/>
        <w:jc w:val="left"/>
        <w:rPr>
          <w:noProof/>
        </w:rPr>
      </w:pPr>
      <w:r w:rsidRPr="00400193">
        <w:rPr>
          <w:noProof/>
        </w:rPr>
        <w:t xml:space="preserve">Turkyilmaz, A., Akman, G., Ozcan, C., &amp; Pastuszak, Z. (2011). Empirical study of public sector employee loyalty and satisfaction. </w:t>
      </w:r>
      <w:r w:rsidRPr="00400193">
        <w:rPr>
          <w:i/>
          <w:iCs/>
          <w:noProof/>
        </w:rPr>
        <w:t>Industrial Management &amp; Data Systems, 111</w:t>
      </w:r>
      <w:r w:rsidRPr="00400193">
        <w:rPr>
          <w:noProof/>
        </w:rPr>
        <w:t>(5), 675-696. doi:10.1108/02635571111137250</w:t>
      </w:r>
    </w:p>
    <w:p w14:paraId="4AF52CCF" w14:textId="77777777" w:rsidR="00803D7E" w:rsidRPr="00400193" w:rsidRDefault="00803D7E" w:rsidP="00E90E0D">
      <w:pPr>
        <w:pStyle w:val="Bibliography"/>
        <w:jc w:val="left"/>
        <w:rPr>
          <w:noProof/>
        </w:rPr>
      </w:pPr>
      <w:r w:rsidRPr="00400193">
        <w:rPr>
          <w:noProof/>
        </w:rPr>
        <w:t xml:space="preserve">UAE Government. (2020a). </w:t>
      </w:r>
      <w:r w:rsidRPr="00400193">
        <w:rPr>
          <w:i/>
          <w:iCs/>
          <w:noProof/>
        </w:rPr>
        <w:t>Cyber safety and digital security</w:t>
      </w:r>
      <w:r w:rsidRPr="00400193">
        <w:rPr>
          <w:noProof/>
        </w:rPr>
        <w:t>. Retrieved Jan 04, 2020, from Information and Service: https://u.ae/en/information-and-services/justice-safety-and-the-law/cyber-safety-and-digital-security</w:t>
      </w:r>
    </w:p>
    <w:p w14:paraId="3AC4D21F" w14:textId="77777777" w:rsidR="00803D7E" w:rsidRPr="00400193" w:rsidRDefault="00803D7E" w:rsidP="00E90E0D">
      <w:pPr>
        <w:pStyle w:val="Bibliography"/>
        <w:jc w:val="left"/>
        <w:rPr>
          <w:noProof/>
        </w:rPr>
      </w:pPr>
      <w:r w:rsidRPr="00400193">
        <w:rPr>
          <w:noProof/>
        </w:rPr>
        <w:t xml:space="preserve">UAE Government. (2020b). </w:t>
      </w:r>
      <w:r w:rsidRPr="00400193">
        <w:rPr>
          <w:i/>
          <w:iCs/>
          <w:noProof/>
        </w:rPr>
        <w:t>e-Government Portal</w:t>
      </w:r>
      <w:r w:rsidRPr="00400193">
        <w:rPr>
          <w:noProof/>
        </w:rPr>
        <w:t>. Retrieved August 31, 2020, from UAE Government: https://u.ae/en/information-and-services/home</w:t>
      </w:r>
    </w:p>
    <w:p w14:paraId="2BBDCFB2" w14:textId="77777777" w:rsidR="00803D7E" w:rsidRPr="00400193" w:rsidRDefault="00803D7E" w:rsidP="00E90E0D">
      <w:pPr>
        <w:pStyle w:val="Bibliography"/>
        <w:jc w:val="left"/>
        <w:rPr>
          <w:noProof/>
        </w:rPr>
      </w:pPr>
      <w:r w:rsidRPr="00400193">
        <w:rPr>
          <w:noProof/>
        </w:rPr>
        <w:t xml:space="preserve">Uncapher, M. (2016, September 27). </w:t>
      </w:r>
      <w:r w:rsidRPr="00400193">
        <w:rPr>
          <w:i/>
          <w:iCs/>
          <w:noProof/>
        </w:rPr>
        <w:t>Safeguarding Public Safety Communications from Cyber Security Threats.</w:t>
      </w:r>
      <w:r w:rsidRPr="00400193">
        <w:rPr>
          <w:noProof/>
        </w:rPr>
        <w:t xml:space="preserve"> Retrieved June 05, 2017, from TIA - Advancing Global Communications: http://www.tiaonline.org/news-media/blog/safeguarding-public-safety-communications-cyber-security-threats</w:t>
      </w:r>
    </w:p>
    <w:p w14:paraId="2BD5B0BD" w14:textId="77777777" w:rsidR="00803D7E" w:rsidRPr="00400193" w:rsidRDefault="00803D7E" w:rsidP="00E90E0D">
      <w:pPr>
        <w:pStyle w:val="Bibliography"/>
        <w:jc w:val="left"/>
        <w:rPr>
          <w:noProof/>
        </w:rPr>
      </w:pPr>
      <w:r w:rsidRPr="00400193">
        <w:rPr>
          <w:noProof/>
        </w:rPr>
        <w:t xml:space="preserve">Valkokari, K., Paasi, J., &amp; Rantala, T. (2012). Managing knowledge within networked innovation. </w:t>
      </w:r>
      <w:r w:rsidRPr="00400193">
        <w:rPr>
          <w:i/>
          <w:iCs/>
          <w:noProof/>
        </w:rPr>
        <w:t>Knowledge Management Research &amp; Practice, 10</w:t>
      </w:r>
      <w:r w:rsidRPr="00400193">
        <w:rPr>
          <w:noProof/>
        </w:rPr>
        <w:t>(1), 27-40.</w:t>
      </w:r>
    </w:p>
    <w:p w14:paraId="3FEA0AAB" w14:textId="77777777" w:rsidR="00803D7E" w:rsidRPr="00400193" w:rsidRDefault="00803D7E" w:rsidP="00E90E0D">
      <w:pPr>
        <w:pStyle w:val="Bibliography"/>
        <w:jc w:val="left"/>
        <w:rPr>
          <w:noProof/>
        </w:rPr>
      </w:pPr>
      <w:r w:rsidRPr="00400193">
        <w:rPr>
          <w:noProof/>
        </w:rPr>
        <w:t xml:space="preserve">van Schaik, P., Jeske, D., Onibokun, J., Coventry, L., Jansen, J., &amp; Kusev, P. (2017). Risk perceptions of cyber-security and precautionary behaviour. </w:t>
      </w:r>
      <w:r w:rsidRPr="00400193">
        <w:rPr>
          <w:i/>
          <w:iCs/>
          <w:noProof/>
        </w:rPr>
        <w:t>Computers in Human Behavior, 75</w:t>
      </w:r>
      <w:r w:rsidRPr="00400193">
        <w:rPr>
          <w:noProof/>
        </w:rPr>
        <w:t>, 547-559. doi:10.1016/j.chb.2017.05.038</w:t>
      </w:r>
    </w:p>
    <w:p w14:paraId="10A80AF4" w14:textId="77777777" w:rsidR="00803D7E" w:rsidRPr="00400193" w:rsidRDefault="00803D7E" w:rsidP="00E90E0D">
      <w:pPr>
        <w:pStyle w:val="Bibliography"/>
        <w:jc w:val="left"/>
        <w:rPr>
          <w:noProof/>
        </w:rPr>
      </w:pPr>
      <w:r w:rsidRPr="00400193">
        <w:rPr>
          <w:noProof/>
        </w:rPr>
        <w:t xml:space="preserve">van Teijlingen, E. R., &amp; Hundley, V. (2001). The Importance of pilot studies. </w:t>
      </w:r>
      <w:r w:rsidRPr="00400193">
        <w:rPr>
          <w:i/>
          <w:iCs/>
          <w:noProof/>
        </w:rPr>
        <w:t>Social Reasearch UPDATE, 35</w:t>
      </w:r>
      <w:r w:rsidRPr="00400193">
        <w:rPr>
          <w:noProof/>
        </w:rPr>
        <w:t>(Winter).</w:t>
      </w:r>
    </w:p>
    <w:p w14:paraId="19B8FB66" w14:textId="77777777" w:rsidR="00803D7E" w:rsidRPr="00400193" w:rsidRDefault="00803D7E" w:rsidP="00E90E0D">
      <w:pPr>
        <w:pStyle w:val="Bibliography"/>
        <w:jc w:val="left"/>
        <w:rPr>
          <w:noProof/>
        </w:rPr>
      </w:pPr>
      <w:r w:rsidRPr="00400193">
        <w:rPr>
          <w:noProof/>
        </w:rPr>
        <w:t xml:space="preserve">Varella, L. (2016). When it rains, it pours: protecting student data stored in the cloud. </w:t>
      </w:r>
      <w:r w:rsidRPr="00400193">
        <w:rPr>
          <w:i/>
          <w:iCs/>
          <w:noProof/>
        </w:rPr>
        <w:t>When it rains, it pours: protecting student data stored in the cloud, 2016</w:t>
      </w:r>
      <w:r w:rsidRPr="00400193">
        <w:rPr>
          <w:noProof/>
        </w:rPr>
        <w:t>(1), 94-119.</w:t>
      </w:r>
    </w:p>
    <w:p w14:paraId="689139D7" w14:textId="77777777" w:rsidR="00803D7E" w:rsidRPr="00400193" w:rsidRDefault="00803D7E" w:rsidP="00E90E0D">
      <w:pPr>
        <w:pStyle w:val="Bibliography"/>
        <w:jc w:val="left"/>
        <w:rPr>
          <w:noProof/>
        </w:rPr>
      </w:pPr>
      <w:r w:rsidRPr="00400193">
        <w:rPr>
          <w:noProof/>
        </w:rPr>
        <w:t xml:space="preserve">Vashisth, A., &amp; Kumar, A. (2013). Corporate espionage The insider threat. </w:t>
      </w:r>
      <w:r w:rsidRPr="00400193">
        <w:rPr>
          <w:i/>
          <w:iCs/>
          <w:noProof/>
        </w:rPr>
        <w:t>Business Information Review, 30</w:t>
      </w:r>
      <w:r w:rsidRPr="00400193">
        <w:rPr>
          <w:noProof/>
        </w:rPr>
        <w:t>(2), 83-90.</w:t>
      </w:r>
    </w:p>
    <w:p w14:paraId="2664D961" w14:textId="77777777" w:rsidR="00803D7E" w:rsidRPr="00400193" w:rsidRDefault="00803D7E" w:rsidP="00E90E0D">
      <w:pPr>
        <w:pStyle w:val="Bibliography"/>
        <w:jc w:val="left"/>
        <w:rPr>
          <w:noProof/>
        </w:rPr>
      </w:pPr>
      <w:r w:rsidRPr="00400193">
        <w:rPr>
          <w:noProof/>
        </w:rPr>
        <w:t xml:space="preserve">Vasudevan, A. R., &amp; Selvakumar, S. (2016). Local outlier factor and stronger one class classifier based hierarchical model for detection of attacks in network intrusion detection dataset. </w:t>
      </w:r>
      <w:r w:rsidRPr="00400193">
        <w:rPr>
          <w:i/>
          <w:iCs/>
          <w:noProof/>
        </w:rPr>
        <w:t>Frontiers of Computer Science, 10</w:t>
      </w:r>
      <w:r w:rsidRPr="00400193">
        <w:rPr>
          <w:noProof/>
        </w:rPr>
        <w:t>(4), 755-766. doi:10.1007/s11704-015-5116-8</w:t>
      </w:r>
    </w:p>
    <w:p w14:paraId="05F423C7" w14:textId="77777777" w:rsidR="00803D7E" w:rsidRPr="00400193" w:rsidRDefault="00803D7E" w:rsidP="00E90E0D">
      <w:pPr>
        <w:pStyle w:val="Bibliography"/>
        <w:jc w:val="left"/>
        <w:rPr>
          <w:noProof/>
        </w:rPr>
      </w:pPr>
      <w:r w:rsidRPr="00400193">
        <w:rPr>
          <w:noProof/>
        </w:rPr>
        <w:t xml:space="preserve">Velte, A. T., Velte, T. J., &amp; Elsenpeter, R. (2010). </w:t>
      </w:r>
      <w:r w:rsidRPr="00400193">
        <w:rPr>
          <w:i/>
          <w:iCs/>
          <w:noProof/>
        </w:rPr>
        <w:t>Cloud Computing: A Practical Approach.</w:t>
      </w:r>
      <w:r w:rsidRPr="00400193">
        <w:rPr>
          <w:noProof/>
        </w:rPr>
        <w:t xml:space="preserve"> New York: McGraw Hill.</w:t>
      </w:r>
    </w:p>
    <w:p w14:paraId="020D2BFD" w14:textId="77777777" w:rsidR="00803D7E" w:rsidRPr="00400193" w:rsidRDefault="00803D7E" w:rsidP="00E90E0D">
      <w:pPr>
        <w:pStyle w:val="Bibliography"/>
        <w:jc w:val="left"/>
        <w:rPr>
          <w:noProof/>
        </w:rPr>
      </w:pPr>
      <w:r w:rsidRPr="00400193">
        <w:rPr>
          <w:noProof/>
        </w:rPr>
        <w:t xml:space="preserve">Waldron, M. (2008). Developing an information management strategy. </w:t>
      </w:r>
      <w:r w:rsidRPr="00400193">
        <w:rPr>
          <w:i/>
          <w:iCs/>
          <w:noProof/>
        </w:rPr>
        <w:t>Business Information Review, 25</w:t>
      </w:r>
      <w:r w:rsidRPr="00400193">
        <w:rPr>
          <w:noProof/>
        </w:rPr>
        <w:t>(2), 101-104.</w:t>
      </w:r>
    </w:p>
    <w:p w14:paraId="4E5D4035" w14:textId="77777777" w:rsidR="00803D7E" w:rsidRPr="00400193" w:rsidRDefault="00803D7E" w:rsidP="00E90E0D">
      <w:pPr>
        <w:pStyle w:val="Bibliography"/>
        <w:jc w:val="left"/>
        <w:rPr>
          <w:noProof/>
        </w:rPr>
      </w:pPr>
      <w:r w:rsidRPr="00400193">
        <w:rPr>
          <w:noProof/>
        </w:rPr>
        <w:t xml:space="preserve">Warner, R., &amp; Sloan, R. H. (2016). Defending Our Data: The Need for Information We Do Not Have. </w:t>
      </w:r>
      <w:r w:rsidRPr="00400193">
        <w:rPr>
          <w:i/>
          <w:iCs/>
          <w:noProof/>
        </w:rPr>
        <w:t>Chicago Kent Law Review, Article in Print</w:t>
      </w:r>
      <w:r w:rsidRPr="00400193">
        <w:rPr>
          <w:noProof/>
        </w:rPr>
        <w:t>(Article in Print), Article in Print.</w:t>
      </w:r>
    </w:p>
    <w:p w14:paraId="6A750D0B" w14:textId="77777777" w:rsidR="00803D7E" w:rsidRPr="00400193" w:rsidRDefault="00803D7E" w:rsidP="00E90E0D">
      <w:pPr>
        <w:pStyle w:val="Bibliography"/>
        <w:jc w:val="left"/>
        <w:rPr>
          <w:noProof/>
        </w:rPr>
      </w:pPr>
      <w:r w:rsidRPr="00400193">
        <w:rPr>
          <w:noProof/>
        </w:rPr>
        <w:t xml:space="preserve">WEF. (2012). </w:t>
      </w:r>
      <w:r w:rsidRPr="00400193">
        <w:rPr>
          <w:i/>
          <w:iCs/>
          <w:noProof/>
        </w:rPr>
        <w:t>Risk and Responsibility in a Hyperconnected World: Pathways to Global Cyber Resilience.</w:t>
      </w:r>
      <w:r w:rsidRPr="00400193">
        <w:rPr>
          <w:noProof/>
        </w:rPr>
        <w:t xml:space="preserve"> Geneva: World Economic Forum.</w:t>
      </w:r>
    </w:p>
    <w:p w14:paraId="27823D08" w14:textId="77777777" w:rsidR="00803D7E" w:rsidRPr="00400193" w:rsidRDefault="00803D7E" w:rsidP="00E90E0D">
      <w:pPr>
        <w:pStyle w:val="Bibliography"/>
        <w:jc w:val="left"/>
        <w:rPr>
          <w:noProof/>
        </w:rPr>
      </w:pPr>
      <w:r w:rsidRPr="00400193">
        <w:rPr>
          <w:noProof/>
        </w:rPr>
        <w:t xml:space="preserve">Weimann, G. (2004). </w:t>
      </w:r>
      <w:r w:rsidRPr="00400193">
        <w:rPr>
          <w:i/>
          <w:iCs/>
          <w:noProof/>
        </w:rPr>
        <w:t>Cyberterrorism - How Real is the Threat.</w:t>
      </w:r>
      <w:r w:rsidRPr="00400193">
        <w:rPr>
          <w:noProof/>
        </w:rPr>
        <w:t xml:space="preserve"> Washington, DC: United States Institute of Peace.</w:t>
      </w:r>
    </w:p>
    <w:p w14:paraId="4A6C342C" w14:textId="77777777" w:rsidR="00803D7E" w:rsidRPr="00400193" w:rsidRDefault="00803D7E" w:rsidP="00E90E0D">
      <w:pPr>
        <w:pStyle w:val="Bibliography"/>
        <w:jc w:val="left"/>
        <w:rPr>
          <w:noProof/>
        </w:rPr>
      </w:pPr>
      <w:r w:rsidRPr="00400193">
        <w:rPr>
          <w:noProof/>
        </w:rPr>
        <w:t xml:space="preserve">Wong, A. (2014). Corporate sustainability through non-financial risk management. </w:t>
      </w:r>
      <w:r w:rsidRPr="00400193">
        <w:rPr>
          <w:i/>
          <w:iCs/>
          <w:noProof/>
        </w:rPr>
        <w:t>Corporate Governance, 14</w:t>
      </w:r>
      <w:r w:rsidRPr="00400193">
        <w:rPr>
          <w:noProof/>
        </w:rPr>
        <w:t>(4), 575-586. doi:10.1108/CG-02-2013-0026</w:t>
      </w:r>
    </w:p>
    <w:p w14:paraId="341A54C7" w14:textId="77777777" w:rsidR="00803D7E" w:rsidRPr="00400193" w:rsidRDefault="00803D7E" w:rsidP="00E90E0D">
      <w:pPr>
        <w:pStyle w:val="Bibliography"/>
        <w:jc w:val="left"/>
        <w:rPr>
          <w:noProof/>
        </w:rPr>
      </w:pPr>
      <w:r w:rsidRPr="00400193">
        <w:rPr>
          <w:noProof/>
        </w:rPr>
        <w:t xml:space="preserve">Wood, M. J. (2015). Some Dare Call It Conspiracy: Labeling Something a Conspiracy Theory Does Not Reduce Belief in It. </w:t>
      </w:r>
      <w:r w:rsidRPr="00400193">
        <w:rPr>
          <w:i/>
          <w:iCs/>
          <w:noProof/>
        </w:rPr>
        <w:t>Political Psychology, 37</w:t>
      </w:r>
      <w:r w:rsidRPr="00400193">
        <w:rPr>
          <w:noProof/>
        </w:rPr>
        <w:t>(5), 695-705. doi:10.1111/pops.12285</w:t>
      </w:r>
    </w:p>
    <w:p w14:paraId="71331322" w14:textId="77777777" w:rsidR="00803D7E" w:rsidRPr="00400193" w:rsidRDefault="00803D7E" w:rsidP="00E90E0D">
      <w:pPr>
        <w:pStyle w:val="Bibliography"/>
        <w:jc w:val="left"/>
        <w:rPr>
          <w:noProof/>
        </w:rPr>
      </w:pPr>
      <w:r w:rsidRPr="00400193">
        <w:rPr>
          <w:noProof/>
        </w:rPr>
        <w:t xml:space="preserve">Yayla, A. A., &amp; Hu, Q. (2014). The Effect of Board of Directors’ IT Awareness on CIO Compensation and Firm Performance. </w:t>
      </w:r>
      <w:r w:rsidRPr="00400193">
        <w:rPr>
          <w:i/>
          <w:iCs/>
          <w:noProof/>
        </w:rPr>
        <w:t>Decision Sciences, 45</w:t>
      </w:r>
      <w:r w:rsidRPr="00400193">
        <w:rPr>
          <w:noProof/>
        </w:rPr>
        <w:t>(3), 401-436. doi:10.1111/deci.12077</w:t>
      </w:r>
    </w:p>
    <w:p w14:paraId="4F71EC12" w14:textId="77777777" w:rsidR="00803D7E" w:rsidRPr="00400193" w:rsidRDefault="00803D7E" w:rsidP="00E90E0D">
      <w:pPr>
        <w:pStyle w:val="Bibliography"/>
        <w:jc w:val="left"/>
        <w:rPr>
          <w:noProof/>
        </w:rPr>
      </w:pPr>
      <w:r w:rsidRPr="00400193">
        <w:rPr>
          <w:noProof/>
        </w:rPr>
        <w:t xml:space="preserve">Yildirim, E. (2016). The Importance of Information Security Awareness for the Success of Business Enterprises. In D. Nicholson (Ed.), </w:t>
      </w:r>
      <w:r w:rsidRPr="00400193">
        <w:rPr>
          <w:i/>
          <w:iCs/>
          <w:noProof/>
        </w:rPr>
        <w:t>Advances in Human Factors in Cybersecurity</w:t>
      </w:r>
      <w:r w:rsidRPr="00400193">
        <w:rPr>
          <w:noProof/>
        </w:rPr>
        <w:t xml:space="preserve"> (pp. 211-222). Basel: Springer. doi:10.1007/978-3-319-41932-9_17</w:t>
      </w:r>
    </w:p>
    <w:p w14:paraId="607A5DF5" w14:textId="77777777" w:rsidR="00803D7E" w:rsidRPr="00400193" w:rsidRDefault="00803D7E" w:rsidP="00E90E0D">
      <w:pPr>
        <w:pStyle w:val="Bibliography"/>
        <w:jc w:val="left"/>
        <w:rPr>
          <w:noProof/>
        </w:rPr>
      </w:pPr>
      <w:r w:rsidRPr="00400193">
        <w:rPr>
          <w:noProof/>
        </w:rPr>
        <w:lastRenderedPageBreak/>
        <w:t xml:space="preserve">Yin, R. K. (2013). </w:t>
      </w:r>
      <w:r w:rsidRPr="00400193">
        <w:rPr>
          <w:i/>
          <w:iCs/>
          <w:noProof/>
        </w:rPr>
        <w:t>Case Study Research: Design and Methods</w:t>
      </w:r>
      <w:r w:rsidRPr="00400193">
        <w:rPr>
          <w:noProof/>
        </w:rPr>
        <w:t xml:space="preserve"> (5th ed.). Thousand Oaks, CA: Sage Publications Inc.</w:t>
      </w:r>
    </w:p>
    <w:p w14:paraId="51735DAA" w14:textId="77777777" w:rsidR="00803D7E" w:rsidRPr="00400193" w:rsidRDefault="00803D7E" w:rsidP="00E90E0D">
      <w:pPr>
        <w:pStyle w:val="Bibliography"/>
        <w:jc w:val="left"/>
        <w:rPr>
          <w:noProof/>
        </w:rPr>
      </w:pPr>
      <w:r w:rsidRPr="00400193">
        <w:rPr>
          <w:noProof/>
        </w:rPr>
        <w:t xml:space="preserve">Yoon, J., Dunlap, S., Butts, J., Rice, M., &amp; Ramsey, B. (2016). Evaluating the readiness of cyber first responders responsible for critical infrastructure protection. </w:t>
      </w:r>
      <w:r w:rsidRPr="00400193">
        <w:rPr>
          <w:i/>
          <w:iCs/>
          <w:noProof/>
        </w:rPr>
        <w:t>International Journal of Critical Infrastructure Protection</w:t>
      </w:r>
      <w:r w:rsidRPr="00400193">
        <w:rPr>
          <w:noProof/>
        </w:rPr>
        <w:t>, [article in press].</w:t>
      </w:r>
    </w:p>
    <w:p w14:paraId="51DD1E8B" w14:textId="77777777" w:rsidR="00803D7E" w:rsidRPr="00400193" w:rsidRDefault="00803D7E" w:rsidP="00E90E0D">
      <w:pPr>
        <w:pStyle w:val="Bibliography"/>
        <w:jc w:val="left"/>
        <w:rPr>
          <w:noProof/>
        </w:rPr>
      </w:pPr>
      <w:r w:rsidRPr="00400193">
        <w:rPr>
          <w:noProof/>
        </w:rPr>
        <w:t xml:space="preserve">Zhang, A., Collins, R., &amp; O'Connor-Close, C. (2020). Cyber incident cost estimates and the importance of building resilience. </w:t>
      </w:r>
      <w:r w:rsidRPr="00400193">
        <w:rPr>
          <w:i/>
          <w:iCs/>
          <w:noProof/>
        </w:rPr>
        <w:t>Reserve Bank of New Zealand bulletin, 84</w:t>
      </w:r>
      <w:r w:rsidRPr="00400193">
        <w:rPr>
          <w:noProof/>
        </w:rPr>
        <w:t>(2), iii-12. Retrieved from uwe.summon.serialssolutions.com</w:t>
      </w:r>
    </w:p>
    <w:p w14:paraId="2AE9A7E5" w14:textId="77777777" w:rsidR="00803D7E" w:rsidRPr="00400193" w:rsidRDefault="00803D7E" w:rsidP="00E90E0D">
      <w:pPr>
        <w:pStyle w:val="Bibliography"/>
        <w:jc w:val="left"/>
        <w:rPr>
          <w:noProof/>
        </w:rPr>
      </w:pPr>
      <w:r w:rsidRPr="00400193">
        <w:rPr>
          <w:noProof/>
        </w:rPr>
        <w:t xml:space="preserve">Zubrzycki, W. (2016). Similarities and Differences Between Organized Crime and Terrorism. </w:t>
      </w:r>
      <w:r w:rsidRPr="00400193">
        <w:rPr>
          <w:i/>
          <w:iCs/>
          <w:noProof/>
        </w:rPr>
        <w:t>Internal Security, 7</w:t>
      </w:r>
      <w:r w:rsidRPr="00400193">
        <w:rPr>
          <w:noProof/>
        </w:rPr>
        <w:t>(2), 53-70. doi:10.5604/20805268.1212112</w:t>
      </w:r>
    </w:p>
    <w:p w14:paraId="09310CF9" w14:textId="77777777" w:rsidR="006E3616" w:rsidRPr="00400193" w:rsidRDefault="006E3616" w:rsidP="00E90E0D">
      <w:pPr>
        <w:pStyle w:val="Bibliography"/>
        <w:jc w:val="left"/>
        <w:rPr>
          <w:noProof/>
        </w:rPr>
      </w:pPr>
      <w:r w:rsidRPr="00400193">
        <w:rPr>
          <w:lang w:eastAsia="zh-CN" w:bidi="hi-IN"/>
        </w:rPr>
        <w:fldChar w:fldCharType="end"/>
      </w:r>
    </w:p>
    <w:p w14:paraId="39CB5392" w14:textId="77777777" w:rsidR="006E3616" w:rsidRPr="00400193" w:rsidRDefault="006E3616" w:rsidP="006E3616">
      <w:pPr>
        <w:pStyle w:val="HBSTabletext"/>
        <w:rPr>
          <w:lang w:eastAsia="zh-CN" w:bidi="hi-IN"/>
        </w:rPr>
      </w:pPr>
    </w:p>
    <w:p w14:paraId="4851DAD6" w14:textId="77777777" w:rsidR="006E3616" w:rsidRPr="00400193" w:rsidRDefault="006E3616" w:rsidP="006E3616">
      <w:pPr>
        <w:spacing w:line="259" w:lineRule="auto"/>
        <w:jc w:val="left"/>
      </w:pPr>
      <w:r w:rsidRPr="00400193">
        <w:br w:type="page"/>
      </w:r>
    </w:p>
    <w:p w14:paraId="05727CD8" w14:textId="379955B0" w:rsidR="006E3616" w:rsidRPr="00400193" w:rsidRDefault="006E3616" w:rsidP="00037F29">
      <w:pPr>
        <w:pStyle w:val="Heading1"/>
        <w:numPr>
          <w:ilvl w:val="0"/>
          <w:numId w:val="0"/>
        </w:numPr>
        <w:jc w:val="both"/>
      </w:pPr>
      <w:bookmarkStart w:id="964" w:name="_Toc61894862"/>
      <w:r w:rsidRPr="00400193">
        <w:lastRenderedPageBreak/>
        <w:t>Appendices</w:t>
      </w:r>
      <w:bookmarkEnd w:id="964"/>
    </w:p>
    <w:p w14:paraId="71322B56" w14:textId="52623E1A" w:rsidR="00A45F81" w:rsidRPr="00400193" w:rsidRDefault="00A45F81" w:rsidP="00A45F81">
      <w:pPr>
        <w:pStyle w:val="Caption"/>
        <w:keepNext/>
      </w:pPr>
      <w:bookmarkStart w:id="965" w:name="_2lfnejv"/>
      <w:bookmarkStart w:id="966" w:name="_Ref50740357"/>
      <w:bookmarkStart w:id="967" w:name="_Toc50645169"/>
      <w:bookmarkEnd w:id="965"/>
      <w:r w:rsidRPr="00400193">
        <w:t xml:space="preserve">Appendix </w:t>
      </w:r>
      <w:r w:rsidR="003F006D" w:rsidRPr="00400193">
        <w:fldChar w:fldCharType="begin"/>
      </w:r>
      <w:r w:rsidR="003F006D" w:rsidRPr="00400193">
        <w:instrText xml:space="preserve"> SEQ Appendix \* ARABIC </w:instrText>
      </w:r>
      <w:r w:rsidR="003F006D" w:rsidRPr="00400193">
        <w:fldChar w:fldCharType="separate"/>
      </w:r>
      <w:r w:rsidR="00BB7C18">
        <w:rPr>
          <w:noProof/>
        </w:rPr>
        <w:t>1</w:t>
      </w:r>
      <w:r w:rsidR="003F006D" w:rsidRPr="00400193">
        <w:fldChar w:fldCharType="end"/>
      </w:r>
      <w:bookmarkEnd w:id="966"/>
      <w:r w:rsidRPr="00400193">
        <w:t>: The Introduction to ISO/IEC 27032:2012</w:t>
      </w:r>
      <w:bookmarkEnd w:id="967"/>
    </w:p>
    <w:p w14:paraId="3E0ACC74" w14:textId="7EB7DDEF" w:rsidR="006E3616" w:rsidRPr="00400193" w:rsidRDefault="003F006D" w:rsidP="006E3616">
      <w:pPr>
        <w:suppressAutoHyphens/>
        <w:spacing w:before="120" w:after="120" w:line="240" w:lineRule="auto"/>
        <w:rPr>
          <w:szCs w:val="24"/>
          <w:lang w:eastAsia="zh-CN" w:bidi="hi-IN"/>
        </w:rPr>
      </w:pPr>
      <w:r w:rsidRPr="00400193">
        <w:rPr>
          <w:szCs w:val="24"/>
          <w:lang w:eastAsia="zh-CN" w:bidi="hi-IN"/>
        </w:rPr>
        <w:t xml:space="preserve"> </w:t>
      </w:r>
      <w:r w:rsidR="006E3616" w:rsidRPr="00400193">
        <w:rPr>
          <w:szCs w:val="24"/>
          <w:lang w:eastAsia="zh-CN" w:bidi="hi-IN"/>
        </w:rPr>
        <w:t>“Introduction</w:t>
      </w:r>
    </w:p>
    <w:p w14:paraId="3F524925" w14:textId="65C82E1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 Cyberspace is a complex environment resulting from the interaction of people, software and services on the Internet, supported by worldwide distributed physical information and communications technology (ICT) devices and connected networks. However, there are security issues that are not covered by current information security, Internet security, network security and ICT security best practices as there are gaps between these domains, as well as a lack of communication between organi</w:t>
      </w:r>
      <w:r w:rsidR="00D75A7B" w:rsidRPr="00400193">
        <w:rPr>
          <w:szCs w:val="24"/>
          <w:lang w:eastAsia="zh-CN" w:bidi="hi-IN"/>
        </w:rPr>
        <w:t>s</w:t>
      </w:r>
      <w:r w:rsidRPr="00400193">
        <w:rPr>
          <w:szCs w:val="24"/>
          <w:lang w:eastAsia="zh-CN" w:bidi="hi-IN"/>
        </w:rPr>
        <w:t>ations and providers in the Cyberspace. This is because the devices and connected networks that have supported the Cyberspace have multiple owners, each with their own business, operational and regulatory concerns. The different focus placed by each organi</w:t>
      </w:r>
      <w:r w:rsidR="00D75A7B" w:rsidRPr="00400193">
        <w:rPr>
          <w:szCs w:val="24"/>
          <w:lang w:eastAsia="zh-CN" w:bidi="hi-IN"/>
        </w:rPr>
        <w:t>s</w:t>
      </w:r>
      <w:r w:rsidRPr="00400193">
        <w:rPr>
          <w:szCs w:val="24"/>
          <w:lang w:eastAsia="zh-CN" w:bidi="hi-IN"/>
        </w:rPr>
        <w:t>ation and provider in the Cyberspace on relevant security domains where little or no input is taken from another organi</w:t>
      </w:r>
      <w:r w:rsidR="00D75A7B" w:rsidRPr="00400193">
        <w:rPr>
          <w:szCs w:val="24"/>
          <w:lang w:eastAsia="zh-CN" w:bidi="hi-IN"/>
        </w:rPr>
        <w:t>s</w:t>
      </w:r>
      <w:r w:rsidRPr="00400193">
        <w:rPr>
          <w:szCs w:val="24"/>
          <w:lang w:eastAsia="zh-CN" w:bidi="hi-IN"/>
        </w:rPr>
        <w:t>ation or provider has resulted in a fragmented state of security for the Cyberspace.</w:t>
      </w:r>
    </w:p>
    <w:p w14:paraId="52CCE37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As such, the first area of focus of this International Standard is to address Cyberspace security or Cybersecurity issues which concentrate on bridging the gaps between the different security domains in the Cyberspace. In particular, this International Standard provides technical guidance for addressing common Cybersecurity risks, including:</w:t>
      </w:r>
    </w:p>
    <w:p w14:paraId="193F099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social engineering attacks;</w:t>
      </w:r>
    </w:p>
    <w:p w14:paraId="2260035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hacking;</w:t>
      </w:r>
    </w:p>
    <w:p w14:paraId="586D8C8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the proliferation of malicious software (“malware”);</w:t>
      </w:r>
    </w:p>
    <w:p w14:paraId="7DB5FCE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spyware; and</w:t>
      </w:r>
    </w:p>
    <w:p w14:paraId="49B3F12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other potentially unwanted software.</w:t>
      </w:r>
    </w:p>
    <w:p w14:paraId="17381B4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 technical guidance provides controls for addressing these risks, including controls for:</w:t>
      </w:r>
    </w:p>
    <w:p w14:paraId="5E7C052E" w14:textId="657D7AE3"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preparing for attacks by, for example, malware, individual miscreants, or criminal organi</w:t>
      </w:r>
      <w:r w:rsidR="00D75A7B" w:rsidRPr="00400193">
        <w:rPr>
          <w:szCs w:val="24"/>
          <w:lang w:eastAsia="zh-CN" w:bidi="hi-IN"/>
        </w:rPr>
        <w:t>s</w:t>
      </w:r>
      <w:r w:rsidRPr="00400193">
        <w:rPr>
          <w:szCs w:val="24"/>
          <w:lang w:eastAsia="zh-CN" w:bidi="hi-IN"/>
        </w:rPr>
        <w:t>ations on the Internet;</w:t>
      </w:r>
    </w:p>
    <w:p w14:paraId="56DF95F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detecting and monitoring attacks; and</w:t>
      </w:r>
    </w:p>
    <w:p w14:paraId="5A8A1AC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responding to attacks.</w:t>
      </w:r>
    </w:p>
    <w:p w14:paraId="7F31EE2D" w14:textId="7B2F0C48"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The second area of focus of this International Standard is collaboration, as there is a need for efficient and effective information sharing, coordination and incident handling amongst stakeholders in the Cyberspace. This collaboration must be in a secure and reliable manner that also protects the privacy of the individuals concerned. Many of these stakeholders can reside in different geographical locations and time </w:t>
      </w:r>
      <w:r w:rsidR="000A223A" w:rsidRPr="00400193">
        <w:rPr>
          <w:szCs w:val="24"/>
          <w:lang w:eastAsia="zh-CN" w:bidi="hi-IN"/>
        </w:rPr>
        <w:t>zones and</w:t>
      </w:r>
      <w:r w:rsidRPr="00400193">
        <w:rPr>
          <w:szCs w:val="24"/>
          <w:lang w:eastAsia="zh-CN" w:bidi="hi-IN"/>
        </w:rPr>
        <w:t xml:space="preserve"> are likely to be governed by different regulatory requirements. Stakeholders include:</w:t>
      </w:r>
    </w:p>
    <w:p w14:paraId="398B22CB" w14:textId="4E61102E"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consumers, which can be various types of organi</w:t>
      </w:r>
      <w:r w:rsidR="00D75A7B" w:rsidRPr="00400193">
        <w:rPr>
          <w:szCs w:val="24"/>
          <w:lang w:eastAsia="zh-CN" w:bidi="hi-IN"/>
        </w:rPr>
        <w:t>s</w:t>
      </w:r>
      <w:r w:rsidRPr="00400193">
        <w:rPr>
          <w:szCs w:val="24"/>
          <w:lang w:eastAsia="zh-CN" w:bidi="hi-IN"/>
        </w:rPr>
        <w:t>ations or individuals; and</w:t>
      </w:r>
    </w:p>
    <w:p w14:paraId="29C295B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providers, which include service providers.</w:t>
      </w:r>
    </w:p>
    <w:p w14:paraId="28F5A03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Thus, this International Standard also provides a framework for</w:t>
      </w:r>
    </w:p>
    <w:p w14:paraId="7210FE1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information sharing,</w:t>
      </w:r>
    </w:p>
    <w:p w14:paraId="10F02EC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coordination, and</w:t>
      </w:r>
    </w:p>
    <w:p w14:paraId="693EE57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 incident handling.</w:t>
      </w:r>
    </w:p>
    <w:p w14:paraId="2CF55B3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 framework includes</w:t>
      </w:r>
    </w:p>
    <w:p w14:paraId="5BB9698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key elements of considerations for establishing trust,</w:t>
      </w:r>
    </w:p>
    <w:p w14:paraId="731164D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necessary processes for collaboration and information exchange and sharing, as well as</w:t>
      </w:r>
    </w:p>
    <w:p w14:paraId="7D57347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technical requirements for systems integration and interoperability between different stakeholders.</w:t>
      </w:r>
    </w:p>
    <w:p w14:paraId="1583E23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Given the scope of this International Standard, the controls provided are necessarily at a high level. Detailed technical specification standards and guidelines applicable to each area are referenced within this International Standard for further guidance.” (ISO/IEC, 2012, p. 1)</w:t>
      </w:r>
    </w:p>
    <w:p w14:paraId="7F8B1C7E" w14:textId="77777777" w:rsidR="006E3616" w:rsidRPr="00400193" w:rsidRDefault="006E3616" w:rsidP="006E3616">
      <w:pPr>
        <w:suppressAutoHyphens/>
        <w:spacing w:before="120" w:after="120" w:line="240" w:lineRule="auto"/>
        <w:rPr>
          <w:szCs w:val="24"/>
          <w:lang w:eastAsia="zh-CN" w:bidi="hi-IN"/>
        </w:rPr>
      </w:pPr>
    </w:p>
    <w:p w14:paraId="6B433676" w14:textId="57550BC3" w:rsidR="006E3616" w:rsidRPr="00400193" w:rsidRDefault="006E3616" w:rsidP="00A45F81">
      <w:pPr>
        <w:suppressAutoHyphens/>
        <w:spacing w:before="120" w:after="120" w:line="240" w:lineRule="auto"/>
        <w:rPr>
          <w:b/>
          <w:i/>
          <w:szCs w:val="24"/>
          <w:lang w:eastAsia="zh-CN" w:bidi="hi-IN"/>
        </w:rPr>
      </w:pPr>
      <w:bookmarkStart w:id="968" w:name="_10kxoro"/>
      <w:bookmarkEnd w:id="968"/>
    </w:p>
    <w:p w14:paraId="5EBDD3C1" w14:textId="77777777" w:rsidR="006B007F" w:rsidRPr="00400193" w:rsidRDefault="006B007F">
      <w:pPr>
        <w:spacing w:line="259" w:lineRule="auto"/>
        <w:jc w:val="left"/>
        <w:rPr>
          <w:b/>
          <w:i/>
          <w:iCs/>
          <w:szCs w:val="18"/>
        </w:rPr>
      </w:pPr>
      <w:bookmarkStart w:id="969" w:name="_Ref50740330"/>
      <w:bookmarkStart w:id="970" w:name="_Toc50645170"/>
      <w:r w:rsidRPr="00400193">
        <w:br w:type="page"/>
      </w:r>
    </w:p>
    <w:p w14:paraId="7A5FBB9A" w14:textId="6D498E5E" w:rsidR="00A45F81" w:rsidRPr="00400193" w:rsidRDefault="00A45F81" w:rsidP="00A45F81">
      <w:pPr>
        <w:pStyle w:val="Caption"/>
        <w:keepNext/>
      </w:pPr>
      <w:bookmarkStart w:id="971" w:name="_Ref52721193"/>
      <w:r w:rsidRPr="00400193">
        <w:lastRenderedPageBreak/>
        <w:t xml:space="preserve">Appendix </w:t>
      </w:r>
      <w:r w:rsidR="003F006D" w:rsidRPr="00400193">
        <w:fldChar w:fldCharType="begin"/>
      </w:r>
      <w:r w:rsidR="003F006D" w:rsidRPr="00400193">
        <w:instrText xml:space="preserve"> SEQ Appendix \* ARABIC </w:instrText>
      </w:r>
      <w:r w:rsidR="003F006D" w:rsidRPr="00400193">
        <w:fldChar w:fldCharType="separate"/>
      </w:r>
      <w:r w:rsidR="00BB7C18">
        <w:rPr>
          <w:noProof/>
        </w:rPr>
        <w:t>2</w:t>
      </w:r>
      <w:r w:rsidR="003F006D" w:rsidRPr="00400193">
        <w:fldChar w:fldCharType="end"/>
      </w:r>
      <w:bookmarkEnd w:id="969"/>
      <w:bookmarkEnd w:id="971"/>
      <w:r w:rsidRPr="00400193">
        <w:t>: The relevant ISO/IEC 27k standards</w:t>
      </w:r>
      <w:bookmarkEnd w:id="970"/>
    </w:p>
    <w:tbl>
      <w:tblPr>
        <w:tblStyle w:val="PlainTable2"/>
        <w:tblW w:w="0" w:type="auto"/>
        <w:tblLook w:val="04A0" w:firstRow="1" w:lastRow="0" w:firstColumn="1" w:lastColumn="0" w:noHBand="0" w:noVBand="1"/>
      </w:tblPr>
      <w:tblGrid>
        <w:gridCol w:w="1417"/>
        <w:gridCol w:w="2158"/>
        <w:gridCol w:w="1839"/>
        <w:gridCol w:w="3612"/>
      </w:tblGrid>
      <w:tr w:rsidR="00A0618E" w:rsidRPr="00400193" w14:paraId="30B9B696" w14:textId="77777777" w:rsidTr="006B00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3910FBFA"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ISO/IEC Standard Number</w:t>
            </w:r>
          </w:p>
        </w:tc>
        <w:tc>
          <w:tcPr>
            <w:tcW w:w="2126" w:type="dxa"/>
            <w:vAlign w:val="center"/>
          </w:tcPr>
          <w:p w14:paraId="5B9F874D" w14:textId="77777777" w:rsidR="006B007F" w:rsidRPr="00400193" w:rsidRDefault="006B007F" w:rsidP="006B007F">
            <w:pPr>
              <w:suppressAutoHyphens/>
              <w:spacing w:line="240" w:lineRule="auto"/>
              <w:jc w:val="left"/>
              <w:cnfStyle w:val="100000000000" w:firstRow="1"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Year/Area</w:t>
            </w:r>
          </w:p>
        </w:tc>
        <w:tc>
          <w:tcPr>
            <w:tcW w:w="1843" w:type="dxa"/>
            <w:vAlign w:val="center"/>
          </w:tcPr>
          <w:p w14:paraId="12167AE1" w14:textId="77777777" w:rsidR="006B007F" w:rsidRPr="00400193" w:rsidRDefault="006B007F" w:rsidP="006B007F">
            <w:pPr>
              <w:suppressAutoHyphens/>
              <w:spacing w:line="240" w:lineRule="auto"/>
              <w:jc w:val="left"/>
              <w:cnfStyle w:val="100000000000" w:firstRow="1"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Sub Area</w:t>
            </w:r>
          </w:p>
        </w:tc>
        <w:tc>
          <w:tcPr>
            <w:tcW w:w="3629" w:type="dxa"/>
            <w:vAlign w:val="center"/>
          </w:tcPr>
          <w:p w14:paraId="0374BE6B" w14:textId="77777777" w:rsidR="006B007F" w:rsidRPr="00400193" w:rsidRDefault="006B007F" w:rsidP="006B007F">
            <w:pPr>
              <w:suppressAutoHyphens/>
              <w:spacing w:line="240" w:lineRule="auto"/>
              <w:jc w:val="left"/>
              <w:cnfStyle w:val="100000000000" w:firstRow="1"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Title</w:t>
            </w:r>
          </w:p>
        </w:tc>
      </w:tr>
      <w:tr w:rsidR="00A0618E" w:rsidRPr="00400193" w14:paraId="2ED53517"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5F9E564E"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27031:</w:t>
            </w:r>
          </w:p>
        </w:tc>
        <w:tc>
          <w:tcPr>
            <w:tcW w:w="2126" w:type="dxa"/>
            <w:vAlign w:val="center"/>
          </w:tcPr>
          <w:p w14:paraId="5861E8EB" w14:textId="4EE0711C"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2011/Information technology</w:t>
            </w:r>
          </w:p>
        </w:tc>
        <w:tc>
          <w:tcPr>
            <w:tcW w:w="1843" w:type="dxa"/>
            <w:vAlign w:val="center"/>
          </w:tcPr>
          <w:p w14:paraId="3F315F81"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6429B36C"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Guidelines for information and communications technology readiness for business continuity</w:t>
            </w:r>
          </w:p>
        </w:tc>
      </w:tr>
      <w:tr w:rsidR="00A0618E" w:rsidRPr="00400193" w14:paraId="25A8E661"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44627AB0"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27032:</w:t>
            </w:r>
          </w:p>
        </w:tc>
        <w:tc>
          <w:tcPr>
            <w:tcW w:w="2126" w:type="dxa"/>
            <w:vAlign w:val="center"/>
          </w:tcPr>
          <w:p w14:paraId="110988C8" w14:textId="69FCAAA1"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2012/Information technology</w:t>
            </w:r>
          </w:p>
        </w:tc>
        <w:tc>
          <w:tcPr>
            <w:tcW w:w="1843" w:type="dxa"/>
            <w:vAlign w:val="center"/>
          </w:tcPr>
          <w:p w14:paraId="35D12824"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33FDAB7F"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Guidelines for cybersecurity</w:t>
            </w:r>
          </w:p>
        </w:tc>
      </w:tr>
      <w:tr w:rsidR="00A0618E" w:rsidRPr="00400193" w14:paraId="15A6ACAB"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5B9AD667"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27033:</w:t>
            </w:r>
          </w:p>
        </w:tc>
        <w:tc>
          <w:tcPr>
            <w:tcW w:w="2126" w:type="dxa"/>
            <w:vAlign w:val="center"/>
          </w:tcPr>
          <w:p w14:paraId="5E200BFA" w14:textId="0DF1B863"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2010+/Information technology</w:t>
            </w:r>
          </w:p>
        </w:tc>
        <w:tc>
          <w:tcPr>
            <w:tcW w:w="1843" w:type="dxa"/>
            <w:vAlign w:val="center"/>
          </w:tcPr>
          <w:p w14:paraId="0E785881"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39E808CE"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Network security</w:t>
            </w:r>
          </w:p>
        </w:tc>
      </w:tr>
      <w:tr w:rsidR="00A0618E" w:rsidRPr="00400193" w14:paraId="291D9232"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363AC9D4"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27034:</w:t>
            </w:r>
          </w:p>
        </w:tc>
        <w:tc>
          <w:tcPr>
            <w:tcW w:w="2126" w:type="dxa"/>
            <w:vAlign w:val="center"/>
          </w:tcPr>
          <w:p w14:paraId="085D9C37" w14:textId="3977E4D6"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2011+/Information technology</w:t>
            </w:r>
          </w:p>
        </w:tc>
        <w:tc>
          <w:tcPr>
            <w:tcW w:w="1843" w:type="dxa"/>
            <w:vAlign w:val="center"/>
          </w:tcPr>
          <w:p w14:paraId="0A3EA76D"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20A9B1FA"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Application security</w:t>
            </w:r>
          </w:p>
        </w:tc>
      </w:tr>
      <w:tr w:rsidR="00A0618E" w:rsidRPr="00400193" w14:paraId="7A4F1546"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6E7E61DA"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27035:</w:t>
            </w:r>
          </w:p>
        </w:tc>
        <w:tc>
          <w:tcPr>
            <w:tcW w:w="2126" w:type="dxa"/>
            <w:vAlign w:val="center"/>
          </w:tcPr>
          <w:p w14:paraId="017CD24C" w14:textId="63342FA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2016/Information technology</w:t>
            </w:r>
          </w:p>
        </w:tc>
        <w:tc>
          <w:tcPr>
            <w:tcW w:w="1843" w:type="dxa"/>
            <w:vAlign w:val="center"/>
          </w:tcPr>
          <w:p w14:paraId="2C9C68E1"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07704D38"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Information security incident management</w:t>
            </w:r>
          </w:p>
        </w:tc>
      </w:tr>
      <w:tr w:rsidR="00A0618E" w:rsidRPr="00400193" w14:paraId="7F0F7473"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46F02244"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27036:</w:t>
            </w:r>
          </w:p>
        </w:tc>
        <w:tc>
          <w:tcPr>
            <w:tcW w:w="2126" w:type="dxa"/>
            <w:vAlign w:val="center"/>
          </w:tcPr>
          <w:p w14:paraId="055F684B" w14:textId="16B9C6C4"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2013+/IT Security</w:t>
            </w:r>
          </w:p>
        </w:tc>
        <w:tc>
          <w:tcPr>
            <w:tcW w:w="1843" w:type="dxa"/>
            <w:vAlign w:val="center"/>
          </w:tcPr>
          <w:p w14:paraId="3830B3B4"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3F6ACB8B"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Information security for supplier relationships</w:t>
            </w:r>
          </w:p>
        </w:tc>
      </w:tr>
      <w:tr w:rsidR="00A0618E" w:rsidRPr="00400193" w14:paraId="5AA279EF"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0EF361A2"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27037:</w:t>
            </w:r>
          </w:p>
        </w:tc>
        <w:tc>
          <w:tcPr>
            <w:tcW w:w="2126" w:type="dxa"/>
            <w:vAlign w:val="center"/>
          </w:tcPr>
          <w:p w14:paraId="29F52F16" w14:textId="7402E3E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2012/Information technology</w:t>
            </w:r>
          </w:p>
        </w:tc>
        <w:tc>
          <w:tcPr>
            <w:tcW w:w="1843" w:type="dxa"/>
            <w:vAlign w:val="center"/>
          </w:tcPr>
          <w:p w14:paraId="3E1C316A"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5AA081DA"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Guidelines for identification, collection, acquisition, and preservation of digital evidence</w:t>
            </w:r>
          </w:p>
        </w:tc>
      </w:tr>
      <w:tr w:rsidR="00A0618E" w:rsidRPr="00400193" w14:paraId="283AB27E"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262CBBB0"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27038:</w:t>
            </w:r>
          </w:p>
        </w:tc>
        <w:tc>
          <w:tcPr>
            <w:tcW w:w="2126" w:type="dxa"/>
            <w:vAlign w:val="center"/>
          </w:tcPr>
          <w:p w14:paraId="1D291E10" w14:textId="1F5CF2A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2014/Information technology</w:t>
            </w:r>
          </w:p>
        </w:tc>
        <w:tc>
          <w:tcPr>
            <w:tcW w:w="1843" w:type="dxa"/>
            <w:vAlign w:val="center"/>
          </w:tcPr>
          <w:p w14:paraId="4D731E75"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546455C1"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Specification for digital redaction</w:t>
            </w:r>
          </w:p>
        </w:tc>
      </w:tr>
      <w:tr w:rsidR="00A0618E" w:rsidRPr="00400193" w14:paraId="17E65E88"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6EDE5C65"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27039:</w:t>
            </w:r>
          </w:p>
        </w:tc>
        <w:tc>
          <w:tcPr>
            <w:tcW w:w="2126" w:type="dxa"/>
            <w:vAlign w:val="center"/>
          </w:tcPr>
          <w:p w14:paraId="638B799D" w14:textId="5FBEBD53"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2015/Information technology</w:t>
            </w:r>
          </w:p>
        </w:tc>
        <w:tc>
          <w:tcPr>
            <w:tcW w:w="1843" w:type="dxa"/>
            <w:vAlign w:val="center"/>
          </w:tcPr>
          <w:p w14:paraId="78C55DAA"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46A73699"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Selection, deployment and operation of intrusion detection and prevention systems (IDPS)</w:t>
            </w:r>
          </w:p>
        </w:tc>
      </w:tr>
      <w:tr w:rsidR="00A0618E" w:rsidRPr="00400193" w14:paraId="7511887C"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7BC53DCD"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27040:</w:t>
            </w:r>
          </w:p>
        </w:tc>
        <w:tc>
          <w:tcPr>
            <w:tcW w:w="2126" w:type="dxa"/>
            <w:vAlign w:val="center"/>
          </w:tcPr>
          <w:p w14:paraId="58E0DCBA" w14:textId="38B14759"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2015/Information technology</w:t>
            </w:r>
          </w:p>
        </w:tc>
        <w:tc>
          <w:tcPr>
            <w:tcW w:w="1843" w:type="dxa"/>
            <w:vAlign w:val="center"/>
          </w:tcPr>
          <w:p w14:paraId="4580C421"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77F109CA"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Storage security</w:t>
            </w:r>
          </w:p>
        </w:tc>
      </w:tr>
      <w:tr w:rsidR="00A0618E" w:rsidRPr="00400193" w14:paraId="0716FFCF"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3CADF1DC"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27041:</w:t>
            </w:r>
          </w:p>
        </w:tc>
        <w:tc>
          <w:tcPr>
            <w:tcW w:w="2126" w:type="dxa"/>
            <w:vAlign w:val="center"/>
          </w:tcPr>
          <w:p w14:paraId="782465A7" w14:textId="31F413F2"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2015/Information technology</w:t>
            </w:r>
          </w:p>
        </w:tc>
        <w:tc>
          <w:tcPr>
            <w:tcW w:w="1843" w:type="dxa"/>
            <w:vAlign w:val="center"/>
          </w:tcPr>
          <w:p w14:paraId="275CA49E"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2823F912"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Guidance on assuring suitability and adequacy of incident investigative methods</w:t>
            </w:r>
          </w:p>
        </w:tc>
      </w:tr>
      <w:tr w:rsidR="00A0618E" w:rsidRPr="00400193" w14:paraId="7335FAC4"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18605AA1"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27042:</w:t>
            </w:r>
          </w:p>
        </w:tc>
        <w:tc>
          <w:tcPr>
            <w:tcW w:w="2126" w:type="dxa"/>
            <w:vAlign w:val="center"/>
          </w:tcPr>
          <w:p w14:paraId="43818F55" w14:textId="5BFC68AD"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2015/Information technology</w:t>
            </w:r>
          </w:p>
        </w:tc>
        <w:tc>
          <w:tcPr>
            <w:tcW w:w="1843" w:type="dxa"/>
            <w:vAlign w:val="center"/>
          </w:tcPr>
          <w:p w14:paraId="5C64763C"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1518CB25"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Guidelines for the analysis and interpretation of digital evidence</w:t>
            </w:r>
          </w:p>
        </w:tc>
      </w:tr>
      <w:tr w:rsidR="00A0618E" w:rsidRPr="00400193" w14:paraId="7B0A0B61" w14:textId="77777777" w:rsidTr="006B00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78E23779"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27043:</w:t>
            </w:r>
          </w:p>
        </w:tc>
        <w:tc>
          <w:tcPr>
            <w:tcW w:w="2126" w:type="dxa"/>
            <w:vAlign w:val="center"/>
          </w:tcPr>
          <w:p w14:paraId="197709FB" w14:textId="639C8759"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2015/Information technology</w:t>
            </w:r>
          </w:p>
        </w:tc>
        <w:tc>
          <w:tcPr>
            <w:tcW w:w="1843" w:type="dxa"/>
            <w:vAlign w:val="center"/>
          </w:tcPr>
          <w:p w14:paraId="06C6A0C1"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0D11B2EE" w14:textId="77777777" w:rsidR="006B007F" w:rsidRPr="00400193" w:rsidRDefault="006B007F" w:rsidP="006B007F">
            <w:pPr>
              <w:suppressAutoHyphens/>
              <w:spacing w:line="240" w:lineRule="auto"/>
              <w:jc w:val="left"/>
              <w:cnfStyle w:val="000000100000" w:firstRow="0" w:lastRow="0" w:firstColumn="0" w:lastColumn="0" w:oddVBand="0" w:evenVBand="0" w:oddHBand="1" w:evenHBand="0" w:firstRowFirstColumn="0" w:firstRowLastColumn="0" w:lastRowFirstColumn="0" w:lastRowLastColumn="0"/>
              <w:rPr>
                <w:szCs w:val="24"/>
                <w:lang w:eastAsia="zh-CN" w:bidi="hi-IN"/>
              </w:rPr>
            </w:pPr>
            <w:r w:rsidRPr="00400193">
              <w:rPr>
                <w:szCs w:val="24"/>
                <w:lang w:eastAsia="zh-CN" w:bidi="hi-IN"/>
              </w:rPr>
              <w:t>Incident investigation principles and processes</w:t>
            </w:r>
          </w:p>
        </w:tc>
      </w:tr>
      <w:tr w:rsidR="00A0618E" w:rsidRPr="00400193" w14:paraId="7AF993F6" w14:textId="77777777" w:rsidTr="006B007F">
        <w:tc>
          <w:tcPr>
            <w:cnfStyle w:val="001000000000" w:firstRow="0" w:lastRow="0" w:firstColumn="1" w:lastColumn="0" w:oddVBand="0" w:evenVBand="0" w:oddHBand="0" w:evenHBand="0" w:firstRowFirstColumn="0" w:firstRowLastColumn="0" w:lastRowFirstColumn="0" w:lastRowLastColumn="0"/>
            <w:tcW w:w="1418" w:type="dxa"/>
            <w:vAlign w:val="center"/>
          </w:tcPr>
          <w:p w14:paraId="4B638DE9" w14:textId="77777777" w:rsidR="006B007F" w:rsidRPr="00400193" w:rsidRDefault="006B007F" w:rsidP="006B007F">
            <w:pPr>
              <w:suppressAutoHyphens/>
              <w:spacing w:line="240" w:lineRule="auto"/>
              <w:jc w:val="left"/>
              <w:rPr>
                <w:szCs w:val="24"/>
                <w:lang w:eastAsia="zh-CN" w:bidi="hi-IN"/>
              </w:rPr>
            </w:pPr>
            <w:r w:rsidRPr="00400193">
              <w:rPr>
                <w:szCs w:val="24"/>
                <w:lang w:eastAsia="zh-CN" w:bidi="hi-IN"/>
              </w:rPr>
              <w:t>27050:</w:t>
            </w:r>
          </w:p>
        </w:tc>
        <w:tc>
          <w:tcPr>
            <w:tcW w:w="2126" w:type="dxa"/>
            <w:vAlign w:val="center"/>
          </w:tcPr>
          <w:p w14:paraId="4547FF48" w14:textId="59BA2571"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2016+/Information technology</w:t>
            </w:r>
          </w:p>
        </w:tc>
        <w:tc>
          <w:tcPr>
            <w:tcW w:w="1843" w:type="dxa"/>
            <w:vAlign w:val="center"/>
          </w:tcPr>
          <w:p w14:paraId="76194C9D"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Security Techniques</w:t>
            </w:r>
          </w:p>
        </w:tc>
        <w:tc>
          <w:tcPr>
            <w:tcW w:w="3629" w:type="dxa"/>
            <w:vAlign w:val="center"/>
          </w:tcPr>
          <w:p w14:paraId="439D0C9C" w14:textId="77777777" w:rsidR="006B007F" w:rsidRPr="00400193" w:rsidRDefault="006B007F" w:rsidP="006B007F">
            <w:pPr>
              <w:suppressAutoHyphens/>
              <w:spacing w:line="240" w:lineRule="auto"/>
              <w:jc w:val="left"/>
              <w:cnfStyle w:val="000000000000" w:firstRow="0" w:lastRow="0" w:firstColumn="0" w:lastColumn="0" w:oddVBand="0" w:evenVBand="0" w:oddHBand="0" w:evenHBand="0" w:firstRowFirstColumn="0" w:firstRowLastColumn="0" w:lastRowFirstColumn="0" w:lastRowLastColumn="0"/>
              <w:rPr>
                <w:szCs w:val="24"/>
                <w:lang w:eastAsia="zh-CN" w:bidi="hi-IN"/>
              </w:rPr>
            </w:pPr>
            <w:r w:rsidRPr="00400193">
              <w:rPr>
                <w:szCs w:val="24"/>
                <w:lang w:eastAsia="zh-CN" w:bidi="hi-IN"/>
              </w:rPr>
              <w:t>Electronic discovery</w:t>
            </w:r>
          </w:p>
        </w:tc>
      </w:tr>
    </w:tbl>
    <w:p w14:paraId="1288A4E7" w14:textId="77777777" w:rsidR="006E3616" w:rsidRPr="00400193" w:rsidRDefault="006E3616" w:rsidP="006E3616">
      <w:pPr>
        <w:suppressAutoHyphens/>
        <w:spacing w:before="120" w:after="120" w:line="240" w:lineRule="auto"/>
        <w:rPr>
          <w:szCs w:val="24"/>
          <w:lang w:eastAsia="zh-CN" w:bidi="hi-IN"/>
        </w:rPr>
      </w:pPr>
    </w:p>
    <w:p w14:paraId="1F2ADA9B" w14:textId="77777777" w:rsidR="006E3616" w:rsidRPr="00400193" w:rsidRDefault="006E3616" w:rsidP="006E3616">
      <w:pPr>
        <w:suppressAutoHyphens/>
        <w:spacing w:before="120" w:after="120" w:line="240" w:lineRule="auto"/>
        <w:rPr>
          <w:szCs w:val="24"/>
          <w:lang w:eastAsia="zh-CN" w:bidi="hi-IN"/>
        </w:rPr>
      </w:pPr>
    </w:p>
    <w:p w14:paraId="4A1137FC" w14:textId="77777777" w:rsidR="006E3616" w:rsidRPr="00400193" w:rsidRDefault="006E3616" w:rsidP="006E3616">
      <w:pPr>
        <w:suppressAutoHyphens/>
        <w:spacing w:before="120" w:after="120" w:line="240" w:lineRule="auto"/>
        <w:rPr>
          <w:szCs w:val="24"/>
          <w:lang w:eastAsia="zh-CN" w:bidi="hi-IN"/>
        </w:rPr>
      </w:pPr>
    </w:p>
    <w:p w14:paraId="688C815F" w14:textId="6ACB24D4" w:rsidR="006E3616" w:rsidRPr="00400193" w:rsidRDefault="006E3616" w:rsidP="00A45F81">
      <w:pPr>
        <w:suppressAutoHyphens/>
        <w:spacing w:line="252" w:lineRule="auto"/>
        <w:jc w:val="left"/>
        <w:rPr>
          <w:szCs w:val="24"/>
          <w:lang w:eastAsia="zh-CN" w:bidi="hi-IN"/>
        </w:rPr>
      </w:pPr>
      <w:bookmarkStart w:id="972" w:name="_3kkl7fh"/>
      <w:bookmarkEnd w:id="972"/>
      <w:r w:rsidRPr="00400193">
        <w:rPr>
          <w:szCs w:val="24"/>
          <w:lang w:eastAsia="zh-CN" w:bidi="hi-IN"/>
        </w:rPr>
        <w:br w:type="page"/>
      </w:r>
      <w:bookmarkStart w:id="973" w:name="_1zpvhna"/>
      <w:bookmarkEnd w:id="973"/>
    </w:p>
    <w:p w14:paraId="714C1404" w14:textId="77777777" w:rsidR="006E3616" w:rsidRPr="00400193" w:rsidRDefault="006E3616" w:rsidP="006E3616">
      <w:pPr>
        <w:pStyle w:val="Caption"/>
        <w:keepNext/>
      </w:pPr>
    </w:p>
    <w:p w14:paraId="2B3D6B40" w14:textId="4F8E85EB" w:rsidR="00A45F81" w:rsidRPr="00400193" w:rsidRDefault="00A45F81" w:rsidP="00A45F81">
      <w:pPr>
        <w:pStyle w:val="Caption"/>
        <w:keepNext/>
      </w:pPr>
      <w:bookmarkStart w:id="974" w:name="_Ref50740418"/>
      <w:bookmarkStart w:id="975" w:name="_Toc50645171"/>
      <w:r w:rsidRPr="00400193">
        <w:t xml:space="preserve">Appendix </w:t>
      </w:r>
      <w:r w:rsidR="003F006D" w:rsidRPr="00400193">
        <w:fldChar w:fldCharType="begin"/>
      </w:r>
      <w:r w:rsidR="003F006D" w:rsidRPr="00400193">
        <w:instrText xml:space="preserve"> SEQ Appendix \* ARABIC </w:instrText>
      </w:r>
      <w:r w:rsidR="003F006D" w:rsidRPr="00400193">
        <w:fldChar w:fldCharType="separate"/>
      </w:r>
      <w:r w:rsidR="00BB7C18">
        <w:rPr>
          <w:noProof/>
        </w:rPr>
        <w:t>3</w:t>
      </w:r>
      <w:r w:rsidR="003F006D" w:rsidRPr="00400193">
        <w:fldChar w:fldCharType="end"/>
      </w:r>
      <w:bookmarkEnd w:id="974"/>
      <w:r w:rsidRPr="00400193">
        <w:t>: Sample of Questionnaire</w:t>
      </w:r>
      <w:bookmarkEnd w:id="975"/>
    </w:p>
    <w:p w14:paraId="0EA8DCF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Dear Participant,</w:t>
      </w:r>
    </w:p>
    <w:p w14:paraId="7F326903" w14:textId="34D3361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I am a PhD Candidate at the British University of </w:t>
      </w:r>
      <w:r w:rsidR="00B34B6C" w:rsidRPr="00400193">
        <w:rPr>
          <w:szCs w:val="24"/>
          <w:lang w:eastAsia="zh-CN" w:bidi="hi-IN"/>
        </w:rPr>
        <w:t>Dubai,</w:t>
      </w:r>
      <w:r w:rsidRPr="00400193">
        <w:rPr>
          <w:szCs w:val="24"/>
          <w:lang w:eastAsia="zh-CN" w:bidi="hi-IN"/>
        </w:rPr>
        <w:t xml:space="preserve"> UAE and this survey is part of my research for my PhD dissertation. My study aims at exploring and examining the level of cyber-risk resilience among </w:t>
      </w:r>
      <w:r w:rsidR="006D4B79" w:rsidRPr="00400193">
        <w:rPr>
          <w:szCs w:val="24"/>
          <w:lang w:eastAsia="zh-CN" w:bidi="hi-IN"/>
        </w:rPr>
        <w:t>UAE</w:t>
      </w:r>
      <w:r w:rsidRPr="00400193">
        <w:rPr>
          <w:szCs w:val="24"/>
          <w:lang w:eastAsia="zh-CN" w:bidi="hi-IN"/>
        </w:rPr>
        <w:t xml:space="preserve"> government employees. </w:t>
      </w:r>
    </w:p>
    <w:p w14:paraId="4BF3A48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Today, most government executives express high levels of confidence that their cybersecurity strategies are achieving the desired outcomes. However, confidence levels begin to drop when people are asked about their organisation’s resilience against internal cyber-risks, and particularly their ability to monitor, identify and measure breaches internally.</w:t>
      </w:r>
    </w:p>
    <w:p w14:paraId="5CFAD1F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The primary aim of this study is to critically examine the level of cyber-risk resilience in United Arab Emirates government organisations. It is hoped to support government executives by providing an assessment tool to identify the maturity level of cyber-resilience practices, and culture inside their organisations. An examination of cyber-risk resilience will provide insights for government organisations into their current cyber-risk policies, helping them to mitigate risks, and identify possible future breaches. </w:t>
      </w:r>
    </w:p>
    <w:p w14:paraId="1D56AAA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Your input will help us to understand cybersecurity practices inside government organisations. This in turn will help to ensure the safe and secure provision of online services, with procedures in place to protect both organisations and customers.</w:t>
      </w:r>
    </w:p>
    <w:p w14:paraId="20DEB1E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 estimate that it will take you approximately 20–25 minutes to complete the survey.</w:t>
      </w:r>
    </w:p>
    <w:p w14:paraId="1A5B927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All individual responses will remain confidential and study data will be integrated and analysed as a whole. The research outcome will be reported in a summary form to protect confidentiality.</w:t>
      </w:r>
    </w:p>
    <w:p w14:paraId="460F4EE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If you have any concerns or questions about the questionnaire or about participating in this research, you can reach me via e-mail at --------------</w:t>
      </w:r>
    </w:p>
    <w:p w14:paraId="5453B68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Alternatively, you may communicate with the Director of Studies, Professor ----------- by phone at ------------- or e-mail at ------------------</w:t>
      </w:r>
    </w:p>
    <w:p w14:paraId="2A8F6B5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Thank you for your time and support and I look forward to sharing the results of this survey with all of those who participated.</w:t>
      </w:r>
    </w:p>
    <w:p w14:paraId="5B157E7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Yours sincerely,</w:t>
      </w:r>
    </w:p>
    <w:p w14:paraId="62A2366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Saeed Alshehhi</w:t>
      </w:r>
    </w:p>
    <w:p w14:paraId="040D378E" w14:textId="77777777" w:rsidR="006E3616" w:rsidRPr="00400193" w:rsidRDefault="006E3616" w:rsidP="006E3616">
      <w:pPr>
        <w:suppressAutoHyphens/>
        <w:spacing w:before="120" w:after="120" w:line="240" w:lineRule="auto"/>
        <w:rPr>
          <w:szCs w:val="24"/>
          <w:lang w:eastAsia="zh-CN" w:bidi="hi-IN"/>
        </w:rPr>
      </w:pPr>
    </w:p>
    <w:p w14:paraId="0A18EFE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CONSENT SHEET</w:t>
      </w:r>
      <w:r w:rsidRPr="00400193">
        <w:rPr>
          <w:szCs w:val="24"/>
          <w:lang w:eastAsia="zh-CN" w:bidi="hi-IN"/>
        </w:rPr>
        <w:tab/>
      </w:r>
    </w:p>
    <w:p w14:paraId="79B8E01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complete this form after you have read the Information Sheet above</w:t>
      </w:r>
    </w:p>
    <w:p w14:paraId="4479A46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Title of Study: Resilience to cybersecurity risks in the public sector</w:t>
      </w:r>
    </w:p>
    <w:p w14:paraId="09A4D95D" w14:textId="77777777" w:rsidR="006E3616" w:rsidRPr="00400193" w:rsidRDefault="006E3616" w:rsidP="006E3616">
      <w:pPr>
        <w:suppressAutoHyphens/>
        <w:spacing w:before="120" w:after="120" w:line="240" w:lineRule="auto"/>
        <w:rPr>
          <w:szCs w:val="24"/>
          <w:lang w:eastAsia="zh-CN" w:bidi="hi-IN"/>
        </w:rPr>
      </w:pPr>
    </w:p>
    <w:p w14:paraId="1433856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Thank you for considering taking part in this research. The first page of this survey is designed to explain the research to you before you agree to take part. If you have any questions as a result, please feel free to get in touch with the researcher (-------------------) before you decide whether to join in. </w:t>
      </w:r>
    </w:p>
    <w:p w14:paraId="17907D62" w14:textId="77777777" w:rsidR="006E3616" w:rsidRPr="00400193" w:rsidRDefault="006E3616" w:rsidP="006E3616">
      <w:pPr>
        <w:suppressAutoHyphens/>
        <w:spacing w:before="120" w:after="120" w:line="240" w:lineRule="auto"/>
        <w:rPr>
          <w:szCs w:val="24"/>
          <w:lang w:eastAsia="zh-CN" w:bidi="hi-IN"/>
        </w:rPr>
      </w:pPr>
    </w:p>
    <w:p w14:paraId="1D26D35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tick or initial</w:t>
      </w:r>
    </w:p>
    <w:p w14:paraId="7586C06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 understand that if I decide at any time before the research data collection that I no longer wish to participate in this project, I can notify the researcher and withdraw from it immediately without giving any reason. I understand that the nature of the online survey data collection means that it may not be possible to withdraw my data after taking part.</w:t>
      </w:r>
      <w:r w:rsidRPr="00400193">
        <w:rPr>
          <w:szCs w:val="24"/>
          <w:lang w:eastAsia="zh-CN" w:bidi="hi-IN"/>
        </w:rPr>
        <w:tab/>
      </w:r>
    </w:p>
    <w:p w14:paraId="4D8FABF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 consent to the processing of my personal information for the purposes explained in the information sheet above. I understand that such information will be handled in accordance with the UAE laws and regulations on privacy and data protection.</w:t>
      </w:r>
      <w:r w:rsidRPr="00400193">
        <w:rPr>
          <w:szCs w:val="24"/>
          <w:lang w:eastAsia="zh-CN" w:bidi="hi-IN"/>
        </w:rPr>
        <w:tab/>
      </w:r>
    </w:p>
    <w:p w14:paraId="1BC53BD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 understand that the outcomes of this study will be published as part of a dissertation, and if I would like to receive a copy, I will email the researcher. I consent to my information being anonymously stored for use in future research.</w:t>
      </w:r>
      <w:r w:rsidRPr="00400193">
        <w:rPr>
          <w:szCs w:val="24"/>
          <w:lang w:eastAsia="zh-CN" w:bidi="hi-IN"/>
        </w:rPr>
        <w:tab/>
      </w:r>
    </w:p>
    <w:p w14:paraId="7894518F" w14:textId="77777777" w:rsidR="006E3616" w:rsidRPr="00400193" w:rsidRDefault="006E3616" w:rsidP="006E3616">
      <w:pPr>
        <w:suppressAutoHyphens/>
        <w:spacing w:before="120" w:after="120" w:line="240" w:lineRule="auto"/>
        <w:rPr>
          <w:szCs w:val="24"/>
          <w:lang w:eastAsia="zh-CN" w:bidi="hi-IN"/>
        </w:rPr>
      </w:pPr>
    </w:p>
    <w:p w14:paraId="6D09C13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Participant’s statement:</w:t>
      </w:r>
    </w:p>
    <w:p w14:paraId="2A46A5A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 I _____________________________________________________________________ </w:t>
      </w:r>
    </w:p>
    <w:p w14:paraId="734E2B4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agree to take part in the study. I have read both the notes written above and the Information Sheet about the project, and understand what the research study involves</w:t>
      </w:r>
    </w:p>
    <w:p w14:paraId="18DEDEF8" w14:textId="77777777" w:rsidR="006E3616" w:rsidRPr="00400193" w:rsidRDefault="006E3616" w:rsidP="006E3616">
      <w:pPr>
        <w:suppressAutoHyphens/>
        <w:spacing w:before="120" w:after="120" w:line="240" w:lineRule="auto"/>
        <w:rPr>
          <w:szCs w:val="24"/>
          <w:lang w:eastAsia="zh-CN" w:bidi="hi-IN"/>
        </w:rPr>
      </w:pPr>
    </w:p>
    <w:p w14:paraId="391C8EF6" w14:textId="77777777" w:rsidR="006E3616" w:rsidRPr="00400193" w:rsidRDefault="006E3616" w:rsidP="006E3616">
      <w:pPr>
        <w:suppressAutoHyphens/>
        <w:spacing w:before="120" w:after="120" w:line="240" w:lineRule="auto"/>
        <w:rPr>
          <w:szCs w:val="24"/>
          <w:lang w:eastAsia="zh-CN" w:bidi="hi-IN"/>
        </w:rPr>
      </w:pPr>
    </w:p>
    <w:p w14:paraId="17A5360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Signed</w:t>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t>Date</w:t>
      </w:r>
    </w:p>
    <w:p w14:paraId="381783E3" w14:textId="77777777" w:rsidR="006E3616" w:rsidRPr="00400193" w:rsidRDefault="006E3616" w:rsidP="006E3616">
      <w:pPr>
        <w:suppressAutoHyphens/>
        <w:spacing w:before="120" w:after="120" w:line="240" w:lineRule="auto"/>
        <w:rPr>
          <w:szCs w:val="24"/>
          <w:lang w:eastAsia="zh-CN" w:bidi="hi-IN"/>
        </w:rPr>
      </w:pPr>
    </w:p>
    <w:p w14:paraId="792B7C45" w14:textId="77777777" w:rsidR="006E3616" w:rsidRPr="00400193" w:rsidRDefault="006E3616" w:rsidP="006E3616">
      <w:pPr>
        <w:suppressAutoHyphens/>
        <w:spacing w:before="120" w:after="120" w:line="240" w:lineRule="auto"/>
        <w:rPr>
          <w:szCs w:val="24"/>
          <w:lang w:eastAsia="zh-CN" w:bidi="hi-IN"/>
        </w:rPr>
      </w:pPr>
    </w:p>
    <w:p w14:paraId="144B56F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Note: You can print a copy of this Consent Form to keep and refer to at any time.</w:t>
      </w:r>
    </w:p>
    <w:p w14:paraId="2954B506" w14:textId="77777777" w:rsidR="006E3616" w:rsidRPr="00400193" w:rsidRDefault="006E3616" w:rsidP="006E3616">
      <w:pPr>
        <w:suppressAutoHyphens/>
        <w:spacing w:before="120" w:after="120" w:line="240" w:lineRule="auto"/>
        <w:rPr>
          <w:szCs w:val="24"/>
          <w:lang w:eastAsia="zh-CN" w:bidi="hi-IN"/>
        </w:rPr>
      </w:pPr>
    </w:p>
    <w:p w14:paraId="31B178DA" w14:textId="77777777" w:rsidR="006E3616" w:rsidRPr="00400193" w:rsidRDefault="006E3616" w:rsidP="006E3616">
      <w:pPr>
        <w:suppressAutoHyphens/>
        <w:spacing w:before="120" w:after="120" w:line="240" w:lineRule="auto"/>
        <w:rPr>
          <w:szCs w:val="24"/>
          <w:lang w:eastAsia="zh-CN" w:bidi="hi-IN"/>
        </w:rPr>
      </w:pPr>
    </w:p>
    <w:p w14:paraId="00761C97" w14:textId="77777777" w:rsidR="006E3616" w:rsidRPr="00400193" w:rsidRDefault="006E3616" w:rsidP="006E3616">
      <w:pPr>
        <w:suppressAutoHyphens/>
        <w:spacing w:before="120" w:after="120" w:line="240" w:lineRule="auto"/>
        <w:rPr>
          <w:szCs w:val="24"/>
          <w:lang w:eastAsia="zh-CN" w:bidi="hi-IN"/>
        </w:rPr>
      </w:pPr>
    </w:p>
    <w:p w14:paraId="4E3374B7" w14:textId="77777777" w:rsidR="006E3616" w:rsidRPr="00400193" w:rsidRDefault="006E3616" w:rsidP="006E3616">
      <w:pPr>
        <w:suppressAutoHyphens/>
        <w:spacing w:before="120" w:after="120" w:line="240" w:lineRule="auto"/>
        <w:rPr>
          <w:szCs w:val="24"/>
          <w:lang w:eastAsia="zh-CN" w:bidi="hi-IN"/>
        </w:rPr>
      </w:pPr>
    </w:p>
    <w:p w14:paraId="27118299" w14:textId="77777777" w:rsidR="006E3616" w:rsidRPr="00400193" w:rsidRDefault="006E3616" w:rsidP="006E3616">
      <w:pPr>
        <w:suppressAutoHyphens/>
        <w:spacing w:before="120" w:after="120" w:line="240" w:lineRule="auto"/>
        <w:rPr>
          <w:szCs w:val="24"/>
          <w:lang w:eastAsia="zh-CN" w:bidi="hi-IN"/>
        </w:rPr>
      </w:pPr>
    </w:p>
    <w:p w14:paraId="65CBFF05" w14:textId="77777777" w:rsidR="006E3616" w:rsidRPr="00400193" w:rsidRDefault="006E3616" w:rsidP="006E3616">
      <w:pPr>
        <w:suppressAutoHyphens/>
        <w:spacing w:before="120" w:after="120" w:line="240" w:lineRule="auto"/>
        <w:rPr>
          <w:szCs w:val="24"/>
          <w:lang w:eastAsia="zh-CN" w:bidi="hi-IN"/>
        </w:rPr>
      </w:pPr>
    </w:p>
    <w:p w14:paraId="5E03620B" w14:textId="77777777" w:rsidR="006E3616" w:rsidRPr="00400193" w:rsidRDefault="006E3616" w:rsidP="006E3616">
      <w:pPr>
        <w:suppressAutoHyphens/>
        <w:spacing w:before="120" w:after="120" w:line="240" w:lineRule="auto"/>
        <w:rPr>
          <w:szCs w:val="24"/>
          <w:lang w:eastAsia="zh-CN" w:bidi="hi-IN"/>
        </w:rPr>
      </w:pPr>
    </w:p>
    <w:p w14:paraId="42D52A2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Ethical considerations </w:t>
      </w:r>
    </w:p>
    <w:p w14:paraId="06BF9C3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Ethical treatment of participant confidentiality</w:t>
      </w:r>
    </w:p>
    <w:p w14:paraId="7FD9000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The researcher will ensure that all the participants’ data and personal information is kept anonymous through use of pseudonyms to protect their personal and organisational identities. </w:t>
      </w:r>
    </w:p>
    <w:p w14:paraId="42E438F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Information sheet and informed consent </w:t>
      </w:r>
    </w:p>
    <w:p w14:paraId="486AE70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 xml:space="preserve">The researcher has made sure that all the participants have signed the consent form , which informed the following: </w:t>
      </w:r>
    </w:p>
    <w:p w14:paraId="482CC17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 xml:space="preserve">The purpose of this survey, </w:t>
      </w:r>
    </w:p>
    <w:p w14:paraId="7806E39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 xml:space="preserve">Estimated time commitment to finish the survey, </w:t>
      </w:r>
    </w:p>
    <w:p w14:paraId="3B56379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 xml:space="preserve">Participant’s right to withdraw participation at any point and to not respond to any question, </w:t>
      </w:r>
    </w:p>
    <w:p w14:paraId="759FF2A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 xml:space="preserve">Their right to confidentiality and anonymity, and the voluntary nature of their participation. </w:t>
      </w:r>
    </w:p>
    <w:p w14:paraId="142DA7A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t>All the signed consent sheets will be handed over to the research ethics committee to be maintained securely at The British University in Dubai premises for any future ethical examination of the research work.</w:t>
      </w:r>
    </w:p>
    <w:p w14:paraId="3684516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Data anonymity and safety</w:t>
      </w:r>
    </w:p>
    <w:p w14:paraId="0D33EA0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 researcher will restrict access to participant data and not reveal the participants’ identification without written consent. All the data collected and transcribed during this study will be saved on two external hard disks with encrypted passwords known only to the researcher. The data will be stored securely at different locations, and the softcopy data will be deleted upon completion of the doctoral degree. A hard copy of the research data and participants’ identification will be stored in the researcher’s personal file cupboard, which is locked at all times. To ensure the anonymity of the participants, the researcher will not collect the following data during the survey: names, titles, and details of current or previous employer. Any information that could be used to identify the participants will be removed, changed or anonymised so that it will not hinder the presentation of the research results.</w:t>
      </w:r>
    </w:p>
    <w:p w14:paraId="1BA61A49" w14:textId="77777777" w:rsidR="006E3616" w:rsidRPr="00400193" w:rsidRDefault="006E3616" w:rsidP="006E3616">
      <w:pPr>
        <w:suppressAutoHyphens/>
        <w:spacing w:before="120" w:after="120" w:line="240" w:lineRule="auto"/>
        <w:rPr>
          <w:szCs w:val="24"/>
          <w:lang w:eastAsia="zh-CN" w:bidi="hi-IN"/>
        </w:rPr>
      </w:pPr>
    </w:p>
    <w:p w14:paraId="4E4B3324" w14:textId="77777777" w:rsidR="006E3616" w:rsidRPr="00400193" w:rsidRDefault="006E3616" w:rsidP="006E3616">
      <w:pPr>
        <w:suppressAutoHyphens/>
        <w:spacing w:before="120" w:after="120" w:line="240" w:lineRule="auto"/>
        <w:rPr>
          <w:szCs w:val="24"/>
          <w:lang w:eastAsia="zh-CN" w:bidi="hi-IN"/>
        </w:rPr>
      </w:pPr>
    </w:p>
    <w:p w14:paraId="35F5D70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Participants’ Information </w:t>
      </w:r>
    </w:p>
    <w:p w14:paraId="3345FC8F" w14:textId="77777777" w:rsidR="006E3616" w:rsidRPr="00400193" w:rsidRDefault="006E3616" w:rsidP="006E3616">
      <w:pPr>
        <w:suppressAutoHyphens/>
        <w:spacing w:before="120" w:after="120" w:line="240" w:lineRule="auto"/>
        <w:rPr>
          <w:szCs w:val="24"/>
          <w:lang w:eastAsia="zh-CN" w:bidi="hi-IN"/>
        </w:rPr>
      </w:pPr>
    </w:p>
    <w:p w14:paraId="1EF6C07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provide the answer by clicking the checkbox</w:t>
      </w:r>
    </w:p>
    <w:p w14:paraId="7B421F6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Job level </w:t>
      </w:r>
    </w:p>
    <w:p w14:paraId="32BC40A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Employee</w:t>
      </w:r>
      <w:r w:rsidRPr="00400193">
        <w:rPr>
          <w:szCs w:val="24"/>
          <w:lang w:eastAsia="zh-CN" w:bidi="hi-IN"/>
        </w:rPr>
        <w:tab/>
        <w:t>Middle management</w:t>
      </w:r>
      <w:r w:rsidRPr="00400193">
        <w:rPr>
          <w:szCs w:val="24"/>
          <w:lang w:eastAsia="zh-CN" w:bidi="hi-IN"/>
        </w:rPr>
        <w:tab/>
        <w:t>Top management</w:t>
      </w:r>
    </w:p>
    <w:p w14:paraId="7B0A5A4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 </w:t>
      </w:r>
    </w:p>
    <w:p w14:paraId="57374F4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Years of work experience </w:t>
      </w:r>
    </w:p>
    <w:p w14:paraId="7FE95B3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0–2</w:t>
      </w:r>
      <w:r w:rsidRPr="00400193">
        <w:rPr>
          <w:szCs w:val="24"/>
          <w:lang w:eastAsia="zh-CN" w:bidi="hi-IN"/>
        </w:rPr>
        <w:tab/>
        <w:t>3–5</w:t>
      </w:r>
      <w:r w:rsidRPr="00400193">
        <w:rPr>
          <w:szCs w:val="24"/>
          <w:lang w:eastAsia="zh-CN" w:bidi="hi-IN"/>
        </w:rPr>
        <w:tab/>
        <w:t>6–10</w:t>
      </w:r>
      <w:r w:rsidRPr="00400193">
        <w:rPr>
          <w:szCs w:val="24"/>
          <w:lang w:eastAsia="zh-CN" w:bidi="hi-IN"/>
        </w:rPr>
        <w:tab/>
        <w:t>11–19</w:t>
      </w:r>
      <w:r w:rsidRPr="00400193">
        <w:rPr>
          <w:szCs w:val="24"/>
          <w:lang w:eastAsia="zh-CN" w:bidi="hi-IN"/>
        </w:rPr>
        <w:tab/>
        <w:t>&gt;20</w:t>
      </w:r>
    </w:p>
    <w:p w14:paraId="365C3F1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Education level</w:t>
      </w:r>
    </w:p>
    <w:p w14:paraId="0BEC481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Below high school</w:t>
      </w:r>
      <w:r w:rsidRPr="00400193">
        <w:rPr>
          <w:szCs w:val="24"/>
          <w:lang w:eastAsia="zh-CN" w:bidi="hi-IN"/>
        </w:rPr>
        <w:tab/>
        <w:t>High school</w:t>
      </w:r>
      <w:r w:rsidRPr="00400193">
        <w:rPr>
          <w:szCs w:val="24"/>
          <w:lang w:eastAsia="zh-CN" w:bidi="hi-IN"/>
        </w:rPr>
        <w:tab/>
        <w:t>Diploma/Bachelor’s degree</w:t>
      </w:r>
      <w:r w:rsidRPr="00400193">
        <w:rPr>
          <w:szCs w:val="24"/>
          <w:lang w:eastAsia="zh-CN" w:bidi="hi-IN"/>
        </w:rPr>
        <w:tab/>
        <w:t>Master’s degree</w:t>
      </w:r>
      <w:r w:rsidRPr="00400193">
        <w:rPr>
          <w:szCs w:val="24"/>
          <w:lang w:eastAsia="zh-CN" w:bidi="hi-IN"/>
        </w:rPr>
        <w:tab/>
        <w:t>Doctorate or above</w:t>
      </w:r>
    </w:p>
    <w:p w14:paraId="029771A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Age</w:t>
      </w:r>
    </w:p>
    <w:p w14:paraId="06F0DE5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Less than 24 years old</w:t>
      </w:r>
      <w:r w:rsidRPr="00400193">
        <w:rPr>
          <w:szCs w:val="24"/>
          <w:lang w:eastAsia="zh-CN" w:bidi="hi-IN"/>
        </w:rPr>
        <w:tab/>
        <w:t>25–30 years old</w:t>
      </w:r>
      <w:r w:rsidRPr="00400193">
        <w:rPr>
          <w:szCs w:val="24"/>
          <w:lang w:eastAsia="zh-CN" w:bidi="hi-IN"/>
        </w:rPr>
        <w:tab/>
        <w:t>31–40 years old</w:t>
      </w:r>
      <w:r w:rsidRPr="00400193">
        <w:rPr>
          <w:szCs w:val="24"/>
          <w:lang w:eastAsia="zh-CN" w:bidi="hi-IN"/>
        </w:rPr>
        <w:tab/>
        <w:t>41–50 years old</w:t>
      </w:r>
      <w:r w:rsidRPr="00400193">
        <w:rPr>
          <w:szCs w:val="24"/>
          <w:lang w:eastAsia="zh-CN" w:bidi="hi-IN"/>
        </w:rPr>
        <w:tab/>
        <w:t>51 years old or above</w:t>
      </w:r>
    </w:p>
    <w:p w14:paraId="618E063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Gender</w:t>
      </w:r>
    </w:p>
    <w:p w14:paraId="2092858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Male</w:t>
      </w:r>
      <w:r w:rsidRPr="00400193">
        <w:rPr>
          <w:szCs w:val="24"/>
          <w:lang w:eastAsia="zh-CN" w:bidi="hi-IN"/>
        </w:rPr>
        <w:tab/>
        <w:t>Female</w:t>
      </w:r>
    </w:p>
    <w:p w14:paraId="3019771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Nationality </w:t>
      </w:r>
    </w:p>
    <w:p w14:paraId="5BFB830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UAE</w:t>
      </w:r>
      <w:r w:rsidRPr="00400193">
        <w:rPr>
          <w:szCs w:val="24"/>
          <w:lang w:eastAsia="zh-CN" w:bidi="hi-IN"/>
        </w:rPr>
        <w:tab/>
        <w:t>Non-UAE</w:t>
      </w:r>
    </w:p>
    <w:p w14:paraId="5ADE882C" w14:textId="77777777" w:rsidR="006E3616" w:rsidRPr="00400193" w:rsidRDefault="006E3616" w:rsidP="006E3616">
      <w:pPr>
        <w:suppressAutoHyphens/>
        <w:spacing w:before="120" w:after="120" w:line="240" w:lineRule="auto"/>
        <w:rPr>
          <w:szCs w:val="24"/>
          <w:lang w:eastAsia="zh-CN" w:bidi="hi-IN"/>
        </w:rPr>
      </w:pPr>
    </w:p>
    <w:p w14:paraId="261AD7A7" w14:textId="77777777" w:rsidR="006E3616" w:rsidRPr="00400193" w:rsidRDefault="006E3616" w:rsidP="006E3616">
      <w:pPr>
        <w:suppressAutoHyphens/>
        <w:spacing w:before="120" w:after="120" w:line="240" w:lineRule="auto"/>
        <w:rPr>
          <w:szCs w:val="24"/>
          <w:lang w:eastAsia="zh-CN" w:bidi="hi-IN"/>
        </w:rPr>
      </w:pPr>
    </w:p>
    <w:p w14:paraId="6ECFE912" w14:textId="77777777" w:rsidR="006E3616" w:rsidRPr="00400193" w:rsidRDefault="006E3616" w:rsidP="006E3616">
      <w:pPr>
        <w:suppressAutoHyphens/>
        <w:spacing w:before="120" w:after="120" w:line="240" w:lineRule="auto"/>
        <w:rPr>
          <w:szCs w:val="24"/>
          <w:lang w:eastAsia="zh-CN" w:bidi="hi-IN"/>
        </w:rPr>
      </w:pPr>
    </w:p>
    <w:p w14:paraId="392D5BB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w:t>
      </w:r>
    </w:p>
    <w:p w14:paraId="1C243ED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use the scale to rate how likely you think it is that your organisation will be influenced by the following external cyber-risks</w:t>
      </w:r>
      <w:r w:rsidRPr="00400193">
        <w:rPr>
          <w:szCs w:val="24"/>
          <w:lang w:eastAsia="zh-CN" w:bidi="hi-IN"/>
        </w:rPr>
        <w:tab/>
        <w:t>Very likely</w:t>
      </w:r>
      <w:r w:rsidRPr="00400193">
        <w:rPr>
          <w:szCs w:val="24"/>
          <w:lang w:eastAsia="zh-CN" w:bidi="hi-IN"/>
        </w:rPr>
        <w:tab/>
        <w:t>Likely</w:t>
      </w:r>
      <w:r w:rsidRPr="00400193">
        <w:rPr>
          <w:szCs w:val="24"/>
          <w:lang w:eastAsia="zh-CN" w:bidi="hi-IN"/>
        </w:rPr>
        <w:tab/>
        <w:t>Neutral</w:t>
      </w:r>
      <w:r w:rsidRPr="00400193">
        <w:rPr>
          <w:szCs w:val="24"/>
          <w:lang w:eastAsia="zh-CN" w:bidi="hi-IN"/>
        </w:rPr>
        <w:tab/>
        <w:t>Unlikely</w:t>
      </w:r>
      <w:r w:rsidRPr="00400193">
        <w:rPr>
          <w:szCs w:val="24"/>
          <w:lang w:eastAsia="zh-CN" w:bidi="hi-IN"/>
        </w:rPr>
        <w:tab/>
        <w:t>Very unlikely</w:t>
      </w:r>
    </w:p>
    <w:p w14:paraId="358BA34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Part 1 Key External Threats </w:t>
      </w:r>
      <w:r w:rsidRPr="00400193">
        <w:rPr>
          <w:szCs w:val="24"/>
          <w:lang w:eastAsia="zh-CN" w:bidi="hi-IN"/>
        </w:rPr>
        <w:tab/>
        <w:t>5</w:t>
      </w:r>
      <w:r w:rsidRPr="00400193">
        <w:rPr>
          <w:szCs w:val="24"/>
          <w:lang w:eastAsia="zh-CN" w:bidi="hi-IN"/>
        </w:rPr>
        <w:tab/>
        <w:t>4</w:t>
      </w:r>
      <w:r w:rsidRPr="00400193">
        <w:rPr>
          <w:szCs w:val="24"/>
          <w:lang w:eastAsia="zh-CN" w:bidi="hi-IN"/>
        </w:rPr>
        <w:tab/>
        <w:t>3</w:t>
      </w:r>
      <w:r w:rsidRPr="00400193">
        <w:rPr>
          <w:szCs w:val="24"/>
          <w:lang w:eastAsia="zh-CN" w:bidi="hi-IN"/>
        </w:rPr>
        <w:tab/>
        <w:t>2</w:t>
      </w:r>
      <w:r w:rsidRPr="00400193">
        <w:rPr>
          <w:szCs w:val="24"/>
          <w:lang w:eastAsia="zh-CN" w:bidi="hi-IN"/>
        </w:rPr>
        <w:tab/>
        <w:t>1</w:t>
      </w:r>
    </w:p>
    <w:p w14:paraId="4902FD0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1a. Key External Threats - Cyber Attack</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2B2F96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Breaches making computers and internet unusable.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71591F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Security systems disconnected from each other</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18CC1F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Power blackouts, accidents and compromised signals and controls.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FFACF1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Disrupted services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3E695F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Control taken of vital systems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013256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Rogue and feral mobile apps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98FAF7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File sharing/peer-to-peer</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84C805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Social networking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9E558D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Personal email/webmail</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E8DD68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Online games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26C734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Calls over internet (VoIP)</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59044E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Unfriendly user interface(s) of device(s)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AAF923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Insufficient design of systems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C89AC2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Inadequate credential management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89D983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Over-dependency on biometrics (face recognitions, iris scanners, fingerprints)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0E5B6E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1b. Key External Threats - Hacktivism</w:t>
      </w:r>
      <w:r w:rsidRPr="00400193">
        <w:rPr>
          <w:szCs w:val="24"/>
          <w:lang w:eastAsia="zh-CN" w:bidi="hi-IN"/>
        </w:rPr>
        <w:tab/>
        <w:t xml:space="preserve">Very likely </w:t>
      </w:r>
    </w:p>
    <w:p w14:paraId="17A74B1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07F84C2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5B8F5B9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25B9E31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6749890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Hacktivism which targets only personal computers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B1B8B3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Traffic: overloading system with traffic is harmful</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AB7BDF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Online blackmail leading to employee vulnerabilities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5FFFE3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 proper software integration can be used as a cyber-attacking backdoor</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8C8F22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 lack of smart access point controls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FFF92E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Spam attacks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AB3404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Organisation network hacking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9B5722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Denial of service/distributed denial of service (DoS/DDoS) attacks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0EA23C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Targeted organisation/brand attacks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16A832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or inadequate access points (identification, authentication and authorisation) and smart access controls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E37039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Dependency on a single power system</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F91216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data back-up</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DBA4D3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Excessive dependency on external IT infrastructure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F30519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sufficiently skilled IT staff and security tools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BB7640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Insufficient protection against reverse engineering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58432C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1c. Key External Threats - Phishing</w:t>
      </w:r>
      <w:r w:rsidRPr="00400193">
        <w:rPr>
          <w:szCs w:val="24"/>
          <w:lang w:eastAsia="zh-CN" w:bidi="hi-IN"/>
        </w:rPr>
        <w:tab/>
        <w:t>5</w:t>
      </w:r>
      <w:r w:rsidRPr="00400193">
        <w:rPr>
          <w:szCs w:val="24"/>
          <w:lang w:eastAsia="zh-CN" w:bidi="hi-IN"/>
        </w:rPr>
        <w:tab/>
        <w:t>4</w:t>
      </w:r>
      <w:r w:rsidRPr="00400193">
        <w:rPr>
          <w:szCs w:val="24"/>
          <w:lang w:eastAsia="zh-CN" w:bidi="hi-IN"/>
        </w:rPr>
        <w:tab/>
        <w:t>3</w:t>
      </w:r>
      <w:r w:rsidRPr="00400193">
        <w:rPr>
          <w:szCs w:val="24"/>
          <w:lang w:eastAsia="zh-CN" w:bidi="hi-IN"/>
        </w:rPr>
        <w:tab/>
        <w:t>2</w:t>
      </w:r>
      <w:r w:rsidRPr="00400193">
        <w:rPr>
          <w:szCs w:val="24"/>
          <w:lang w:eastAsia="zh-CN" w:bidi="hi-IN"/>
        </w:rPr>
        <w:tab/>
        <w:t>1</w:t>
      </w:r>
    </w:p>
    <w:p w14:paraId="5B9D1A3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Phishing emails at any staff level</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504927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Stolen business data</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B73C62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Stolen personal identities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386C29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Loss of confidential information for fraudulent purposes (whaling scams)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r>
    </w:p>
    <w:p w14:paraId="13E388E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Phishing attacks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B06BC7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Copying credentials and smart access cards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C77DDF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Intentional interference in networks (jamming)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D8B3F4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Malicious code and malware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208161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1d. Key External Threats - Financial Fraud</w:t>
      </w:r>
      <w:r w:rsidRPr="00400193">
        <w:rPr>
          <w:szCs w:val="24"/>
          <w:lang w:eastAsia="zh-CN" w:bidi="hi-IN"/>
        </w:rPr>
        <w:tab/>
        <w:t>5</w:t>
      </w:r>
      <w:r w:rsidRPr="00400193">
        <w:rPr>
          <w:szCs w:val="24"/>
          <w:lang w:eastAsia="zh-CN" w:bidi="hi-IN"/>
        </w:rPr>
        <w:tab/>
        <w:t>4</w:t>
      </w:r>
      <w:r w:rsidRPr="00400193">
        <w:rPr>
          <w:szCs w:val="24"/>
          <w:lang w:eastAsia="zh-CN" w:bidi="hi-IN"/>
        </w:rPr>
        <w:tab/>
        <w:t>3</w:t>
      </w:r>
      <w:r w:rsidRPr="00400193">
        <w:rPr>
          <w:szCs w:val="24"/>
          <w:lang w:eastAsia="zh-CN" w:bidi="hi-IN"/>
        </w:rPr>
        <w:tab/>
        <w:t>2</w:t>
      </w:r>
      <w:r w:rsidRPr="00400193">
        <w:rPr>
          <w:szCs w:val="24"/>
          <w:lang w:eastAsia="zh-CN" w:bidi="hi-IN"/>
        </w:rPr>
        <w:tab/>
        <w:t>1</w:t>
      </w:r>
    </w:p>
    <w:p w14:paraId="3B44FF4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Manipulated unsecured organisational financial transactions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102D94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Asset misappropriation (stealing information)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55579D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Human errors and trust issues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B30F8A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Behaviour of customers or suppliers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0C0626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Financial fraud (e.g. brand theft)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F8B0E2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Damage to organisation’s financial reputation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4AB1C7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mechanism for detecting fraudulent transactions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36F54A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Fraudulent invoice payments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10F3B3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Inadequate legitimacy of transaction processing, e.g. consent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05FC82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Insufficient protection of wireless networks and communication (weak or no encryption etc.)</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58E873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Failure of biometric access points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7E5226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Inadequate transaction encryption measures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C661E8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Problems with third party integration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4AD77E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1e. Key External Threats - Criminal Acts</w:t>
      </w:r>
      <w:r w:rsidRPr="00400193">
        <w:rPr>
          <w:szCs w:val="24"/>
          <w:lang w:eastAsia="zh-CN" w:bidi="hi-IN"/>
        </w:rPr>
        <w:tab/>
        <w:t>5</w:t>
      </w:r>
      <w:r w:rsidRPr="00400193">
        <w:rPr>
          <w:szCs w:val="24"/>
          <w:lang w:eastAsia="zh-CN" w:bidi="hi-IN"/>
        </w:rPr>
        <w:tab/>
        <w:t>4</w:t>
      </w:r>
      <w:r w:rsidRPr="00400193">
        <w:rPr>
          <w:szCs w:val="24"/>
          <w:lang w:eastAsia="zh-CN" w:bidi="hi-IN"/>
        </w:rPr>
        <w:tab/>
        <w:t>3</w:t>
      </w:r>
      <w:r w:rsidRPr="00400193">
        <w:rPr>
          <w:szCs w:val="24"/>
          <w:lang w:eastAsia="zh-CN" w:bidi="hi-IN"/>
        </w:rPr>
        <w:tab/>
        <w:t>2</w:t>
      </w:r>
      <w:r w:rsidRPr="00400193">
        <w:rPr>
          <w:szCs w:val="24"/>
          <w:lang w:eastAsia="zh-CN" w:bidi="hi-IN"/>
        </w:rPr>
        <w:tab/>
        <w:t>1</w:t>
      </w:r>
    </w:p>
    <w:p w14:paraId="5DDDE3D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of pornography and/or unethical material</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47A597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Illegal access to IT assets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4C60F9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non-disclosure agreements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D507E3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Using third party contacts for data theft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40657C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Using third party contacts to review and validate security controls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2621A5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Using third party contractors to set your security requirements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898C25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Faking signature and identity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76525F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Theft of hardware from premises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E6DD60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Corporate espionage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6B7F8F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Criminal damage (including fire/arson)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AD63D3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Theft of hardware off-site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7F871D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of removable media (e.g. USB sticks)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1349BA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Loss or misuse (of cards, devices etc.)</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A43246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of erroneous and/or unreliable data</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CD7CCF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Procedures/instructions not followed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DDE37B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Spoofing of credentials/bypass authentication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10CD64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Large-scale and/or inappropriate data mining and/or surveillance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485376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Traffic analysis/scan/probe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5AC8EC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Social engineering attack</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7EDDAA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Theft (of cards, devices etc.)</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AEA369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Unauthorised access to/deletion/modification of devices/data etc.</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63E589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2 Key Internal Threats</w:t>
      </w:r>
      <w:r w:rsidRPr="00400193">
        <w:rPr>
          <w:szCs w:val="24"/>
          <w:lang w:eastAsia="zh-CN" w:bidi="hi-IN"/>
        </w:rPr>
        <w:tab/>
        <w:t xml:space="preserve">Very likely </w:t>
      </w:r>
    </w:p>
    <w:p w14:paraId="10D86E3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5A0A29D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52F538B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248C884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1</w:t>
      </w:r>
    </w:p>
    <w:p w14:paraId="3E54416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rate how likely you think it is that your organisation will be influenced by the following internal cyber-risks?</w:t>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p w14:paraId="415D650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2a. Key Internal Threats - Lack of Awareness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6F8C2B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Employees lack vigilance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0538B4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Connecting personal devices to organisational systems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013DD1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Laissez faire attitude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516A11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situational awareness materials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02DD0E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Security threats are not gathered and shared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8B3416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Regulations are not maintained or updated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FE1A57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Internal controls are not reviewed or tested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E95F99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 failure to use testing scenarios to improve incident detection and response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A95A9A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Accidental leaks of information because of lack of awareness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A9AD05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reporting policy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037CE4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information security training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7F0915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Unrestricted access for employees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304AED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Unrestricted access for contractors and suppliers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5B5510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Unauthenticated networks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7F2D70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Weak administrative passwords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A30250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Weak security administration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40A20B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Unrestricted remote access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395E0C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Ignoring security errors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7DCF30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cybersecurity training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264515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cybersecurity training update cycles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D919C3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incident training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622145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adequate controls at data entry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4730FD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adequate controls at biometric access point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D339AD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Non-compliance with data protection standards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FC763D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Function creep (data used for other purposes than the ones for which they were originally collected)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F4D60F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2b. Key Internal Threats - Risk Culture and Laziness</w:t>
      </w:r>
      <w:r w:rsidRPr="00400193">
        <w:rPr>
          <w:szCs w:val="24"/>
          <w:lang w:eastAsia="zh-CN" w:bidi="hi-IN"/>
        </w:rPr>
        <w:tab/>
        <w:t xml:space="preserve">Very likely </w:t>
      </w:r>
    </w:p>
    <w:p w14:paraId="068D5F8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7896DE0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4ED011B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1F44D12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1</w:t>
      </w:r>
    </w:p>
    <w:p w14:paraId="2E17C08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 low organisation-wide risk culture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042815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Cybersecurity training is not based on risk culture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269CA1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No risk management policies are implemented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F79BCA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Lack of risk culture causes deficiency of appropriate access control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C4626D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threats and vulnerability reporting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A4D8C8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regular audit of internal information, system logs and usage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C140EB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employee accountability and responsiveness to potential risks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886A61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No regular software upgrades and update patching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09E2E4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p w14:paraId="3F62FC1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No test of upgrades and update patches before deployment in the organisation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36CE59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No regular security patch deployment and control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3B02A9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protection measures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85EDC2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of commonly used passwords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A31140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of unauthorised applications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7D9D8B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Unattended “logged in” computers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B5B903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No staff induction process covering cyber-risks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2B950F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No formal assessment of users’ IT skills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A65228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Improperly classified information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4E956A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Lack of clearly defined system users authority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6AE097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2c. Key Internal Threats - Financial Fraud</w:t>
      </w:r>
      <w:r w:rsidRPr="00400193">
        <w:rPr>
          <w:szCs w:val="24"/>
          <w:lang w:eastAsia="zh-CN" w:bidi="hi-IN"/>
        </w:rPr>
        <w:tab/>
        <w:t xml:space="preserve">Very likely </w:t>
      </w:r>
    </w:p>
    <w:p w14:paraId="7DAD773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02C43FA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3DCB5B2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3D751E2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511251A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Lack of financial and cyber-knowledge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6D32FD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Inadequate audit and accounting measures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EDEF91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Access rights of ex-employees are not immediately terminated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B07953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Financial data is handled by non-authorised employees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CF53ED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Espionage, shoulder-surfing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778BDB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Mistakes by employees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E12AF6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Fraud, misuse of assets or information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DDFFCC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2d. Key Internal Threats - Criminal Acts</w:t>
      </w:r>
      <w:r w:rsidRPr="00400193">
        <w:rPr>
          <w:szCs w:val="24"/>
          <w:lang w:eastAsia="zh-CN" w:bidi="hi-IN"/>
        </w:rPr>
        <w:tab/>
        <w:t xml:space="preserve">Very likely </w:t>
      </w:r>
    </w:p>
    <w:p w14:paraId="54F1298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42D2BB3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296610E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4BA2CCB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3F94C38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Revenge attacks by employees or ex-employees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91CEDB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Revenge attacks by outsiders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5D8C57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Enforcing usage policies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81B8E3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Malicious attacks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42AB74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Theft of hardware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5C70C7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Theft of assets and intellectual property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035347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Social engineering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42AF59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3 Vulnerabilities and Weaknesses</w:t>
      </w:r>
      <w:r w:rsidRPr="00400193">
        <w:rPr>
          <w:szCs w:val="24"/>
          <w:lang w:eastAsia="zh-CN" w:bidi="hi-IN"/>
        </w:rPr>
        <w:tab/>
        <w:t>Very Close</w:t>
      </w:r>
    </w:p>
    <w:p w14:paraId="2F1CE12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Close</w:t>
      </w:r>
    </w:p>
    <w:p w14:paraId="01F63E4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5EC1057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Not Very Close</w:t>
      </w:r>
    </w:p>
    <w:p w14:paraId="2DFB528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 2</w:t>
      </w:r>
      <w:r w:rsidRPr="00400193">
        <w:rPr>
          <w:szCs w:val="24"/>
          <w:lang w:eastAsia="zh-CN" w:bidi="hi-IN"/>
        </w:rPr>
        <w:tab/>
        <w:t>Far Away</w:t>
      </w:r>
    </w:p>
    <w:p w14:paraId="1D9969D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217E5FC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rate how close you think the following statements are to the situation in your organisation and its views about vulnerabilities and weaknesses</w:t>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p w14:paraId="082D4D1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Larger systems cause greater cyber-risks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CF3C94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Systems will never cause risk</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F7E1CD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Easy access to confidential data can be a problem</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425085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 do not report system crashes or failures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BBEFB0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 lack a system for independent testing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8B21A0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Anti-virus and anti-malware tools are used to detect attacks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39E808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Firewall rules are audited or verified regularly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2B47A2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E-mail protection mechanisms are present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0BFFBB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Staff use personal tablets and smartphones in work</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028A6D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Utility programs and applications are restricted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295A6F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Sharing device/system credentials is common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2339DF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We sometimes have hardware failures because of malfunctions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140BA9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 xml:space="preserve">We sometimes have power supply (UPS) failure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B4412B8" w14:textId="04509456"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4 Please rate how likely you think the organi</w:t>
      </w:r>
      <w:r w:rsidR="00D75A7B" w:rsidRPr="00400193">
        <w:rPr>
          <w:szCs w:val="24"/>
          <w:lang w:eastAsia="zh-CN" w:bidi="hi-IN"/>
        </w:rPr>
        <w:t>s</w:t>
      </w:r>
      <w:r w:rsidRPr="00400193">
        <w:rPr>
          <w:szCs w:val="24"/>
          <w:lang w:eastAsia="zh-CN" w:bidi="hi-IN"/>
        </w:rPr>
        <w:t>ation vulnerabilities and weaknesses impact the physical and digital assets)</w:t>
      </w:r>
      <w:r w:rsidRPr="00400193">
        <w:rPr>
          <w:szCs w:val="24"/>
          <w:lang w:eastAsia="zh-CN" w:bidi="hi-IN"/>
        </w:rPr>
        <w:tab/>
        <w:t xml:space="preserve">Very likely </w:t>
      </w:r>
    </w:p>
    <w:p w14:paraId="6D8EF61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208375C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6E4A5C5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35C5318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690AADA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Computers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9B60D01"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Servers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81DD7E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Hard disks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BF15C89"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Personal information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577F1E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Networks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586ECD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Business information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4383B5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Intellectual property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C482BA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Certificates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7C06DD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Programmes and apps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C43348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Malicious attack on power systems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9426A2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Mobile ‘smart’ devices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3EEDE24" w14:textId="0FD55FD9"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RFID </w:t>
      </w:r>
      <w:r w:rsidR="00337F8A" w:rsidRPr="00400193">
        <w:rPr>
          <w:szCs w:val="24"/>
          <w:lang w:eastAsia="zh-CN" w:bidi="hi-IN"/>
        </w:rPr>
        <w:t>and</w:t>
      </w:r>
      <w:r w:rsidRPr="00400193">
        <w:rPr>
          <w:szCs w:val="24"/>
          <w:lang w:eastAsia="zh-CN" w:bidi="hi-IN"/>
        </w:rPr>
        <w:t xml:space="preserve"> barcode readers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DCCD69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Credit cards/debit card/payment cards/‘e-wallet’</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651D5BE" w14:textId="07191C08"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Scanners </w:t>
      </w:r>
      <w:r w:rsidR="00337F8A" w:rsidRPr="00400193">
        <w:rPr>
          <w:szCs w:val="24"/>
          <w:lang w:eastAsia="zh-CN" w:bidi="hi-IN"/>
        </w:rPr>
        <w:t>and</w:t>
      </w:r>
      <w:r w:rsidRPr="00400193">
        <w:rPr>
          <w:szCs w:val="24"/>
          <w:lang w:eastAsia="zh-CN" w:bidi="hi-IN"/>
        </w:rPr>
        <w:t xml:space="preserve"> detectors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C81C74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5 Responses in Place</w:t>
      </w:r>
      <w:r w:rsidRPr="00400193">
        <w:rPr>
          <w:szCs w:val="24"/>
          <w:lang w:eastAsia="zh-CN" w:bidi="hi-IN"/>
        </w:rPr>
        <w:tab/>
        <w:t xml:space="preserve">Very likely </w:t>
      </w:r>
    </w:p>
    <w:p w14:paraId="29C6757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3D95101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1A968B7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1C6FF5B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0E31756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rate how likely you think it is that your organisation would make the following responses to external cyber-attackers</w:t>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p w14:paraId="1A7090D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Take systems off-line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B71149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Change passwords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C30D80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Investigate incidents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8DD3EDE"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Check firewalls and security procedures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AC1A3E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Identify information-sharing risks and publish these to all departments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1B9221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Identify external dependency risks and publish to all departments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65EACE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 xml:space="preserve">Monitor user access logs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91B986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Remove or change all default passwords and unnecessary accounts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2B33FC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Encrypt data transactions across public or untrusted networks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1A369C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encrypted connections and multifactor authentication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51DA3A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Uninstall unauthorised software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D1C058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Activate procedures for authentication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70CC6E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Audit the deployment of data disposal procedures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038B63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Check external access by firewalls regularly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AB2107A"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Check network connections regularly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C2EE54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Classify, log, and track incidents to prevent further unauthorised access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E1E76D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Provide network with strong encryption for authentication and transmission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1C0CED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Use real-time day-to-day monitoring</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CCD1B8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Part 6 Resilience</w:t>
      </w:r>
      <w:r w:rsidRPr="00400193">
        <w:rPr>
          <w:szCs w:val="24"/>
          <w:lang w:eastAsia="zh-CN" w:bidi="hi-IN"/>
        </w:rPr>
        <w:tab/>
        <w:t xml:space="preserve">Very likely </w:t>
      </w:r>
    </w:p>
    <w:p w14:paraId="03A5CDB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5</w:t>
      </w:r>
      <w:r w:rsidRPr="00400193">
        <w:rPr>
          <w:szCs w:val="24"/>
          <w:lang w:eastAsia="zh-CN" w:bidi="hi-IN"/>
        </w:rPr>
        <w:tab/>
        <w:t>Likely</w:t>
      </w:r>
    </w:p>
    <w:p w14:paraId="0AD14D0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4</w:t>
      </w:r>
      <w:r w:rsidRPr="00400193">
        <w:rPr>
          <w:szCs w:val="24"/>
          <w:lang w:eastAsia="zh-CN" w:bidi="hi-IN"/>
        </w:rPr>
        <w:tab/>
        <w:t>Neutral</w:t>
      </w:r>
    </w:p>
    <w:p w14:paraId="1A85E3A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3</w:t>
      </w:r>
      <w:r w:rsidRPr="00400193">
        <w:rPr>
          <w:szCs w:val="24"/>
          <w:lang w:eastAsia="zh-CN" w:bidi="hi-IN"/>
        </w:rPr>
        <w:tab/>
        <w:t>Unlikely 2</w:t>
      </w:r>
      <w:r w:rsidRPr="00400193">
        <w:rPr>
          <w:szCs w:val="24"/>
          <w:lang w:eastAsia="zh-CN" w:bidi="hi-IN"/>
        </w:rPr>
        <w:tab/>
        <w:t>Very unlikely</w:t>
      </w:r>
    </w:p>
    <w:p w14:paraId="1D7C82F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1</w:t>
      </w:r>
    </w:p>
    <w:p w14:paraId="4CBA42F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Please rate how well you think the following statements apply to your organisation</w:t>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p w14:paraId="20A888ED"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Cyber-attacks are detected and contained immediately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C99BB9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A business continuity risk plan is implemented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0BEABB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Anomalous activities are detected by our monitoring procedures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DCE116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Logs of physical and/or logical access are reviewed daily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57E5D4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Access to critical systems is monitored to detect any unauthorised or unusual activity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5BCE5EB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Elevated privileges are regularly monitored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714631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 normal network activity baseline is established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042AC75F"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Unauthorised users, devices, connections, and software are monitored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782F42B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Monitoring and reporting suspicious systems activity is assigned to experts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81EE04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lastRenderedPageBreak/>
        <w:t>The physical environment is monitored to detect potential unauthorised access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38E4154"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There are documented response procedures for cyber-incidents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36D2F4C"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Response team members’ roles and responsibilities are clearly defined</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6EBC5325"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Our response team includes representatives from different departments. e.g., management, legal, public relations, and information technology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9CE98CB"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xml:space="preserve">Security breaches are reported in a timely manner in line with best practice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5C8826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 formal backup and recovery plan exists for all critical business communications in our organisation</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83EACE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All internal or external audits and testing are formally tracked and resolved to mitigate risk</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277B5EA7"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The people responsible for analysing and responding to an incident are easily reachable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2EAEC8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Issues identified in assessments are prioritised and resolved based on risk levels</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98007C6"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Systems, applications, and data recovery are each tested at least yearly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4FB71AE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Controls are in place to restrict the use of removable media to authorised personnel only</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3E8F35C8"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Event logging practices are independently reviewed to ensure correct management (e.g., access controls, retention, and maintenance).</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r w:rsidRPr="00400193">
        <w:rPr>
          <w:szCs w:val="24"/>
          <w:lang w:eastAsia="zh-CN" w:bidi="hi-IN"/>
        </w:rPr>
        <w:tab/>
        <w:t xml:space="preserve"> </w:t>
      </w:r>
    </w:p>
    <w:p w14:paraId="170EFFCB" w14:textId="77777777" w:rsidR="006E3616" w:rsidRPr="00400193" w:rsidRDefault="006E3616" w:rsidP="006E3616">
      <w:pPr>
        <w:suppressAutoHyphens/>
        <w:spacing w:before="120" w:after="120" w:line="240" w:lineRule="auto"/>
        <w:rPr>
          <w:szCs w:val="24"/>
          <w:lang w:eastAsia="zh-CN" w:bidi="hi-IN"/>
        </w:rPr>
      </w:pPr>
    </w:p>
    <w:p w14:paraId="3577C2D2"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 </w:t>
      </w:r>
    </w:p>
    <w:p w14:paraId="4E79D558" w14:textId="77777777" w:rsidR="006E3616" w:rsidRPr="00400193" w:rsidRDefault="006E3616" w:rsidP="006E3616">
      <w:pPr>
        <w:suppressAutoHyphens/>
        <w:spacing w:before="120" w:after="120" w:line="240" w:lineRule="auto"/>
        <w:rPr>
          <w:szCs w:val="24"/>
          <w:lang w:eastAsia="zh-CN" w:bidi="hi-IN"/>
        </w:rPr>
      </w:pPr>
    </w:p>
    <w:p w14:paraId="32FA6FC1" w14:textId="77777777" w:rsidR="006E3616" w:rsidRPr="00400193" w:rsidRDefault="006E3616" w:rsidP="006E3616">
      <w:pPr>
        <w:suppressAutoHyphens/>
        <w:spacing w:before="120" w:after="120" w:line="240" w:lineRule="auto"/>
        <w:rPr>
          <w:szCs w:val="24"/>
          <w:lang w:eastAsia="zh-CN" w:bidi="hi-IN"/>
        </w:rPr>
      </w:pPr>
    </w:p>
    <w:p w14:paraId="4C9E1056" w14:textId="77777777" w:rsidR="006E3616" w:rsidRPr="00400193" w:rsidRDefault="006E3616" w:rsidP="006E3616">
      <w:pPr>
        <w:suppressAutoHyphens/>
        <w:spacing w:before="120" w:after="120" w:line="240" w:lineRule="auto"/>
        <w:rPr>
          <w:szCs w:val="24"/>
          <w:lang w:eastAsia="zh-CN" w:bidi="hi-IN"/>
        </w:rPr>
      </w:pPr>
    </w:p>
    <w:p w14:paraId="66E5892F" w14:textId="77777777" w:rsidR="006E3616" w:rsidRPr="00400193" w:rsidRDefault="006E3616" w:rsidP="006E3616">
      <w:pPr>
        <w:suppressAutoHyphens/>
        <w:spacing w:line="252" w:lineRule="auto"/>
        <w:jc w:val="left"/>
        <w:rPr>
          <w:b/>
          <w:i/>
          <w:szCs w:val="24"/>
          <w:lang w:eastAsia="zh-CN" w:bidi="hi-IN"/>
        </w:rPr>
      </w:pPr>
      <w:r w:rsidRPr="00400193">
        <w:rPr>
          <w:szCs w:val="24"/>
          <w:lang w:eastAsia="zh-CN" w:bidi="hi-IN"/>
        </w:rPr>
        <w:br w:type="page"/>
      </w:r>
    </w:p>
    <w:p w14:paraId="5E96510C" w14:textId="69A00062" w:rsidR="006E3616" w:rsidRPr="00400193" w:rsidRDefault="006E3616" w:rsidP="006E3616">
      <w:pPr>
        <w:pStyle w:val="Caption"/>
        <w:keepNext/>
      </w:pPr>
      <w:bookmarkStart w:id="976" w:name="_4jpj0b3"/>
      <w:bookmarkEnd w:id="976"/>
    </w:p>
    <w:p w14:paraId="5531D3AE" w14:textId="6C5CD886" w:rsidR="00A45F81" w:rsidRPr="00400193" w:rsidRDefault="00A45F81" w:rsidP="00A45F81">
      <w:pPr>
        <w:pStyle w:val="Caption"/>
        <w:keepNext/>
      </w:pPr>
      <w:bookmarkStart w:id="977" w:name="_Ref50570492"/>
      <w:bookmarkStart w:id="978" w:name="_Toc50645172"/>
      <w:r w:rsidRPr="00400193">
        <w:t xml:space="preserve">Appendix </w:t>
      </w:r>
      <w:r w:rsidR="003F006D" w:rsidRPr="00400193">
        <w:fldChar w:fldCharType="begin"/>
      </w:r>
      <w:r w:rsidR="003F006D" w:rsidRPr="00400193">
        <w:instrText xml:space="preserve"> SEQ Appendix \* ARABIC </w:instrText>
      </w:r>
      <w:r w:rsidR="003F006D" w:rsidRPr="00400193">
        <w:fldChar w:fldCharType="separate"/>
      </w:r>
      <w:r w:rsidR="00BB7C18">
        <w:rPr>
          <w:noProof/>
        </w:rPr>
        <w:t>4</w:t>
      </w:r>
      <w:r w:rsidR="003F006D" w:rsidRPr="00400193">
        <w:fldChar w:fldCharType="end"/>
      </w:r>
      <w:bookmarkEnd w:id="977"/>
      <w:r w:rsidRPr="00400193">
        <w:t>: Tables of descriptive statistics from the dataset</w:t>
      </w:r>
      <w:bookmarkEnd w:id="978"/>
    </w:p>
    <w:tbl>
      <w:tblPr>
        <w:tblStyle w:val="TableGrid"/>
        <w:tblW w:w="0" w:type="auto"/>
        <w:tblLook w:val="06A0" w:firstRow="1" w:lastRow="0" w:firstColumn="1" w:lastColumn="0" w:noHBand="1" w:noVBand="1"/>
      </w:tblPr>
      <w:tblGrid>
        <w:gridCol w:w="885"/>
        <w:gridCol w:w="845"/>
        <w:gridCol w:w="948"/>
        <w:gridCol w:w="979"/>
        <w:gridCol w:w="867"/>
        <w:gridCol w:w="939"/>
        <w:gridCol w:w="944"/>
        <w:gridCol w:w="891"/>
        <w:gridCol w:w="859"/>
        <w:gridCol w:w="859"/>
      </w:tblGrid>
      <w:tr w:rsidR="006E3616" w:rsidRPr="00400193" w14:paraId="10B057A6" w14:textId="77777777" w:rsidTr="003B5486">
        <w:trPr>
          <w:tblHeader/>
        </w:trPr>
        <w:tc>
          <w:tcPr>
            <w:tcW w:w="885" w:type="dxa"/>
            <w:vAlign w:val="center"/>
          </w:tcPr>
          <w:p w14:paraId="47B01A77" w14:textId="77777777" w:rsidR="006E3616" w:rsidRPr="00400193" w:rsidRDefault="006E3616" w:rsidP="003B5486">
            <w:pPr>
              <w:suppressAutoHyphens/>
              <w:spacing w:line="240" w:lineRule="auto"/>
              <w:jc w:val="left"/>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Code</w:t>
            </w:r>
          </w:p>
        </w:tc>
        <w:tc>
          <w:tcPr>
            <w:tcW w:w="845" w:type="dxa"/>
            <w:vAlign w:val="center"/>
          </w:tcPr>
          <w:p w14:paraId="49F430A7"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N</w:t>
            </w:r>
          </w:p>
        </w:tc>
        <w:tc>
          <w:tcPr>
            <w:tcW w:w="948" w:type="dxa"/>
            <w:vAlign w:val="center"/>
          </w:tcPr>
          <w:p w14:paraId="37FB6650"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Minimum</w:t>
            </w:r>
          </w:p>
        </w:tc>
        <w:tc>
          <w:tcPr>
            <w:tcW w:w="979" w:type="dxa"/>
            <w:vAlign w:val="center"/>
          </w:tcPr>
          <w:p w14:paraId="4290D74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Maximum</w:t>
            </w:r>
          </w:p>
        </w:tc>
        <w:tc>
          <w:tcPr>
            <w:tcW w:w="867" w:type="dxa"/>
            <w:vAlign w:val="center"/>
          </w:tcPr>
          <w:p w14:paraId="499F1B20"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Mean</w:t>
            </w:r>
          </w:p>
        </w:tc>
        <w:tc>
          <w:tcPr>
            <w:tcW w:w="939" w:type="dxa"/>
            <w:vAlign w:val="center"/>
          </w:tcPr>
          <w:p w14:paraId="77E0892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Std. Deviation</w:t>
            </w:r>
          </w:p>
        </w:tc>
        <w:tc>
          <w:tcPr>
            <w:tcW w:w="944" w:type="dxa"/>
            <w:vAlign w:val="center"/>
          </w:tcPr>
          <w:p w14:paraId="7BFA273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Skewness</w:t>
            </w:r>
          </w:p>
        </w:tc>
        <w:tc>
          <w:tcPr>
            <w:tcW w:w="891" w:type="dxa"/>
            <w:vAlign w:val="center"/>
          </w:tcPr>
          <w:p w14:paraId="46BF0348"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Kurtosis</w:t>
            </w:r>
          </w:p>
        </w:tc>
        <w:tc>
          <w:tcPr>
            <w:tcW w:w="859" w:type="dxa"/>
            <w:vAlign w:val="center"/>
          </w:tcPr>
          <w:p w14:paraId="28EDB1B5"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Std. Error</w:t>
            </w:r>
          </w:p>
        </w:tc>
        <w:tc>
          <w:tcPr>
            <w:tcW w:w="859" w:type="dxa"/>
            <w:vAlign w:val="center"/>
          </w:tcPr>
          <w:p w14:paraId="41C72A58"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Std. Error</w:t>
            </w:r>
          </w:p>
        </w:tc>
      </w:tr>
      <w:tr w:rsidR="006E3616" w:rsidRPr="00400193" w14:paraId="7DF95DB1" w14:textId="77777777" w:rsidTr="003B5486">
        <w:tc>
          <w:tcPr>
            <w:tcW w:w="885" w:type="dxa"/>
            <w:vAlign w:val="center"/>
          </w:tcPr>
          <w:p w14:paraId="581F417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w:t>
            </w:r>
          </w:p>
        </w:tc>
        <w:tc>
          <w:tcPr>
            <w:tcW w:w="845" w:type="dxa"/>
            <w:vAlign w:val="center"/>
          </w:tcPr>
          <w:p w14:paraId="421E40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D8EEE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F6768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D0D72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939" w:type="dxa"/>
            <w:vAlign w:val="center"/>
          </w:tcPr>
          <w:p w14:paraId="57FC37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01F800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222DED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70373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59" w:type="dxa"/>
            <w:vAlign w:val="center"/>
          </w:tcPr>
          <w:p w14:paraId="3A80E5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F07A5DA" w14:textId="77777777" w:rsidTr="003B5486">
        <w:tc>
          <w:tcPr>
            <w:tcW w:w="885" w:type="dxa"/>
            <w:vAlign w:val="center"/>
          </w:tcPr>
          <w:p w14:paraId="628C42B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KECA2</w:t>
            </w:r>
          </w:p>
        </w:tc>
        <w:tc>
          <w:tcPr>
            <w:tcW w:w="845" w:type="dxa"/>
            <w:vAlign w:val="center"/>
          </w:tcPr>
          <w:p w14:paraId="39E74F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9E77A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060FE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40E41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939" w:type="dxa"/>
            <w:vAlign w:val="center"/>
          </w:tcPr>
          <w:p w14:paraId="12067A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4" w:type="dxa"/>
            <w:vAlign w:val="center"/>
          </w:tcPr>
          <w:p w14:paraId="1D8EAB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891" w:type="dxa"/>
            <w:vAlign w:val="center"/>
          </w:tcPr>
          <w:p w14:paraId="054F50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EC9F4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c>
          <w:tcPr>
            <w:tcW w:w="859" w:type="dxa"/>
            <w:vAlign w:val="center"/>
          </w:tcPr>
          <w:p w14:paraId="34B56C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E2129B1" w14:textId="77777777" w:rsidTr="003B5486">
        <w:tc>
          <w:tcPr>
            <w:tcW w:w="885" w:type="dxa"/>
            <w:vAlign w:val="center"/>
          </w:tcPr>
          <w:p w14:paraId="53726FA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KECA3</w:t>
            </w:r>
          </w:p>
        </w:tc>
        <w:tc>
          <w:tcPr>
            <w:tcW w:w="845" w:type="dxa"/>
            <w:vAlign w:val="center"/>
          </w:tcPr>
          <w:p w14:paraId="6832B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C2DB6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0B4F0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87CC8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939" w:type="dxa"/>
            <w:vAlign w:val="center"/>
          </w:tcPr>
          <w:p w14:paraId="262E80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60F787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131055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49D6B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c>
          <w:tcPr>
            <w:tcW w:w="859" w:type="dxa"/>
            <w:vAlign w:val="center"/>
          </w:tcPr>
          <w:p w14:paraId="56419C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2629FA8" w14:textId="77777777" w:rsidTr="003B5486">
        <w:tc>
          <w:tcPr>
            <w:tcW w:w="885" w:type="dxa"/>
            <w:vAlign w:val="center"/>
          </w:tcPr>
          <w:p w14:paraId="4949472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KECA4</w:t>
            </w:r>
          </w:p>
        </w:tc>
        <w:tc>
          <w:tcPr>
            <w:tcW w:w="845" w:type="dxa"/>
            <w:vAlign w:val="center"/>
          </w:tcPr>
          <w:p w14:paraId="1B3BE4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3B095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8582A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96DF4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939" w:type="dxa"/>
            <w:vAlign w:val="center"/>
          </w:tcPr>
          <w:p w14:paraId="4A3875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730C4C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891" w:type="dxa"/>
            <w:vAlign w:val="center"/>
          </w:tcPr>
          <w:p w14:paraId="39F032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EC5DC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17AFE7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10F973A" w14:textId="77777777" w:rsidTr="003B5486">
        <w:tc>
          <w:tcPr>
            <w:tcW w:w="885" w:type="dxa"/>
            <w:vAlign w:val="center"/>
          </w:tcPr>
          <w:p w14:paraId="2C93E15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KECA5</w:t>
            </w:r>
          </w:p>
        </w:tc>
        <w:tc>
          <w:tcPr>
            <w:tcW w:w="845" w:type="dxa"/>
            <w:vAlign w:val="center"/>
          </w:tcPr>
          <w:p w14:paraId="4037F9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E6027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9E174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93C29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939" w:type="dxa"/>
            <w:vAlign w:val="center"/>
          </w:tcPr>
          <w:p w14:paraId="04076A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2B80DF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891" w:type="dxa"/>
            <w:vAlign w:val="center"/>
          </w:tcPr>
          <w:p w14:paraId="0A05FA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26CD8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859" w:type="dxa"/>
            <w:vAlign w:val="center"/>
          </w:tcPr>
          <w:p w14:paraId="44B64F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C147D03" w14:textId="77777777" w:rsidTr="003B5486">
        <w:tc>
          <w:tcPr>
            <w:tcW w:w="885" w:type="dxa"/>
            <w:vAlign w:val="center"/>
          </w:tcPr>
          <w:p w14:paraId="6E2949E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KECA6</w:t>
            </w:r>
          </w:p>
        </w:tc>
        <w:tc>
          <w:tcPr>
            <w:tcW w:w="845" w:type="dxa"/>
            <w:vAlign w:val="center"/>
          </w:tcPr>
          <w:p w14:paraId="41045D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F8AE2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E2815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2C69C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939" w:type="dxa"/>
            <w:vAlign w:val="center"/>
          </w:tcPr>
          <w:p w14:paraId="687EAA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c>
          <w:tcPr>
            <w:tcW w:w="944" w:type="dxa"/>
            <w:vAlign w:val="center"/>
          </w:tcPr>
          <w:p w14:paraId="5E6A72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34A839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4A60B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859" w:type="dxa"/>
            <w:vAlign w:val="center"/>
          </w:tcPr>
          <w:p w14:paraId="611E8D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A1EA591" w14:textId="77777777" w:rsidTr="003B5486">
        <w:tc>
          <w:tcPr>
            <w:tcW w:w="885" w:type="dxa"/>
            <w:vAlign w:val="center"/>
          </w:tcPr>
          <w:p w14:paraId="690CBC8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KECA7</w:t>
            </w:r>
          </w:p>
        </w:tc>
        <w:tc>
          <w:tcPr>
            <w:tcW w:w="845" w:type="dxa"/>
            <w:vAlign w:val="center"/>
          </w:tcPr>
          <w:p w14:paraId="28A931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DE960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D3AB4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03DF0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939" w:type="dxa"/>
            <w:vAlign w:val="center"/>
          </w:tcPr>
          <w:p w14:paraId="7349E1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7459C6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332A77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F33D1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-0.66</w:t>
            </w:r>
          </w:p>
        </w:tc>
        <w:tc>
          <w:tcPr>
            <w:tcW w:w="859" w:type="dxa"/>
            <w:vAlign w:val="center"/>
          </w:tcPr>
          <w:p w14:paraId="0207A3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1ED031C" w14:textId="77777777" w:rsidTr="003B5486">
        <w:tc>
          <w:tcPr>
            <w:tcW w:w="885" w:type="dxa"/>
            <w:vAlign w:val="center"/>
          </w:tcPr>
          <w:p w14:paraId="04C2B2B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KECA8</w:t>
            </w:r>
          </w:p>
        </w:tc>
        <w:tc>
          <w:tcPr>
            <w:tcW w:w="845" w:type="dxa"/>
            <w:vAlign w:val="center"/>
          </w:tcPr>
          <w:p w14:paraId="3C4E53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3EE99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38D47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E0735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939" w:type="dxa"/>
            <w:vAlign w:val="center"/>
          </w:tcPr>
          <w:p w14:paraId="659936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c>
          <w:tcPr>
            <w:tcW w:w="944" w:type="dxa"/>
            <w:vAlign w:val="center"/>
          </w:tcPr>
          <w:p w14:paraId="41CA6E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-0.38</w:t>
            </w:r>
          </w:p>
        </w:tc>
        <w:tc>
          <w:tcPr>
            <w:tcW w:w="891" w:type="dxa"/>
            <w:vAlign w:val="center"/>
          </w:tcPr>
          <w:p w14:paraId="0DFC5D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59970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59" w:type="dxa"/>
            <w:vAlign w:val="center"/>
          </w:tcPr>
          <w:p w14:paraId="0A8B02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538B152" w14:textId="77777777" w:rsidTr="003B5486">
        <w:tc>
          <w:tcPr>
            <w:tcW w:w="885" w:type="dxa"/>
            <w:vAlign w:val="center"/>
          </w:tcPr>
          <w:p w14:paraId="4C9D0BA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KECA9</w:t>
            </w:r>
          </w:p>
        </w:tc>
        <w:tc>
          <w:tcPr>
            <w:tcW w:w="845" w:type="dxa"/>
            <w:vAlign w:val="center"/>
          </w:tcPr>
          <w:p w14:paraId="3FD424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87A33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31083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B8D9E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3.38</w:t>
            </w:r>
          </w:p>
        </w:tc>
        <w:tc>
          <w:tcPr>
            <w:tcW w:w="939" w:type="dxa"/>
            <w:vAlign w:val="center"/>
          </w:tcPr>
          <w:p w14:paraId="02F407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c>
          <w:tcPr>
            <w:tcW w:w="944" w:type="dxa"/>
            <w:vAlign w:val="center"/>
          </w:tcPr>
          <w:p w14:paraId="66E2B3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891" w:type="dxa"/>
            <w:vAlign w:val="center"/>
          </w:tcPr>
          <w:p w14:paraId="220CF9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6C82B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859" w:type="dxa"/>
            <w:vAlign w:val="center"/>
          </w:tcPr>
          <w:p w14:paraId="282D19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32F7270" w14:textId="77777777" w:rsidTr="003B5486">
        <w:tc>
          <w:tcPr>
            <w:tcW w:w="885" w:type="dxa"/>
            <w:vAlign w:val="center"/>
          </w:tcPr>
          <w:p w14:paraId="4AF784D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KECA10</w:t>
            </w:r>
          </w:p>
        </w:tc>
        <w:tc>
          <w:tcPr>
            <w:tcW w:w="845" w:type="dxa"/>
            <w:vAlign w:val="center"/>
          </w:tcPr>
          <w:p w14:paraId="14B0BF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BA586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82FCD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CEB2E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2.82</w:t>
            </w:r>
          </w:p>
        </w:tc>
        <w:tc>
          <w:tcPr>
            <w:tcW w:w="939" w:type="dxa"/>
            <w:vAlign w:val="center"/>
          </w:tcPr>
          <w:p w14:paraId="456E06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1.38</w:t>
            </w:r>
          </w:p>
        </w:tc>
        <w:tc>
          <w:tcPr>
            <w:tcW w:w="944" w:type="dxa"/>
            <w:vAlign w:val="center"/>
          </w:tcPr>
          <w:p w14:paraId="290A61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891" w:type="dxa"/>
            <w:vAlign w:val="center"/>
          </w:tcPr>
          <w:p w14:paraId="0E4CE4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6F01F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c>
          <w:tcPr>
            <w:tcW w:w="859" w:type="dxa"/>
            <w:vAlign w:val="center"/>
          </w:tcPr>
          <w:p w14:paraId="34ED6B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614150F" w14:textId="77777777" w:rsidTr="003B5486">
        <w:tc>
          <w:tcPr>
            <w:tcW w:w="885" w:type="dxa"/>
            <w:vAlign w:val="center"/>
          </w:tcPr>
          <w:p w14:paraId="1E46017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KECA11</w:t>
            </w:r>
          </w:p>
        </w:tc>
        <w:tc>
          <w:tcPr>
            <w:tcW w:w="845" w:type="dxa"/>
            <w:vAlign w:val="center"/>
          </w:tcPr>
          <w:p w14:paraId="7EB1FB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D17D6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67B94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F537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939" w:type="dxa"/>
            <w:vAlign w:val="center"/>
          </w:tcPr>
          <w:p w14:paraId="33526D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7C482A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891" w:type="dxa"/>
            <w:vAlign w:val="center"/>
          </w:tcPr>
          <w:p w14:paraId="779DBC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94AF6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859" w:type="dxa"/>
            <w:vAlign w:val="center"/>
          </w:tcPr>
          <w:p w14:paraId="4BD504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681B519" w14:textId="77777777" w:rsidTr="003B5486">
        <w:tc>
          <w:tcPr>
            <w:tcW w:w="885" w:type="dxa"/>
            <w:vAlign w:val="center"/>
          </w:tcPr>
          <w:p w14:paraId="0B78B4A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KECA12</w:t>
            </w:r>
          </w:p>
        </w:tc>
        <w:tc>
          <w:tcPr>
            <w:tcW w:w="845" w:type="dxa"/>
            <w:vAlign w:val="center"/>
          </w:tcPr>
          <w:p w14:paraId="30B7E4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9BC6D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CB52F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DF912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939" w:type="dxa"/>
            <w:vAlign w:val="center"/>
          </w:tcPr>
          <w:p w14:paraId="574529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13570D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0DBF82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6EF74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-0.83</w:t>
            </w:r>
          </w:p>
        </w:tc>
        <w:tc>
          <w:tcPr>
            <w:tcW w:w="859" w:type="dxa"/>
            <w:vAlign w:val="center"/>
          </w:tcPr>
          <w:p w14:paraId="2B42A3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82F5AF9" w14:textId="77777777" w:rsidTr="003B5486">
        <w:tc>
          <w:tcPr>
            <w:tcW w:w="885" w:type="dxa"/>
            <w:vAlign w:val="center"/>
          </w:tcPr>
          <w:p w14:paraId="290D4E2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KECA13</w:t>
            </w:r>
          </w:p>
        </w:tc>
        <w:tc>
          <w:tcPr>
            <w:tcW w:w="845" w:type="dxa"/>
            <w:vAlign w:val="center"/>
          </w:tcPr>
          <w:p w14:paraId="7E7C38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E9872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9672D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64497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939" w:type="dxa"/>
            <w:vAlign w:val="center"/>
          </w:tcPr>
          <w:p w14:paraId="50755C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415921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1377A5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0035A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859" w:type="dxa"/>
            <w:vAlign w:val="center"/>
          </w:tcPr>
          <w:p w14:paraId="4BC539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F35E377" w14:textId="77777777" w:rsidTr="003B5486">
        <w:tc>
          <w:tcPr>
            <w:tcW w:w="885" w:type="dxa"/>
            <w:vAlign w:val="center"/>
          </w:tcPr>
          <w:p w14:paraId="7BC1E44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KECA14</w:t>
            </w:r>
          </w:p>
        </w:tc>
        <w:tc>
          <w:tcPr>
            <w:tcW w:w="845" w:type="dxa"/>
            <w:vAlign w:val="center"/>
          </w:tcPr>
          <w:p w14:paraId="5860B3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0D0E2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89E4E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C3C2B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939" w:type="dxa"/>
            <w:vAlign w:val="center"/>
          </w:tcPr>
          <w:p w14:paraId="1B4EFE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408873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4DC63D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92B3C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c>
          <w:tcPr>
            <w:tcW w:w="859" w:type="dxa"/>
            <w:vAlign w:val="center"/>
          </w:tcPr>
          <w:p w14:paraId="1AC629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ED33674" w14:textId="77777777" w:rsidTr="003B5486">
        <w:tc>
          <w:tcPr>
            <w:tcW w:w="885" w:type="dxa"/>
            <w:vAlign w:val="center"/>
          </w:tcPr>
          <w:p w14:paraId="116417C3" w14:textId="1F58CDAD"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w:t>
            </w:r>
            <w:r w:rsidR="00026B4E" w:rsidRPr="00400193">
              <w:rPr>
                <w:rFonts w:asciiTheme="minorHAnsi" w:hAnsiTheme="minorHAnsi" w:cstheme="minorHAnsi"/>
                <w:sz w:val="18"/>
                <w:szCs w:val="18"/>
                <w:lang w:eastAsia="zh-CN" w:bidi="hi-IN"/>
              </w:rPr>
              <w:t>C</w:t>
            </w:r>
            <w:r w:rsidRPr="00400193">
              <w:rPr>
                <w:rFonts w:asciiTheme="minorHAnsi" w:hAnsiTheme="minorHAnsi" w:cstheme="minorHAnsi"/>
                <w:sz w:val="18"/>
                <w:szCs w:val="18"/>
                <w:lang w:eastAsia="zh-CN" w:bidi="hi-IN"/>
              </w:rPr>
              <w:t>A</w:t>
            </w:r>
          </w:p>
        </w:tc>
        <w:tc>
          <w:tcPr>
            <w:tcW w:w="845" w:type="dxa"/>
            <w:vAlign w:val="center"/>
          </w:tcPr>
          <w:p w14:paraId="47F04A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876B9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DC633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w:t>
            </w:r>
          </w:p>
        </w:tc>
        <w:tc>
          <w:tcPr>
            <w:tcW w:w="867" w:type="dxa"/>
            <w:vAlign w:val="center"/>
          </w:tcPr>
          <w:p w14:paraId="27A7F1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939" w:type="dxa"/>
            <w:vAlign w:val="center"/>
          </w:tcPr>
          <w:p w14:paraId="70F880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0.80</w:t>
            </w:r>
          </w:p>
        </w:tc>
        <w:tc>
          <w:tcPr>
            <w:tcW w:w="944" w:type="dxa"/>
            <w:vAlign w:val="center"/>
          </w:tcPr>
          <w:p w14:paraId="086802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c>
          <w:tcPr>
            <w:tcW w:w="891" w:type="dxa"/>
            <w:vAlign w:val="center"/>
          </w:tcPr>
          <w:p w14:paraId="1934D6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B1E32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c>
          <w:tcPr>
            <w:tcW w:w="859" w:type="dxa"/>
            <w:vAlign w:val="center"/>
          </w:tcPr>
          <w:p w14:paraId="7074E0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01C9F07" w14:textId="77777777" w:rsidTr="003B5486">
        <w:tc>
          <w:tcPr>
            <w:tcW w:w="885" w:type="dxa"/>
            <w:vAlign w:val="center"/>
          </w:tcPr>
          <w:p w14:paraId="17DCCD1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w:t>
            </w:r>
          </w:p>
        </w:tc>
        <w:tc>
          <w:tcPr>
            <w:tcW w:w="845" w:type="dxa"/>
            <w:vAlign w:val="center"/>
          </w:tcPr>
          <w:p w14:paraId="0CB4DA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11FDC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E64B2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8258E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939" w:type="dxa"/>
            <w:vAlign w:val="center"/>
          </w:tcPr>
          <w:p w14:paraId="63CB22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1.27</w:t>
            </w:r>
          </w:p>
        </w:tc>
        <w:tc>
          <w:tcPr>
            <w:tcW w:w="944" w:type="dxa"/>
            <w:vAlign w:val="center"/>
          </w:tcPr>
          <w:p w14:paraId="02F627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384A55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6B43E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859" w:type="dxa"/>
            <w:vAlign w:val="center"/>
          </w:tcPr>
          <w:p w14:paraId="1BBD81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4C7C0C2" w14:textId="77777777" w:rsidTr="003B5486">
        <w:tc>
          <w:tcPr>
            <w:tcW w:w="885" w:type="dxa"/>
            <w:vAlign w:val="center"/>
          </w:tcPr>
          <w:p w14:paraId="750D9F7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KEH2</w:t>
            </w:r>
          </w:p>
        </w:tc>
        <w:tc>
          <w:tcPr>
            <w:tcW w:w="845" w:type="dxa"/>
            <w:vAlign w:val="center"/>
          </w:tcPr>
          <w:p w14:paraId="26AC77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16B4B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C387F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E7FCC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939" w:type="dxa"/>
            <w:vAlign w:val="center"/>
          </w:tcPr>
          <w:p w14:paraId="77DFDD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6240CD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6B0BAC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9E4DD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859" w:type="dxa"/>
            <w:vAlign w:val="center"/>
          </w:tcPr>
          <w:p w14:paraId="1C228E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5BC9030" w14:textId="77777777" w:rsidTr="003B5486">
        <w:tc>
          <w:tcPr>
            <w:tcW w:w="885" w:type="dxa"/>
            <w:vAlign w:val="center"/>
          </w:tcPr>
          <w:p w14:paraId="2E3ACAB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KEH3</w:t>
            </w:r>
          </w:p>
        </w:tc>
        <w:tc>
          <w:tcPr>
            <w:tcW w:w="845" w:type="dxa"/>
            <w:vAlign w:val="center"/>
          </w:tcPr>
          <w:p w14:paraId="20807C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C3B74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0027D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A9173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939" w:type="dxa"/>
            <w:vAlign w:val="center"/>
          </w:tcPr>
          <w:p w14:paraId="4918CB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1.15</w:t>
            </w:r>
          </w:p>
        </w:tc>
        <w:tc>
          <w:tcPr>
            <w:tcW w:w="944" w:type="dxa"/>
            <w:vAlign w:val="center"/>
          </w:tcPr>
          <w:p w14:paraId="573A17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c>
          <w:tcPr>
            <w:tcW w:w="891" w:type="dxa"/>
            <w:vAlign w:val="center"/>
          </w:tcPr>
          <w:p w14:paraId="6AAA9E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E8371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c>
          <w:tcPr>
            <w:tcW w:w="859" w:type="dxa"/>
            <w:vAlign w:val="center"/>
          </w:tcPr>
          <w:p w14:paraId="03A901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F7BCD65" w14:textId="77777777" w:rsidTr="003B5486">
        <w:tc>
          <w:tcPr>
            <w:tcW w:w="885" w:type="dxa"/>
            <w:vAlign w:val="center"/>
          </w:tcPr>
          <w:p w14:paraId="2DF42AC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KEH4</w:t>
            </w:r>
          </w:p>
        </w:tc>
        <w:tc>
          <w:tcPr>
            <w:tcW w:w="845" w:type="dxa"/>
            <w:vAlign w:val="center"/>
          </w:tcPr>
          <w:p w14:paraId="0B1AB8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B1703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CE8C8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96C14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939" w:type="dxa"/>
            <w:vAlign w:val="center"/>
          </w:tcPr>
          <w:p w14:paraId="726B81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214AFE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891" w:type="dxa"/>
            <w:vAlign w:val="center"/>
          </w:tcPr>
          <w:p w14:paraId="55088A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3A80C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c>
          <w:tcPr>
            <w:tcW w:w="859" w:type="dxa"/>
            <w:vAlign w:val="center"/>
          </w:tcPr>
          <w:p w14:paraId="20F91A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E7D1F90" w14:textId="77777777" w:rsidTr="003B5486">
        <w:tc>
          <w:tcPr>
            <w:tcW w:w="885" w:type="dxa"/>
            <w:vAlign w:val="center"/>
          </w:tcPr>
          <w:p w14:paraId="1B83441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KEH5</w:t>
            </w:r>
          </w:p>
        </w:tc>
        <w:tc>
          <w:tcPr>
            <w:tcW w:w="845" w:type="dxa"/>
            <w:vAlign w:val="center"/>
          </w:tcPr>
          <w:p w14:paraId="15D789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8C03C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1EA01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945BB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232B25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49509C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3493F8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BA9FC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859" w:type="dxa"/>
            <w:vAlign w:val="center"/>
          </w:tcPr>
          <w:p w14:paraId="33444E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8932849" w14:textId="77777777" w:rsidTr="003B5486">
        <w:tc>
          <w:tcPr>
            <w:tcW w:w="885" w:type="dxa"/>
            <w:vAlign w:val="center"/>
          </w:tcPr>
          <w:p w14:paraId="0130C29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KEH6</w:t>
            </w:r>
          </w:p>
        </w:tc>
        <w:tc>
          <w:tcPr>
            <w:tcW w:w="845" w:type="dxa"/>
            <w:vAlign w:val="center"/>
          </w:tcPr>
          <w:p w14:paraId="46A6B8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508D0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2134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AD771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939" w:type="dxa"/>
            <w:vAlign w:val="center"/>
          </w:tcPr>
          <w:p w14:paraId="5632C8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944" w:type="dxa"/>
            <w:vAlign w:val="center"/>
          </w:tcPr>
          <w:p w14:paraId="7545D8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91" w:type="dxa"/>
            <w:vAlign w:val="center"/>
          </w:tcPr>
          <w:p w14:paraId="137ED9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45D39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859" w:type="dxa"/>
            <w:vAlign w:val="center"/>
          </w:tcPr>
          <w:p w14:paraId="077AAE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9BAC544" w14:textId="77777777" w:rsidTr="003B5486">
        <w:tc>
          <w:tcPr>
            <w:tcW w:w="885" w:type="dxa"/>
            <w:vAlign w:val="center"/>
          </w:tcPr>
          <w:p w14:paraId="107D1D6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KEH7</w:t>
            </w:r>
          </w:p>
        </w:tc>
        <w:tc>
          <w:tcPr>
            <w:tcW w:w="845" w:type="dxa"/>
            <w:vAlign w:val="center"/>
          </w:tcPr>
          <w:p w14:paraId="2ADD20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035B2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70A38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E14C5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939" w:type="dxa"/>
            <w:vAlign w:val="center"/>
          </w:tcPr>
          <w:p w14:paraId="0DFA0B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4CA00D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33272D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102B4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859" w:type="dxa"/>
            <w:vAlign w:val="center"/>
          </w:tcPr>
          <w:p w14:paraId="5FC5FE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2CC6795" w14:textId="77777777" w:rsidTr="003B5486">
        <w:tc>
          <w:tcPr>
            <w:tcW w:w="885" w:type="dxa"/>
            <w:vAlign w:val="center"/>
          </w:tcPr>
          <w:p w14:paraId="1D2EA47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KEH8</w:t>
            </w:r>
          </w:p>
        </w:tc>
        <w:tc>
          <w:tcPr>
            <w:tcW w:w="845" w:type="dxa"/>
            <w:vAlign w:val="center"/>
          </w:tcPr>
          <w:p w14:paraId="216805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EB285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1A525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79A55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939" w:type="dxa"/>
            <w:vAlign w:val="center"/>
          </w:tcPr>
          <w:p w14:paraId="46BF22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2D9D7B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0D8C36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719B0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859" w:type="dxa"/>
            <w:vAlign w:val="center"/>
          </w:tcPr>
          <w:p w14:paraId="0F9FDC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37267ED" w14:textId="77777777" w:rsidTr="003B5486">
        <w:tc>
          <w:tcPr>
            <w:tcW w:w="885" w:type="dxa"/>
            <w:vAlign w:val="center"/>
          </w:tcPr>
          <w:p w14:paraId="76AE7C3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KEH9</w:t>
            </w:r>
          </w:p>
        </w:tc>
        <w:tc>
          <w:tcPr>
            <w:tcW w:w="845" w:type="dxa"/>
            <w:vAlign w:val="center"/>
          </w:tcPr>
          <w:p w14:paraId="1EDF65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B4300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47D02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ADF51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939" w:type="dxa"/>
            <w:vAlign w:val="center"/>
          </w:tcPr>
          <w:p w14:paraId="4451D4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944" w:type="dxa"/>
            <w:vAlign w:val="center"/>
          </w:tcPr>
          <w:p w14:paraId="12645A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-0.32</w:t>
            </w:r>
          </w:p>
        </w:tc>
        <w:tc>
          <w:tcPr>
            <w:tcW w:w="891" w:type="dxa"/>
            <w:vAlign w:val="center"/>
          </w:tcPr>
          <w:p w14:paraId="2EFC5E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2C0B5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c>
          <w:tcPr>
            <w:tcW w:w="859" w:type="dxa"/>
            <w:vAlign w:val="center"/>
          </w:tcPr>
          <w:p w14:paraId="56039B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2B06784" w14:textId="77777777" w:rsidTr="003B5486">
        <w:tc>
          <w:tcPr>
            <w:tcW w:w="885" w:type="dxa"/>
            <w:vAlign w:val="center"/>
          </w:tcPr>
          <w:p w14:paraId="3709DFC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KEH10</w:t>
            </w:r>
          </w:p>
        </w:tc>
        <w:tc>
          <w:tcPr>
            <w:tcW w:w="845" w:type="dxa"/>
            <w:vAlign w:val="center"/>
          </w:tcPr>
          <w:p w14:paraId="10DB29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2D0A9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A1536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ACA82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939" w:type="dxa"/>
            <w:vAlign w:val="center"/>
          </w:tcPr>
          <w:p w14:paraId="45F0F1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477396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891" w:type="dxa"/>
            <w:vAlign w:val="center"/>
          </w:tcPr>
          <w:p w14:paraId="386F9E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D20D5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5FAEDF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FADB295" w14:textId="77777777" w:rsidTr="003B5486">
        <w:tc>
          <w:tcPr>
            <w:tcW w:w="885" w:type="dxa"/>
            <w:vAlign w:val="center"/>
          </w:tcPr>
          <w:p w14:paraId="548012B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KEH11</w:t>
            </w:r>
          </w:p>
        </w:tc>
        <w:tc>
          <w:tcPr>
            <w:tcW w:w="845" w:type="dxa"/>
            <w:vAlign w:val="center"/>
          </w:tcPr>
          <w:p w14:paraId="505AAF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20024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A89D3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486E3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939" w:type="dxa"/>
            <w:vAlign w:val="center"/>
          </w:tcPr>
          <w:p w14:paraId="35D586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5B9784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5EBA3B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99C02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859" w:type="dxa"/>
            <w:vAlign w:val="center"/>
          </w:tcPr>
          <w:p w14:paraId="610A35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C728398" w14:textId="77777777" w:rsidTr="003B5486">
        <w:tc>
          <w:tcPr>
            <w:tcW w:w="885" w:type="dxa"/>
            <w:vAlign w:val="center"/>
          </w:tcPr>
          <w:p w14:paraId="25A8E5C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KEH12</w:t>
            </w:r>
          </w:p>
        </w:tc>
        <w:tc>
          <w:tcPr>
            <w:tcW w:w="845" w:type="dxa"/>
            <w:vAlign w:val="center"/>
          </w:tcPr>
          <w:p w14:paraId="5B82FE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B7C52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B74D8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CAC34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939" w:type="dxa"/>
            <w:vAlign w:val="center"/>
          </w:tcPr>
          <w:p w14:paraId="05561C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944" w:type="dxa"/>
            <w:vAlign w:val="center"/>
          </w:tcPr>
          <w:p w14:paraId="538E9B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20FA20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6BD52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-0.81</w:t>
            </w:r>
          </w:p>
        </w:tc>
        <w:tc>
          <w:tcPr>
            <w:tcW w:w="859" w:type="dxa"/>
            <w:vAlign w:val="center"/>
          </w:tcPr>
          <w:p w14:paraId="180ED7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0EF959F" w14:textId="77777777" w:rsidTr="003B5486">
        <w:tc>
          <w:tcPr>
            <w:tcW w:w="885" w:type="dxa"/>
            <w:vAlign w:val="center"/>
          </w:tcPr>
          <w:p w14:paraId="202F24B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KEH13</w:t>
            </w:r>
          </w:p>
        </w:tc>
        <w:tc>
          <w:tcPr>
            <w:tcW w:w="845" w:type="dxa"/>
            <w:vAlign w:val="center"/>
          </w:tcPr>
          <w:p w14:paraId="4BA0CA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284EB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05937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9B60E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939" w:type="dxa"/>
            <w:vAlign w:val="center"/>
          </w:tcPr>
          <w:p w14:paraId="486630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c>
          <w:tcPr>
            <w:tcW w:w="944" w:type="dxa"/>
            <w:vAlign w:val="center"/>
          </w:tcPr>
          <w:p w14:paraId="136CBD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891" w:type="dxa"/>
            <w:vAlign w:val="center"/>
          </w:tcPr>
          <w:p w14:paraId="4DAF2B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42F14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859" w:type="dxa"/>
            <w:vAlign w:val="center"/>
          </w:tcPr>
          <w:p w14:paraId="2D43E6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8FB6ABB" w14:textId="77777777" w:rsidTr="003B5486">
        <w:tc>
          <w:tcPr>
            <w:tcW w:w="885" w:type="dxa"/>
            <w:vAlign w:val="center"/>
          </w:tcPr>
          <w:p w14:paraId="224BC0A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KEH14</w:t>
            </w:r>
          </w:p>
        </w:tc>
        <w:tc>
          <w:tcPr>
            <w:tcW w:w="845" w:type="dxa"/>
            <w:vAlign w:val="center"/>
          </w:tcPr>
          <w:p w14:paraId="4F2B13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29E86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68C4E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FBB75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939" w:type="dxa"/>
            <w:vAlign w:val="center"/>
          </w:tcPr>
          <w:p w14:paraId="35A2B4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c>
          <w:tcPr>
            <w:tcW w:w="944" w:type="dxa"/>
            <w:vAlign w:val="center"/>
          </w:tcPr>
          <w:p w14:paraId="3E05B8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7C8602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C14AC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c>
          <w:tcPr>
            <w:tcW w:w="859" w:type="dxa"/>
            <w:vAlign w:val="center"/>
          </w:tcPr>
          <w:p w14:paraId="003915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DECBF4B" w14:textId="77777777" w:rsidTr="003B5486">
        <w:tc>
          <w:tcPr>
            <w:tcW w:w="885" w:type="dxa"/>
            <w:vAlign w:val="center"/>
          </w:tcPr>
          <w:p w14:paraId="503A527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KEH15</w:t>
            </w:r>
          </w:p>
        </w:tc>
        <w:tc>
          <w:tcPr>
            <w:tcW w:w="845" w:type="dxa"/>
            <w:vAlign w:val="center"/>
          </w:tcPr>
          <w:p w14:paraId="687B63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0A004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5E556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A2553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w:t>
            </w:r>
          </w:p>
        </w:tc>
        <w:tc>
          <w:tcPr>
            <w:tcW w:w="939" w:type="dxa"/>
            <w:vAlign w:val="center"/>
          </w:tcPr>
          <w:p w14:paraId="04EE17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3D0163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-0.55</w:t>
            </w:r>
          </w:p>
        </w:tc>
        <w:tc>
          <w:tcPr>
            <w:tcW w:w="891" w:type="dxa"/>
            <w:vAlign w:val="center"/>
          </w:tcPr>
          <w:p w14:paraId="7941E7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0649E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59" w:type="dxa"/>
            <w:vAlign w:val="center"/>
          </w:tcPr>
          <w:p w14:paraId="5F2232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341B9C2" w14:textId="77777777" w:rsidTr="003B5486">
        <w:tc>
          <w:tcPr>
            <w:tcW w:w="885" w:type="dxa"/>
            <w:vAlign w:val="center"/>
          </w:tcPr>
          <w:p w14:paraId="3E73883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w:t>
            </w:r>
          </w:p>
        </w:tc>
        <w:tc>
          <w:tcPr>
            <w:tcW w:w="845" w:type="dxa"/>
            <w:vAlign w:val="center"/>
          </w:tcPr>
          <w:p w14:paraId="713EB7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E07D3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D4904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53E95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939" w:type="dxa"/>
            <w:vAlign w:val="center"/>
          </w:tcPr>
          <w:p w14:paraId="5CEC5C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944" w:type="dxa"/>
            <w:vAlign w:val="center"/>
          </w:tcPr>
          <w:p w14:paraId="72A451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91" w:type="dxa"/>
            <w:vAlign w:val="center"/>
          </w:tcPr>
          <w:p w14:paraId="24EA54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CB549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c>
          <w:tcPr>
            <w:tcW w:w="859" w:type="dxa"/>
            <w:vAlign w:val="center"/>
          </w:tcPr>
          <w:p w14:paraId="61E257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717154D" w14:textId="77777777" w:rsidTr="003B5486">
        <w:tc>
          <w:tcPr>
            <w:tcW w:w="885" w:type="dxa"/>
            <w:vAlign w:val="center"/>
          </w:tcPr>
          <w:p w14:paraId="4B801F4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KEP1</w:t>
            </w:r>
          </w:p>
        </w:tc>
        <w:tc>
          <w:tcPr>
            <w:tcW w:w="845" w:type="dxa"/>
            <w:vAlign w:val="center"/>
          </w:tcPr>
          <w:p w14:paraId="0D3D55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50957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26BB4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90061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3.40</w:t>
            </w:r>
          </w:p>
        </w:tc>
        <w:tc>
          <w:tcPr>
            <w:tcW w:w="939" w:type="dxa"/>
            <w:vAlign w:val="center"/>
          </w:tcPr>
          <w:p w14:paraId="6EB73A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064CD4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c>
          <w:tcPr>
            <w:tcW w:w="891" w:type="dxa"/>
            <w:vAlign w:val="center"/>
          </w:tcPr>
          <w:p w14:paraId="4C93AB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81E93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c>
          <w:tcPr>
            <w:tcW w:w="859" w:type="dxa"/>
            <w:vAlign w:val="center"/>
          </w:tcPr>
          <w:p w14:paraId="280FF4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81FBD88" w14:textId="77777777" w:rsidTr="003B5486">
        <w:tc>
          <w:tcPr>
            <w:tcW w:w="885" w:type="dxa"/>
            <w:vAlign w:val="center"/>
          </w:tcPr>
          <w:p w14:paraId="1B98F23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KEP2</w:t>
            </w:r>
          </w:p>
        </w:tc>
        <w:tc>
          <w:tcPr>
            <w:tcW w:w="845" w:type="dxa"/>
            <w:vAlign w:val="center"/>
          </w:tcPr>
          <w:p w14:paraId="559191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C804F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16F21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F6049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3.36</w:t>
            </w:r>
          </w:p>
        </w:tc>
        <w:tc>
          <w:tcPr>
            <w:tcW w:w="939" w:type="dxa"/>
            <w:vAlign w:val="center"/>
          </w:tcPr>
          <w:p w14:paraId="3BDD58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35A63A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-0.44</w:t>
            </w:r>
          </w:p>
        </w:tc>
        <w:tc>
          <w:tcPr>
            <w:tcW w:w="891" w:type="dxa"/>
            <w:vAlign w:val="center"/>
          </w:tcPr>
          <w:p w14:paraId="4510A7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AF3FD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c>
          <w:tcPr>
            <w:tcW w:w="859" w:type="dxa"/>
            <w:vAlign w:val="center"/>
          </w:tcPr>
          <w:p w14:paraId="6D53EF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CA8737C" w14:textId="77777777" w:rsidTr="003B5486">
        <w:tc>
          <w:tcPr>
            <w:tcW w:w="885" w:type="dxa"/>
            <w:vAlign w:val="center"/>
          </w:tcPr>
          <w:p w14:paraId="04B6EF0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KEP3</w:t>
            </w:r>
          </w:p>
        </w:tc>
        <w:tc>
          <w:tcPr>
            <w:tcW w:w="845" w:type="dxa"/>
            <w:vAlign w:val="center"/>
          </w:tcPr>
          <w:p w14:paraId="78FD0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D8CD5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EB06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95604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939" w:type="dxa"/>
            <w:vAlign w:val="center"/>
          </w:tcPr>
          <w:p w14:paraId="53E993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42D5E8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91" w:type="dxa"/>
            <w:vAlign w:val="center"/>
          </w:tcPr>
          <w:p w14:paraId="235273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D33FD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c>
          <w:tcPr>
            <w:tcW w:w="859" w:type="dxa"/>
            <w:vAlign w:val="center"/>
          </w:tcPr>
          <w:p w14:paraId="3E9DF4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076A8D2" w14:textId="77777777" w:rsidTr="003B5486">
        <w:tc>
          <w:tcPr>
            <w:tcW w:w="885" w:type="dxa"/>
            <w:vAlign w:val="center"/>
          </w:tcPr>
          <w:p w14:paraId="756330F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KEP4</w:t>
            </w:r>
          </w:p>
        </w:tc>
        <w:tc>
          <w:tcPr>
            <w:tcW w:w="845" w:type="dxa"/>
            <w:vAlign w:val="center"/>
          </w:tcPr>
          <w:p w14:paraId="79595F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4B826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7A2F3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16CFB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939" w:type="dxa"/>
            <w:vAlign w:val="center"/>
          </w:tcPr>
          <w:p w14:paraId="6CFD96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5773EB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891" w:type="dxa"/>
            <w:vAlign w:val="center"/>
          </w:tcPr>
          <w:p w14:paraId="151738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6E8EB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20A622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898B581" w14:textId="77777777" w:rsidTr="003B5486">
        <w:tc>
          <w:tcPr>
            <w:tcW w:w="885" w:type="dxa"/>
            <w:vAlign w:val="center"/>
          </w:tcPr>
          <w:p w14:paraId="0337395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KEP5</w:t>
            </w:r>
          </w:p>
        </w:tc>
        <w:tc>
          <w:tcPr>
            <w:tcW w:w="845" w:type="dxa"/>
            <w:vAlign w:val="center"/>
          </w:tcPr>
          <w:p w14:paraId="789E6E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0FA81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54DA4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EAA27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939" w:type="dxa"/>
            <w:vAlign w:val="center"/>
          </w:tcPr>
          <w:p w14:paraId="00B604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61E479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15277B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6B13E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c>
          <w:tcPr>
            <w:tcW w:w="859" w:type="dxa"/>
            <w:vAlign w:val="center"/>
          </w:tcPr>
          <w:p w14:paraId="78C495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EC5D89D" w14:textId="77777777" w:rsidTr="003B5486">
        <w:tc>
          <w:tcPr>
            <w:tcW w:w="885" w:type="dxa"/>
            <w:vAlign w:val="center"/>
          </w:tcPr>
          <w:p w14:paraId="0577CC0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KEP6</w:t>
            </w:r>
          </w:p>
        </w:tc>
        <w:tc>
          <w:tcPr>
            <w:tcW w:w="845" w:type="dxa"/>
            <w:vAlign w:val="center"/>
          </w:tcPr>
          <w:p w14:paraId="5FDB5B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D56C1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44069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61FF9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03A0A7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453A67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891" w:type="dxa"/>
            <w:vAlign w:val="center"/>
          </w:tcPr>
          <w:p w14:paraId="6C99DB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5911C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c>
          <w:tcPr>
            <w:tcW w:w="859" w:type="dxa"/>
            <w:vAlign w:val="center"/>
          </w:tcPr>
          <w:p w14:paraId="0B0D0D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7D22443" w14:textId="77777777" w:rsidTr="003B5486">
        <w:tc>
          <w:tcPr>
            <w:tcW w:w="885" w:type="dxa"/>
            <w:vAlign w:val="center"/>
          </w:tcPr>
          <w:p w14:paraId="5713CB3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KEP7</w:t>
            </w:r>
          </w:p>
        </w:tc>
        <w:tc>
          <w:tcPr>
            <w:tcW w:w="845" w:type="dxa"/>
            <w:vAlign w:val="center"/>
          </w:tcPr>
          <w:p w14:paraId="2D68B2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497EC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35E73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97160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939" w:type="dxa"/>
            <w:vAlign w:val="center"/>
          </w:tcPr>
          <w:p w14:paraId="5D8CAB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789B79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91" w:type="dxa"/>
            <w:vAlign w:val="center"/>
          </w:tcPr>
          <w:p w14:paraId="7F9F91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7A41A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859" w:type="dxa"/>
            <w:vAlign w:val="center"/>
          </w:tcPr>
          <w:p w14:paraId="5D9492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D97FEE4" w14:textId="77777777" w:rsidTr="003B5486">
        <w:tc>
          <w:tcPr>
            <w:tcW w:w="885" w:type="dxa"/>
            <w:vAlign w:val="center"/>
          </w:tcPr>
          <w:p w14:paraId="43C5F63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KEP8</w:t>
            </w:r>
          </w:p>
        </w:tc>
        <w:tc>
          <w:tcPr>
            <w:tcW w:w="845" w:type="dxa"/>
            <w:vAlign w:val="center"/>
          </w:tcPr>
          <w:p w14:paraId="1C8411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1A99D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318DF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C388E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939" w:type="dxa"/>
            <w:vAlign w:val="center"/>
          </w:tcPr>
          <w:p w14:paraId="00C5B4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3B9820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562C2B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7815E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859" w:type="dxa"/>
            <w:vAlign w:val="center"/>
          </w:tcPr>
          <w:p w14:paraId="3902DA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6027936" w14:textId="77777777" w:rsidTr="003B5486">
        <w:tc>
          <w:tcPr>
            <w:tcW w:w="885" w:type="dxa"/>
            <w:vAlign w:val="center"/>
          </w:tcPr>
          <w:p w14:paraId="0B1A48A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w:t>
            </w:r>
          </w:p>
        </w:tc>
        <w:tc>
          <w:tcPr>
            <w:tcW w:w="845" w:type="dxa"/>
            <w:vAlign w:val="center"/>
          </w:tcPr>
          <w:p w14:paraId="0A61B7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1C141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DEAD3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4BF5A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939" w:type="dxa"/>
            <w:vAlign w:val="center"/>
          </w:tcPr>
          <w:p w14:paraId="7BF99A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944" w:type="dxa"/>
            <w:vAlign w:val="center"/>
          </w:tcPr>
          <w:p w14:paraId="31B5FE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891" w:type="dxa"/>
            <w:vAlign w:val="center"/>
          </w:tcPr>
          <w:p w14:paraId="2DFBD5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14085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859" w:type="dxa"/>
            <w:vAlign w:val="center"/>
          </w:tcPr>
          <w:p w14:paraId="134195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704EC5B" w14:textId="77777777" w:rsidTr="003B5486">
        <w:tc>
          <w:tcPr>
            <w:tcW w:w="885" w:type="dxa"/>
            <w:vAlign w:val="center"/>
          </w:tcPr>
          <w:p w14:paraId="37F0FA3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w:t>
            </w:r>
          </w:p>
        </w:tc>
        <w:tc>
          <w:tcPr>
            <w:tcW w:w="845" w:type="dxa"/>
            <w:vAlign w:val="center"/>
          </w:tcPr>
          <w:p w14:paraId="32BCC6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F0612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70ED9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FB7A0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939" w:type="dxa"/>
            <w:vAlign w:val="center"/>
          </w:tcPr>
          <w:p w14:paraId="129A3A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41CAA2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891" w:type="dxa"/>
            <w:vAlign w:val="center"/>
          </w:tcPr>
          <w:p w14:paraId="15C1ED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BC4B6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c>
          <w:tcPr>
            <w:tcW w:w="859" w:type="dxa"/>
            <w:vAlign w:val="center"/>
          </w:tcPr>
          <w:p w14:paraId="54A708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7AEAE4B" w14:textId="77777777" w:rsidTr="003B5486">
        <w:tc>
          <w:tcPr>
            <w:tcW w:w="885" w:type="dxa"/>
            <w:vAlign w:val="center"/>
          </w:tcPr>
          <w:p w14:paraId="02EC1D2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KEFF2</w:t>
            </w:r>
          </w:p>
        </w:tc>
        <w:tc>
          <w:tcPr>
            <w:tcW w:w="845" w:type="dxa"/>
            <w:vAlign w:val="center"/>
          </w:tcPr>
          <w:p w14:paraId="372811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723FB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A8434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CCE7E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3.67</w:t>
            </w:r>
          </w:p>
        </w:tc>
        <w:tc>
          <w:tcPr>
            <w:tcW w:w="939" w:type="dxa"/>
            <w:vAlign w:val="center"/>
          </w:tcPr>
          <w:p w14:paraId="38CDD2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944" w:type="dxa"/>
            <w:vAlign w:val="center"/>
          </w:tcPr>
          <w:p w14:paraId="4B23EB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c>
          <w:tcPr>
            <w:tcW w:w="891" w:type="dxa"/>
            <w:vAlign w:val="center"/>
          </w:tcPr>
          <w:p w14:paraId="3C1A2B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2F0B8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859" w:type="dxa"/>
            <w:vAlign w:val="center"/>
          </w:tcPr>
          <w:p w14:paraId="77D594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DF772B6" w14:textId="77777777" w:rsidTr="003B5486">
        <w:tc>
          <w:tcPr>
            <w:tcW w:w="885" w:type="dxa"/>
            <w:vAlign w:val="center"/>
          </w:tcPr>
          <w:p w14:paraId="63614B4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KEFF3</w:t>
            </w:r>
          </w:p>
        </w:tc>
        <w:tc>
          <w:tcPr>
            <w:tcW w:w="845" w:type="dxa"/>
            <w:vAlign w:val="center"/>
          </w:tcPr>
          <w:p w14:paraId="269219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DF363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D4768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773E6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046A34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944" w:type="dxa"/>
            <w:vAlign w:val="center"/>
          </w:tcPr>
          <w:p w14:paraId="79716B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891" w:type="dxa"/>
            <w:vAlign w:val="center"/>
          </w:tcPr>
          <w:p w14:paraId="0F3D14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53744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-0.62</w:t>
            </w:r>
          </w:p>
        </w:tc>
        <w:tc>
          <w:tcPr>
            <w:tcW w:w="859" w:type="dxa"/>
            <w:vAlign w:val="center"/>
          </w:tcPr>
          <w:p w14:paraId="243CDD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ACD3DCA" w14:textId="77777777" w:rsidTr="003B5486">
        <w:tc>
          <w:tcPr>
            <w:tcW w:w="885" w:type="dxa"/>
            <w:vAlign w:val="center"/>
          </w:tcPr>
          <w:p w14:paraId="28F899E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KEFF4</w:t>
            </w:r>
          </w:p>
        </w:tc>
        <w:tc>
          <w:tcPr>
            <w:tcW w:w="845" w:type="dxa"/>
            <w:vAlign w:val="center"/>
          </w:tcPr>
          <w:p w14:paraId="643592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633D9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3D10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7B1B4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076223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5B02DB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17BD4A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3D949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859" w:type="dxa"/>
            <w:vAlign w:val="center"/>
          </w:tcPr>
          <w:p w14:paraId="51F18D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D391F9C" w14:textId="77777777" w:rsidTr="003B5486">
        <w:tc>
          <w:tcPr>
            <w:tcW w:w="885" w:type="dxa"/>
            <w:vAlign w:val="center"/>
          </w:tcPr>
          <w:p w14:paraId="6EC8384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KEFF5</w:t>
            </w:r>
          </w:p>
        </w:tc>
        <w:tc>
          <w:tcPr>
            <w:tcW w:w="845" w:type="dxa"/>
            <w:vAlign w:val="center"/>
          </w:tcPr>
          <w:p w14:paraId="12233F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D583B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D0251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CF96C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939" w:type="dxa"/>
            <w:vAlign w:val="center"/>
          </w:tcPr>
          <w:p w14:paraId="57C552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480D3C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891" w:type="dxa"/>
            <w:vAlign w:val="center"/>
          </w:tcPr>
          <w:p w14:paraId="3EC97D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2D725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859" w:type="dxa"/>
            <w:vAlign w:val="center"/>
          </w:tcPr>
          <w:p w14:paraId="22CDD3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94C7A80" w14:textId="77777777" w:rsidTr="003B5486">
        <w:tc>
          <w:tcPr>
            <w:tcW w:w="885" w:type="dxa"/>
            <w:vAlign w:val="center"/>
          </w:tcPr>
          <w:p w14:paraId="237E92A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KEFF6</w:t>
            </w:r>
          </w:p>
        </w:tc>
        <w:tc>
          <w:tcPr>
            <w:tcW w:w="845" w:type="dxa"/>
            <w:vAlign w:val="center"/>
          </w:tcPr>
          <w:p w14:paraId="49CC77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41C74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2BD60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625B9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939" w:type="dxa"/>
            <w:vAlign w:val="center"/>
          </w:tcPr>
          <w:p w14:paraId="70520E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171265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37D062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0613E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859" w:type="dxa"/>
            <w:vAlign w:val="center"/>
          </w:tcPr>
          <w:p w14:paraId="3DAE0D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7C2CEE5" w14:textId="77777777" w:rsidTr="003B5486">
        <w:tc>
          <w:tcPr>
            <w:tcW w:w="885" w:type="dxa"/>
            <w:vAlign w:val="center"/>
          </w:tcPr>
          <w:p w14:paraId="66046B1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KEFF7</w:t>
            </w:r>
          </w:p>
        </w:tc>
        <w:tc>
          <w:tcPr>
            <w:tcW w:w="845" w:type="dxa"/>
            <w:vAlign w:val="center"/>
          </w:tcPr>
          <w:p w14:paraId="528E70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D775D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75224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55783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939" w:type="dxa"/>
            <w:vAlign w:val="center"/>
          </w:tcPr>
          <w:p w14:paraId="595806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2101AD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891" w:type="dxa"/>
            <w:vAlign w:val="center"/>
          </w:tcPr>
          <w:p w14:paraId="5863BE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5890F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59" w:type="dxa"/>
            <w:vAlign w:val="center"/>
          </w:tcPr>
          <w:p w14:paraId="763203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29E89AAA" w14:textId="77777777" w:rsidTr="003B5486">
        <w:tc>
          <w:tcPr>
            <w:tcW w:w="885" w:type="dxa"/>
            <w:vAlign w:val="center"/>
          </w:tcPr>
          <w:p w14:paraId="07880E1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KEFF8</w:t>
            </w:r>
          </w:p>
        </w:tc>
        <w:tc>
          <w:tcPr>
            <w:tcW w:w="845" w:type="dxa"/>
            <w:vAlign w:val="center"/>
          </w:tcPr>
          <w:p w14:paraId="09908B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9371D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2606D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86610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939" w:type="dxa"/>
            <w:vAlign w:val="center"/>
          </w:tcPr>
          <w:p w14:paraId="2E991A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429A7F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3C2603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96E08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c>
          <w:tcPr>
            <w:tcW w:w="859" w:type="dxa"/>
            <w:vAlign w:val="center"/>
          </w:tcPr>
          <w:p w14:paraId="2D3D76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8688BCD" w14:textId="77777777" w:rsidTr="003B5486">
        <w:tc>
          <w:tcPr>
            <w:tcW w:w="885" w:type="dxa"/>
            <w:vAlign w:val="center"/>
          </w:tcPr>
          <w:p w14:paraId="5B822FB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KEFF9</w:t>
            </w:r>
          </w:p>
        </w:tc>
        <w:tc>
          <w:tcPr>
            <w:tcW w:w="845" w:type="dxa"/>
            <w:vAlign w:val="center"/>
          </w:tcPr>
          <w:p w14:paraId="2C6D76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E555E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C27A4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7DA07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939" w:type="dxa"/>
            <w:vAlign w:val="center"/>
          </w:tcPr>
          <w:p w14:paraId="526C6E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c>
          <w:tcPr>
            <w:tcW w:w="944" w:type="dxa"/>
            <w:vAlign w:val="center"/>
          </w:tcPr>
          <w:p w14:paraId="24E9F7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891" w:type="dxa"/>
            <w:vAlign w:val="center"/>
          </w:tcPr>
          <w:p w14:paraId="3EB8DC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4EC84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859" w:type="dxa"/>
            <w:vAlign w:val="center"/>
          </w:tcPr>
          <w:p w14:paraId="10AAED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0F302A8" w14:textId="77777777" w:rsidTr="003B5486">
        <w:tc>
          <w:tcPr>
            <w:tcW w:w="885" w:type="dxa"/>
            <w:vAlign w:val="center"/>
          </w:tcPr>
          <w:p w14:paraId="2DC7ECD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KEFF10</w:t>
            </w:r>
          </w:p>
        </w:tc>
        <w:tc>
          <w:tcPr>
            <w:tcW w:w="845" w:type="dxa"/>
            <w:vAlign w:val="center"/>
          </w:tcPr>
          <w:p w14:paraId="69D51A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F6EC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75F7F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5A7EC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939" w:type="dxa"/>
            <w:vAlign w:val="center"/>
          </w:tcPr>
          <w:p w14:paraId="062174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4C842D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91" w:type="dxa"/>
            <w:vAlign w:val="center"/>
          </w:tcPr>
          <w:p w14:paraId="05DF53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39000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859" w:type="dxa"/>
            <w:vAlign w:val="center"/>
          </w:tcPr>
          <w:p w14:paraId="26644D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E1A3B37" w14:textId="77777777" w:rsidTr="003B5486">
        <w:tc>
          <w:tcPr>
            <w:tcW w:w="885" w:type="dxa"/>
            <w:vAlign w:val="center"/>
          </w:tcPr>
          <w:p w14:paraId="35B9D26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KEFF11</w:t>
            </w:r>
          </w:p>
        </w:tc>
        <w:tc>
          <w:tcPr>
            <w:tcW w:w="845" w:type="dxa"/>
            <w:vAlign w:val="center"/>
          </w:tcPr>
          <w:p w14:paraId="34C99E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5D249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F50F1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F45AA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939" w:type="dxa"/>
            <w:vAlign w:val="center"/>
          </w:tcPr>
          <w:p w14:paraId="6EA346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w:t>
            </w:r>
          </w:p>
        </w:tc>
        <w:tc>
          <w:tcPr>
            <w:tcW w:w="944" w:type="dxa"/>
            <w:vAlign w:val="center"/>
          </w:tcPr>
          <w:p w14:paraId="08E4F5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529AA0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119F2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859" w:type="dxa"/>
            <w:vAlign w:val="center"/>
          </w:tcPr>
          <w:p w14:paraId="2B70B6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3065008" w14:textId="77777777" w:rsidTr="003B5486">
        <w:tc>
          <w:tcPr>
            <w:tcW w:w="885" w:type="dxa"/>
            <w:vAlign w:val="center"/>
          </w:tcPr>
          <w:p w14:paraId="6F5E7DD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KEFF12</w:t>
            </w:r>
          </w:p>
        </w:tc>
        <w:tc>
          <w:tcPr>
            <w:tcW w:w="845" w:type="dxa"/>
            <w:vAlign w:val="center"/>
          </w:tcPr>
          <w:p w14:paraId="170E07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1041CF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7B015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926BD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939" w:type="dxa"/>
            <w:vAlign w:val="center"/>
          </w:tcPr>
          <w:p w14:paraId="6E4641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183A6E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891" w:type="dxa"/>
            <w:vAlign w:val="center"/>
          </w:tcPr>
          <w:p w14:paraId="14BF81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1E166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859" w:type="dxa"/>
            <w:vAlign w:val="center"/>
          </w:tcPr>
          <w:p w14:paraId="0F36C3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D992EED" w14:textId="77777777" w:rsidTr="003B5486">
        <w:tc>
          <w:tcPr>
            <w:tcW w:w="885" w:type="dxa"/>
            <w:vAlign w:val="center"/>
          </w:tcPr>
          <w:p w14:paraId="643917F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KEFF13</w:t>
            </w:r>
          </w:p>
        </w:tc>
        <w:tc>
          <w:tcPr>
            <w:tcW w:w="845" w:type="dxa"/>
            <w:vAlign w:val="center"/>
          </w:tcPr>
          <w:p w14:paraId="7D58A5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CCBA8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C18F6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4B2A7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2.67</w:t>
            </w:r>
          </w:p>
        </w:tc>
        <w:tc>
          <w:tcPr>
            <w:tcW w:w="939" w:type="dxa"/>
            <w:vAlign w:val="center"/>
          </w:tcPr>
          <w:p w14:paraId="74DF85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1.37</w:t>
            </w:r>
          </w:p>
        </w:tc>
        <w:tc>
          <w:tcPr>
            <w:tcW w:w="944" w:type="dxa"/>
            <w:vAlign w:val="center"/>
          </w:tcPr>
          <w:p w14:paraId="3E194D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891" w:type="dxa"/>
            <w:vAlign w:val="center"/>
          </w:tcPr>
          <w:p w14:paraId="6BB416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6D090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-1.32</w:t>
            </w:r>
          </w:p>
        </w:tc>
        <w:tc>
          <w:tcPr>
            <w:tcW w:w="859" w:type="dxa"/>
            <w:vAlign w:val="center"/>
          </w:tcPr>
          <w:p w14:paraId="3A363B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AD3F0FA" w14:textId="77777777" w:rsidTr="003B5486">
        <w:tc>
          <w:tcPr>
            <w:tcW w:w="885" w:type="dxa"/>
            <w:vAlign w:val="center"/>
          </w:tcPr>
          <w:p w14:paraId="08AA2BD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w:t>
            </w:r>
          </w:p>
        </w:tc>
        <w:tc>
          <w:tcPr>
            <w:tcW w:w="845" w:type="dxa"/>
            <w:vAlign w:val="center"/>
          </w:tcPr>
          <w:p w14:paraId="0360A6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DE457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BFB0F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9A084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939" w:type="dxa"/>
            <w:vAlign w:val="center"/>
          </w:tcPr>
          <w:p w14:paraId="7E0209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944" w:type="dxa"/>
            <w:vAlign w:val="center"/>
          </w:tcPr>
          <w:p w14:paraId="2F2D6B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7C935A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C0627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859" w:type="dxa"/>
            <w:vAlign w:val="center"/>
          </w:tcPr>
          <w:p w14:paraId="53345C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4A03752" w14:textId="77777777" w:rsidTr="003B5486">
        <w:tc>
          <w:tcPr>
            <w:tcW w:w="885" w:type="dxa"/>
            <w:vAlign w:val="center"/>
          </w:tcPr>
          <w:p w14:paraId="4FD06D0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w:t>
            </w:r>
          </w:p>
        </w:tc>
        <w:tc>
          <w:tcPr>
            <w:tcW w:w="845" w:type="dxa"/>
            <w:vAlign w:val="center"/>
          </w:tcPr>
          <w:p w14:paraId="09F386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E8CF7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0F4B1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654EC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939" w:type="dxa"/>
            <w:vAlign w:val="center"/>
          </w:tcPr>
          <w:p w14:paraId="2314B3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1.29</w:t>
            </w:r>
          </w:p>
        </w:tc>
        <w:tc>
          <w:tcPr>
            <w:tcW w:w="944" w:type="dxa"/>
            <w:vAlign w:val="center"/>
          </w:tcPr>
          <w:p w14:paraId="6C4940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891" w:type="dxa"/>
            <w:vAlign w:val="center"/>
          </w:tcPr>
          <w:p w14:paraId="5133E8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F6817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c>
          <w:tcPr>
            <w:tcW w:w="859" w:type="dxa"/>
            <w:vAlign w:val="center"/>
          </w:tcPr>
          <w:p w14:paraId="6766FA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D20C2D5" w14:textId="77777777" w:rsidTr="003B5486">
        <w:tc>
          <w:tcPr>
            <w:tcW w:w="885" w:type="dxa"/>
            <w:vAlign w:val="center"/>
          </w:tcPr>
          <w:p w14:paraId="41774E0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w:t>
            </w:r>
          </w:p>
        </w:tc>
        <w:tc>
          <w:tcPr>
            <w:tcW w:w="845" w:type="dxa"/>
            <w:vAlign w:val="center"/>
          </w:tcPr>
          <w:p w14:paraId="18FA66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9334B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FD3ED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03B9F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2.79</w:t>
            </w:r>
          </w:p>
        </w:tc>
        <w:tc>
          <w:tcPr>
            <w:tcW w:w="939" w:type="dxa"/>
            <w:vAlign w:val="center"/>
          </w:tcPr>
          <w:p w14:paraId="2A6AFB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1.40</w:t>
            </w:r>
          </w:p>
        </w:tc>
        <w:tc>
          <w:tcPr>
            <w:tcW w:w="944" w:type="dxa"/>
            <w:vAlign w:val="center"/>
          </w:tcPr>
          <w:p w14:paraId="654BF7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2E6BF3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E7A15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c>
          <w:tcPr>
            <w:tcW w:w="859" w:type="dxa"/>
            <w:vAlign w:val="center"/>
          </w:tcPr>
          <w:p w14:paraId="2C9F7A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0DFF0AE" w14:textId="77777777" w:rsidTr="003B5486">
        <w:tc>
          <w:tcPr>
            <w:tcW w:w="885" w:type="dxa"/>
            <w:vAlign w:val="center"/>
          </w:tcPr>
          <w:p w14:paraId="6CDF555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ETCA3</w:t>
            </w:r>
          </w:p>
        </w:tc>
        <w:tc>
          <w:tcPr>
            <w:tcW w:w="845" w:type="dxa"/>
            <w:vAlign w:val="center"/>
          </w:tcPr>
          <w:p w14:paraId="4ED913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8BB4D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49557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03DAB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939" w:type="dxa"/>
            <w:vAlign w:val="center"/>
          </w:tcPr>
          <w:p w14:paraId="48F173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c>
          <w:tcPr>
            <w:tcW w:w="944" w:type="dxa"/>
            <w:vAlign w:val="center"/>
          </w:tcPr>
          <w:p w14:paraId="71F953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891" w:type="dxa"/>
            <w:vAlign w:val="center"/>
          </w:tcPr>
          <w:p w14:paraId="04FB4C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7C35D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c>
          <w:tcPr>
            <w:tcW w:w="859" w:type="dxa"/>
            <w:vAlign w:val="center"/>
          </w:tcPr>
          <w:p w14:paraId="5CF011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DB3FC9A" w14:textId="77777777" w:rsidTr="003B5486">
        <w:tc>
          <w:tcPr>
            <w:tcW w:w="885" w:type="dxa"/>
            <w:vAlign w:val="center"/>
          </w:tcPr>
          <w:p w14:paraId="2A20EB6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ETCA4</w:t>
            </w:r>
          </w:p>
        </w:tc>
        <w:tc>
          <w:tcPr>
            <w:tcW w:w="845" w:type="dxa"/>
            <w:vAlign w:val="center"/>
          </w:tcPr>
          <w:p w14:paraId="4BF283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19DC3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C517A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CD689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3D7701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1977C3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22866C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A0CF3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c>
          <w:tcPr>
            <w:tcW w:w="859" w:type="dxa"/>
            <w:vAlign w:val="center"/>
          </w:tcPr>
          <w:p w14:paraId="7DF57C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E697777" w14:textId="77777777" w:rsidTr="003B5486">
        <w:tc>
          <w:tcPr>
            <w:tcW w:w="885" w:type="dxa"/>
            <w:vAlign w:val="center"/>
          </w:tcPr>
          <w:p w14:paraId="0CEE7C0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ETCA5</w:t>
            </w:r>
          </w:p>
        </w:tc>
        <w:tc>
          <w:tcPr>
            <w:tcW w:w="845" w:type="dxa"/>
            <w:vAlign w:val="center"/>
          </w:tcPr>
          <w:p w14:paraId="341921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332F9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5970A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E7ED7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939" w:type="dxa"/>
            <w:vAlign w:val="center"/>
          </w:tcPr>
          <w:p w14:paraId="432C27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0FEBC1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91" w:type="dxa"/>
            <w:vAlign w:val="center"/>
          </w:tcPr>
          <w:p w14:paraId="626B75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F8AE1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-0.69</w:t>
            </w:r>
          </w:p>
        </w:tc>
        <w:tc>
          <w:tcPr>
            <w:tcW w:w="859" w:type="dxa"/>
            <w:vAlign w:val="center"/>
          </w:tcPr>
          <w:p w14:paraId="1E041A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6CECB3B" w14:textId="77777777" w:rsidTr="003B5486">
        <w:tc>
          <w:tcPr>
            <w:tcW w:w="885" w:type="dxa"/>
            <w:vAlign w:val="center"/>
          </w:tcPr>
          <w:p w14:paraId="4F18CFE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ETCA6</w:t>
            </w:r>
          </w:p>
        </w:tc>
        <w:tc>
          <w:tcPr>
            <w:tcW w:w="845" w:type="dxa"/>
            <w:vAlign w:val="center"/>
          </w:tcPr>
          <w:p w14:paraId="05ED53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CA343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E5487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BD309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2.82</w:t>
            </w:r>
          </w:p>
        </w:tc>
        <w:tc>
          <w:tcPr>
            <w:tcW w:w="939" w:type="dxa"/>
            <w:vAlign w:val="center"/>
          </w:tcPr>
          <w:p w14:paraId="5A2789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1.23</w:t>
            </w:r>
          </w:p>
        </w:tc>
        <w:tc>
          <w:tcPr>
            <w:tcW w:w="944" w:type="dxa"/>
            <w:vAlign w:val="center"/>
          </w:tcPr>
          <w:p w14:paraId="39C6F7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c>
          <w:tcPr>
            <w:tcW w:w="891" w:type="dxa"/>
            <w:vAlign w:val="center"/>
          </w:tcPr>
          <w:p w14:paraId="212480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072B9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1C49D0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48C721D" w14:textId="77777777" w:rsidTr="003B5486">
        <w:tc>
          <w:tcPr>
            <w:tcW w:w="885" w:type="dxa"/>
            <w:vAlign w:val="center"/>
          </w:tcPr>
          <w:p w14:paraId="56576F2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ETCA7</w:t>
            </w:r>
          </w:p>
        </w:tc>
        <w:tc>
          <w:tcPr>
            <w:tcW w:w="845" w:type="dxa"/>
            <w:vAlign w:val="center"/>
          </w:tcPr>
          <w:p w14:paraId="734FE1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A792D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5D26A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43C43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939" w:type="dxa"/>
            <w:vAlign w:val="center"/>
          </w:tcPr>
          <w:p w14:paraId="36E536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125AFCE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47A55D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E0D1F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859" w:type="dxa"/>
            <w:vAlign w:val="center"/>
          </w:tcPr>
          <w:p w14:paraId="4885EA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C3AB521" w14:textId="77777777" w:rsidTr="003B5486">
        <w:tc>
          <w:tcPr>
            <w:tcW w:w="885" w:type="dxa"/>
            <w:vAlign w:val="center"/>
          </w:tcPr>
          <w:p w14:paraId="2B02A79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ETCA8</w:t>
            </w:r>
          </w:p>
        </w:tc>
        <w:tc>
          <w:tcPr>
            <w:tcW w:w="845" w:type="dxa"/>
            <w:vAlign w:val="center"/>
          </w:tcPr>
          <w:p w14:paraId="1FE50D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1363F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93C47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89ECA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939" w:type="dxa"/>
            <w:vAlign w:val="center"/>
          </w:tcPr>
          <w:p w14:paraId="2EC86D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5A2AE4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3A97F3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26EC2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c>
          <w:tcPr>
            <w:tcW w:w="859" w:type="dxa"/>
            <w:vAlign w:val="center"/>
          </w:tcPr>
          <w:p w14:paraId="1E277E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5AB32D5" w14:textId="77777777" w:rsidTr="003B5486">
        <w:tc>
          <w:tcPr>
            <w:tcW w:w="885" w:type="dxa"/>
            <w:vAlign w:val="center"/>
          </w:tcPr>
          <w:p w14:paraId="2343B2D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ETCA9</w:t>
            </w:r>
          </w:p>
        </w:tc>
        <w:tc>
          <w:tcPr>
            <w:tcW w:w="845" w:type="dxa"/>
            <w:vAlign w:val="center"/>
          </w:tcPr>
          <w:p w14:paraId="772FD1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07C19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3F046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3CC7C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2.78</w:t>
            </w:r>
          </w:p>
        </w:tc>
        <w:tc>
          <w:tcPr>
            <w:tcW w:w="939" w:type="dxa"/>
            <w:vAlign w:val="center"/>
          </w:tcPr>
          <w:p w14:paraId="76BE14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944" w:type="dxa"/>
            <w:vAlign w:val="center"/>
          </w:tcPr>
          <w:p w14:paraId="7532F9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891" w:type="dxa"/>
            <w:vAlign w:val="center"/>
          </w:tcPr>
          <w:p w14:paraId="3F9F4C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D37B8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c>
          <w:tcPr>
            <w:tcW w:w="859" w:type="dxa"/>
            <w:vAlign w:val="center"/>
          </w:tcPr>
          <w:p w14:paraId="3D9C71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8EBAB22" w14:textId="77777777" w:rsidTr="003B5486">
        <w:tc>
          <w:tcPr>
            <w:tcW w:w="885" w:type="dxa"/>
            <w:vAlign w:val="center"/>
          </w:tcPr>
          <w:p w14:paraId="03C9E70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ETCA10</w:t>
            </w:r>
          </w:p>
        </w:tc>
        <w:tc>
          <w:tcPr>
            <w:tcW w:w="845" w:type="dxa"/>
            <w:vAlign w:val="center"/>
          </w:tcPr>
          <w:p w14:paraId="73B1B7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3CAA1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FAC81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7F470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939" w:type="dxa"/>
            <w:vAlign w:val="center"/>
          </w:tcPr>
          <w:p w14:paraId="27810F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1D2B13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18A674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4CB9E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859" w:type="dxa"/>
            <w:vAlign w:val="center"/>
          </w:tcPr>
          <w:p w14:paraId="529353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96DF5DE" w14:textId="77777777" w:rsidTr="003B5486">
        <w:tc>
          <w:tcPr>
            <w:tcW w:w="885" w:type="dxa"/>
            <w:vAlign w:val="center"/>
          </w:tcPr>
          <w:p w14:paraId="04112ED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ETCA11</w:t>
            </w:r>
          </w:p>
        </w:tc>
        <w:tc>
          <w:tcPr>
            <w:tcW w:w="845" w:type="dxa"/>
            <w:vAlign w:val="center"/>
          </w:tcPr>
          <w:p w14:paraId="223FA3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E69E5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FA653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AE785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939" w:type="dxa"/>
            <w:vAlign w:val="center"/>
          </w:tcPr>
          <w:p w14:paraId="4EEA11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1.33</w:t>
            </w:r>
          </w:p>
        </w:tc>
        <w:tc>
          <w:tcPr>
            <w:tcW w:w="944" w:type="dxa"/>
            <w:vAlign w:val="center"/>
          </w:tcPr>
          <w:p w14:paraId="04B06F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7FC543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DB4E8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859" w:type="dxa"/>
            <w:vAlign w:val="center"/>
          </w:tcPr>
          <w:p w14:paraId="304746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5D92BCF" w14:textId="77777777" w:rsidTr="003B5486">
        <w:tc>
          <w:tcPr>
            <w:tcW w:w="885" w:type="dxa"/>
            <w:vAlign w:val="center"/>
          </w:tcPr>
          <w:p w14:paraId="4A7E1BE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ETCA12</w:t>
            </w:r>
          </w:p>
        </w:tc>
        <w:tc>
          <w:tcPr>
            <w:tcW w:w="845" w:type="dxa"/>
            <w:vAlign w:val="center"/>
          </w:tcPr>
          <w:p w14:paraId="6300D6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3229B4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4F577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7EEED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939" w:type="dxa"/>
            <w:vAlign w:val="center"/>
          </w:tcPr>
          <w:p w14:paraId="04085C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c>
          <w:tcPr>
            <w:tcW w:w="944" w:type="dxa"/>
            <w:vAlign w:val="center"/>
          </w:tcPr>
          <w:p w14:paraId="4FC6A4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-0.40</w:t>
            </w:r>
          </w:p>
        </w:tc>
        <w:tc>
          <w:tcPr>
            <w:tcW w:w="891" w:type="dxa"/>
            <w:vAlign w:val="center"/>
          </w:tcPr>
          <w:p w14:paraId="128FE9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5F7F3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c>
          <w:tcPr>
            <w:tcW w:w="859" w:type="dxa"/>
            <w:vAlign w:val="center"/>
          </w:tcPr>
          <w:p w14:paraId="044E95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52CD229" w14:textId="77777777" w:rsidTr="003B5486">
        <w:tc>
          <w:tcPr>
            <w:tcW w:w="885" w:type="dxa"/>
            <w:vAlign w:val="center"/>
          </w:tcPr>
          <w:p w14:paraId="0772983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ETCA13</w:t>
            </w:r>
          </w:p>
        </w:tc>
        <w:tc>
          <w:tcPr>
            <w:tcW w:w="845" w:type="dxa"/>
            <w:vAlign w:val="center"/>
          </w:tcPr>
          <w:p w14:paraId="52454A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473B40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728D8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508D6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939" w:type="dxa"/>
            <w:vAlign w:val="center"/>
          </w:tcPr>
          <w:p w14:paraId="3F1F32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c>
          <w:tcPr>
            <w:tcW w:w="944" w:type="dxa"/>
            <w:vAlign w:val="center"/>
          </w:tcPr>
          <w:p w14:paraId="2AE56D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91" w:type="dxa"/>
            <w:vAlign w:val="center"/>
          </w:tcPr>
          <w:p w14:paraId="3E9858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583C0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c>
          <w:tcPr>
            <w:tcW w:w="859" w:type="dxa"/>
            <w:vAlign w:val="center"/>
          </w:tcPr>
          <w:p w14:paraId="5A6F91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6C95DDC" w14:textId="77777777" w:rsidTr="003B5486">
        <w:tc>
          <w:tcPr>
            <w:tcW w:w="885" w:type="dxa"/>
            <w:vAlign w:val="center"/>
          </w:tcPr>
          <w:p w14:paraId="2387246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ETCA14</w:t>
            </w:r>
          </w:p>
        </w:tc>
        <w:tc>
          <w:tcPr>
            <w:tcW w:w="845" w:type="dxa"/>
            <w:vAlign w:val="center"/>
          </w:tcPr>
          <w:p w14:paraId="128C04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09CD7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C0494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6D24E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3.49</w:t>
            </w:r>
          </w:p>
        </w:tc>
        <w:tc>
          <w:tcPr>
            <w:tcW w:w="939" w:type="dxa"/>
            <w:vAlign w:val="center"/>
          </w:tcPr>
          <w:p w14:paraId="1D0F99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7A7DD7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c>
          <w:tcPr>
            <w:tcW w:w="891" w:type="dxa"/>
            <w:vAlign w:val="center"/>
          </w:tcPr>
          <w:p w14:paraId="48C88D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0DAC6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c>
          <w:tcPr>
            <w:tcW w:w="859" w:type="dxa"/>
            <w:vAlign w:val="center"/>
          </w:tcPr>
          <w:p w14:paraId="7408F5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6F686E8" w14:textId="77777777" w:rsidTr="003B5486">
        <w:tc>
          <w:tcPr>
            <w:tcW w:w="885" w:type="dxa"/>
            <w:vAlign w:val="center"/>
          </w:tcPr>
          <w:p w14:paraId="46228BE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ETCA15</w:t>
            </w:r>
          </w:p>
        </w:tc>
        <w:tc>
          <w:tcPr>
            <w:tcW w:w="845" w:type="dxa"/>
            <w:vAlign w:val="center"/>
          </w:tcPr>
          <w:p w14:paraId="365ED6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6F4920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37591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05289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939" w:type="dxa"/>
            <w:vAlign w:val="center"/>
          </w:tcPr>
          <w:p w14:paraId="69846F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c>
          <w:tcPr>
            <w:tcW w:w="944" w:type="dxa"/>
            <w:vAlign w:val="center"/>
          </w:tcPr>
          <w:p w14:paraId="18C1CA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891" w:type="dxa"/>
            <w:vAlign w:val="center"/>
          </w:tcPr>
          <w:p w14:paraId="5D81EE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C9593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859" w:type="dxa"/>
            <w:vAlign w:val="center"/>
          </w:tcPr>
          <w:p w14:paraId="71550D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16F7D7BE" w14:textId="77777777" w:rsidTr="003B5486">
        <w:tc>
          <w:tcPr>
            <w:tcW w:w="885" w:type="dxa"/>
            <w:vAlign w:val="center"/>
          </w:tcPr>
          <w:p w14:paraId="1AA26FA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ETCA16</w:t>
            </w:r>
          </w:p>
        </w:tc>
        <w:tc>
          <w:tcPr>
            <w:tcW w:w="845" w:type="dxa"/>
            <w:vAlign w:val="center"/>
          </w:tcPr>
          <w:p w14:paraId="64A195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5F644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3AA70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CA3B1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5EED13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480F50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0E8D74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3B202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859" w:type="dxa"/>
            <w:vAlign w:val="center"/>
          </w:tcPr>
          <w:p w14:paraId="3F0AA8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71C6AB14" w14:textId="77777777" w:rsidTr="003B5486">
        <w:tc>
          <w:tcPr>
            <w:tcW w:w="885" w:type="dxa"/>
            <w:vAlign w:val="center"/>
          </w:tcPr>
          <w:p w14:paraId="3D1C444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ETCA17</w:t>
            </w:r>
          </w:p>
        </w:tc>
        <w:tc>
          <w:tcPr>
            <w:tcW w:w="845" w:type="dxa"/>
            <w:vAlign w:val="center"/>
          </w:tcPr>
          <w:p w14:paraId="007430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047E67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04528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82B0C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2697F7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944" w:type="dxa"/>
            <w:vAlign w:val="center"/>
          </w:tcPr>
          <w:p w14:paraId="2F05E3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891" w:type="dxa"/>
            <w:vAlign w:val="center"/>
          </w:tcPr>
          <w:p w14:paraId="0FE5E6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1C809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-0.62</w:t>
            </w:r>
          </w:p>
        </w:tc>
        <w:tc>
          <w:tcPr>
            <w:tcW w:w="859" w:type="dxa"/>
            <w:vAlign w:val="center"/>
          </w:tcPr>
          <w:p w14:paraId="72318B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43BD610E" w14:textId="77777777" w:rsidTr="003B5486">
        <w:tc>
          <w:tcPr>
            <w:tcW w:w="885" w:type="dxa"/>
            <w:vAlign w:val="center"/>
          </w:tcPr>
          <w:p w14:paraId="6D9E1E5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ETCA18</w:t>
            </w:r>
          </w:p>
        </w:tc>
        <w:tc>
          <w:tcPr>
            <w:tcW w:w="845" w:type="dxa"/>
            <w:vAlign w:val="center"/>
          </w:tcPr>
          <w:p w14:paraId="65FDF3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5A771D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6AA3D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BFE82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939" w:type="dxa"/>
            <w:vAlign w:val="center"/>
          </w:tcPr>
          <w:p w14:paraId="1DCEEB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944" w:type="dxa"/>
            <w:vAlign w:val="center"/>
          </w:tcPr>
          <w:p w14:paraId="263B1C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891" w:type="dxa"/>
            <w:vAlign w:val="center"/>
          </w:tcPr>
          <w:p w14:paraId="44B11E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9E0A3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c>
          <w:tcPr>
            <w:tcW w:w="859" w:type="dxa"/>
            <w:vAlign w:val="center"/>
          </w:tcPr>
          <w:p w14:paraId="19E00F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66E74D2" w14:textId="77777777" w:rsidTr="003B5486">
        <w:tc>
          <w:tcPr>
            <w:tcW w:w="885" w:type="dxa"/>
            <w:vAlign w:val="center"/>
          </w:tcPr>
          <w:p w14:paraId="53412B5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ETCA19</w:t>
            </w:r>
          </w:p>
        </w:tc>
        <w:tc>
          <w:tcPr>
            <w:tcW w:w="845" w:type="dxa"/>
            <w:vAlign w:val="center"/>
          </w:tcPr>
          <w:p w14:paraId="062910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070EB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70C36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AA178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3.35</w:t>
            </w:r>
          </w:p>
        </w:tc>
        <w:tc>
          <w:tcPr>
            <w:tcW w:w="939" w:type="dxa"/>
            <w:vAlign w:val="center"/>
          </w:tcPr>
          <w:p w14:paraId="4FA24D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944" w:type="dxa"/>
            <w:vAlign w:val="center"/>
          </w:tcPr>
          <w:p w14:paraId="2096E6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58235A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F5CF6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0C5CFD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A9A7FE5" w14:textId="77777777" w:rsidTr="003B5486">
        <w:tc>
          <w:tcPr>
            <w:tcW w:w="885" w:type="dxa"/>
            <w:vAlign w:val="center"/>
          </w:tcPr>
          <w:p w14:paraId="3684942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ETCA20</w:t>
            </w:r>
          </w:p>
        </w:tc>
        <w:tc>
          <w:tcPr>
            <w:tcW w:w="845" w:type="dxa"/>
            <w:vAlign w:val="center"/>
          </w:tcPr>
          <w:p w14:paraId="17354D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72F687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6C9F3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C9161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939" w:type="dxa"/>
            <w:vAlign w:val="center"/>
          </w:tcPr>
          <w:p w14:paraId="305D3A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w:t>
            </w:r>
          </w:p>
        </w:tc>
        <w:tc>
          <w:tcPr>
            <w:tcW w:w="944" w:type="dxa"/>
            <w:vAlign w:val="center"/>
          </w:tcPr>
          <w:p w14:paraId="03ACA9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11E2A5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EEF03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c>
          <w:tcPr>
            <w:tcW w:w="859" w:type="dxa"/>
            <w:vAlign w:val="center"/>
          </w:tcPr>
          <w:p w14:paraId="726CFF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5BD4E3CF" w14:textId="77777777" w:rsidTr="003B5486">
        <w:tc>
          <w:tcPr>
            <w:tcW w:w="885" w:type="dxa"/>
            <w:vAlign w:val="center"/>
          </w:tcPr>
          <w:p w14:paraId="7429566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ETCA21</w:t>
            </w:r>
          </w:p>
        </w:tc>
        <w:tc>
          <w:tcPr>
            <w:tcW w:w="845" w:type="dxa"/>
            <w:vAlign w:val="center"/>
          </w:tcPr>
          <w:p w14:paraId="70E54C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7A50D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1F2D8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C6028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2.88</w:t>
            </w:r>
          </w:p>
        </w:tc>
        <w:tc>
          <w:tcPr>
            <w:tcW w:w="939" w:type="dxa"/>
            <w:vAlign w:val="center"/>
          </w:tcPr>
          <w:p w14:paraId="6FF362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670C4E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5E2389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44BC0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c>
          <w:tcPr>
            <w:tcW w:w="859" w:type="dxa"/>
            <w:vAlign w:val="center"/>
          </w:tcPr>
          <w:p w14:paraId="391E55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3B213323" w14:textId="77777777" w:rsidTr="003B5486">
        <w:tc>
          <w:tcPr>
            <w:tcW w:w="885" w:type="dxa"/>
            <w:vAlign w:val="center"/>
          </w:tcPr>
          <w:p w14:paraId="1134587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w:t>
            </w:r>
          </w:p>
        </w:tc>
        <w:tc>
          <w:tcPr>
            <w:tcW w:w="845" w:type="dxa"/>
            <w:vAlign w:val="center"/>
          </w:tcPr>
          <w:p w14:paraId="20318B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8" w:type="dxa"/>
            <w:vAlign w:val="center"/>
          </w:tcPr>
          <w:p w14:paraId="27B4B9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B32C0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5077E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939" w:type="dxa"/>
            <w:vAlign w:val="center"/>
          </w:tcPr>
          <w:p w14:paraId="4B9351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944" w:type="dxa"/>
            <w:vAlign w:val="center"/>
          </w:tcPr>
          <w:p w14:paraId="6DA194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6ABDEF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3A40A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859" w:type="dxa"/>
            <w:vAlign w:val="center"/>
          </w:tcPr>
          <w:p w14:paraId="1729D6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0A89498A" w14:textId="77777777" w:rsidTr="003B5486">
        <w:tc>
          <w:tcPr>
            <w:tcW w:w="885" w:type="dxa"/>
            <w:vAlign w:val="center"/>
          </w:tcPr>
          <w:p w14:paraId="03B38AF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w:t>
            </w:r>
          </w:p>
        </w:tc>
        <w:tc>
          <w:tcPr>
            <w:tcW w:w="845" w:type="dxa"/>
            <w:vAlign w:val="center"/>
          </w:tcPr>
          <w:p w14:paraId="19E65F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5F6E9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C6621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52459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939" w:type="dxa"/>
            <w:vAlign w:val="center"/>
          </w:tcPr>
          <w:p w14:paraId="6E7D14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4F7C92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891" w:type="dxa"/>
            <w:vAlign w:val="center"/>
          </w:tcPr>
          <w:p w14:paraId="791254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F3AD2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c>
          <w:tcPr>
            <w:tcW w:w="859" w:type="dxa"/>
            <w:vAlign w:val="center"/>
          </w:tcPr>
          <w:p w14:paraId="1E99BA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AC43BF2" w14:textId="77777777" w:rsidTr="003B5486">
        <w:tc>
          <w:tcPr>
            <w:tcW w:w="885" w:type="dxa"/>
            <w:vAlign w:val="center"/>
          </w:tcPr>
          <w:p w14:paraId="4FD6F52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w:t>
            </w:r>
          </w:p>
        </w:tc>
        <w:tc>
          <w:tcPr>
            <w:tcW w:w="845" w:type="dxa"/>
            <w:vAlign w:val="center"/>
          </w:tcPr>
          <w:p w14:paraId="048767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99108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BF263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CF28D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2.95</w:t>
            </w:r>
          </w:p>
        </w:tc>
        <w:tc>
          <w:tcPr>
            <w:tcW w:w="939" w:type="dxa"/>
            <w:vAlign w:val="center"/>
          </w:tcPr>
          <w:p w14:paraId="5030B7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1.31</w:t>
            </w:r>
          </w:p>
        </w:tc>
        <w:tc>
          <w:tcPr>
            <w:tcW w:w="944" w:type="dxa"/>
            <w:vAlign w:val="center"/>
          </w:tcPr>
          <w:p w14:paraId="77F3EB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-0.18</w:t>
            </w:r>
          </w:p>
        </w:tc>
        <w:tc>
          <w:tcPr>
            <w:tcW w:w="891" w:type="dxa"/>
            <w:vAlign w:val="center"/>
          </w:tcPr>
          <w:p w14:paraId="639C47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D6791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c>
          <w:tcPr>
            <w:tcW w:w="859" w:type="dxa"/>
            <w:vAlign w:val="center"/>
          </w:tcPr>
          <w:p w14:paraId="094442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D1A8062" w14:textId="77777777" w:rsidTr="003B5486">
        <w:tc>
          <w:tcPr>
            <w:tcW w:w="885" w:type="dxa"/>
            <w:vAlign w:val="center"/>
          </w:tcPr>
          <w:p w14:paraId="753C7B9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KILA3</w:t>
            </w:r>
          </w:p>
        </w:tc>
        <w:tc>
          <w:tcPr>
            <w:tcW w:w="845" w:type="dxa"/>
            <w:vAlign w:val="center"/>
          </w:tcPr>
          <w:p w14:paraId="2C5E57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A4BD4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A24E4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46AA1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49C876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c>
          <w:tcPr>
            <w:tcW w:w="944" w:type="dxa"/>
            <w:vAlign w:val="center"/>
          </w:tcPr>
          <w:p w14:paraId="2A6F8B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-0.32</w:t>
            </w:r>
          </w:p>
        </w:tc>
        <w:tc>
          <w:tcPr>
            <w:tcW w:w="891" w:type="dxa"/>
            <w:vAlign w:val="center"/>
          </w:tcPr>
          <w:p w14:paraId="1437DB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DF652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859" w:type="dxa"/>
            <w:vAlign w:val="center"/>
          </w:tcPr>
          <w:p w14:paraId="2DBE6A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E60E036" w14:textId="77777777" w:rsidTr="003B5486">
        <w:tc>
          <w:tcPr>
            <w:tcW w:w="885" w:type="dxa"/>
            <w:vAlign w:val="center"/>
          </w:tcPr>
          <w:p w14:paraId="7CBC3D1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KILA4</w:t>
            </w:r>
          </w:p>
        </w:tc>
        <w:tc>
          <w:tcPr>
            <w:tcW w:w="845" w:type="dxa"/>
            <w:vAlign w:val="center"/>
          </w:tcPr>
          <w:p w14:paraId="5C7F8C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44262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1C36E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16E8A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939" w:type="dxa"/>
            <w:vAlign w:val="center"/>
          </w:tcPr>
          <w:p w14:paraId="68B411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5F0AC6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891" w:type="dxa"/>
            <w:vAlign w:val="center"/>
          </w:tcPr>
          <w:p w14:paraId="3B5D7D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CA847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2EC609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8D77EEF" w14:textId="77777777" w:rsidTr="003B5486">
        <w:tc>
          <w:tcPr>
            <w:tcW w:w="885" w:type="dxa"/>
            <w:vAlign w:val="center"/>
          </w:tcPr>
          <w:p w14:paraId="65866BC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KILA5</w:t>
            </w:r>
          </w:p>
        </w:tc>
        <w:tc>
          <w:tcPr>
            <w:tcW w:w="845" w:type="dxa"/>
            <w:vAlign w:val="center"/>
          </w:tcPr>
          <w:p w14:paraId="70E0B9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849D2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30E05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C088C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939" w:type="dxa"/>
            <w:vAlign w:val="center"/>
          </w:tcPr>
          <w:p w14:paraId="3F1468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0D0813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91" w:type="dxa"/>
            <w:vAlign w:val="center"/>
          </w:tcPr>
          <w:p w14:paraId="09CD8E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DD781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59" w:type="dxa"/>
            <w:vAlign w:val="center"/>
          </w:tcPr>
          <w:p w14:paraId="3F7F7C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7A2E64B" w14:textId="77777777" w:rsidTr="003B5486">
        <w:tc>
          <w:tcPr>
            <w:tcW w:w="885" w:type="dxa"/>
            <w:vAlign w:val="center"/>
          </w:tcPr>
          <w:p w14:paraId="1E2D612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KILA6</w:t>
            </w:r>
          </w:p>
        </w:tc>
        <w:tc>
          <w:tcPr>
            <w:tcW w:w="845" w:type="dxa"/>
            <w:vAlign w:val="center"/>
          </w:tcPr>
          <w:p w14:paraId="4DF4F6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995E4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67E64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9F38A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3.23</w:t>
            </w:r>
          </w:p>
        </w:tc>
        <w:tc>
          <w:tcPr>
            <w:tcW w:w="939" w:type="dxa"/>
            <w:vAlign w:val="center"/>
          </w:tcPr>
          <w:p w14:paraId="5F0600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c>
          <w:tcPr>
            <w:tcW w:w="944" w:type="dxa"/>
            <w:vAlign w:val="center"/>
          </w:tcPr>
          <w:p w14:paraId="0457C8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-0.46</w:t>
            </w:r>
          </w:p>
        </w:tc>
        <w:tc>
          <w:tcPr>
            <w:tcW w:w="891" w:type="dxa"/>
            <w:vAlign w:val="center"/>
          </w:tcPr>
          <w:p w14:paraId="36C20E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DAA3F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c>
          <w:tcPr>
            <w:tcW w:w="859" w:type="dxa"/>
            <w:vAlign w:val="center"/>
          </w:tcPr>
          <w:p w14:paraId="1746F1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F1AA0D1" w14:textId="77777777" w:rsidTr="003B5486">
        <w:tc>
          <w:tcPr>
            <w:tcW w:w="885" w:type="dxa"/>
            <w:vAlign w:val="center"/>
          </w:tcPr>
          <w:p w14:paraId="5F69993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KILA7</w:t>
            </w:r>
          </w:p>
        </w:tc>
        <w:tc>
          <w:tcPr>
            <w:tcW w:w="845" w:type="dxa"/>
            <w:vAlign w:val="center"/>
          </w:tcPr>
          <w:p w14:paraId="7128E3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89D0E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C3F25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7DE3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518311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2C31BF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0B809F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07C96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c>
          <w:tcPr>
            <w:tcW w:w="859" w:type="dxa"/>
            <w:vAlign w:val="center"/>
          </w:tcPr>
          <w:p w14:paraId="26978D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7936C3B" w14:textId="77777777" w:rsidTr="003B5486">
        <w:tc>
          <w:tcPr>
            <w:tcW w:w="885" w:type="dxa"/>
            <w:vAlign w:val="center"/>
          </w:tcPr>
          <w:p w14:paraId="5B98273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KILA8</w:t>
            </w:r>
          </w:p>
        </w:tc>
        <w:tc>
          <w:tcPr>
            <w:tcW w:w="845" w:type="dxa"/>
            <w:vAlign w:val="center"/>
          </w:tcPr>
          <w:p w14:paraId="7724AE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559E3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46AF3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60E59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939" w:type="dxa"/>
            <w:vAlign w:val="center"/>
          </w:tcPr>
          <w:p w14:paraId="2F8CE9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4BD3B3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c>
          <w:tcPr>
            <w:tcW w:w="891" w:type="dxa"/>
            <w:vAlign w:val="center"/>
          </w:tcPr>
          <w:p w14:paraId="138F15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33400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859" w:type="dxa"/>
            <w:vAlign w:val="center"/>
          </w:tcPr>
          <w:p w14:paraId="2CFAAB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1FF8ED7" w14:textId="77777777" w:rsidTr="003B5486">
        <w:tc>
          <w:tcPr>
            <w:tcW w:w="885" w:type="dxa"/>
            <w:vAlign w:val="center"/>
          </w:tcPr>
          <w:p w14:paraId="5DABD58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KILA9</w:t>
            </w:r>
          </w:p>
        </w:tc>
        <w:tc>
          <w:tcPr>
            <w:tcW w:w="845" w:type="dxa"/>
            <w:vAlign w:val="center"/>
          </w:tcPr>
          <w:p w14:paraId="242B31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80767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F1A3D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CBD7E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939" w:type="dxa"/>
            <w:vAlign w:val="center"/>
          </w:tcPr>
          <w:p w14:paraId="3CB92D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4" w:type="dxa"/>
            <w:vAlign w:val="center"/>
          </w:tcPr>
          <w:p w14:paraId="271223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-0.40</w:t>
            </w:r>
          </w:p>
        </w:tc>
        <w:tc>
          <w:tcPr>
            <w:tcW w:w="891" w:type="dxa"/>
            <w:vAlign w:val="center"/>
          </w:tcPr>
          <w:p w14:paraId="7DDCFD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1F1E9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c>
          <w:tcPr>
            <w:tcW w:w="859" w:type="dxa"/>
            <w:vAlign w:val="center"/>
          </w:tcPr>
          <w:p w14:paraId="5894DD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4E5480D" w14:textId="77777777" w:rsidTr="003B5486">
        <w:tc>
          <w:tcPr>
            <w:tcW w:w="885" w:type="dxa"/>
            <w:vAlign w:val="center"/>
          </w:tcPr>
          <w:p w14:paraId="2417ABB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KILA10</w:t>
            </w:r>
          </w:p>
        </w:tc>
        <w:tc>
          <w:tcPr>
            <w:tcW w:w="845" w:type="dxa"/>
            <w:vAlign w:val="center"/>
          </w:tcPr>
          <w:p w14:paraId="3B227A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4B3C2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F363D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EE0D9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3.60</w:t>
            </w:r>
          </w:p>
        </w:tc>
        <w:tc>
          <w:tcPr>
            <w:tcW w:w="939" w:type="dxa"/>
            <w:vAlign w:val="center"/>
          </w:tcPr>
          <w:p w14:paraId="630D39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0D6176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c>
          <w:tcPr>
            <w:tcW w:w="891" w:type="dxa"/>
            <w:vAlign w:val="center"/>
          </w:tcPr>
          <w:p w14:paraId="6F0AD2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D32C5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859" w:type="dxa"/>
            <w:vAlign w:val="center"/>
          </w:tcPr>
          <w:p w14:paraId="6FD7CD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F753C97" w14:textId="77777777" w:rsidTr="003B5486">
        <w:tc>
          <w:tcPr>
            <w:tcW w:w="885" w:type="dxa"/>
            <w:vAlign w:val="center"/>
          </w:tcPr>
          <w:p w14:paraId="2B09E54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KILA11</w:t>
            </w:r>
          </w:p>
        </w:tc>
        <w:tc>
          <w:tcPr>
            <w:tcW w:w="845" w:type="dxa"/>
            <w:vAlign w:val="center"/>
          </w:tcPr>
          <w:p w14:paraId="35ADA4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618780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64F99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6AF48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939" w:type="dxa"/>
            <w:vAlign w:val="center"/>
          </w:tcPr>
          <w:p w14:paraId="1D8FCD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1.15</w:t>
            </w:r>
          </w:p>
        </w:tc>
        <w:tc>
          <w:tcPr>
            <w:tcW w:w="944" w:type="dxa"/>
            <w:vAlign w:val="center"/>
          </w:tcPr>
          <w:p w14:paraId="30C7CA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c>
          <w:tcPr>
            <w:tcW w:w="891" w:type="dxa"/>
            <w:vAlign w:val="center"/>
          </w:tcPr>
          <w:p w14:paraId="7BBBE0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1AFF4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-0.68</w:t>
            </w:r>
          </w:p>
        </w:tc>
        <w:tc>
          <w:tcPr>
            <w:tcW w:w="859" w:type="dxa"/>
            <w:vAlign w:val="center"/>
          </w:tcPr>
          <w:p w14:paraId="06394E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36A8FC8" w14:textId="77777777" w:rsidTr="003B5486">
        <w:tc>
          <w:tcPr>
            <w:tcW w:w="885" w:type="dxa"/>
            <w:vAlign w:val="center"/>
          </w:tcPr>
          <w:p w14:paraId="2FA2593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KILA12</w:t>
            </w:r>
          </w:p>
        </w:tc>
        <w:tc>
          <w:tcPr>
            <w:tcW w:w="845" w:type="dxa"/>
            <w:vAlign w:val="center"/>
          </w:tcPr>
          <w:p w14:paraId="0244EC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92DA3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6EB0F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2B187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939" w:type="dxa"/>
            <w:vAlign w:val="center"/>
          </w:tcPr>
          <w:p w14:paraId="3F9B25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c>
          <w:tcPr>
            <w:tcW w:w="944" w:type="dxa"/>
            <w:vAlign w:val="center"/>
          </w:tcPr>
          <w:p w14:paraId="3E0CF2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891" w:type="dxa"/>
            <w:vAlign w:val="center"/>
          </w:tcPr>
          <w:p w14:paraId="11B4EE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52568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859" w:type="dxa"/>
            <w:vAlign w:val="center"/>
          </w:tcPr>
          <w:p w14:paraId="672F0F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09F98BB" w14:textId="77777777" w:rsidTr="003B5486">
        <w:tc>
          <w:tcPr>
            <w:tcW w:w="885" w:type="dxa"/>
            <w:vAlign w:val="center"/>
          </w:tcPr>
          <w:p w14:paraId="7A1AB5D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KILA13</w:t>
            </w:r>
          </w:p>
        </w:tc>
        <w:tc>
          <w:tcPr>
            <w:tcW w:w="845" w:type="dxa"/>
            <w:vAlign w:val="center"/>
          </w:tcPr>
          <w:p w14:paraId="6DBEA5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5ECED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D60B4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1FF1A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2.89</w:t>
            </w:r>
          </w:p>
        </w:tc>
        <w:tc>
          <w:tcPr>
            <w:tcW w:w="939" w:type="dxa"/>
            <w:vAlign w:val="center"/>
          </w:tcPr>
          <w:p w14:paraId="62962A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1.29</w:t>
            </w:r>
          </w:p>
        </w:tc>
        <w:tc>
          <w:tcPr>
            <w:tcW w:w="944" w:type="dxa"/>
            <w:vAlign w:val="center"/>
          </w:tcPr>
          <w:p w14:paraId="35DEC9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891" w:type="dxa"/>
            <w:vAlign w:val="center"/>
          </w:tcPr>
          <w:p w14:paraId="3ED25F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794F2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859" w:type="dxa"/>
            <w:vAlign w:val="center"/>
          </w:tcPr>
          <w:p w14:paraId="1827F9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99729D5" w14:textId="77777777" w:rsidTr="003B5486">
        <w:tc>
          <w:tcPr>
            <w:tcW w:w="885" w:type="dxa"/>
            <w:vAlign w:val="center"/>
          </w:tcPr>
          <w:p w14:paraId="15B32D9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KILA14</w:t>
            </w:r>
          </w:p>
        </w:tc>
        <w:tc>
          <w:tcPr>
            <w:tcW w:w="845" w:type="dxa"/>
            <w:vAlign w:val="center"/>
          </w:tcPr>
          <w:p w14:paraId="15E852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CC3C3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D308D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AB031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939" w:type="dxa"/>
            <w:vAlign w:val="center"/>
          </w:tcPr>
          <w:p w14:paraId="34706D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1.41</w:t>
            </w:r>
          </w:p>
        </w:tc>
        <w:tc>
          <w:tcPr>
            <w:tcW w:w="944" w:type="dxa"/>
            <w:vAlign w:val="center"/>
          </w:tcPr>
          <w:p w14:paraId="5815A7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891" w:type="dxa"/>
            <w:vAlign w:val="center"/>
          </w:tcPr>
          <w:p w14:paraId="51C8CB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F2AFF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-1.33</w:t>
            </w:r>
          </w:p>
        </w:tc>
        <w:tc>
          <w:tcPr>
            <w:tcW w:w="859" w:type="dxa"/>
            <w:vAlign w:val="center"/>
          </w:tcPr>
          <w:p w14:paraId="4F89EE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C28DAA1" w14:textId="77777777" w:rsidTr="003B5486">
        <w:tc>
          <w:tcPr>
            <w:tcW w:w="885" w:type="dxa"/>
            <w:vAlign w:val="center"/>
          </w:tcPr>
          <w:p w14:paraId="372CC44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KILA15</w:t>
            </w:r>
          </w:p>
        </w:tc>
        <w:tc>
          <w:tcPr>
            <w:tcW w:w="845" w:type="dxa"/>
            <w:vAlign w:val="center"/>
          </w:tcPr>
          <w:p w14:paraId="4B734B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1145C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533BF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D38E3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2.85</w:t>
            </w:r>
          </w:p>
        </w:tc>
        <w:tc>
          <w:tcPr>
            <w:tcW w:w="939" w:type="dxa"/>
            <w:vAlign w:val="center"/>
          </w:tcPr>
          <w:p w14:paraId="1A6A75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1.28</w:t>
            </w:r>
          </w:p>
        </w:tc>
        <w:tc>
          <w:tcPr>
            <w:tcW w:w="944" w:type="dxa"/>
            <w:vAlign w:val="center"/>
          </w:tcPr>
          <w:p w14:paraId="0130A0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891" w:type="dxa"/>
            <w:vAlign w:val="center"/>
          </w:tcPr>
          <w:p w14:paraId="41853D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F9120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859" w:type="dxa"/>
            <w:vAlign w:val="center"/>
          </w:tcPr>
          <w:p w14:paraId="6D8D98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98B6D5B" w14:textId="77777777" w:rsidTr="003B5486">
        <w:tc>
          <w:tcPr>
            <w:tcW w:w="885" w:type="dxa"/>
            <w:vAlign w:val="center"/>
          </w:tcPr>
          <w:p w14:paraId="7658423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KILA16</w:t>
            </w:r>
          </w:p>
        </w:tc>
        <w:tc>
          <w:tcPr>
            <w:tcW w:w="845" w:type="dxa"/>
            <w:vAlign w:val="center"/>
          </w:tcPr>
          <w:p w14:paraId="32F0BE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8C906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3187E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DAEAD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939" w:type="dxa"/>
            <w:vAlign w:val="center"/>
          </w:tcPr>
          <w:p w14:paraId="413427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c>
          <w:tcPr>
            <w:tcW w:w="944" w:type="dxa"/>
            <w:vAlign w:val="center"/>
          </w:tcPr>
          <w:p w14:paraId="08C9E3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891" w:type="dxa"/>
            <w:vAlign w:val="center"/>
          </w:tcPr>
          <w:p w14:paraId="4435FC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6340F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859" w:type="dxa"/>
            <w:vAlign w:val="center"/>
          </w:tcPr>
          <w:p w14:paraId="763BA7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BEBA0AE" w14:textId="77777777" w:rsidTr="003B5486">
        <w:tc>
          <w:tcPr>
            <w:tcW w:w="885" w:type="dxa"/>
            <w:vAlign w:val="center"/>
          </w:tcPr>
          <w:p w14:paraId="24EF1DB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KILA17</w:t>
            </w:r>
          </w:p>
        </w:tc>
        <w:tc>
          <w:tcPr>
            <w:tcW w:w="845" w:type="dxa"/>
            <w:vAlign w:val="center"/>
          </w:tcPr>
          <w:p w14:paraId="0452DC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9EC91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386EE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A6C37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939" w:type="dxa"/>
            <w:vAlign w:val="center"/>
          </w:tcPr>
          <w:p w14:paraId="54A751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1.35</w:t>
            </w:r>
          </w:p>
        </w:tc>
        <w:tc>
          <w:tcPr>
            <w:tcW w:w="944" w:type="dxa"/>
            <w:vAlign w:val="center"/>
          </w:tcPr>
          <w:p w14:paraId="31E31B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70AD33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F94F5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-1.26</w:t>
            </w:r>
          </w:p>
        </w:tc>
        <w:tc>
          <w:tcPr>
            <w:tcW w:w="859" w:type="dxa"/>
            <w:vAlign w:val="center"/>
          </w:tcPr>
          <w:p w14:paraId="5089A7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4A16BED" w14:textId="77777777" w:rsidTr="003B5486">
        <w:tc>
          <w:tcPr>
            <w:tcW w:w="885" w:type="dxa"/>
            <w:vAlign w:val="center"/>
          </w:tcPr>
          <w:p w14:paraId="2980227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KILA18</w:t>
            </w:r>
          </w:p>
        </w:tc>
        <w:tc>
          <w:tcPr>
            <w:tcW w:w="845" w:type="dxa"/>
            <w:vAlign w:val="center"/>
          </w:tcPr>
          <w:p w14:paraId="33B798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55EB1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CD83E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EEFCC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2.80</w:t>
            </w:r>
          </w:p>
        </w:tc>
        <w:tc>
          <w:tcPr>
            <w:tcW w:w="939" w:type="dxa"/>
            <w:vAlign w:val="center"/>
          </w:tcPr>
          <w:p w14:paraId="609255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1.32</w:t>
            </w:r>
          </w:p>
        </w:tc>
        <w:tc>
          <w:tcPr>
            <w:tcW w:w="944" w:type="dxa"/>
            <w:vAlign w:val="center"/>
          </w:tcPr>
          <w:p w14:paraId="68DE8A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3C7B72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6E3AB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859" w:type="dxa"/>
            <w:vAlign w:val="center"/>
          </w:tcPr>
          <w:p w14:paraId="4741DB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0B4F6B5" w14:textId="77777777" w:rsidTr="003B5486">
        <w:tc>
          <w:tcPr>
            <w:tcW w:w="885" w:type="dxa"/>
            <w:vAlign w:val="center"/>
          </w:tcPr>
          <w:p w14:paraId="7FB635F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KILA19</w:t>
            </w:r>
          </w:p>
        </w:tc>
        <w:tc>
          <w:tcPr>
            <w:tcW w:w="845" w:type="dxa"/>
            <w:vAlign w:val="center"/>
          </w:tcPr>
          <w:p w14:paraId="0C4140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E631D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B71A9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278CB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939" w:type="dxa"/>
            <w:vAlign w:val="center"/>
          </w:tcPr>
          <w:p w14:paraId="7F18A1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1.28</w:t>
            </w:r>
          </w:p>
        </w:tc>
        <w:tc>
          <w:tcPr>
            <w:tcW w:w="944" w:type="dxa"/>
            <w:vAlign w:val="center"/>
          </w:tcPr>
          <w:p w14:paraId="6EEBE4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6AAC18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728EC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-1.15</w:t>
            </w:r>
          </w:p>
        </w:tc>
        <w:tc>
          <w:tcPr>
            <w:tcW w:w="859" w:type="dxa"/>
            <w:vAlign w:val="center"/>
          </w:tcPr>
          <w:p w14:paraId="27FF85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E8F2E30" w14:textId="77777777" w:rsidTr="003B5486">
        <w:tc>
          <w:tcPr>
            <w:tcW w:w="885" w:type="dxa"/>
            <w:vAlign w:val="center"/>
          </w:tcPr>
          <w:p w14:paraId="0969331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KILA20</w:t>
            </w:r>
          </w:p>
        </w:tc>
        <w:tc>
          <w:tcPr>
            <w:tcW w:w="845" w:type="dxa"/>
            <w:vAlign w:val="center"/>
          </w:tcPr>
          <w:p w14:paraId="23DA52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9AA1A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DC61E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49945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939" w:type="dxa"/>
            <w:vAlign w:val="center"/>
          </w:tcPr>
          <w:p w14:paraId="56FC65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2BC68A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c>
          <w:tcPr>
            <w:tcW w:w="891" w:type="dxa"/>
            <w:vAlign w:val="center"/>
          </w:tcPr>
          <w:p w14:paraId="7ACA4F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E51F3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-0.83</w:t>
            </w:r>
          </w:p>
        </w:tc>
        <w:tc>
          <w:tcPr>
            <w:tcW w:w="859" w:type="dxa"/>
            <w:vAlign w:val="center"/>
          </w:tcPr>
          <w:p w14:paraId="68F65E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E2FA199" w14:textId="77777777" w:rsidTr="003B5486">
        <w:tc>
          <w:tcPr>
            <w:tcW w:w="885" w:type="dxa"/>
            <w:vAlign w:val="center"/>
          </w:tcPr>
          <w:p w14:paraId="65EBD2C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KILA21</w:t>
            </w:r>
          </w:p>
        </w:tc>
        <w:tc>
          <w:tcPr>
            <w:tcW w:w="845" w:type="dxa"/>
            <w:vAlign w:val="center"/>
          </w:tcPr>
          <w:p w14:paraId="230334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CF683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80DC9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3F587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939" w:type="dxa"/>
            <w:vAlign w:val="center"/>
          </w:tcPr>
          <w:p w14:paraId="6D492F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2BBD3C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891" w:type="dxa"/>
            <w:vAlign w:val="center"/>
          </w:tcPr>
          <w:p w14:paraId="15C001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1FF26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c>
          <w:tcPr>
            <w:tcW w:w="859" w:type="dxa"/>
            <w:vAlign w:val="center"/>
          </w:tcPr>
          <w:p w14:paraId="347A2D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C50085B" w14:textId="77777777" w:rsidTr="003B5486">
        <w:tc>
          <w:tcPr>
            <w:tcW w:w="885" w:type="dxa"/>
            <w:vAlign w:val="center"/>
          </w:tcPr>
          <w:p w14:paraId="14575A3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KILA22</w:t>
            </w:r>
          </w:p>
        </w:tc>
        <w:tc>
          <w:tcPr>
            <w:tcW w:w="845" w:type="dxa"/>
            <w:vAlign w:val="center"/>
          </w:tcPr>
          <w:p w14:paraId="762D2F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E7B5F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E191C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46F6F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3.42</w:t>
            </w:r>
          </w:p>
        </w:tc>
        <w:tc>
          <w:tcPr>
            <w:tcW w:w="939" w:type="dxa"/>
            <w:vAlign w:val="center"/>
          </w:tcPr>
          <w:p w14:paraId="020BAA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944" w:type="dxa"/>
            <w:vAlign w:val="center"/>
          </w:tcPr>
          <w:p w14:paraId="14A2E3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-0.55</w:t>
            </w:r>
          </w:p>
        </w:tc>
        <w:tc>
          <w:tcPr>
            <w:tcW w:w="891" w:type="dxa"/>
            <w:vAlign w:val="center"/>
          </w:tcPr>
          <w:p w14:paraId="4807AE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9CD3A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c>
          <w:tcPr>
            <w:tcW w:w="859" w:type="dxa"/>
            <w:vAlign w:val="center"/>
          </w:tcPr>
          <w:p w14:paraId="014AC4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FF2E5AD" w14:textId="77777777" w:rsidTr="003B5486">
        <w:tc>
          <w:tcPr>
            <w:tcW w:w="885" w:type="dxa"/>
            <w:vAlign w:val="center"/>
          </w:tcPr>
          <w:p w14:paraId="155D588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KILA23</w:t>
            </w:r>
          </w:p>
        </w:tc>
        <w:tc>
          <w:tcPr>
            <w:tcW w:w="845" w:type="dxa"/>
            <w:vAlign w:val="center"/>
          </w:tcPr>
          <w:p w14:paraId="391A5E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3978F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86EB0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9820F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4DA414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2AB5DF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891" w:type="dxa"/>
            <w:vAlign w:val="center"/>
          </w:tcPr>
          <w:p w14:paraId="1E42C5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2B23A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0A81C8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9340C5F" w14:textId="77777777" w:rsidTr="003B5486">
        <w:tc>
          <w:tcPr>
            <w:tcW w:w="885" w:type="dxa"/>
            <w:vAlign w:val="center"/>
          </w:tcPr>
          <w:p w14:paraId="1461F3C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KILA24</w:t>
            </w:r>
          </w:p>
        </w:tc>
        <w:tc>
          <w:tcPr>
            <w:tcW w:w="845" w:type="dxa"/>
            <w:vAlign w:val="center"/>
          </w:tcPr>
          <w:p w14:paraId="0CD217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2D702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D878A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3E105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2.86</w:t>
            </w:r>
          </w:p>
        </w:tc>
        <w:tc>
          <w:tcPr>
            <w:tcW w:w="939" w:type="dxa"/>
            <w:vAlign w:val="center"/>
          </w:tcPr>
          <w:p w14:paraId="3A998E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w:t>
            </w:r>
          </w:p>
        </w:tc>
        <w:tc>
          <w:tcPr>
            <w:tcW w:w="944" w:type="dxa"/>
            <w:vAlign w:val="center"/>
          </w:tcPr>
          <w:p w14:paraId="2FEFFF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252CC9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23CF8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859" w:type="dxa"/>
            <w:vAlign w:val="center"/>
          </w:tcPr>
          <w:p w14:paraId="3818C4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FA885A" w14:textId="77777777" w:rsidTr="003B5486">
        <w:tc>
          <w:tcPr>
            <w:tcW w:w="885" w:type="dxa"/>
            <w:vAlign w:val="center"/>
          </w:tcPr>
          <w:p w14:paraId="4CCB67A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KILA25</w:t>
            </w:r>
          </w:p>
        </w:tc>
        <w:tc>
          <w:tcPr>
            <w:tcW w:w="845" w:type="dxa"/>
            <w:vAlign w:val="center"/>
          </w:tcPr>
          <w:p w14:paraId="3253AA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ECEA1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809FA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1D692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939" w:type="dxa"/>
            <w:vAlign w:val="center"/>
          </w:tcPr>
          <w:p w14:paraId="7FBB8A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c>
          <w:tcPr>
            <w:tcW w:w="944" w:type="dxa"/>
            <w:vAlign w:val="center"/>
          </w:tcPr>
          <w:p w14:paraId="58C4FC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-0.22</w:t>
            </w:r>
          </w:p>
        </w:tc>
        <w:tc>
          <w:tcPr>
            <w:tcW w:w="891" w:type="dxa"/>
            <w:vAlign w:val="center"/>
          </w:tcPr>
          <w:p w14:paraId="1828BC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DE501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c>
          <w:tcPr>
            <w:tcW w:w="859" w:type="dxa"/>
            <w:vAlign w:val="center"/>
          </w:tcPr>
          <w:p w14:paraId="057E36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5A64D62" w14:textId="77777777" w:rsidTr="003B5486">
        <w:tc>
          <w:tcPr>
            <w:tcW w:w="885" w:type="dxa"/>
            <w:vAlign w:val="center"/>
          </w:tcPr>
          <w:p w14:paraId="074DCA9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w:t>
            </w:r>
          </w:p>
        </w:tc>
        <w:tc>
          <w:tcPr>
            <w:tcW w:w="845" w:type="dxa"/>
            <w:vAlign w:val="center"/>
          </w:tcPr>
          <w:p w14:paraId="4E622A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709E3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1766C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73D6D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939" w:type="dxa"/>
            <w:vAlign w:val="center"/>
          </w:tcPr>
          <w:p w14:paraId="0AB009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944" w:type="dxa"/>
            <w:vAlign w:val="center"/>
          </w:tcPr>
          <w:p w14:paraId="1E73CC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891" w:type="dxa"/>
            <w:vAlign w:val="center"/>
          </w:tcPr>
          <w:p w14:paraId="5B7BB6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4071F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859" w:type="dxa"/>
            <w:vAlign w:val="center"/>
          </w:tcPr>
          <w:p w14:paraId="10609E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285A16D" w14:textId="77777777" w:rsidTr="003B5486">
        <w:tc>
          <w:tcPr>
            <w:tcW w:w="885" w:type="dxa"/>
            <w:vAlign w:val="center"/>
          </w:tcPr>
          <w:p w14:paraId="37F39F2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w:t>
            </w:r>
          </w:p>
        </w:tc>
        <w:tc>
          <w:tcPr>
            <w:tcW w:w="845" w:type="dxa"/>
            <w:vAlign w:val="center"/>
          </w:tcPr>
          <w:p w14:paraId="182CE9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DFAD0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A260D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0DF7A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2862CC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715710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891" w:type="dxa"/>
            <w:vAlign w:val="center"/>
          </w:tcPr>
          <w:p w14:paraId="341E75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F83F2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53ECE7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8097AD7" w14:textId="77777777" w:rsidTr="003B5486">
        <w:tc>
          <w:tcPr>
            <w:tcW w:w="885" w:type="dxa"/>
            <w:vAlign w:val="center"/>
          </w:tcPr>
          <w:p w14:paraId="1B8EB96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KIRC2</w:t>
            </w:r>
          </w:p>
        </w:tc>
        <w:tc>
          <w:tcPr>
            <w:tcW w:w="845" w:type="dxa"/>
            <w:vAlign w:val="center"/>
          </w:tcPr>
          <w:p w14:paraId="4D6B5F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B4E2F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1904C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7E1B0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939" w:type="dxa"/>
            <w:vAlign w:val="center"/>
          </w:tcPr>
          <w:p w14:paraId="384F0F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4C12B9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0572BE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DFB01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418435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64B7E97" w14:textId="77777777" w:rsidTr="003B5486">
        <w:tc>
          <w:tcPr>
            <w:tcW w:w="885" w:type="dxa"/>
            <w:vAlign w:val="center"/>
          </w:tcPr>
          <w:p w14:paraId="6EBA436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KIRC3</w:t>
            </w:r>
          </w:p>
        </w:tc>
        <w:tc>
          <w:tcPr>
            <w:tcW w:w="845" w:type="dxa"/>
            <w:vAlign w:val="center"/>
          </w:tcPr>
          <w:p w14:paraId="7AB984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A252B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FC47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F4C06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52B530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1.15</w:t>
            </w:r>
          </w:p>
        </w:tc>
        <w:tc>
          <w:tcPr>
            <w:tcW w:w="944" w:type="dxa"/>
            <w:vAlign w:val="center"/>
          </w:tcPr>
          <w:p w14:paraId="0C13F8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75229C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BE8E8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859" w:type="dxa"/>
            <w:vAlign w:val="center"/>
          </w:tcPr>
          <w:p w14:paraId="411F3B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D3A597" w14:textId="77777777" w:rsidTr="003B5486">
        <w:tc>
          <w:tcPr>
            <w:tcW w:w="885" w:type="dxa"/>
            <w:vAlign w:val="center"/>
          </w:tcPr>
          <w:p w14:paraId="7944523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KIRC4</w:t>
            </w:r>
          </w:p>
        </w:tc>
        <w:tc>
          <w:tcPr>
            <w:tcW w:w="845" w:type="dxa"/>
            <w:vAlign w:val="center"/>
          </w:tcPr>
          <w:p w14:paraId="4D1360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B598D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584DE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5599A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939" w:type="dxa"/>
            <w:vAlign w:val="center"/>
          </w:tcPr>
          <w:p w14:paraId="198979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w:t>
            </w:r>
          </w:p>
        </w:tc>
        <w:tc>
          <w:tcPr>
            <w:tcW w:w="944" w:type="dxa"/>
            <w:vAlign w:val="center"/>
          </w:tcPr>
          <w:p w14:paraId="4A0C71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-0.38</w:t>
            </w:r>
          </w:p>
        </w:tc>
        <w:tc>
          <w:tcPr>
            <w:tcW w:w="891" w:type="dxa"/>
            <w:vAlign w:val="center"/>
          </w:tcPr>
          <w:p w14:paraId="5A6D1A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69B5F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-0.83</w:t>
            </w:r>
          </w:p>
        </w:tc>
        <w:tc>
          <w:tcPr>
            <w:tcW w:w="859" w:type="dxa"/>
            <w:vAlign w:val="center"/>
          </w:tcPr>
          <w:p w14:paraId="31B708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3A12824" w14:textId="77777777" w:rsidTr="003B5486">
        <w:tc>
          <w:tcPr>
            <w:tcW w:w="885" w:type="dxa"/>
            <w:vAlign w:val="center"/>
          </w:tcPr>
          <w:p w14:paraId="3384712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KIRC5</w:t>
            </w:r>
          </w:p>
        </w:tc>
        <w:tc>
          <w:tcPr>
            <w:tcW w:w="845" w:type="dxa"/>
            <w:vAlign w:val="center"/>
          </w:tcPr>
          <w:p w14:paraId="7AF633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231B7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85F45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9E802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34BC48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363F98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40C2EF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15CBC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2DB569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744C8CF" w14:textId="77777777" w:rsidTr="003B5486">
        <w:tc>
          <w:tcPr>
            <w:tcW w:w="885" w:type="dxa"/>
            <w:vAlign w:val="center"/>
          </w:tcPr>
          <w:p w14:paraId="788DB5D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KIRC6</w:t>
            </w:r>
          </w:p>
        </w:tc>
        <w:tc>
          <w:tcPr>
            <w:tcW w:w="845" w:type="dxa"/>
            <w:vAlign w:val="center"/>
          </w:tcPr>
          <w:p w14:paraId="6F8594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29FEB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C1907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74C25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939" w:type="dxa"/>
            <w:vAlign w:val="center"/>
          </w:tcPr>
          <w:p w14:paraId="6F3A04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1.27</w:t>
            </w:r>
          </w:p>
        </w:tc>
        <w:tc>
          <w:tcPr>
            <w:tcW w:w="944" w:type="dxa"/>
            <w:vAlign w:val="center"/>
          </w:tcPr>
          <w:p w14:paraId="1FBD8A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457E18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18426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859" w:type="dxa"/>
            <w:vAlign w:val="center"/>
          </w:tcPr>
          <w:p w14:paraId="15D2E9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256C6BF" w14:textId="77777777" w:rsidTr="003B5486">
        <w:tc>
          <w:tcPr>
            <w:tcW w:w="885" w:type="dxa"/>
            <w:vAlign w:val="center"/>
          </w:tcPr>
          <w:p w14:paraId="04D8828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KIRC7</w:t>
            </w:r>
          </w:p>
        </w:tc>
        <w:tc>
          <w:tcPr>
            <w:tcW w:w="845" w:type="dxa"/>
            <w:vAlign w:val="center"/>
          </w:tcPr>
          <w:p w14:paraId="0114E4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97E24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742E2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BFD25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939" w:type="dxa"/>
            <w:vAlign w:val="center"/>
          </w:tcPr>
          <w:p w14:paraId="3989DF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1.27</w:t>
            </w:r>
          </w:p>
        </w:tc>
        <w:tc>
          <w:tcPr>
            <w:tcW w:w="944" w:type="dxa"/>
            <w:vAlign w:val="center"/>
          </w:tcPr>
          <w:p w14:paraId="793DCD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52F656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F709E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859" w:type="dxa"/>
            <w:vAlign w:val="center"/>
          </w:tcPr>
          <w:p w14:paraId="2E6D4E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B6D6AB6" w14:textId="77777777" w:rsidTr="003B5486">
        <w:tc>
          <w:tcPr>
            <w:tcW w:w="885" w:type="dxa"/>
            <w:vAlign w:val="center"/>
          </w:tcPr>
          <w:p w14:paraId="4613585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KIRC8</w:t>
            </w:r>
          </w:p>
        </w:tc>
        <w:tc>
          <w:tcPr>
            <w:tcW w:w="845" w:type="dxa"/>
            <w:vAlign w:val="center"/>
          </w:tcPr>
          <w:p w14:paraId="6F2FE7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BD01B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9AF37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1F240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759BEF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7A307E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3177AE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760CD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-0.79</w:t>
            </w:r>
          </w:p>
        </w:tc>
        <w:tc>
          <w:tcPr>
            <w:tcW w:w="859" w:type="dxa"/>
            <w:vAlign w:val="center"/>
          </w:tcPr>
          <w:p w14:paraId="37C353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BA2FF34" w14:textId="77777777" w:rsidTr="003B5486">
        <w:tc>
          <w:tcPr>
            <w:tcW w:w="885" w:type="dxa"/>
            <w:vAlign w:val="center"/>
          </w:tcPr>
          <w:p w14:paraId="0FA3ACA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KIRC9</w:t>
            </w:r>
          </w:p>
        </w:tc>
        <w:tc>
          <w:tcPr>
            <w:tcW w:w="845" w:type="dxa"/>
            <w:vAlign w:val="center"/>
          </w:tcPr>
          <w:p w14:paraId="152413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400BD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B769A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00D68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939" w:type="dxa"/>
            <w:vAlign w:val="center"/>
          </w:tcPr>
          <w:p w14:paraId="3D6E30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1.23</w:t>
            </w:r>
          </w:p>
        </w:tc>
        <w:tc>
          <w:tcPr>
            <w:tcW w:w="944" w:type="dxa"/>
            <w:vAlign w:val="center"/>
          </w:tcPr>
          <w:p w14:paraId="47453F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91" w:type="dxa"/>
            <w:vAlign w:val="center"/>
          </w:tcPr>
          <w:p w14:paraId="4698A9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9ABB4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7B3C19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D06D8FF" w14:textId="77777777" w:rsidTr="003B5486">
        <w:tc>
          <w:tcPr>
            <w:tcW w:w="885" w:type="dxa"/>
            <w:vAlign w:val="center"/>
          </w:tcPr>
          <w:p w14:paraId="4725472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KIRC10</w:t>
            </w:r>
          </w:p>
        </w:tc>
        <w:tc>
          <w:tcPr>
            <w:tcW w:w="845" w:type="dxa"/>
            <w:vAlign w:val="center"/>
          </w:tcPr>
          <w:p w14:paraId="7C26A3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1609E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2B038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D7C40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939" w:type="dxa"/>
            <w:vAlign w:val="center"/>
          </w:tcPr>
          <w:p w14:paraId="02BDE3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49D2B2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91" w:type="dxa"/>
            <w:vAlign w:val="center"/>
          </w:tcPr>
          <w:p w14:paraId="331184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225AB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859" w:type="dxa"/>
            <w:vAlign w:val="center"/>
          </w:tcPr>
          <w:p w14:paraId="3A417A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7C3AAB0" w14:textId="77777777" w:rsidTr="003B5486">
        <w:tc>
          <w:tcPr>
            <w:tcW w:w="885" w:type="dxa"/>
            <w:vAlign w:val="center"/>
          </w:tcPr>
          <w:p w14:paraId="0ABF98D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KIRC11</w:t>
            </w:r>
          </w:p>
        </w:tc>
        <w:tc>
          <w:tcPr>
            <w:tcW w:w="845" w:type="dxa"/>
            <w:vAlign w:val="center"/>
          </w:tcPr>
          <w:p w14:paraId="735625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AF7D2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05AEC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B1F86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939" w:type="dxa"/>
            <w:vAlign w:val="center"/>
          </w:tcPr>
          <w:p w14:paraId="6388B6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1.26</w:t>
            </w:r>
          </w:p>
        </w:tc>
        <w:tc>
          <w:tcPr>
            <w:tcW w:w="944" w:type="dxa"/>
            <w:vAlign w:val="center"/>
          </w:tcPr>
          <w:p w14:paraId="0EDE60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91" w:type="dxa"/>
            <w:vAlign w:val="center"/>
          </w:tcPr>
          <w:p w14:paraId="043206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E3BE6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859" w:type="dxa"/>
            <w:vAlign w:val="center"/>
          </w:tcPr>
          <w:p w14:paraId="2AF36D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77B2449" w14:textId="77777777" w:rsidTr="003B5486">
        <w:tc>
          <w:tcPr>
            <w:tcW w:w="885" w:type="dxa"/>
            <w:vAlign w:val="center"/>
          </w:tcPr>
          <w:p w14:paraId="0878132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KIRC12</w:t>
            </w:r>
          </w:p>
        </w:tc>
        <w:tc>
          <w:tcPr>
            <w:tcW w:w="845" w:type="dxa"/>
            <w:vAlign w:val="center"/>
          </w:tcPr>
          <w:p w14:paraId="0183AA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33535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B3F5D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8FC73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939" w:type="dxa"/>
            <w:vAlign w:val="center"/>
          </w:tcPr>
          <w:p w14:paraId="37F2F7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c>
          <w:tcPr>
            <w:tcW w:w="944" w:type="dxa"/>
            <w:vAlign w:val="center"/>
          </w:tcPr>
          <w:p w14:paraId="7F01FD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0A55A4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2A503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5F8E77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00601E4" w14:textId="77777777" w:rsidTr="003B5486">
        <w:tc>
          <w:tcPr>
            <w:tcW w:w="885" w:type="dxa"/>
            <w:vAlign w:val="center"/>
          </w:tcPr>
          <w:p w14:paraId="4A2C058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KIRC13</w:t>
            </w:r>
          </w:p>
        </w:tc>
        <w:tc>
          <w:tcPr>
            <w:tcW w:w="845" w:type="dxa"/>
            <w:vAlign w:val="center"/>
          </w:tcPr>
          <w:p w14:paraId="15DD9D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1F423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0921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F4C7A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939" w:type="dxa"/>
            <w:vAlign w:val="center"/>
          </w:tcPr>
          <w:p w14:paraId="33FB9E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944" w:type="dxa"/>
            <w:vAlign w:val="center"/>
          </w:tcPr>
          <w:p w14:paraId="5709FF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91" w:type="dxa"/>
            <w:vAlign w:val="center"/>
          </w:tcPr>
          <w:p w14:paraId="35A3E6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BC4E5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7BAF52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0735142" w14:textId="77777777" w:rsidTr="003B5486">
        <w:tc>
          <w:tcPr>
            <w:tcW w:w="885" w:type="dxa"/>
            <w:vAlign w:val="center"/>
          </w:tcPr>
          <w:p w14:paraId="51834A9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KIRC14</w:t>
            </w:r>
          </w:p>
        </w:tc>
        <w:tc>
          <w:tcPr>
            <w:tcW w:w="845" w:type="dxa"/>
            <w:vAlign w:val="center"/>
          </w:tcPr>
          <w:p w14:paraId="34D156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DF514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E2C3D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23FBA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01E875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944" w:type="dxa"/>
            <w:vAlign w:val="center"/>
          </w:tcPr>
          <w:p w14:paraId="4DE252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7E7EE9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5C216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859" w:type="dxa"/>
            <w:vAlign w:val="center"/>
          </w:tcPr>
          <w:p w14:paraId="61DC03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3F4C972" w14:textId="77777777" w:rsidTr="003B5486">
        <w:tc>
          <w:tcPr>
            <w:tcW w:w="885" w:type="dxa"/>
            <w:vAlign w:val="center"/>
          </w:tcPr>
          <w:p w14:paraId="73011E6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KIRC15</w:t>
            </w:r>
          </w:p>
        </w:tc>
        <w:tc>
          <w:tcPr>
            <w:tcW w:w="845" w:type="dxa"/>
            <w:vAlign w:val="center"/>
          </w:tcPr>
          <w:p w14:paraId="0CF73B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3A1CE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16D58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AD6B3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939" w:type="dxa"/>
            <w:vAlign w:val="center"/>
          </w:tcPr>
          <w:p w14:paraId="69A0B2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1.31</w:t>
            </w:r>
          </w:p>
        </w:tc>
        <w:tc>
          <w:tcPr>
            <w:tcW w:w="944" w:type="dxa"/>
            <w:vAlign w:val="center"/>
          </w:tcPr>
          <w:p w14:paraId="54DD4C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891" w:type="dxa"/>
            <w:vAlign w:val="center"/>
          </w:tcPr>
          <w:p w14:paraId="48DB78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69F57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859" w:type="dxa"/>
            <w:vAlign w:val="center"/>
          </w:tcPr>
          <w:p w14:paraId="49F195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417FA0A" w14:textId="77777777" w:rsidTr="003B5486">
        <w:tc>
          <w:tcPr>
            <w:tcW w:w="885" w:type="dxa"/>
            <w:vAlign w:val="center"/>
          </w:tcPr>
          <w:p w14:paraId="70E0FC0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KIRC16</w:t>
            </w:r>
          </w:p>
        </w:tc>
        <w:tc>
          <w:tcPr>
            <w:tcW w:w="845" w:type="dxa"/>
            <w:vAlign w:val="center"/>
          </w:tcPr>
          <w:p w14:paraId="023225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58E255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DFE1D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8C647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939" w:type="dxa"/>
            <w:vAlign w:val="center"/>
          </w:tcPr>
          <w:p w14:paraId="09C218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1.21</w:t>
            </w:r>
          </w:p>
        </w:tc>
        <w:tc>
          <w:tcPr>
            <w:tcW w:w="944" w:type="dxa"/>
            <w:vAlign w:val="center"/>
          </w:tcPr>
          <w:p w14:paraId="76256D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891" w:type="dxa"/>
            <w:vAlign w:val="center"/>
          </w:tcPr>
          <w:p w14:paraId="14F339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1FD5A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w:t>
            </w:r>
          </w:p>
        </w:tc>
        <w:tc>
          <w:tcPr>
            <w:tcW w:w="859" w:type="dxa"/>
            <w:vAlign w:val="center"/>
          </w:tcPr>
          <w:p w14:paraId="7F96B7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D2ADF47" w14:textId="77777777" w:rsidTr="003B5486">
        <w:tc>
          <w:tcPr>
            <w:tcW w:w="885" w:type="dxa"/>
            <w:vAlign w:val="center"/>
          </w:tcPr>
          <w:p w14:paraId="36E0355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KIRC17</w:t>
            </w:r>
          </w:p>
        </w:tc>
        <w:tc>
          <w:tcPr>
            <w:tcW w:w="845" w:type="dxa"/>
            <w:vAlign w:val="center"/>
          </w:tcPr>
          <w:p w14:paraId="526C01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4849D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98F7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D6488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939" w:type="dxa"/>
            <w:vAlign w:val="center"/>
          </w:tcPr>
          <w:p w14:paraId="64C98F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1.31</w:t>
            </w:r>
          </w:p>
        </w:tc>
        <w:tc>
          <w:tcPr>
            <w:tcW w:w="944" w:type="dxa"/>
            <w:vAlign w:val="center"/>
          </w:tcPr>
          <w:p w14:paraId="2399AB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891" w:type="dxa"/>
            <w:vAlign w:val="center"/>
          </w:tcPr>
          <w:p w14:paraId="59533F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9ABB0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859" w:type="dxa"/>
            <w:vAlign w:val="center"/>
          </w:tcPr>
          <w:p w14:paraId="7AABD5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F95163" w14:textId="77777777" w:rsidTr="003B5486">
        <w:tc>
          <w:tcPr>
            <w:tcW w:w="885" w:type="dxa"/>
            <w:vAlign w:val="center"/>
          </w:tcPr>
          <w:p w14:paraId="60C474C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KIRC18</w:t>
            </w:r>
          </w:p>
        </w:tc>
        <w:tc>
          <w:tcPr>
            <w:tcW w:w="845" w:type="dxa"/>
            <w:vAlign w:val="center"/>
          </w:tcPr>
          <w:p w14:paraId="6BC16C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67DCB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2EECE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E8074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939" w:type="dxa"/>
            <w:vAlign w:val="center"/>
          </w:tcPr>
          <w:p w14:paraId="110601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944" w:type="dxa"/>
            <w:vAlign w:val="center"/>
          </w:tcPr>
          <w:p w14:paraId="2E7559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670126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22BA0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859" w:type="dxa"/>
            <w:vAlign w:val="center"/>
          </w:tcPr>
          <w:p w14:paraId="4EBA23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CFCC47A" w14:textId="77777777" w:rsidTr="003B5486">
        <w:tc>
          <w:tcPr>
            <w:tcW w:w="885" w:type="dxa"/>
            <w:vAlign w:val="center"/>
          </w:tcPr>
          <w:p w14:paraId="58B4335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w:t>
            </w:r>
          </w:p>
        </w:tc>
        <w:tc>
          <w:tcPr>
            <w:tcW w:w="845" w:type="dxa"/>
            <w:vAlign w:val="center"/>
          </w:tcPr>
          <w:p w14:paraId="142315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0FFC1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EB708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ED3EE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939" w:type="dxa"/>
            <w:vAlign w:val="center"/>
          </w:tcPr>
          <w:p w14:paraId="438292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944" w:type="dxa"/>
            <w:vAlign w:val="center"/>
          </w:tcPr>
          <w:p w14:paraId="033D26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891" w:type="dxa"/>
            <w:vAlign w:val="center"/>
          </w:tcPr>
          <w:p w14:paraId="5C086E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A76E3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c>
          <w:tcPr>
            <w:tcW w:w="859" w:type="dxa"/>
            <w:vAlign w:val="center"/>
          </w:tcPr>
          <w:p w14:paraId="4DF437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8BFB592" w14:textId="77777777" w:rsidTr="003B5486">
        <w:tc>
          <w:tcPr>
            <w:tcW w:w="885" w:type="dxa"/>
            <w:vAlign w:val="center"/>
          </w:tcPr>
          <w:p w14:paraId="780A400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KIFF1</w:t>
            </w:r>
          </w:p>
        </w:tc>
        <w:tc>
          <w:tcPr>
            <w:tcW w:w="845" w:type="dxa"/>
            <w:vAlign w:val="center"/>
          </w:tcPr>
          <w:p w14:paraId="3C483A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A0172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48E66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5FD61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939" w:type="dxa"/>
            <w:vAlign w:val="center"/>
          </w:tcPr>
          <w:p w14:paraId="24870B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1.27</w:t>
            </w:r>
          </w:p>
        </w:tc>
        <w:tc>
          <w:tcPr>
            <w:tcW w:w="944" w:type="dxa"/>
            <w:vAlign w:val="center"/>
          </w:tcPr>
          <w:p w14:paraId="6BDB2C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891" w:type="dxa"/>
            <w:vAlign w:val="center"/>
          </w:tcPr>
          <w:p w14:paraId="5235E4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8867E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859" w:type="dxa"/>
            <w:vAlign w:val="center"/>
          </w:tcPr>
          <w:p w14:paraId="5AA28B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7811FBD" w14:textId="77777777" w:rsidTr="003B5486">
        <w:tc>
          <w:tcPr>
            <w:tcW w:w="885" w:type="dxa"/>
            <w:vAlign w:val="center"/>
          </w:tcPr>
          <w:p w14:paraId="5DA57A4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KIFF2</w:t>
            </w:r>
          </w:p>
        </w:tc>
        <w:tc>
          <w:tcPr>
            <w:tcW w:w="845" w:type="dxa"/>
            <w:vAlign w:val="center"/>
          </w:tcPr>
          <w:p w14:paraId="3051DB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F503D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460DA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2B44D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939" w:type="dxa"/>
            <w:vAlign w:val="center"/>
          </w:tcPr>
          <w:p w14:paraId="7A1363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944" w:type="dxa"/>
            <w:vAlign w:val="center"/>
          </w:tcPr>
          <w:p w14:paraId="54D42D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891" w:type="dxa"/>
            <w:vAlign w:val="center"/>
          </w:tcPr>
          <w:p w14:paraId="6AF496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43DAB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-0.51</w:t>
            </w:r>
          </w:p>
        </w:tc>
        <w:tc>
          <w:tcPr>
            <w:tcW w:w="859" w:type="dxa"/>
            <w:vAlign w:val="center"/>
          </w:tcPr>
          <w:p w14:paraId="0CDCA3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65250B" w14:textId="77777777" w:rsidTr="003B5486">
        <w:tc>
          <w:tcPr>
            <w:tcW w:w="885" w:type="dxa"/>
            <w:vAlign w:val="center"/>
          </w:tcPr>
          <w:p w14:paraId="7FAB45F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KIFF3</w:t>
            </w:r>
          </w:p>
        </w:tc>
        <w:tc>
          <w:tcPr>
            <w:tcW w:w="845" w:type="dxa"/>
            <w:vAlign w:val="center"/>
          </w:tcPr>
          <w:p w14:paraId="68A8DA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0DF70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6FCD8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14C3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939" w:type="dxa"/>
            <w:vAlign w:val="center"/>
          </w:tcPr>
          <w:p w14:paraId="10A764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c>
          <w:tcPr>
            <w:tcW w:w="944" w:type="dxa"/>
            <w:vAlign w:val="center"/>
          </w:tcPr>
          <w:p w14:paraId="00C116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0A7C9B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96697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59" w:type="dxa"/>
            <w:vAlign w:val="center"/>
          </w:tcPr>
          <w:p w14:paraId="1FDF52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CC94A67" w14:textId="77777777" w:rsidTr="003B5486">
        <w:tc>
          <w:tcPr>
            <w:tcW w:w="885" w:type="dxa"/>
            <w:vAlign w:val="center"/>
          </w:tcPr>
          <w:p w14:paraId="244B055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KIFF4</w:t>
            </w:r>
          </w:p>
        </w:tc>
        <w:tc>
          <w:tcPr>
            <w:tcW w:w="845" w:type="dxa"/>
            <w:vAlign w:val="center"/>
          </w:tcPr>
          <w:p w14:paraId="6D19AF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D80F8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7DAF7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6526A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939" w:type="dxa"/>
            <w:vAlign w:val="center"/>
          </w:tcPr>
          <w:p w14:paraId="72C819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018267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02CFE5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C9B02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859" w:type="dxa"/>
            <w:vAlign w:val="center"/>
          </w:tcPr>
          <w:p w14:paraId="61BCA3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A38FEE3" w14:textId="77777777" w:rsidTr="003B5486">
        <w:tc>
          <w:tcPr>
            <w:tcW w:w="885" w:type="dxa"/>
            <w:vAlign w:val="center"/>
          </w:tcPr>
          <w:p w14:paraId="713808D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KIFF5</w:t>
            </w:r>
          </w:p>
        </w:tc>
        <w:tc>
          <w:tcPr>
            <w:tcW w:w="845" w:type="dxa"/>
            <w:vAlign w:val="center"/>
          </w:tcPr>
          <w:p w14:paraId="0DB8F0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ADC61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3A6B6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DBB71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4AEED3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472B32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91" w:type="dxa"/>
            <w:vAlign w:val="center"/>
          </w:tcPr>
          <w:p w14:paraId="5F304F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B5463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-0.68</w:t>
            </w:r>
          </w:p>
        </w:tc>
        <w:tc>
          <w:tcPr>
            <w:tcW w:w="859" w:type="dxa"/>
            <w:vAlign w:val="center"/>
          </w:tcPr>
          <w:p w14:paraId="4F88B2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255A44C" w14:textId="77777777" w:rsidTr="003B5486">
        <w:tc>
          <w:tcPr>
            <w:tcW w:w="885" w:type="dxa"/>
            <w:vAlign w:val="center"/>
          </w:tcPr>
          <w:p w14:paraId="079719B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KIFF6</w:t>
            </w:r>
          </w:p>
        </w:tc>
        <w:tc>
          <w:tcPr>
            <w:tcW w:w="845" w:type="dxa"/>
            <w:vAlign w:val="center"/>
          </w:tcPr>
          <w:p w14:paraId="4AC348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0B751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3BFB4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C7DB5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7DA2FF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944" w:type="dxa"/>
            <w:vAlign w:val="center"/>
          </w:tcPr>
          <w:p w14:paraId="712D1E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-0.22</w:t>
            </w:r>
          </w:p>
        </w:tc>
        <w:tc>
          <w:tcPr>
            <w:tcW w:w="891" w:type="dxa"/>
            <w:vAlign w:val="center"/>
          </w:tcPr>
          <w:p w14:paraId="6AEADB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EF721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c>
          <w:tcPr>
            <w:tcW w:w="859" w:type="dxa"/>
            <w:vAlign w:val="center"/>
          </w:tcPr>
          <w:p w14:paraId="79D959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9361351" w14:textId="77777777" w:rsidTr="003B5486">
        <w:tc>
          <w:tcPr>
            <w:tcW w:w="885" w:type="dxa"/>
            <w:vAlign w:val="center"/>
          </w:tcPr>
          <w:p w14:paraId="4A8CC74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KIFF7</w:t>
            </w:r>
          </w:p>
        </w:tc>
        <w:tc>
          <w:tcPr>
            <w:tcW w:w="845" w:type="dxa"/>
            <w:vAlign w:val="center"/>
          </w:tcPr>
          <w:p w14:paraId="15C50C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36BA6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3CD8F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FFE28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939" w:type="dxa"/>
            <w:vAlign w:val="center"/>
          </w:tcPr>
          <w:p w14:paraId="6460C5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1.31</w:t>
            </w:r>
          </w:p>
        </w:tc>
        <w:tc>
          <w:tcPr>
            <w:tcW w:w="944" w:type="dxa"/>
            <w:vAlign w:val="center"/>
          </w:tcPr>
          <w:p w14:paraId="6F79D7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891" w:type="dxa"/>
            <w:vAlign w:val="center"/>
          </w:tcPr>
          <w:p w14:paraId="304BFB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DF471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859" w:type="dxa"/>
            <w:vAlign w:val="center"/>
          </w:tcPr>
          <w:p w14:paraId="55A941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B1B7FF6" w14:textId="77777777" w:rsidTr="003B5486">
        <w:tc>
          <w:tcPr>
            <w:tcW w:w="885" w:type="dxa"/>
            <w:vAlign w:val="center"/>
          </w:tcPr>
          <w:p w14:paraId="0A8FFE9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w:t>
            </w:r>
          </w:p>
        </w:tc>
        <w:tc>
          <w:tcPr>
            <w:tcW w:w="845" w:type="dxa"/>
            <w:vAlign w:val="center"/>
          </w:tcPr>
          <w:p w14:paraId="5125C8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319C29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EFFC8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5AC50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939" w:type="dxa"/>
            <w:vAlign w:val="center"/>
          </w:tcPr>
          <w:p w14:paraId="7EA1F4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944" w:type="dxa"/>
            <w:vAlign w:val="center"/>
          </w:tcPr>
          <w:p w14:paraId="261F09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891" w:type="dxa"/>
            <w:vAlign w:val="center"/>
          </w:tcPr>
          <w:p w14:paraId="0FACFA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A25C6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c>
          <w:tcPr>
            <w:tcW w:w="859" w:type="dxa"/>
            <w:vAlign w:val="center"/>
          </w:tcPr>
          <w:p w14:paraId="163284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B6D340D" w14:textId="77777777" w:rsidTr="003B5486">
        <w:tc>
          <w:tcPr>
            <w:tcW w:w="885" w:type="dxa"/>
            <w:vAlign w:val="center"/>
          </w:tcPr>
          <w:p w14:paraId="5908BB6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ITCA1</w:t>
            </w:r>
          </w:p>
        </w:tc>
        <w:tc>
          <w:tcPr>
            <w:tcW w:w="845" w:type="dxa"/>
            <w:vAlign w:val="center"/>
          </w:tcPr>
          <w:p w14:paraId="3F0A8A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26000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7FD23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54002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939" w:type="dxa"/>
            <w:vAlign w:val="center"/>
          </w:tcPr>
          <w:p w14:paraId="53A579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0E33E7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891" w:type="dxa"/>
            <w:vAlign w:val="center"/>
          </w:tcPr>
          <w:p w14:paraId="7855CF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F00C8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c>
          <w:tcPr>
            <w:tcW w:w="859" w:type="dxa"/>
            <w:vAlign w:val="center"/>
          </w:tcPr>
          <w:p w14:paraId="2C2611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AFB5E77" w14:textId="77777777" w:rsidTr="003B5486">
        <w:tc>
          <w:tcPr>
            <w:tcW w:w="885" w:type="dxa"/>
            <w:vAlign w:val="center"/>
          </w:tcPr>
          <w:p w14:paraId="3772AE9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ITCA2</w:t>
            </w:r>
          </w:p>
        </w:tc>
        <w:tc>
          <w:tcPr>
            <w:tcW w:w="845" w:type="dxa"/>
            <w:vAlign w:val="center"/>
          </w:tcPr>
          <w:p w14:paraId="45A199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6384BC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64B09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7AA84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3.42</w:t>
            </w:r>
          </w:p>
        </w:tc>
        <w:tc>
          <w:tcPr>
            <w:tcW w:w="939" w:type="dxa"/>
            <w:vAlign w:val="center"/>
          </w:tcPr>
          <w:p w14:paraId="23B05E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944" w:type="dxa"/>
            <w:vAlign w:val="center"/>
          </w:tcPr>
          <w:p w14:paraId="4032A2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891" w:type="dxa"/>
            <w:vAlign w:val="center"/>
          </w:tcPr>
          <w:p w14:paraId="7183F3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E1248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c>
          <w:tcPr>
            <w:tcW w:w="859" w:type="dxa"/>
            <w:vAlign w:val="center"/>
          </w:tcPr>
          <w:p w14:paraId="4E721E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73D058C" w14:textId="77777777" w:rsidTr="003B5486">
        <w:tc>
          <w:tcPr>
            <w:tcW w:w="885" w:type="dxa"/>
            <w:vAlign w:val="center"/>
          </w:tcPr>
          <w:p w14:paraId="6863B9B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ITCA3</w:t>
            </w:r>
          </w:p>
        </w:tc>
        <w:tc>
          <w:tcPr>
            <w:tcW w:w="845" w:type="dxa"/>
            <w:vAlign w:val="center"/>
          </w:tcPr>
          <w:p w14:paraId="54D8B4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88E27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09E1A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C7C6E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939" w:type="dxa"/>
            <w:vAlign w:val="center"/>
          </w:tcPr>
          <w:p w14:paraId="7CB009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08757E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891" w:type="dxa"/>
            <w:vAlign w:val="center"/>
          </w:tcPr>
          <w:p w14:paraId="1E8A88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3B29A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w:t>
            </w:r>
          </w:p>
        </w:tc>
        <w:tc>
          <w:tcPr>
            <w:tcW w:w="859" w:type="dxa"/>
            <w:vAlign w:val="center"/>
          </w:tcPr>
          <w:p w14:paraId="35D63F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AFB988F" w14:textId="77777777" w:rsidTr="003B5486">
        <w:tc>
          <w:tcPr>
            <w:tcW w:w="885" w:type="dxa"/>
            <w:vAlign w:val="center"/>
          </w:tcPr>
          <w:p w14:paraId="7B0ABE6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ITCA4</w:t>
            </w:r>
          </w:p>
        </w:tc>
        <w:tc>
          <w:tcPr>
            <w:tcW w:w="845" w:type="dxa"/>
            <w:vAlign w:val="center"/>
          </w:tcPr>
          <w:p w14:paraId="66382B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13DA2D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407FC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178F4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939" w:type="dxa"/>
            <w:vAlign w:val="center"/>
          </w:tcPr>
          <w:p w14:paraId="085036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1.28</w:t>
            </w:r>
          </w:p>
        </w:tc>
        <w:tc>
          <w:tcPr>
            <w:tcW w:w="944" w:type="dxa"/>
            <w:vAlign w:val="center"/>
          </w:tcPr>
          <w:p w14:paraId="084473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4521ED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1ABA8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859" w:type="dxa"/>
            <w:vAlign w:val="center"/>
          </w:tcPr>
          <w:p w14:paraId="7166AC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5036562" w14:textId="77777777" w:rsidTr="003B5486">
        <w:tc>
          <w:tcPr>
            <w:tcW w:w="885" w:type="dxa"/>
            <w:vAlign w:val="center"/>
          </w:tcPr>
          <w:p w14:paraId="7118577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ITCA5</w:t>
            </w:r>
          </w:p>
        </w:tc>
        <w:tc>
          <w:tcPr>
            <w:tcW w:w="845" w:type="dxa"/>
            <w:vAlign w:val="center"/>
          </w:tcPr>
          <w:p w14:paraId="4DE0BF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2247B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C9AFD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0FA4C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939" w:type="dxa"/>
            <w:vAlign w:val="center"/>
          </w:tcPr>
          <w:p w14:paraId="0D45FF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1.15</w:t>
            </w:r>
          </w:p>
        </w:tc>
        <w:tc>
          <w:tcPr>
            <w:tcW w:w="944" w:type="dxa"/>
            <w:vAlign w:val="center"/>
          </w:tcPr>
          <w:p w14:paraId="5161CF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307096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A44A3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c>
          <w:tcPr>
            <w:tcW w:w="859" w:type="dxa"/>
            <w:vAlign w:val="center"/>
          </w:tcPr>
          <w:p w14:paraId="6636F2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21F9A32" w14:textId="77777777" w:rsidTr="003B5486">
        <w:tc>
          <w:tcPr>
            <w:tcW w:w="885" w:type="dxa"/>
            <w:vAlign w:val="center"/>
          </w:tcPr>
          <w:p w14:paraId="4E5544D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ITCA6</w:t>
            </w:r>
          </w:p>
        </w:tc>
        <w:tc>
          <w:tcPr>
            <w:tcW w:w="845" w:type="dxa"/>
            <w:vAlign w:val="center"/>
          </w:tcPr>
          <w:p w14:paraId="383F60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26F5B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51233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6616C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3.41</w:t>
            </w:r>
          </w:p>
        </w:tc>
        <w:tc>
          <w:tcPr>
            <w:tcW w:w="939" w:type="dxa"/>
            <w:vAlign w:val="center"/>
          </w:tcPr>
          <w:p w14:paraId="32853F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944" w:type="dxa"/>
            <w:vAlign w:val="center"/>
          </w:tcPr>
          <w:p w14:paraId="3CE14C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891" w:type="dxa"/>
            <w:vAlign w:val="center"/>
          </w:tcPr>
          <w:p w14:paraId="2A460C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C4E7A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49C83E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5746A95" w14:textId="77777777" w:rsidTr="003B5486">
        <w:tc>
          <w:tcPr>
            <w:tcW w:w="885" w:type="dxa"/>
            <w:vAlign w:val="center"/>
          </w:tcPr>
          <w:p w14:paraId="316B2CB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ITCA7</w:t>
            </w:r>
          </w:p>
        </w:tc>
        <w:tc>
          <w:tcPr>
            <w:tcW w:w="845" w:type="dxa"/>
            <w:vAlign w:val="center"/>
          </w:tcPr>
          <w:p w14:paraId="779EEC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26E7A9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05AF6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CAEEE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939" w:type="dxa"/>
            <w:vAlign w:val="center"/>
          </w:tcPr>
          <w:p w14:paraId="3E12D7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73DA36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891" w:type="dxa"/>
            <w:vAlign w:val="center"/>
          </w:tcPr>
          <w:p w14:paraId="156420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D37B1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c>
          <w:tcPr>
            <w:tcW w:w="859" w:type="dxa"/>
            <w:vAlign w:val="center"/>
          </w:tcPr>
          <w:p w14:paraId="1CB421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B6DC8A9" w14:textId="77777777" w:rsidTr="003B5486">
        <w:tc>
          <w:tcPr>
            <w:tcW w:w="885" w:type="dxa"/>
            <w:vAlign w:val="center"/>
          </w:tcPr>
          <w:p w14:paraId="1E29B13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w:t>
            </w:r>
          </w:p>
        </w:tc>
        <w:tc>
          <w:tcPr>
            <w:tcW w:w="845" w:type="dxa"/>
            <w:vAlign w:val="center"/>
          </w:tcPr>
          <w:p w14:paraId="40816C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02ED6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FF0BE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1D80D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939" w:type="dxa"/>
            <w:vAlign w:val="center"/>
          </w:tcPr>
          <w:p w14:paraId="48886F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c>
          <w:tcPr>
            <w:tcW w:w="944" w:type="dxa"/>
            <w:vAlign w:val="center"/>
          </w:tcPr>
          <w:p w14:paraId="35177A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891" w:type="dxa"/>
            <w:vAlign w:val="center"/>
          </w:tcPr>
          <w:p w14:paraId="60B3A0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61EF1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859" w:type="dxa"/>
            <w:vAlign w:val="center"/>
          </w:tcPr>
          <w:p w14:paraId="4C3514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B540F44" w14:textId="77777777" w:rsidTr="003B5486">
        <w:tc>
          <w:tcPr>
            <w:tcW w:w="885" w:type="dxa"/>
            <w:vAlign w:val="center"/>
          </w:tcPr>
          <w:p w14:paraId="2DB7D09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w:t>
            </w:r>
          </w:p>
        </w:tc>
        <w:tc>
          <w:tcPr>
            <w:tcW w:w="845" w:type="dxa"/>
            <w:vAlign w:val="center"/>
          </w:tcPr>
          <w:p w14:paraId="7FC9F8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24E9F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D53D9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4C33F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939" w:type="dxa"/>
            <w:vAlign w:val="center"/>
          </w:tcPr>
          <w:p w14:paraId="416EBA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4FEBDA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891" w:type="dxa"/>
            <w:vAlign w:val="center"/>
          </w:tcPr>
          <w:p w14:paraId="261821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6D948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-0.68</w:t>
            </w:r>
          </w:p>
        </w:tc>
        <w:tc>
          <w:tcPr>
            <w:tcW w:w="859" w:type="dxa"/>
            <w:vAlign w:val="center"/>
          </w:tcPr>
          <w:p w14:paraId="58CC9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75834D7" w14:textId="77777777" w:rsidTr="003B5486">
        <w:tc>
          <w:tcPr>
            <w:tcW w:w="885" w:type="dxa"/>
            <w:vAlign w:val="center"/>
          </w:tcPr>
          <w:p w14:paraId="22DA7C9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VW2</w:t>
            </w:r>
          </w:p>
        </w:tc>
        <w:tc>
          <w:tcPr>
            <w:tcW w:w="845" w:type="dxa"/>
            <w:vAlign w:val="center"/>
          </w:tcPr>
          <w:p w14:paraId="32E9B0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A325D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93734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5ECCA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939" w:type="dxa"/>
            <w:vAlign w:val="center"/>
          </w:tcPr>
          <w:p w14:paraId="081CDC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565378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5B4E96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0FC55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859" w:type="dxa"/>
            <w:vAlign w:val="center"/>
          </w:tcPr>
          <w:p w14:paraId="1B67C7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ADDC4FA" w14:textId="77777777" w:rsidTr="003B5486">
        <w:tc>
          <w:tcPr>
            <w:tcW w:w="885" w:type="dxa"/>
            <w:vAlign w:val="center"/>
          </w:tcPr>
          <w:p w14:paraId="0DF0183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VW3</w:t>
            </w:r>
          </w:p>
        </w:tc>
        <w:tc>
          <w:tcPr>
            <w:tcW w:w="845" w:type="dxa"/>
            <w:vAlign w:val="center"/>
          </w:tcPr>
          <w:p w14:paraId="4EDCBB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051159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5B345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990EE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939" w:type="dxa"/>
            <w:vAlign w:val="center"/>
          </w:tcPr>
          <w:p w14:paraId="5829CE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56DBB3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891" w:type="dxa"/>
            <w:vAlign w:val="center"/>
          </w:tcPr>
          <w:p w14:paraId="4580BA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670DB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-0.65</w:t>
            </w:r>
          </w:p>
        </w:tc>
        <w:tc>
          <w:tcPr>
            <w:tcW w:w="859" w:type="dxa"/>
            <w:vAlign w:val="center"/>
          </w:tcPr>
          <w:p w14:paraId="629721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1B6EA60" w14:textId="77777777" w:rsidTr="003B5486">
        <w:tc>
          <w:tcPr>
            <w:tcW w:w="885" w:type="dxa"/>
            <w:vAlign w:val="center"/>
          </w:tcPr>
          <w:p w14:paraId="08DA7F3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VW4</w:t>
            </w:r>
          </w:p>
        </w:tc>
        <w:tc>
          <w:tcPr>
            <w:tcW w:w="845" w:type="dxa"/>
            <w:vAlign w:val="center"/>
          </w:tcPr>
          <w:p w14:paraId="414E42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725A48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C9DFC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3DD31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939" w:type="dxa"/>
            <w:vAlign w:val="center"/>
          </w:tcPr>
          <w:p w14:paraId="77CCAD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1.04</w:t>
            </w:r>
          </w:p>
        </w:tc>
        <w:tc>
          <w:tcPr>
            <w:tcW w:w="944" w:type="dxa"/>
            <w:vAlign w:val="center"/>
          </w:tcPr>
          <w:p w14:paraId="021BEB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891" w:type="dxa"/>
            <w:vAlign w:val="center"/>
          </w:tcPr>
          <w:p w14:paraId="042137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94DFA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859" w:type="dxa"/>
            <w:vAlign w:val="center"/>
          </w:tcPr>
          <w:p w14:paraId="0F97E8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2689C63" w14:textId="77777777" w:rsidTr="003B5486">
        <w:tc>
          <w:tcPr>
            <w:tcW w:w="885" w:type="dxa"/>
            <w:vAlign w:val="center"/>
          </w:tcPr>
          <w:p w14:paraId="714A3E1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VW5</w:t>
            </w:r>
          </w:p>
        </w:tc>
        <w:tc>
          <w:tcPr>
            <w:tcW w:w="845" w:type="dxa"/>
            <w:vAlign w:val="center"/>
          </w:tcPr>
          <w:p w14:paraId="483DC5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4C296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817AB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F133B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939" w:type="dxa"/>
            <w:vAlign w:val="center"/>
          </w:tcPr>
          <w:p w14:paraId="1FEEF1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2CB685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-0.63</w:t>
            </w:r>
          </w:p>
        </w:tc>
        <w:tc>
          <w:tcPr>
            <w:tcW w:w="891" w:type="dxa"/>
            <w:vAlign w:val="center"/>
          </w:tcPr>
          <w:p w14:paraId="7130E9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C87EF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859" w:type="dxa"/>
            <w:vAlign w:val="center"/>
          </w:tcPr>
          <w:p w14:paraId="05F992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2F879C1" w14:textId="77777777" w:rsidTr="003B5486">
        <w:tc>
          <w:tcPr>
            <w:tcW w:w="885" w:type="dxa"/>
            <w:vAlign w:val="center"/>
          </w:tcPr>
          <w:p w14:paraId="124460F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VW6</w:t>
            </w:r>
          </w:p>
        </w:tc>
        <w:tc>
          <w:tcPr>
            <w:tcW w:w="845" w:type="dxa"/>
            <w:vAlign w:val="center"/>
          </w:tcPr>
          <w:p w14:paraId="644916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62F442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F9794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52D30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2.52</w:t>
            </w:r>
          </w:p>
        </w:tc>
        <w:tc>
          <w:tcPr>
            <w:tcW w:w="939" w:type="dxa"/>
            <w:vAlign w:val="center"/>
          </w:tcPr>
          <w:p w14:paraId="31A443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944" w:type="dxa"/>
            <w:vAlign w:val="center"/>
          </w:tcPr>
          <w:p w14:paraId="05B52A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c>
          <w:tcPr>
            <w:tcW w:w="891" w:type="dxa"/>
            <w:vAlign w:val="center"/>
          </w:tcPr>
          <w:p w14:paraId="1219E3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62641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59" w:type="dxa"/>
            <w:vAlign w:val="center"/>
          </w:tcPr>
          <w:p w14:paraId="049995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A91E9C5" w14:textId="77777777" w:rsidTr="003B5486">
        <w:tc>
          <w:tcPr>
            <w:tcW w:w="885" w:type="dxa"/>
            <w:vAlign w:val="center"/>
          </w:tcPr>
          <w:p w14:paraId="6163AD0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VW7</w:t>
            </w:r>
          </w:p>
        </w:tc>
        <w:tc>
          <w:tcPr>
            <w:tcW w:w="845" w:type="dxa"/>
            <w:vAlign w:val="center"/>
          </w:tcPr>
          <w:p w14:paraId="47F14C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F0B8A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8D83C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A9BA1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w:t>
            </w:r>
          </w:p>
        </w:tc>
        <w:tc>
          <w:tcPr>
            <w:tcW w:w="939" w:type="dxa"/>
            <w:vAlign w:val="center"/>
          </w:tcPr>
          <w:p w14:paraId="2F869C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1.29</w:t>
            </w:r>
          </w:p>
        </w:tc>
        <w:tc>
          <w:tcPr>
            <w:tcW w:w="944" w:type="dxa"/>
            <w:vAlign w:val="center"/>
          </w:tcPr>
          <w:p w14:paraId="5A26ED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-0.54</w:t>
            </w:r>
          </w:p>
        </w:tc>
        <w:tc>
          <w:tcPr>
            <w:tcW w:w="891" w:type="dxa"/>
            <w:vAlign w:val="center"/>
          </w:tcPr>
          <w:p w14:paraId="226C2B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AD641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859" w:type="dxa"/>
            <w:vAlign w:val="center"/>
          </w:tcPr>
          <w:p w14:paraId="789AED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EFC566F" w14:textId="77777777" w:rsidTr="003B5486">
        <w:tc>
          <w:tcPr>
            <w:tcW w:w="885" w:type="dxa"/>
            <w:vAlign w:val="center"/>
          </w:tcPr>
          <w:p w14:paraId="7AC21FA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VW8</w:t>
            </w:r>
          </w:p>
        </w:tc>
        <w:tc>
          <w:tcPr>
            <w:tcW w:w="845" w:type="dxa"/>
            <w:vAlign w:val="center"/>
          </w:tcPr>
          <w:p w14:paraId="04462C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13215A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1A85B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2BECD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2.62</w:t>
            </w:r>
          </w:p>
        </w:tc>
        <w:tc>
          <w:tcPr>
            <w:tcW w:w="939" w:type="dxa"/>
            <w:vAlign w:val="center"/>
          </w:tcPr>
          <w:p w14:paraId="5CE62B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0524E8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891" w:type="dxa"/>
            <w:vAlign w:val="center"/>
          </w:tcPr>
          <w:p w14:paraId="740643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F6976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59" w:type="dxa"/>
            <w:vAlign w:val="center"/>
          </w:tcPr>
          <w:p w14:paraId="7BFB9E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A2AFD71" w14:textId="77777777" w:rsidTr="003B5486">
        <w:tc>
          <w:tcPr>
            <w:tcW w:w="885" w:type="dxa"/>
            <w:vAlign w:val="center"/>
          </w:tcPr>
          <w:p w14:paraId="318CDA8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VW9</w:t>
            </w:r>
          </w:p>
        </w:tc>
        <w:tc>
          <w:tcPr>
            <w:tcW w:w="845" w:type="dxa"/>
            <w:vAlign w:val="center"/>
          </w:tcPr>
          <w:p w14:paraId="03A877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70EF4A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7096F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016F0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2.95</w:t>
            </w:r>
          </w:p>
        </w:tc>
        <w:tc>
          <w:tcPr>
            <w:tcW w:w="939" w:type="dxa"/>
            <w:vAlign w:val="center"/>
          </w:tcPr>
          <w:p w14:paraId="7B1BC4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944" w:type="dxa"/>
            <w:vAlign w:val="center"/>
          </w:tcPr>
          <w:p w14:paraId="735645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4FC348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1B075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c>
          <w:tcPr>
            <w:tcW w:w="859" w:type="dxa"/>
            <w:vAlign w:val="center"/>
          </w:tcPr>
          <w:p w14:paraId="39A1AB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C96C41" w14:textId="77777777" w:rsidTr="003B5486">
        <w:tc>
          <w:tcPr>
            <w:tcW w:w="885" w:type="dxa"/>
            <w:vAlign w:val="center"/>
          </w:tcPr>
          <w:p w14:paraId="2E499FF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VW10</w:t>
            </w:r>
          </w:p>
        </w:tc>
        <w:tc>
          <w:tcPr>
            <w:tcW w:w="845" w:type="dxa"/>
            <w:vAlign w:val="center"/>
          </w:tcPr>
          <w:p w14:paraId="598B48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4F65B1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B44F4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F6834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3.81</w:t>
            </w:r>
          </w:p>
        </w:tc>
        <w:tc>
          <w:tcPr>
            <w:tcW w:w="939" w:type="dxa"/>
            <w:vAlign w:val="center"/>
          </w:tcPr>
          <w:p w14:paraId="0BB89E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c>
          <w:tcPr>
            <w:tcW w:w="944" w:type="dxa"/>
            <w:vAlign w:val="center"/>
          </w:tcPr>
          <w:p w14:paraId="44A342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-0.79</w:t>
            </w:r>
          </w:p>
        </w:tc>
        <w:tc>
          <w:tcPr>
            <w:tcW w:w="891" w:type="dxa"/>
            <w:vAlign w:val="center"/>
          </w:tcPr>
          <w:p w14:paraId="464190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C4BE5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669DFB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B30262B" w14:textId="77777777" w:rsidTr="003B5486">
        <w:tc>
          <w:tcPr>
            <w:tcW w:w="885" w:type="dxa"/>
            <w:vAlign w:val="center"/>
          </w:tcPr>
          <w:p w14:paraId="2B4ACD6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VW11</w:t>
            </w:r>
          </w:p>
        </w:tc>
        <w:tc>
          <w:tcPr>
            <w:tcW w:w="845" w:type="dxa"/>
            <w:vAlign w:val="center"/>
          </w:tcPr>
          <w:p w14:paraId="6FB605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34F5B5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14C9C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31A77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939" w:type="dxa"/>
            <w:vAlign w:val="center"/>
          </w:tcPr>
          <w:p w14:paraId="2967BB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0BA322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91" w:type="dxa"/>
            <w:vAlign w:val="center"/>
          </w:tcPr>
          <w:p w14:paraId="0C5EB2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7E563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859" w:type="dxa"/>
            <w:vAlign w:val="center"/>
          </w:tcPr>
          <w:p w14:paraId="2615BE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9A7D5FE" w14:textId="77777777" w:rsidTr="003B5486">
        <w:tc>
          <w:tcPr>
            <w:tcW w:w="885" w:type="dxa"/>
            <w:vAlign w:val="center"/>
          </w:tcPr>
          <w:p w14:paraId="71350AB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VW12</w:t>
            </w:r>
          </w:p>
        </w:tc>
        <w:tc>
          <w:tcPr>
            <w:tcW w:w="845" w:type="dxa"/>
            <w:vAlign w:val="center"/>
          </w:tcPr>
          <w:p w14:paraId="1AE84F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5D2C2C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2A612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82D40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3.80</w:t>
            </w:r>
          </w:p>
        </w:tc>
        <w:tc>
          <w:tcPr>
            <w:tcW w:w="939" w:type="dxa"/>
            <w:vAlign w:val="center"/>
          </w:tcPr>
          <w:p w14:paraId="3B0602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70A974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891" w:type="dxa"/>
            <w:vAlign w:val="center"/>
          </w:tcPr>
          <w:p w14:paraId="2FEF57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BFA3E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859" w:type="dxa"/>
            <w:vAlign w:val="center"/>
          </w:tcPr>
          <w:p w14:paraId="1A2E34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658A82C" w14:textId="77777777" w:rsidTr="003B5486">
        <w:tc>
          <w:tcPr>
            <w:tcW w:w="885" w:type="dxa"/>
            <w:vAlign w:val="center"/>
          </w:tcPr>
          <w:p w14:paraId="36C968D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VW13</w:t>
            </w:r>
          </w:p>
        </w:tc>
        <w:tc>
          <w:tcPr>
            <w:tcW w:w="845" w:type="dxa"/>
            <w:vAlign w:val="center"/>
          </w:tcPr>
          <w:p w14:paraId="67C895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152A26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D09BB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97149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939" w:type="dxa"/>
            <w:vAlign w:val="center"/>
          </w:tcPr>
          <w:p w14:paraId="1A2B8C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1.43</w:t>
            </w:r>
          </w:p>
        </w:tc>
        <w:tc>
          <w:tcPr>
            <w:tcW w:w="944" w:type="dxa"/>
            <w:vAlign w:val="center"/>
          </w:tcPr>
          <w:p w14:paraId="13C1EB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c>
          <w:tcPr>
            <w:tcW w:w="891" w:type="dxa"/>
            <w:vAlign w:val="center"/>
          </w:tcPr>
          <w:p w14:paraId="117074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228D7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-1.32</w:t>
            </w:r>
          </w:p>
        </w:tc>
        <w:tc>
          <w:tcPr>
            <w:tcW w:w="859" w:type="dxa"/>
            <w:vAlign w:val="center"/>
          </w:tcPr>
          <w:p w14:paraId="13DC52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D395781" w14:textId="77777777" w:rsidTr="003B5486">
        <w:tc>
          <w:tcPr>
            <w:tcW w:w="885" w:type="dxa"/>
            <w:vAlign w:val="center"/>
          </w:tcPr>
          <w:p w14:paraId="1238608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w:t>
            </w:r>
          </w:p>
        </w:tc>
        <w:tc>
          <w:tcPr>
            <w:tcW w:w="845" w:type="dxa"/>
            <w:vAlign w:val="center"/>
          </w:tcPr>
          <w:p w14:paraId="17DAD1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8" w:type="dxa"/>
            <w:vAlign w:val="center"/>
          </w:tcPr>
          <w:p w14:paraId="40922B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29B90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4F74E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939" w:type="dxa"/>
            <w:vAlign w:val="center"/>
          </w:tcPr>
          <w:p w14:paraId="7E815A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c>
          <w:tcPr>
            <w:tcW w:w="944" w:type="dxa"/>
            <w:vAlign w:val="center"/>
          </w:tcPr>
          <w:p w14:paraId="438BA9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-0.51</w:t>
            </w:r>
          </w:p>
        </w:tc>
        <w:tc>
          <w:tcPr>
            <w:tcW w:w="891" w:type="dxa"/>
            <w:vAlign w:val="center"/>
          </w:tcPr>
          <w:p w14:paraId="5FF7F8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70FE2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1.99</w:t>
            </w:r>
          </w:p>
        </w:tc>
        <w:tc>
          <w:tcPr>
            <w:tcW w:w="859" w:type="dxa"/>
            <w:vAlign w:val="center"/>
          </w:tcPr>
          <w:p w14:paraId="476A89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1106A3E" w14:textId="77777777" w:rsidTr="003B5486">
        <w:tc>
          <w:tcPr>
            <w:tcW w:w="885" w:type="dxa"/>
            <w:vAlign w:val="center"/>
          </w:tcPr>
          <w:p w14:paraId="7BDEE1F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w:t>
            </w:r>
          </w:p>
        </w:tc>
        <w:tc>
          <w:tcPr>
            <w:tcW w:w="845" w:type="dxa"/>
            <w:vAlign w:val="center"/>
          </w:tcPr>
          <w:p w14:paraId="309026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2514D3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B130D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4FBCD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3.40</w:t>
            </w:r>
          </w:p>
        </w:tc>
        <w:tc>
          <w:tcPr>
            <w:tcW w:w="939" w:type="dxa"/>
            <w:vAlign w:val="center"/>
          </w:tcPr>
          <w:p w14:paraId="1B1A2E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944" w:type="dxa"/>
            <w:vAlign w:val="center"/>
          </w:tcPr>
          <w:p w14:paraId="567FDB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-0.68</w:t>
            </w:r>
          </w:p>
        </w:tc>
        <w:tc>
          <w:tcPr>
            <w:tcW w:w="891" w:type="dxa"/>
            <w:vAlign w:val="center"/>
          </w:tcPr>
          <w:p w14:paraId="0218A6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6A7D5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859" w:type="dxa"/>
            <w:vAlign w:val="center"/>
          </w:tcPr>
          <w:p w14:paraId="6FB3D5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E9D657D" w14:textId="77777777" w:rsidTr="003B5486">
        <w:tc>
          <w:tcPr>
            <w:tcW w:w="885" w:type="dxa"/>
            <w:vAlign w:val="center"/>
          </w:tcPr>
          <w:p w14:paraId="4DC8B68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VWP2</w:t>
            </w:r>
          </w:p>
        </w:tc>
        <w:tc>
          <w:tcPr>
            <w:tcW w:w="845" w:type="dxa"/>
            <w:vAlign w:val="center"/>
          </w:tcPr>
          <w:p w14:paraId="280FF3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6FE2D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01BCF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5E943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2.49</w:t>
            </w:r>
          </w:p>
        </w:tc>
        <w:tc>
          <w:tcPr>
            <w:tcW w:w="939" w:type="dxa"/>
            <w:vAlign w:val="center"/>
          </w:tcPr>
          <w:p w14:paraId="00C8B8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1.27</w:t>
            </w:r>
          </w:p>
        </w:tc>
        <w:tc>
          <w:tcPr>
            <w:tcW w:w="944" w:type="dxa"/>
            <w:vAlign w:val="center"/>
          </w:tcPr>
          <w:p w14:paraId="2F69F8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91" w:type="dxa"/>
            <w:vAlign w:val="center"/>
          </w:tcPr>
          <w:p w14:paraId="0F766D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D50CC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859" w:type="dxa"/>
            <w:vAlign w:val="center"/>
          </w:tcPr>
          <w:p w14:paraId="2FCB8A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2424081" w14:textId="77777777" w:rsidTr="003B5486">
        <w:tc>
          <w:tcPr>
            <w:tcW w:w="885" w:type="dxa"/>
            <w:vAlign w:val="center"/>
          </w:tcPr>
          <w:p w14:paraId="674B398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VWP3</w:t>
            </w:r>
          </w:p>
        </w:tc>
        <w:tc>
          <w:tcPr>
            <w:tcW w:w="845" w:type="dxa"/>
            <w:vAlign w:val="center"/>
          </w:tcPr>
          <w:p w14:paraId="4BEA2C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71C9A3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F9A58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F3D64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2.78</w:t>
            </w:r>
          </w:p>
        </w:tc>
        <w:tc>
          <w:tcPr>
            <w:tcW w:w="939" w:type="dxa"/>
            <w:vAlign w:val="center"/>
          </w:tcPr>
          <w:p w14:paraId="31404F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0B461E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891" w:type="dxa"/>
            <w:vAlign w:val="center"/>
          </w:tcPr>
          <w:p w14:paraId="1BFA7C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37907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-0.55</w:t>
            </w:r>
          </w:p>
        </w:tc>
        <w:tc>
          <w:tcPr>
            <w:tcW w:w="859" w:type="dxa"/>
            <w:vAlign w:val="center"/>
          </w:tcPr>
          <w:p w14:paraId="052C5E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D5D594F" w14:textId="77777777" w:rsidTr="003B5486">
        <w:tc>
          <w:tcPr>
            <w:tcW w:w="885" w:type="dxa"/>
            <w:vAlign w:val="center"/>
          </w:tcPr>
          <w:p w14:paraId="12B1544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VWP4</w:t>
            </w:r>
          </w:p>
        </w:tc>
        <w:tc>
          <w:tcPr>
            <w:tcW w:w="845" w:type="dxa"/>
            <w:vAlign w:val="center"/>
          </w:tcPr>
          <w:p w14:paraId="37FA0E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F1358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4426D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37122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2.57</w:t>
            </w:r>
          </w:p>
        </w:tc>
        <w:tc>
          <w:tcPr>
            <w:tcW w:w="939" w:type="dxa"/>
            <w:vAlign w:val="center"/>
          </w:tcPr>
          <w:p w14:paraId="16415F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6505E1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891" w:type="dxa"/>
            <w:vAlign w:val="center"/>
          </w:tcPr>
          <w:p w14:paraId="2D9730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C1D05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59" w:type="dxa"/>
            <w:vAlign w:val="center"/>
          </w:tcPr>
          <w:p w14:paraId="2064FD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847F931" w14:textId="77777777" w:rsidTr="003B5486">
        <w:tc>
          <w:tcPr>
            <w:tcW w:w="885" w:type="dxa"/>
            <w:vAlign w:val="center"/>
          </w:tcPr>
          <w:p w14:paraId="61380EA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VWP5</w:t>
            </w:r>
          </w:p>
        </w:tc>
        <w:tc>
          <w:tcPr>
            <w:tcW w:w="845" w:type="dxa"/>
            <w:vAlign w:val="center"/>
          </w:tcPr>
          <w:p w14:paraId="3E9801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686C3E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BB560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831FD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939" w:type="dxa"/>
            <w:vAlign w:val="center"/>
          </w:tcPr>
          <w:p w14:paraId="50D250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944" w:type="dxa"/>
            <w:vAlign w:val="center"/>
          </w:tcPr>
          <w:p w14:paraId="2F6145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891" w:type="dxa"/>
            <w:vAlign w:val="center"/>
          </w:tcPr>
          <w:p w14:paraId="41B6A0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63233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c>
          <w:tcPr>
            <w:tcW w:w="859" w:type="dxa"/>
            <w:vAlign w:val="center"/>
          </w:tcPr>
          <w:p w14:paraId="1EF06B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EB62401" w14:textId="77777777" w:rsidTr="003B5486">
        <w:tc>
          <w:tcPr>
            <w:tcW w:w="885" w:type="dxa"/>
            <w:vAlign w:val="center"/>
          </w:tcPr>
          <w:p w14:paraId="4C2F7F0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VWP6</w:t>
            </w:r>
          </w:p>
        </w:tc>
        <w:tc>
          <w:tcPr>
            <w:tcW w:w="845" w:type="dxa"/>
            <w:vAlign w:val="center"/>
          </w:tcPr>
          <w:p w14:paraId="552817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7E20A7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5C5E1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36A4C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939" w:type="dxa"/>
            <w:vAlign w:val="center"/>
          </w:tcPr>
          <w:p w14:paraId="300449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c>
          <w:tcPr>
            <w:tcW w:w="944" w:type="dxa"/>
            <w:vAlign w:val="center"/>
          </w:tcPr>
          <w:p w14:paraId="2F78E6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891" w:type="dxa"/>
            <w:vAlign w:val="center"/>
          </w:tcPr>
          <w:p w14:paraId="4C2D70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64AED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859" w:type="dxa"/>
            <w:vAlign w:val="center"/>
          </w:tcPr>
          <w:p w14:paraId="0394CE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FAB5832" w14:textId="77777777" w:rsidTr="003B5486">
        <w:tc>
          <w:tcPr>
            <w:tcW w:w="885" w:type="dxa"/>
            <w:vAlign w:val="center"/>
          </w:tcPr>
          <w:p w14:paraId="2C90392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VWP7</w:t>
            </w:r>
          </w:p>
        </w:tc>
        <w:tc>
          <w:tcPr>
            <w:tcW w:w="845" w:type="dxa"/>
            <w:vAlign w:val="center"/>
          </w:tcPr>
          <w:p w14:paraId="33ED00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2644B9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598B4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E547A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939" w:type="dxa"/>
            <w:vAlign w:val="center"/>
          </w:tcPr>
          <w:p w14:paraId="49DBB2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0C494D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91" w:type="dxa"/>
            <w:vAlign w:val="center"/>
          </w:tcPr>
          <w:p w14:paraId="732DE4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2ADE3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59" w:type="dxa"/>
            <w:vAlign w:val="center"/>
          </w:tcPr>
          <w:p w14:paraId="23FBD8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CB169FA" w14:textId="77777777" w:rsidTr="003B5486">
        <w:tc>
          <w:tcPr>
            <w:tcW w:w="885" w:type="dxa"/>
            <w:vAlign w:val="center"/>
          </w:tcPr>
          <w:p w14:paraId="3B63344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VWP8</w:t>
            </w:r>
          </w:p>
        </w:tc>
        <w:tc>
          <w:tcPr>
            <w:tcW w:w="845" w:type="dxa"/>
            <w:vAlign w:val="center"/>
          </w:tcPr>
          <w:p w14:paraId="67D977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1CD90F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E25A8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5C1BF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939" w:type="dxa"/>
            <w:vAlign w:val="center"/>
          </w:tcPr>
          <w:p w14:paraId="44EF0E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1.18</w:t>
            </w:r>
          </w:p>
        </w:tc>
        <w:tc>
          <w:tcPr>
            <w:tcW w:w="944" w:type="dxa"/>
            <w:vAlign w:val="center"/>
          </w:tcPr>
          <w:p w14:paraId="220DEF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91" w:type="dxa"/>
            <w:vAlign w:val="center"/>
          </w:tcPr>
          <w:p w14:paraId="0B9E1E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C15CB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859" w:type="dxa"/>
            <w:vAlign w:val="center"/>
          </w:tcPr>
          <w:p w14:paraId="7B3A75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323590D" w14:textId="77777777" w:rsidTr="003B5486">
        <w:tc>
          <w:tcPr>
            <w:tcW w:w="885" w:type="dxa"/>
            <w:vAlign w:val="center"/>
          </w:tcPr>
          <w:p w14:paraId="0D3B5F2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VWP9</w:t>
            </w:r>
          </w:p>
        </w:tc>
        <w:tc>
          <w:tcPr>
            <w:tcW w:w="845" w:type="dxa"/>
            <w:vAlign w:val="center"/>
          </w:tcPr>
          <w:p w14:paraId="39BF4C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7AF49C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51F93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759F9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939" w:type="dxa"/>
            <w:vAlign w:val="center"/>
          </w:tcPr>
          <w:p w14:paraId="51D796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1.23</w:t>
            </w:r>
          </w:p>
        </w:tc>
        <w:tc>
          <w:tcPr>
            <w:tcW w:w="944" w:type="dxa"/>
            <w:vAlign w:val="center"/>
          </w:tcPr>
          <w:p w14:paraId="56B6A7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-0.18</w:t>
            </w:r>
          </w:p>
        </w:tc>
        <w:tc>
          <w:tcPr>
            <w:tcW w:w="891" w:type="dxa"/>
            <w:vAlign w:val="center"/>
          </w:tcPr>
          <w:p w14:paraId="384716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A26E4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859" w:type="dxa"/>
            <w:vAlign w:val="center"/>
          </w:tcPr>
          <w:p w14:paraId="610B21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DF8C3CF" w14:textId="77777777" w:rsidTr="003B5486">
        <w:tc>
          <w:tcPr>
            <w:tcW w:w="885" w:type="dxa"/>
            <w:vAlign w:val="center"/>
          </w:tcPr>
          <w:p w14:paraId="7E1C0A6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VWP10</w:t>
            </w:r>
          </w:p>
        </w:tc>
        <w:tc>
          <w:tcPr>
            <w:tcW w:w="845" w:type="dxa"/>
            <w:vAlign w:val="center"/>
          </w:tcPr>
          <w:p w14:paraId="14C82A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5E247D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8F80D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F19AC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3.23</w:t>
            </w:r>
          </w:p>
        </w:tc>
        <w:tc>
          <w:tcPr>
            <w:tcW w:w="939" w:type="dxa"/>
            <w:vAlign w:val="center"/>
          </w:tcPr>
          <w:p w14:paraId="370233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c>
          <w:tcPr>
            <w:tcW w:w="944" w:type="dxa"/>
            <w:vAlign w:val="center"/>
          </w:tcPr>
          <w:p w14:paraId="6A7DA5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c>
          <w:tcPr>
            <w:tcW w:w="891" w:type="dxa"/>
            <w:vAlign w:val="center"/>
          </w:tcPr>
          <w:p w14:paraId="7150E1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6DE6F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-0.83</w:t>
            </w:r>
          </w:p>
        </w:tc>
        <w:tc>
          <w:tcPr>
            <w:tcW w:w="859" w:type="dxa"/>
            <w:vAlign w:val="center"/>
          </w:tcPr>
          <w:p w14:paraId="5E76C8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5ACA44F" w14:textId="77777777" w:rsidTr="003B5486">
        <w:tc>
          <w:tcPr>
            <w:tcW w:w="885" w:type="dxa"/>
            <w:vAlign w:val="center"/>
          </w:tcPr>
          <w:p w14:paraId="1B7C95F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VWP11</w:t>
            </w:r>
          </w:p>
        </w:tc>
        <w:tc>
          <w:tcPr>
            <w:tcW w:w="845" w:type="dxa"/>
            <w:vAlign w:val="center"/>
          </w:tcPr>
          <w:p w14:paraId="159226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22E1D3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C7C83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FBAE0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939" w:type="dxa"/>
            <w:vAlign w:val="center"/>
          </w:tcPr>
          <w:p w14:paraId="1F53F8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944" w:type="dxa"/>
            <w:vAlign w:val="center"/>
          </w:tcPr>
          <w:p w14:paraId="7369AD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-0.32</w:t>
            </w:r>
          </w:p>
        </w:tc>
        <w:tc>
          <w:tcPr>
            <w:tcW w:w="891" w:type="dxa"/>
            <w:vAlign w:val="center"/>
          </w:tcPr>
          <w:p w14:paraId="382317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53B7F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-0.70</w:t>
            </w:r>
          </w:p>
        </w:tc>
        <w:tc>
          <w:tcPr>
            <w:tcW w:w="859" w:type="dxa"/>
            <w:vAlign w:val="center"/>
          </w:tcPr>
          <w:p w14:paraId="468D4C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ED0AF21" w14:textId="77777777" w:rsidTr="003B5486">
        <w:tc>
          <w:tcPr>
            <w:tcW w:w="885" w:type="dxa"/>
            <w:vAlign w:val="center"/>
          </w:tcPr>
          <w:p w14:paraId="3B284D0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VWP12</w:t>
            </w:r>
          </w:p>
        </w:tc>
        <w:tc>
          <w:tcPr>
            <w:tcW w:w="845" w:type="dxa"/>
            <w:vAlign w:val="center"/>
          </w:tcPr>
          <w:p w14:paraId="141F05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516FC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DEFC9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306DA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939" w:type="dxa"/>
            <w:vAlign w:val="center"/>
          </w:tcPr>
          <w:p w14:paraId="48E849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c>
          <w:tcPr>
            <w:tcW w:w="944" w:type="dxa"/>
            <w:vAlign w:val="center"/>
          </w:tcPr>
          <w:p w14:paraId="124CAB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91" w:type="dxa"/>
            <w:vAlign w:val="center"/>
          </w:tcPr>
          <w:p w14:paraId="224FB7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72DBE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60ECFD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7338CD6" w14:textId="77777777" w:rsidTr="003B5486">
        <w:tc>
          <w:tcPr>
            <w:tcW w:w="885" w:type="dxa"/>
            <w:vAlign w:val="center"/>
          </w:tcPr>
          <w:p w14:paraId="26DB7E2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VWP13</w:t>
            </w:r>
          </w:p>
        </w:tc>
        <w:tc>
          <w:tcPr>
            <w:tcW w:w="845" w:type="dxa"/>
            <w:vAlign w:val="center"/>
          </w:tcPr>
          <w:p w14:paraId="4D8346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403C4B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42914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6FFFE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939" w:type="dxa"/>
            <w:vAlign w:val="center"/>
          </w:tcPr>
          <w:p w14:paraId="75C885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c>
          <w:tcPr>
            <w:tcW w:w="944" w:type="dxa"/>
            <w:vAlign w:val="center"/>
          </w:tcPr>
          <w:p w14:paraId="28B78E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891" w:type="dxa"/>
            <w:vAlign w:val="center"/>
          </w:tcPr>
          <w:p w14:paraId="24DF7A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C772C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c>
          <w:tcPr>
            <w:tcW w:w="859" w:type="dxa"/>
            <w:vAlign w:val="center"/>
          </w:tcPr>
          <w:p w14:paraId="72E646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5F6B301" w14:textId="77777777" w:rsidTr="003B5486">
        <w:tc>
          <w:tcPr>
            <w:tcW w:w="885" w:type="dxa"/>
            <w:vAlign w:val="center"/>
          </w:tcPr>
          <w:p w14:paraId="5FAEA39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VWP14</w:t>
            </w:r>
          </w:p>
        </w:tc>
        <w:tc>
          <w:tcPr>
            <w:tcW w:w="845" w:type="dxa"/>
            <w:vAlign w:val="center"/>
          </w:tcPr>
          <w:p w14:paraId="49C7AE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0C8CB6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D3C28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7DE61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939" w:type="dxa"/>
            <w:vAlign w:val="center"/>
          </w:tcPr>
          <w:p w14:paraId="0944B2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2B8E4B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0CF94C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2FA22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60FDDC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1A1FE8D" w14:textId="77777777" w:rsidTr="003B5486">
        <w:tc>
          <w:tcPr>
            <w:tcW w:w="885" w:type="dxa"/>
            <w:vAlign w:val="center"/>
          </w:tcPr>
          <w:p w14:paraId="643DF29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w:t>
            </w:r>
          </w:p>
        </w:tc>
        <w:tc>
          <w:tcPr>
            <w:tcW w:w="845" w:type="dxa"/>
            <w:vAlign w:val="center"/>
          </w:tcPr>
          <w:p w14:paraId="3790AB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4401D8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5E5D7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96C1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939" w:type="dxa"/>
            <w:vAlign w:val="center"/>
          </w:tcPr>
          <w:p w14:paraId="0B90F0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944" w:type="dxa"/>
            <w:vAlign w:val="center"/>
          </w:tcPr>
          <w:p w14:paraId="527591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03690E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06A51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c>
          <w:tcPr>
            <w:tcW w:w="859" w:type="dxa"/>
            <w:vAlign w:val="center"/>
          </w:tcPr>
          <w:p w14:paraId="39CE12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790DD45" w14:textId="77777777" w:rsidTr="003B5486">
        <w:tc>
          <w:tcPr>
            <w:tcW w:w="885" w:type="dxa"/>
            <w:vAlign w:val="center"/>
          </w:tcPr>
          <w:p w14:paraId="2EAF3F7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w:t>
            </w:r>
          </w:p>
        </w:tc>
        <w:tc>
          <w:tcPr>
            <w:tcW w:w="845" w:type="dxa"/>
            <w:vAlign w:val="center"/>
          </w:tcPr>
          <w:p w14:paraId="142377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2FA0C2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55B6C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F6432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939" w:type="dxa"/>
            <w:vAlign w:val="center"/>
          </w:tcPr>
          <w:p w14:paraId="21DF73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14699F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891" w:type="dxa"/>
            <w:vAlign w:val="center"/>
          </w:tcPr>
          <w:p w14:paraId="331B44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81955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859" w:type="dxa"/>
            <w:vAlign w:val="center"/>
          </w:tcPr>
          <w:p w14:paraId="3EFAD3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C7D2790" w14:textId="77777777" w:rsidTr="003B5486">
        <w:tc>
          <w:tcPr>
            <w:tcW w:w="885" w:type="dxa"/>
            <w:vAlign w:val="center"/>
          </w:tcPr>
          <w:p w14:paraId="4B857F0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RP2</w:t>
            </w:r>
          </w:p>
        </w:tc>
        <w:tc>
          <w:tcPr>
            <w:tcW w:w="845" w:type="dxa"/>
            <w:vAlign w:val="center"/>
          </w:tcPr>
          <w:p w14:paraId="5B6602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736DAC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1832A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01262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939" w:type="dxa"/>
            <w:vAlign w:val="center"/>
          </w:tcPr>
          <w:p w14:paraId="4C4DF6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65F37A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91" w:type="dxa"/>
            <w:vAlign w:val="center"/>
          </w:tcPr>
          <w:p w14:paraId="48ABB4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E2D39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859" w:type="dxa"/>
            <w:vAlign w:val="center"/>
          </w:tcPr>
          <w:p w14:paraId="2806EB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BF80E40" w14:textId="77777777" w:rsidTr="003B5486">
        <w:tc>
          <w:tcPr>
            <w:tcW w:w="885" w:type="dxa"/>
            <w:vAlign w:val="center"/>
          </w:tcPr>
          <w:p w14:paraId="5863833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RP3</w:t>
            </w:r>
          </w:p>
        </w:tc>
        <w:tc>
          <w:tcPr>
            <w:tcW w:w="845" w:type="dxa"/>
            <w:vAlign w:val="center"/>
          </w:tcPr>
          <w:p w14:paraId="7CAD04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149B65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892E5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68C89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939" w:type="dxa"/>
            <w:vAlign w:val="center"/>
          </w:tcPr>
          <w:p w14:paraId="7880CE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c>
          <w:tcPr>
            <w:tcW w:w="944" w:type="dxa"/>
            <w:vAlign w:val="center"/>
          </w:tcPr>
          <w:p w14:paraId="007FBF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891" w:type="dxa"/>
            <w:vAlign w:val="center"/>
          </w:tcPr>
          <w:p w14:paraId="3FEDDC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322FB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c>
          <w:tcPr>
            <w:tcW w:w="859" w:type="dxa"/>
            <w:vAlign w:val="center"/>
          </w:tcPr>
          <w:p w14:paraId="100B48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301A99F" w14:textId="77777777" w:rsidTr="003B5486">
        <w:tc>
          <w:tcPr>
            <w:tcW w:w="885" w:type="dxa"/>
            <w:vAlign w:val="center"/>
          </w:tcPr>
          <w:p w14:paraId="1647624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RP4</w:t>
            </w:r>
          </w:p>
        </w:tc>
        <w:tc>
          <w:tcPr>
            <w:tcW w:w="845" w:type="dxa"/>
            <w:vAlign w:val="center"/>
          </w:tcPr>
          <w:p w14:paraId="4B92EE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5ED580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FB403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7F6C7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939" w:type="dxa"/>
            <w:vAlign w:val="center"/>
          </w:tcPr>
          <w:p w14:paraId="514896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68B85D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891" w:type="dxa"/>
            <w:vAlign w:val="center"/>
          </w:tcPr>
          <w:p w14:paraId="03F091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F1ACD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-0.69</w:t>
            </w:r>
          </w:p>
        </w:tc>
        <w:tc>
          <w:tcPr>
            <w:tcW w:w="859" w:type="dxa"/>
            <w:vAlign w:val="center"/>
          </w:tcPr>
          <w:p w14:paraId="023915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BA40A04" w14:textId="77777777" w:rsidTr="003B5486">
        <w:tc>
          <w:tcPr>
            <w:tcW w:w="885" w:type="dxa"/>
            <w:vAlign w:val="center"/>
          </w:tcPr>
          <w:p w14:paraId="51D52AC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RP5</w:t>
            </w:r>
          </w:p>
        </w:tc>
        <w:tc>
          <w:tcPr>
            <w:tcW w:w="845" w:type="dxa"/>
            <w:vAlign w:val="center"/>
          </w:tcPr>
          <w:p w14:paraId="79D7FC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E0BEC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A8716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B7B3E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939" w:type="dxa"/>
            <w:vAlign w:val="center"/>
          </w:tcPr>
          <w:p w14:paraId="122540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3A2461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891" w:type="dxa"/>
            <w:vAlign w:val="center"/>
          </w:tcPr>
          <w:p w14:paraId="20BEFF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A50D1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0.55</w:t>
            </w:r>
          </w:p>
        </w:tc>
        <w:tc>
          <w:tcPr>
            <w:tcW w:w="859" w:type="dxa"/>
            <w:vAlign w:val="center"/>
          </w:tcPr>
          <w:p w14:paraId="69876E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DBECA6A" w14:textId="77777777" w:rsidTr="003B5486">
        <w:tc>
          <w:tcPr>
            <w:tcW w:w="885" w:type="dxa"/>
            <w:vAlign w:val="center"/>
          </w:tcPr>
          <w:p w14:paraId="2F20FAB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RP6</w:t>
            </w:r>
          </w:p>
        </w:tc>
        <w:tc>
          <w:tcPr>
            <w:tcW w:w="845" w:type="dxa"/>
            <w:vAlign w:val="center"/>
          </w:tcPr>
          <w:p w14:paraId="1F3E3D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31D6CC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87306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FBD35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4.12</w:t>
            </w:r>
          </w:p>
        </w:tc>
        <w:tc>
          <w:tcPr>
            <w:tcW w:w="939" w:type="dxa"/>
            <w:vAlign w:val="center"/>
          </w:tcPr>
          <w:p w14:paraId="68CAF7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4D8B95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-1.42</w:t>
            </w:r>
          </w:p>
        </w:tc>
        <w:tc>
          <w:tcPr>
            <w:tcW w:w="891" w:type="dxa"/>
            <w:vAlign w:val="center"/>
          </w:tcPr>
          <w:p w14:paraId="7EFC45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F10C6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1.78</w:t>
            </w:r>
          </w:p>
        </w:tc>
        <w:tc>
          <w:tcPr>
            <w:tcW w:w="859" w:type="dxa"/>
            <w:vAlign w:val="center"/>
          </w:tcPr>
          <w:p w14:paraId="3196B5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5C62D51" w14:textId="77777777" w:rsidTr="003B5486">
        <w:tc>
          <w:tcPr>
            <w:tcW w:w="885" w:type="dxa"/>
            <w:vAlign w:val="center"/>
          </w:tcPr>
          <w:p w14:paraId="1B68449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RP7</w:t>
            </w:r>
          </w:p>
        </w:tc>
        <w:tc>
          <w:tcPr>
            <w:tcW w:w="845" w:type="dxa"/>
            <w:vAlign w:val="center"/>
          </w:tcPr>
          <w:p w14:paraId="0A1B0C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4AACE9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6948C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BE442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4.22</w:t>
            </w:r>
          </w:p>
        </w:tc>
        <w:tc>
          <w:tcPr>
            <w:tcW w:w="939" w:type="dxa"/>
            <w:vAlign w:val="center"/>
          </w:tcPr>
          <w:p w14:paraId="2EE18B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c>
          <w:tcPr>
            <w:tcW w:w="944" w:type="dxa"/>
            <w:vAlign w:val="center"/>
          </w:tcPr>
          <w:p w14:paraId="1DA060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-1.63</w:t>
            </w:r>
          </w:p>
        </w:tc>
        <w:tc>
          <w:tcPr>
            <w:tcW w:w="891" w:type="dxa"/>
            <w:vAlign w:val="center"/>
          </w:tcPr>
          <w:p w14:paraId="2CAA40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A79D6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2.60</w:t>
            </w:r>
          </w:p>
        </w:tc>
        <w:tc>
          <w:tcPr>
            <w:tcW w:w="859" w:type="dxa"/>
            <w:vAlign w:val="center"/>
          </w:tcPr>
          <w:p w14:paraId="4F178E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1B02A46" w14:textId="77777777" w:rsidTr="003B5486">
        <w:tc>
          <w:tcPr>
            <w:tcW w:w="885" w:type="dxa"/>
            <w:vAlign w:val="center"/>
          </w:tcPr>
          <w:p w14:paraId="2EC55CE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RP8</w:t>
            </w:r>
          </w:p>
        </w:tc>
        <w:tc>
          <w:tcPr>
            <w:tcW w:w="845" w:type="dxa"/>
            <w:vAlign w:val="center"/>
          </w:tcPr>
          <w:p w14:paraId="648B14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46AC4C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B00EC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D8FF8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4.10</w:t>
            </w:r>
          </w:p>
        </w:tc>
        <w:tc>
          <w:tcPr>
            <w:tcW w:w="939" w:type="dxa"/>
            <w:vAlign w:val="center"/>
          </w:tcPr>
          <w:p w14:paraId="272C04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5EBA82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c>
          <w:tcPr>
            <w:tcW w:w="891" w:type="dxa"/>
            <w:vAlign w:val="center"/>
          </w:tcPr>
          <w:p w14:paraId="34325B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ADF49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1.49</w:t>
            </w:r>
          </w:p>
        </w:tc>
        <w:tc>
          <w:tcPr>
            <w:tcW w:w="859" w:type="dxa"/>
            <w:vAlign w:val="center"/>
          </w:tcPr>
          <w:p w14:paraId="3307EA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174EE65" w14:textId="77777777" w:rsidTr="003B5486">
        <w:tc>
          <w:tcPr>
            <w:tcW w:w="885" w:type="dxa"/>
            <w:vAlign w:val="center"/>
          </w:tcPr>
          <w:p w14:paraId="6E529C6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RP9</w:t>
            </w:r>
          </w:p>
        </w:tc>
        <w:tc>
          <w:tcPr>
            <w:tcW w:w="845" w:type="dxa"/>
            <w:vAlign w:val="center"/>
          </w:tcPr>
          <w:p w14:paraId="724778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3ADF34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FEC4A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6F468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939" w:type="dxa"/>
            <w:vAlign w:val="center"/>
          </w:tcPr>
          <w:p w14:paraId="2955E9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944" w:type="dxa"/>
            <w:vAlign w:val="center"/>
          </w:tcPr>
          <w:p w14:paraId="5FF8E6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c>
          <w:tcPr>
            <w:tcW w:w="891" w:type="dxa"/>
            <w:vAlign w:val="center"/>
          </w:tcPr>
          <w:p w14:paraId="6AB641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CF057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c>
          <w:tcPr>
            <w:tcW w:w="859" w:type="dxa"/>
            <w:vAlign w:val="center"/>
          </w:tcPr>
          <w:p w14:paraId="5B4F6F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DF2C0FA" w14:textId="77777777" w:rsidTr="003B5486">
        <w:tc>
          <w:tcPr>
            <w:tcW w:w="885" w:type="dxa"/>
            <w:vAlign w:val="center"/>
          </w:tcPr>
          <w:p w14:paraId="4DEA665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RP10</w:t>
            </w:r>
          </w:p>
        </w:tc>
        <w:tc>
          <w:tcPr>
            <w:tcW w:w="845" w:type="dxa"/>
            <w:vAlign w:val="center"/>
          </w:tcPr>
          <w:p w14:paraId="346412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7E1975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1BCA7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6766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3.65</w:t>
            </w:r>
          </w:p>
        </w:tc>
        <w:tc>
          <w:tcPr>
            <w:tcW w:w="939" w:type="dxa"/>
            <w:vAlign w:val="center"/>
          </w:tcPr>
          <w:p w14:paraId="72DA23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357EC8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-0.50</w:t>
            </w:r>
          </w:p>
        </w:tc>
        <w:tc>
          <w:tcPr>
            <w:tcW w:w="891" w:type="dxa"/>
            <w:vAlign w:val="center"/>
          </w:tcPr>
          <w:p w14:paraId="5BD4C0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BE4F2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-0.49</w:t>
            </w:r>
          </w:p>
        </w:tc>
        <w:tc>
          <w:tcPr>
            <w:tcW w:w="859" w:type="dxa"/>
            <w:vAlign w:val="center"/>
          </w:tcPr>
          <w:p w14:paraId="692A7C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7C739F1" w14:textId="77777777" w:rsidTr="003B5486">
        <w:tc>
          <w:tcPr>
            <w:tcW w:w="885" w:type="dxa"/>
            <w:vAlign w:val="center"/>
          </w:tcPr>
          <w:p w14:paraId="04E1F69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RP11</w:t>
            </w:r>
          </w:p>
        </w:tc>
        <w:tc>
          <w:tcPr>
            <w:tcW w:w="845" w:type="dxa"/>
            <w:vAlign w:val="center"/>
          </w:tcPr>
          <w:p w14:paraId="6BBDA2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4FF74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72990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09603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3.97</w:t>
            </w:r>
          </w:p>
        </w:tc>
        <w:tc>
          <w:tcPr>
            <w:tcW w:w="939" w:type="dxa"/>
            <w:vAlign w:val="center"/>
          </w:tcPr>
          <w:p w14:paraId="2602F3E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c>
          <w:tcPr>
            <w:tcW w:w="944" w:type="dxa"/>
            <w:vAlign w:val="center"/>
          </w:tcPr>
          <w:p w14:paraId="5A5413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-1.20</w:t>
            </w:r>
          </w:p>
        </w:tc>
        <w:tc>
          <w:tcPr>
            <w:tcW w:w="891" w:type="dxa"/>
            <w:vAlign w:val="center"/>
          </w:tcPr>
          <w:p w14:paraId="667178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A24B7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859" w:type="dxa"/>
            <w:vAlign w:val="center"/>
          </w:tcPr>
          <w:p w14:paraId="5DB299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2579F53" w14:textId="77777777" w:rsidTr="003B5486">
        <w:tc>
          <w:tcPr>
            <w:tcW w:w="885" w:type="dxa"/>
            <w:vAlign w:val="center"/>
          </w:tcPr>
          <w:p w14:paraId="2106922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RP12</w:t>
            </w:r>
          </w:p>
        </w:tc>
        <w:tc>
          <w:tcPr>
            <w:tcW w:w="845" w:type="dxa"/>
            <w:vAlign w:val="center"/>
          </w:tcPr>
          <w:p w14:paraId="142237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7FAEF5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61312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4BCD5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3.92</w:t>
            </w:r>
          </w:p>
        </w:tc>
        <w:tc>
          <w:tcPr>
            <w:tcW w:w="939" w:type="dxa"/>
            <w:vAlign w:val="center"/>
          </w:tcPr>
          <w:p w14:paraId="6B5144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4" w:type="dxa"/>
            <w:vAlign w:val="center"/>
          </w:tcPr>
          <w:p w14:paraId="27B01B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91" w:type="dxa"/>
            <w:vAlign w:val="center"/>
          </w:tcPr>
          <w:p w14:paraId="2A1FCC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10720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c>
          <w:tcPr>
            <w:tcW w:w="859" w:type="dxa"/>
            <w:vAlign w:val="center"/>
          </w:tcPr>
          <w:p w14:paraId="298084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786F467" w14:textId="77777777" w:rsidTr="003B5486">
        <w:tc>
          <w:tcPr>
            <w:tcW w:w="885" w:type="dxa"/>
            <w:vAlign w:val="center"/>
          </w:tcPr>
          <w:p w14:paraId="3688058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RP13</w:t>
            </w:r>
          </w:p>
        </w:tc>
        <w:tc>
          <w:tcPr>
            <w:tcW w:w="845" w:type="dxa"/>
            <w:vAlign w:val="center"/>
          </w:tcPr>
          <w:p w14:paraId="1B47CA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2C3EE9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48698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3A8CFB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3.98</w:t>
            </w:r>
          </w:p>
        </w:tc>
        <w:tc>
          <w:tcPr>
            <w:tcW w:w="939" w:type="dxa"/>
            <w:vAlign w:val="center"/>
          </w:tcPr>
          <w:p w14:paraId="4D8C61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1D859D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891" w:type="dxa"/>
            <w:vAlign w:val="center"/>
          </w:tcPr>
          <w:p w14:paraId="29FC1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6957C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c>
          <w:tcPr>
            <w:tcW w:w="859" w:type="dxa"/>
            <w:vAlign w:val="center"/>
          </w:tcPr>
          <w:p w14:paraId="6FD19D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F7B1098" w14:textId="77777777" w:rsidTr="003B5486">
        <w:tc>
          <w:tcPr>
            <w:tcW w:w="885" w:type="dxa"/>
            <w:vAlign w:val="center"/>
          </w:tcPr>
          <w:p w14:paraId="6F5AEA6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RP14</w:t>
            </w:r>
          </w:p>
        </w:tc>
        <w:tc>
          <w:tcPr>
            <w:tcW w:w="845" w:type="dxa"/>
            <w:vAlign w:val="center"/>
          </w:tcPr>
          <w:p w14:paraId="0DDF93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552CD7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46186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C6597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4.03</w:t>
            </w:r>
          </w:p>
        </w:tc>
        <w:tc>
          <w:tcPr>
            <w:tcW w:w="939" w:type="dxa"/>
            <w:vAlign w:val="center"/>
          </w:tcPr>
          <w:p w14:paraId="007424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944" w:type="dxa"/>
            <w:vAlign w:val="center"/>
          </w:tcPr>
          <w:p w14:paraId="02AF4D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891" w:type="dxa"/>
            <w:vAlign w:val="center"/>
          </w:tcPr>
          <w:p w14:paraId="1A4956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0A919A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1.34</w:t>
            </w:r>
          </w:p>
        </w:tc>
        <w:tc>
          <w:tcPr>
            <w:tcW w:w="859" w:type="dxa"/>
            <w:vAlign w:val="center"/>
          </w:tcPr>
          <w:p w14:paraId="0ED228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B7AEEAD" w14:textId="77777777" w:rsidTr="003B5486">
        <w:tc>
          <w:tcPr>
            <w:tcW w:w="885" w:type="dxa"/>
            <w:vAlign w:val="center"/>
          </w:tcPr>
          <w:p w14:paraId="1F386C8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RP15</w:t>
            </w:r>
          </w:p>
        </w:tc>
        <w:tc>
          <w:tcPr>
            <w:tcW w:w="845" w:type="dxa"/>
            <w:vAlign w:val="center"/>
          </w:tcPr>
          <w:p w14:paraId="52A835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1A2A5E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66F34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3442F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3.91</w:t>
            </w:r>
          </w:p>
        </w:tc>
        <w:tc>
          <w:tcPr>
            <w:tcW w:w="939" w:type="dxa"/>
            <w:vAlign w:val="center"/>
          </w:tcPr>
          <w:p w14:paraId="79CE08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944" w:type="dxa"/>
            <w:vAlign w:val="center"/>
          </w:tcPr>
          <w:p w14:paraId="703C01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c>
          <w:tcPr>
            <w:tcW w:w="891" w:type="dxa"/>
            <w:vAlign w:val="center"/>
          </w:tcPr>
          <w:p w14:paraId="491122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16739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59" w:type="dxa"/>
            <w:vAlign w:val="center"/>
          </w:tcPr>
          <w:p w14:paraId="601548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9C28094" w14:textId="77777777" w:rsidTr="003B5486">
        <w:tc>
          <w:tcPr>
            <w:tcW w:w="885" w:type="dxa"/>
            <w:vAlign w:val="center"/>
          </w:tcPr>
          <w:p w14:paraId="26231A4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RP16</w:t>
            </w:r>
          </w:p>
        </w:tc>
        <w:tc>
          <w:tcPr>
            <w:tcW w:w="845" w:type="dxa"/>
            <w:vAlign w:val="center"/>
          </w:tcPr>
          <w:p w14:paraId="2BB498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4A5D47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7831D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C2184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3.86</w:t>
            </w:r>
          </w:p>
        </w:tc>
        <w:tc>
          <w:tcPr>
            <w:tcW w:w="939" w:type="dxa"/>
            <w:vAlign w:val="center"/>
          </w:tcPr>
          <w:p w14:paraId="2CD26D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944" w:type="dxa"/>
            <w:vAlign w:val="center"/>
          </w:tcPr>
          <w:p w14:paraId="1FCE6E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-0.70</w:t>
            </w:r>
          </w:p>
        </w:tc>
        <w:tc>
          <w:tcPr>
            <w:tcW w:w="891" w:type="dxa"/>
            <w:vAlign w:val="center"/>
          </w:tcPr>
          <w:p w14:paraId="4D764C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E4ED3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859" w:type="dxa"/>
            <w:vAlign w:val="center"/>
          </w:tcPr>
          <w:p w14:paraId="412028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6A15BFA" w14:textId="77777777" w:rsidTr="003B5486">
        <w:tc>
          <w:tcPr>
            <w:tcW w:w="885" w:type="dxa"/>
            <w:vAlign w:val="center"/>
          </w:tcPr>
          <w:p w14:paraId="05CB5F1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RP17</w:t>
            </w:r>
          </w:p>
        </w:tc>
        <w:tc>
          <w:tcPr>
            <w:tcW w:w="845" w:type="dxa"/>
            <w:vAlign w:val="center"/>
          </w:tcPr>
          <w:p w14:paraId="660AFC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4E96AD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05937B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6063E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3.80</w:t>
            </w:r>
          </w:p>
        </w:tc>
        <w:tc>
          <w:tcPr>
            <w:tcW w:w="939" w:type="dxa"/>
            <w:vAlign w:val="center"/>
          </w:tcPr>
          <w:p w14:paraId="389CEF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778E22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c>
          <w:tcPr>
            <w:tcW w:w="891" w:type="dxa"/>
            <w:vAlign w:val="center"/>
          </w:tcPr>
          <w:p w14:paraId="22DAB2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B0734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859" w:type="dxa"/>
            <w:vAlign w:val="center"/>
          </w:tcPr>
          <w:p w14:paraId="1E7056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3478356" w14:textId="77777777" w:rsidTr="003B5486">
        <w:tc>
          <w:tcPr>
            <w:tcW w:w="885" w:type="dxa"/>
            <w:vAlign w:val="center"/>
          </w:tcPr>
          <w:p w14:paraId="0752755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RP18</w:t>
            </w:r>
          </w:p>
        </w:tc>
        <w:tc>
          <w:tcPr>
            <w:tcW w:w="845" w:type="dxa"/>
            <w:vAlign w:val="center"/>
          </w:tcPr>
          <w:p w14:paraId="016B62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0FB5F7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2F6AC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C4493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3.77</w:t>
            </w:r>
          </w:p>
        </w:tc>
        <w:tc>
          <w:tcPr>
            <w:tcW w:w="939" w:type="dxa"/>
            <w:vAlign w:val="center"/>
          </w:tcPr>
          <w:p w14:paraId="4DE764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c>
          <w:tcPr>
            <w:tcW w:w="944" w:type="dxa"/>
            <w:vAlign w:val="center"/>
          </w:tcPr>
          <w:p w14:paraId="4108AA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c>
          <w:tcPr>
            <w:tcW w:w="891" w:type="dxa"/>
            <w:vAlign w:val="center"/>
          </w:tcPr>
          <w:p w14:paraId="048846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AFAEC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859" w:type="dxa"/>
            <w:vAlign w:val="center"/>
          </w:tcPr>
          <w:p w14:paraId="0748EA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2124AFE" w14:textId="77777777" w:rsidTr="003B5486">
        <w:tc>
          <w:tcPr>
            <w:tcW w:w="885" w:type="dxa"/>
            <w:vAlign w:val="center"/>
          </w:tcPr>
          <w:p w14:paraId="39863DD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w:t>
            </w:r>
          </w:p>
        </w:tc>
        <w:tc>
          <w:tcPr>
            <w:tcW w:w="845" w:type="dxa"/>
            <w:vAlign w:val="center"/>
          </w:tcPr>
          <w:p w14:paraId="6DFEC1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99</w:t>
            </w:r>
          </w:p>
        </w:tc>
        <w:tc>
          <w:tcPr>
            <w:tcW w:w="948" w:type="dxa"/>
            <w:vAlign w:val="center"/>
          </w:tcPr>
          <w:p w14:paraId="615A38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D433B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7598A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3.71</w:t>
            </w:r>
          </w:p>
        </w:tc>
        <w:tc>
          <w:tcPr>
            <w:tcW w:w="939" w:type="dxa"/>
            <w:vAlign w:val="center"/>
          </w:tcPr>
          <w:p w14:paraId="411999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0.69</w:t>
            </w:r>
          </w:p>
        </w:tc>
        <w:tc>
          <w:tcPr>
            <w:tcW w:w="944" w:type="dxa"/>
            <w:vAlign w:val="center"/>
          </w:tcPr>
          <w:p w14:paraId="0E1860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891" w:type="dxa"/>
            <w:vAlign w:val="center"/>
          </w:tcPr>
          <w:p w14:paraId="583ACF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3442D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2.21</w:t>
            </w:r>
          </w:p>
        </w:tc>
        <w:tc>
          <w:tcPr>
            <w:tcW w:w="859" w:type="dxa"/>
            <w:vAlign w:val="center"/>
          </w:tcPr>
          <w:p w14:paraId="4994F1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C089D99" w14:textId="77777777" w:rsidTr="003B5486">
        <w:tc>
          <w:tcPr>
            <w:tcW w:w="885" w:type="dxa"/>
            <w:vAlign w:val="center"/>
          </w:tcPr>
          <w:p w14:paraId="42D3E51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w:t>
            </w:r>
          </w:p>
        </w:tc>
        <w:tc>
          <w:tcPr>
            <w:tcW w:w="845" w:type="dxa"/>
            <w:vAlign w:val="center"/>
          </w:tcPr>
          <w:p w14:paraId="56077B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780BF6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DF233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FB5C3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3.92</w:t>
            </w:r>
          </w:p>
        </w:tc>
        <w:tc>
          <w:tcPr>
            <w:tcW w:w="939" w:type="dxa"/>
            <w:vAlign w:val="center"/>
          </w:tcPr>
          <w:p w14:paraId="0B131F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944" w:type="dxa"/>
            <w:vAlign w:val="center"/>
          </w:tcPr>
          <w:p w14:paraId="77B1C4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891" w:type="dxa"/>
            <w:vAlign w:val="center"/>
          </w:tcPr>
          <w:p w14:paraId="79C388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D4FAC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859" w:type="dxa"/>
            <w:vAlign w:val="center"/>
          </w:tcPr>
          <w:p w14:paraId="54AC2B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0F5B200" w14:textId="77777777" w:rsidTr="003B5486">
        <w:tc>
          <w:tcPr>
            <w:tcW w:w="885" w:type="dxa"/>
            <w:vAlign w:val="center"/>
          </w:tcPr>
          <w:p w14:paraId="2192D85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w:t>
            </w:r>
          </w:p>
        </w:tc>
        <w:tc>
          <w:tcPr>
            <w:tcW w:w="845" w:type="dxa"/>
            <w:vAlign w:val="center"/>
          </w:tcPr>
          <w:p w14:paraId="198343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5BB8A5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5C34D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07168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3.90</w:t>
            </w:r>
          </w:p>
        </w:tc>
        <w:tc>
          <w:tcPr>
            <w:tcW w:w="939" w:type="dxa"/>
            <w:vAlign w:val="center"/>
          </w:tcPr>
          <w:p w14:paraId="59B6C4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c>
          <w:tcPr>
            <w:tcW w:w="944" w:type="dxa"/>
            <w:vAlign w:val="center"/>
          </w:tcPr>
          <w:p w14:paraId="539AF6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891" w:type="dxa"/>
            <w:vAlign w:val="center"/>
          </w:tcPr>
          <w:p w14:paraId="7ADEF4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64DCB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859" w:type="dxa"/>
            <w:vAlign w:val="center"/>
          </w:tcPr>
          <w:p w14:paraId="0191C9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1D2A730" w14:textId="77777777" w:rsidTr="003B5486">
        <w:tc>
          <w:tcPr>
            <w:tcW w:w="885" w:type="dxa"/>
            <w:vAlign w:val="center"/>
          </w:tcPr>
          <w:p w14:paraId="7CBA8F6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OR3</w:t>
            </w:r>
          </w:p>
        </w:tc>
        <w:tc>
          <w:tcPr>
            <w:tcW w:w="845" w:type="dxa"/>
            <w:vAlign w:val="center"/>
          </w:tcPr>
          <w:p w14:paraId="1C1B58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0184B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1F072F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1A959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4.07</w:t>
            </w:r>
          </w:p>
        </w:tc>
        <w:tc>
          <w:tcPr>
            <w:tcW w:w="939" w:type="dxa"/>
            <w:vAlign w:val="center"/>
          </w:tcPr>
          <w:p w14:paraId="08ED2E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944" w:type="dxa"/>
            <w:vAlign w:val="center"/>
          </w:tcPr>
          <w:p w14:paraId="0E1604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c>
          <w:tcPr>
            <w:tcW w:w="891" w:type="dxa"/>
            <w:vAlign w:val="center"/>
          </w:tcPr>
          <w:p w14:paraId="7DAD37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93640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1.39</w:t>
            </w:r>
          </w:p>
        </w:tc>
        <w:tc>
          <w:tcPr>
            <w:tcW w:w="859" w:type="dxa"/>
            <w:vAlign w:val="center"/>
          </w:tcPr>
          <w:p w14:paraId="315C02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94EDEDB" w14:textId="77777777" w:rsidTr="003B5486">
        <w:tc>
          <w:tcPr>
            <w:tcW w:w="885" w:type="dxa"/>
            <w:vAlign w:val="center"/>
          </w:tcPr>
          <w:p w14:paraId="79649F4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OR4</w:t>
            </w:r>
          </w:p>
        </w:tc>
        <w:tc>
          <w:tcPr>
            <w:tcW w:w="845" w:type="dxa"/>
            <w:vAlign w:val="center"/>
          </w:tcPr>
          <w:p w14:paraId="243F1B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240219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F8FF4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0A7D3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939" w:type="dxa"/>
            <w:vAlign w:val="center"/>
          </w:tcPr>
          <w:p w14:paraId="5160EC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w:t>
            </w:r>
          </w:p>
        </w:tc>
        <w:tc>
          <w:tcPr>
            <w:tcW w:w="944" w:type="dxa"/>
            <w:vAlign w:val="center"/>
          </w:tcPr>
          <w:p w14:paraId="0E66CD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-0.58</w:t>
            </w:r>
          </w:p>
        </w:tc>
        <w:tc>
          <w:tcPr>
            <w:tcW w:w="891" w:type="dxa"/>
            <w:vAlign w:val="center"/>
          </w:tcPr>
          <w:p w14:paraId="18D357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ED5CB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859" w:type="dxa"/>
            <w:vAlign w:val="center"/>
          </w:tcPr>
          <w:p w14:paraId="6AECCB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0B66DD1" w14:textId="77777777" w:rsidTr="003B5486">
        <w:tc>
          <w:tcPr>
            <w:tcW w:w="885" w:type="dxa"/>
            <w:vAlign w:val="center"/>
          </w:tcPr>
          <w:p w14:paraId="01C828C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OR5</w:t>
            </w:r>
          </w:p>
        </w:tc>
        <w:tc>
          <w:tcPr>
            <w:tcW w:w="845" w:type="dxa"/>
            <w:vAlign w:val="center"/>
          </w:tcPr>
          <w:p w14:paraId="76D18D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03A93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22ECB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8494B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3.66</w:t>
            </w:r>
          </w:p>
        </w:tc>
        <w:tc>
          <w:tcPr>
            <w:tcW w:w="939" w:type="dxa"/>
            <w:vAlign w:val="center"/>
          </w:tcPr>
          <w:p w14:paraId="4ED98D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944" w:type="dxa"/>
            <w:vAlign w:val="center"/>
          </w:tcPr>
          <w:p w14:paraId="0B1935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891" w:type="dxa"/>
            <w:vAlign w:val="center"/>
          </w:tcPr>
          <w:p w14:paraId="612F7E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61DBB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-0.39</w:t>
            </w:r>
          </w:p>
        </w:tc>
        <w:tc>
          <w:tcPr>
            <w:tcW w:w="859" w:type="dxa"/>
            <w:vAlign w:val="center"/>
          </w:tcPr>
          <w:p w14:paraId="6DAC29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A046C05" w14:textId="77777777" w:rsidTr="003B5486">
        <w:tc>
          <w:tcPr>
            <w:tcW w:w="885" w:type="dxa"/>
            <w:vAlign w:val="center"/>
          </w:tcPr>
          <w:p w14:paraId="719F930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OR6</w:t>
            </w:r>
          </w:p>
        </w:tc>
        <w:tc>
          <w:tcPr>
            <w:tcW w:w="845" w:type="dxa"/>
            <w:vAlign w:val="center"/>
          </w:tcPr>
          <w:p w14:paraId="11D7BA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1C2422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15BD8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B9BE4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3.58</w:t>
            </w:r>
          </w:p>
        </w:tc>
        <w:tc>
          <w:tcPr>
            <w:tcW w:w="939" w:type="dxa"/>
            <w:vAlign w:val="center"/>
          </w:tcPr>
          <w:p w14:paraId="16A7C3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944" w:type="dxa"/>
            <w:vAlign w:val="center"/>
          </w:tcPr>
          <w:p w14:paraId="3D0FA7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c>
          <w:tcPr>
            <w:tcW w:w="891" w:type="dxa"/>
            <w:vAlign w:val="center"/>
          </w:tcPr>
          <w:p w14:paraId="1C9F88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F3671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c>
          <w:tcPr>
            <w:tcW w:w="859" w:type="dxa"/>
            <w:vAlign w:val="center"/>
          </w:tcPr>
          <w:p w14:paraId="56B572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0495DF9" w14:textId="77777777" w:rsidTr="003B5486">
        <w:tc>
          <w:tcPr>
            <w:tcW w:w="885" w:type="dxa"/>
            <w:vAlign w:val="center"/>
          </w:tcPr>
          <w:p w14:paraId="66B0A63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OR7</w:t>
            </w:r>
          </w:p>
        </w:tc>
        <w:tc>
          <w:tcPr>
            <w:tcW w:w="845" w:type="dxa"/>
            <w:vAlign w:val="center"/>
          </w:tcPr>
          <w:p w14:paraId="21E5D1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08A580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05257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01F4CC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4.07</w:t>
            </w:r>
          </w:p>
        </w:tc>
        <w:tc>
          <w:tcPr>
            <w:tcW w:w="939" w:type="dxa"/>
            <w:vAlign w:val="center"/>
          </w:tcPr>
          <w:p w14:paraId="274DB1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944" w:type="dxa"/>
            <w:vAlign w:val="center"/>
          </w:tcPr>
          <w:p w14:paraId="6AA943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891" w:type="dxa"/>
            <w:vAlign w:val="center"/>
          </w:tcPr>
          <w:p w14:paraId="7A9E0E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1CAD25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859" w:type="dxa"/>
            <w:vAlign w:val="center"/>
          </w:tcPr>
          <w:p w14:paraId="397ECB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79016F4" w14:textId="77777777" w:rsidTr="003B5486">
        <w:tc>
          <w:tcPr>
            <w:tcW w:w="885" w:type="dxa"/>
            <w:vAlign w:val="center"/>
          </w:tcPr>
          <w:p w14:paraId="29A70AF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OR8</w:t>
            </w:r>
          </w:p>
        </w:tc>
        <w:tc>
          <w:tcPr>
            <w:tcW w:w="845" w:type="dxa"/>
            <w:vAlign w:val="center"/>
          </w:tcPr>
          <w:p w14:paraId="085CD3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C2764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E5A5C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B8E5C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3.59</w:t>
            </w:r>
          </w:p>
        </w:tc>
        <w:tc>
          <w:tcPr>
            <w:tcW w:w="939" w:type="dxa"/>
            <w:vAlign w:val="center"/>
          </w:tcPr>
          <w:p w14:paraId="0F7998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c>
          <w:tcPr>
            <w:tcW w:w="944" w:type="dxa"/>
            <w:vAlign w:val="center"/>
          </w:tcPr>
          <w:p w14:paraId="46E7BB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-0.39</w:t>
            </w:r>
          </w:p>
        </w:tc>
        <w:tc>
          <w:tcPr>
            <w:tcW w:w="891" w:type="dxa"/>
            <w:vAlign w:val="center"/>
          </w:tcPr>
          <w:p w14:paraId="43100A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9698F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-0.63</w:t>
            </w:r>
          </w:p>
        </w:tc>
        <w:tc>
          <w:tcPr>
            <w:tcW w:w="859" w:type="dxa"/>
            <w:vAlign w:val="center"/>
          </w:tcPr>
          <w:p w14:paraId="41ACA7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06EB9BAC" w14:textId="77777777" w:rsidTr="003B5486">
        <w:tc>
          <w:tcPr>
            <w:tcW w:w="885" w:type="dxa"/>
            <w:vAlign w:val="center"/>
          </w:tcPr>
          <w:p w14:paraId="0DCD419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OR9</w:t>
            </w:r>
          </w:p>
        </w:tc>
        <w:tc>
          <w:tcPr>
            <w:tcW w:w="845" w:type="dxa"/>
            <w:vAlign w:val="center"/>
          </w:tcPr>
          <w:p w14:paraId="165A2B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1C42B7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467AC4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EDB77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939" w:type="dxa"/>
            <w:vAlign w:val="center"/>
          </w:tcPr>
          <w:p w14:paraId="74885E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c>
          <w:tcPr>
            <w:tcW w:w="944" w:type="dxa"/>
            <w:vAlign w:val="center"/>
          </w:tcPr>
          <w:p w14:paraId="2E9B9C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91" w:type="dxa"/>
            <w:vAlign w:val="center"/>
          </w:tcPr>
          <w:p w14:paraId="22C301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E17AA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-0.66</w:t>
            </w:r>
          </w:p>
        </w:tc>
        <w:tc>
          <w:tcPr>
            <w:tcW w:w="859" w:type="dxa"/>
            <w:vAlign w:val="center"/>
          </w:tcPr>
          <w:p w14:paraId="5CF390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F120382" w14:textId="77777777" w:rsidTr="003B5486">
        <w:tc>
          <w:tcPr>
            <w:tcW w:w="885" w:type="dxa"/>
            <w:vAlign w:val="center"/>
          </w:tcPr>
          <w:p w14:paraId="17BFDCB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OR10</w:t>
            </w:r>
          </w:p>
        </w:tc>
        <w:tc>
          <w:tcPr>
            <w:tcW w:w="845" w:type="dxa"/>
            <w:vAlign w:val="center"/>
          </w:tcPr>
          <w:p w14:paraId="368434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08EE27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3610D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2D6072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3.82</w:t>
            </w:r>
          </w:p>
        </w:tc>
        <w:tc>
          <w:tcPr>
            <w:tcW w:w="939" w:type="dxa"/>
            <w:vAlign w:val="center"/>
          </w:tcPr>
          <w:p w14:paraId="6826A8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2E09B1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891" w:type="dxa"/>
            <w:vAlign w:val="center"/>
          </w:tcPr>
          <w:p w14:paraId="44D9E7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68AB1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59" w:type="dxa"/>
            <w:vAlign w:val="center"/>
          </w:tcPr>
          <w:p w14:paraId="41D262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0419C56" w14:textId="77777777" w:rsidTr="003B5486">
        <w:tc>
          <w:tcPr>
            <w:tcW w:w="885" w:type="dxa"/>
            <w:vAlign w:val="center"/>
          </w:tcPr>
          <w:p w14:paraId="311D5C6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OR11</w:t>
            </w:r>
          </w:p>
        </w:tc>
        <w:tc>
          <w:tcPr>
            <w:tcW w:w="845" w:type="dxa"/>
            <w:vAlign w:val="center"/>
          </w:tcPr>
          <w:p w14:paraId="4E6ED4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0CE980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4E325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9248B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3.66</w:t>
            </w:r>
          </w:p>
        </w:tc>
        <w:tc>
          <w:tcPr>
            <w:tcW w:w="939" w:type="dxa"/>
            <w:vAlign w:val="center"/>
          </w:tcPr>
          <w:p w14:paraId="1A06DD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944" w:type="dxa"/>
            <w:vAlign w:val="center"/>
          </w:tcPr>
          <w:p w14:paraId="146A45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c>
          <w:tcPr>
            <w:tcW w:w="891" w:type="dxa"/>
            <w:vAlign w:val="center"/>
          </w:tcPr>
          <w:p w14:paraId="4BF3F0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86417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859" w:type="dxa"/>
            <w:vAlign w:val="center"/>
          </w:tcPr>
          <w:p w14:paraId="62F0F0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4304264" w14:textId="77777777" w:rsidTr="003B5486">
        <w:tc>
          <w:tcPr>
            <w:tcW w:w="885" w:type="dxa"/>
            <w:vAlign w:val="center"/>
          </w:tcPr>
          <w:p w14:paraId="001781D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OR12</w:t>
            </w:r>
          </w:p>
        </w:tc>
        <w:tc>
          <w:tcPr>
            <w:tcW w:w="845" w:type="dxa"/>
            <w:vAlign w:val="center"/>
          </w:tcPr>
          <w:p w14:paraId="20DBB1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273A0F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96921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513954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3.65</w:t>
            </w:r>
          </w:p>
        </w:tc>
        <w:tc>
          <w:tcPr>
            <w:tcW w:w="939" w:type="dxa"/>
            <w:vAlign w:val="center"/>
          </w:tcPr>
          <w:p w14:paraId="1F5B30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c>
          <w:tcPr>
            <w:tcW w:w="944" w:type="dxa"/>
            <w:vAlign w:val="center"/>
          </w:tcPr>
          <w:p w14:paraId="0869F3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891" w:type="dxa"/>
            <w:vAlign w:val="center"/>
          </w:tcPr>
          <w:p w14:paraId="639DB6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47AAD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59" w:type="dxa"/>
            <w:vAlign w:val="center"/>
          </w:tcPr>
          <w:p w14:paraId="614F24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569D934" w14:textId="77777777" w:rsidTr="003B5486">
        <w:tc>
          <w:tcPr>
            <w:tcW w:w="885" w:type="dxa"/>
            <w:vAlign w:val="center"/>
          </w:tcPr>
          <w:p w14:paraId="3A6FB47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OR13</w:t>
            </w:r>
          </w:p>
        </w:tc>
        <w:tc>
          <w:tcPr>
            <w:tcW w:w="845" w:type="dxa"/>
            <w:vAlign w:val="center"/>
          </w:tcPr>
          <w:p w14:paraId="6A6A43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099EB2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822F9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0C748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3.81</w:t>
            </w:r>
          </w:p>
        </w:tc>
        <w:tc>
          <w:tcPr>
            <w:tcW w:w="939" w:type="dxa"/>
            <w:vAlign w:val="center"/>
          </w:tcPr>
          <w:p w14:paraId="582C8D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c>
          <w:tcPr>
            <w:tcW w:w="944" w:type="dxa"/>
            <w:vAlign w:val="center"/>
          </w:tcPr>
          <w:p w14:paraId="403A93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891" w:type="dxa"/>
            <w:vAlign w:val="center"/>
          </w:tcPr>
          <w:p w14:paraId="223198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3AFD6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859" w:type="dxa"/>
            <w:vAlign w:val="center"/>
          </w:tcPr>
          <w:p w14:paraId="6BBBF9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32B61BAE" w14:textId="77777777" w:rsidTr="003B5486">
        <w:tc>
          <w:tcPr>
            <w:tcW w:w="885" w:type="dxa"/>
            <w:vAlign w:val="center"/>
          </w:tcPr>
          <w:p w14:paraId="68BE634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OR14</w:t>
            </w:r>
          </w:p>
        </w:tc>
        <w:tc>
          <w:tcPr>
            <w:tcW w:w="845" w:type="dxa"/>
            <w:vAlign w:val="center"/>
          </w:tcPr>
          <w:p w14:paraId="6AF273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724218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CB2B7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F366A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3.91</w:t>
            </w:r>
          </w:p>
        </w:tc>
        <w:tc>
          <w:tcPr>
            <w:tcW w:w="939" w:type="dxa"/>
            <w:vAlign w:val="center"/>
          </w:tcPr>
          <w:p w14:paraId="05A4DD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944" w:type="dxa"/>
            <w:vAlign w:val="center"/>
          </w:tcPr>
          <w:p w14:paraId="20C047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891" w:type="dxa"/>
            <w:vAlign w:val="center"/>
          </w:tcPr>
          <w:p w14:paraId="0B75CB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41043A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c>
          <w:tcPr>
            <w:tcW w:w="859" w:type="dxa"/>
            <w:vAlign w:val="center"/>
          </w:tcPr>
          <w:p w14:paraId="5A3808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2B5C3B4C" w14:textId="77777777" w:rsidTr="003B5486">
        <w:tc>
          <w:tcPr>
            <w:tcW w:w="885" w:type="dxa"/>
            <w:vAlign w:val="center"/>
          </w:tcPr>
          <w:p w14:paraId="0F50A41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OR15</w:t>
            </w:r>
          </w:p>
        </w:tc>
        <w:tc>
          <w:tcPr>
            <w:tcW w:w="845" w:type="dxa"/>
            <w:vAlign w:val="center"/>
          </w:tcPr>
          <w:p w14:paraId="23B339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2DBC6F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0FDCE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3F9DA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3.80</w:t>
            </w:r>
          </w:p>
        </w:tc>
        <w:tc>
          <w:tcPr>
            <w:tcW w:w="939" w:type="dxa"/>
            <w:vAlign w:val="center"/>
          </w:tcPr>
          <w:p w14:paraId="7335F6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w:t>
            </w:r>
          </w:p>
        </w:tc>
        <w:tc>
          <w:tcPr>
            <w:tcW w:w="944" w:type="dxa"/>
            <w:vAlign w:val="center"/>
          </w:tcPr>
          <w:p w14:paraId="7850C4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891" w:type="dxa"/>
            <w:vAlign w:val="center"/>
          </w:tcPr>
          <w:p w14:paraId="4D7F76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DE4A1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c>
          <w:tcPr>
            <w:tcW w:w="859" w:type="dxa"/>
            <w:vAlign w:val="center"/>
          </w:tcPr>
          <w:p w14:paraId="370A90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1B6519D4" w14:textId="77777777" w:rsidTr="003B5486">
        <w:tc>
          <w:tcPr>
            <w:tcW w:w="885" w:type="dxa"/>
            <w:vAlign w:val="center"/>
          </w:tcPr>
          <w:p w14:paraId="0C5BAA4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OR16</w:t>
            </w:r>
          </w:p>
        </w:tc>
        <w:tc>
          <w:tcPr>
            <w:tcW w:w="845" w:type="dxa"/>
            <w:vAlign w:val="center"/>
          </w:tcPr>
          <w:p w14:paraId="33A02D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22F2DB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9D55B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935F7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939" w:type="dxa"/>
            <w:vAlign w:val="center"/>
          </w:tcPr>
          <w:p w14:paraId="56737B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c>
          <w:tcPr>
            <w:tcW w:w="944" w:type="dxa"/>
            <w:vAlign w:val="center"/>
          </w:tcPr>
          <w:p w14:paraId="27498B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891" w:type="dxa"/>
            <w:vAlign w:val="center"/>
          </w:tcPr>
          <w:p w14:paraId="4B6639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2BA838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859" w:type="dxa"/>
            <w:vAlign w:val="center"/>
          </w:tcPr>
          <w:p w14:paraId="6F90A7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58EEAB69" w14:textId="77777777" w:rsidTr="003B5486">
        <w:tc>
          <w:tcPr>
            <w:tcW w:w="885" w:type="dxa"/>
            <w:vAlign w:val="center"/>
          </w:tcPr>
          <w:p w14:paraId="109CA2C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OR17</w:t>
            </w:r>
          </w:p>
        </w:tc>
        <w:tc>
          <w:tcPr>
            <w:tcW w:w="845" w:type="dxa"/>
            <w:vAlign w:val="center"/>
          </w:tcPr>
          <w:p w14:paraId="641D47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525523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274968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64071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3.58</w:t>
            </w:r>
          </w:p>
        </w:tc>
        <w:tc>
          <w:tcPr>
            <w:tcW w:w="939" w:type="dxa"/>
            <w:vAlign w:val="center"/>
          </w:tcPr>
          <w:p w14:paraId="3149B4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c>
          <w:tcPr>
            <w:tcW w:w="944" w:type="dxa"/>
            <w:vAlign w:val="center"/>
          </w:tcPr>
          <w:p w14:paraId="738E65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91" w:type="dxa"/>
            <w:vAlign w:val="center"/>
          </w:tcPr>
          <w:p w14:paraId="38D580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71BEFF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-0.51</w:t>
            </w:r>
          </w:p>
        </w:tc>
        <w:tc>
          <w:tcPr>
            <w:tcW w:w="859" w:type="dxa"/>
            <w:vAlign w:val="center"/>
          </w:tcPr>
          <w:p w14:paraId="475312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B4B2CAE" w14:textId="77777777" w:rsidTr="003B5486">
        <w:tc>
          <w:tcPr>
            <w:tcW w:w="885" w:type="dxa"/>
            <w:vAlign w:val="center"/>
          </w:tcPr>
          <w:p w14:paraId="5732B66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OR18</w:t>
            </w:r>
          </w:p>
        </w:tc>
        <w:tc>
          <w:tcPr>
            <w:tcW w:w="845" w:type="dxa"/>
            <w:vAlign w:val="center"/>
          </w:tcPr>
          <w:p w14:paraId="4F8C96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5F808E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61ED98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72FB70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3.47</w:t>
            </w:r>
          </w:p>
        </w:tc>
        <w:tc>
          <w:tcPr>
            <w:tcW w:w="939" w:type="dxa"/>
            <w:vAlign w:val="center"/>
          </w:tcPr>
          <w:p w14:paraId="331589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c>
          <w:tcPr>
            <w:tcW w:w="944" w:type="dxa"/>
            <w:vAlign w:val="center"/>
          </w:tcPr>
          <w:p w14:paraId="5C49B7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891" w:type="dxa"/>
            <w:vAlign w:val="center"/>
          </w:tcPr>
          <w:p w14:paraId="131F7F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A6AAE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-0.46</w:t>
            </w:r>
          </w:p>
        </w:tc>
        <w:tc>
          <w:tcPr>
            <w:tcW w:w="859" w:type="dxa"/>
            <w:vAlign w:val="center"/>
          </w:tcPr>
          <w:p w14:paraId="29C6D0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79A8CAB2" w14:textId="77777777" w:rsidTr="003B5486">
        <w:tc>
          <w:tcPr>
            <w:tcW w:w="885" w:type="dxa"/>
            <w:vAlign w:val="center"/>
          </w:tcPr>
          <w:p w14:paraId="1DFDFBB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OR19</w:t>
            </w:r>
          </w:p>
        </w:tc>
        <w:tc>
          <w:tcPr>
            <w:tcW w:w="845" w:type="dxa"/>
            <w:vAlign w:val="center"/>
          </w:tcPr>
          <w:p w14:paraId="33AE29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3B6F1F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3125F3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7F548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3.70</w:t>
            </w:r>
          </w:p>
        </w:tc>
        <w:tc>
          <w:tcPr>
            <w:tcW w:w="939" w:type="dxa"/>
            <w:vAlign w:val="center"/>
          </w:tcPr>
          <w:p w14:paraId="37DF55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1.02</w:t>
            </w:r>
          </w:p>
        </w:tc>
        <w:tc>
          <w:tcPr>
            <w:tcW w:w="944" w:type="dxa"/>
            <w:vAlign w:val="center"/>
          </w:tcPr>
          <w:p w14:paraId="0DE940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-0.45</w:t>
            </w:r>
          </w:p>
        </w:tc>
        <w:tc>
          <w:tcPr>
            <w:tcW w:w="891" w:type="dxa"/>
            <w:vAlign w:val="center"/>
          </w:tcPr>
          <w:p w14:paraId="486E80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23DD1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c>
          <w:tcPr>
            <w:tcW w:w="859" w:type="dxa"/>
            <w:vAlign w:val="center"/>
          </w:tcPr>
          <w:p w14:paraId="2891BA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47EDA340" w14:textId="77777777" w:rsidTr="003B5486">
        <w:tc>
          <w:tcPr>
            <w:tcW w:w="885" w:type="dxa"/>
            <w:vAlign w:val="center"/>
          </w:tcPr>
          <w:p w14:paraId="5B75013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OR20</w:t>
            </w:r>
          </w:p>
        </w:tc>
        <w:tc>
          <w:tcPr>
            <w:tcW w:w="845" w:type="dxa"/>
            <w:vAlign w:val="center"/>
          </w:tcPr>
          <w:p w14:paraId="32BD03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184CB6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52135A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4B93F6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3.58</w:t>
            </w:r>
          </w:p>
        </w:tc>
        <w:tc>
          <w:tcPr>
            <w:tcW w:w="939" w:type="dxa"/>
            <w:vAlign w:val="center"/>
          </w:tcPr>
          <w:p w14:paraId="067706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c>
          <w:tcPr>
            <w:tcW w:w="944" w:type="dxa"/>
            <w:vAlign w:val="center"/>
          </w:tcPr>
          <w:p w14:paraId="1F5182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891" w:type="dxa"/>
            <w:vAlign w:val="center"/>
          </w:tcPr>
          <w:p w14:paraId="1510B7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3D66BB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859" w:type="dxa"/>
            <w:vAlign w:val="center"/>
          </w:tcPr>
          <w:p w14:paraId="293DEE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1E49ACA" w14:textId="77777777" w:rsidTr="003B5486">
        <w:tc>
          <w:tcPr>
            <w:tcW w:w="885" w:type="dxa"/>
            <w:vAlign w:val="center"/>
          </w:tcPr>
          <w:p w14:paraId="029C9CB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OR21</w:t>
            </w:r>
          </w:p>
        </w:tc>
        <w:tc>
          <w:tcPr>
            <w:tcW w:w="845" w:type="dxa"/>
            <w:vAlign w:val="center"/>
          </w:tcPr>
          <w:p w14:paraId="4D345F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6D47A2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033F4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142D62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3.62</w:t>
            </w:r>
          </w:p>
        </w:tc>
        <w:tc>
          <w:tcPr>
            <w:tcW w:w="939" w:type="dxa"/>
            <w:vAlign w:val="center"/>
          </w:tcPr>
          <w:p w14:paraId="2C3298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c>
          <w:tcPr>
            <w:tcW w:w="944" w:type="dxa"/>
            <w:vAlign w:val="center"/>
          </w:tcPr>
          <w:p w14:paraId="2C2083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-0.54</w:t>
            </w:r>
          </w:p>
        </w:tc>
        <w:tc>
          <w:tcPr>
            <w:tcW w:w="891" w:type="dxa"/>
            <w:vAlign w:val="center"/>
          </w:tcPr>
          <w:p w14:paraId="764F64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5EC9D5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859" w:type="dxa"/>
            <w:vAlign w:val="center"/>
          </w:tcPr>
          <w:p w14:paraId="000F31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60715EF" w14:textId="77777777" w:rsidTr="003B5486">
        <w:tc>
          <w:tcPr>
            <w:tcW w:w="885" w:type="dxa"/>
            <w:vAlign w:val="center"/>
          </w:tcPr>
          <w:p w14:paraId="1A131C7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ORe</w:t>
            </w:r>
          </w:p>
        </w:tc>
        <w:tc>
          <w:tcPr>
            <w:tcW w:w="845" w:type="dxa"/>
            <w:vAlign w:val="center"/>
          </w:tcPr>
          <w:p w14:paraId="6A37C3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98</w:t>
            </w:r>
          </w:p>
        </w:tc>
        <w:tc>
          <w:tcPr>
            <w:tcW w:w="948" w:type="dxa"/>
            <w:vAlign w:val="center"/>
          </w:tcPr>
          <w:p w14:paraId="78585B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979" w:type="dxa"/>
            <w:vAlign w:val="center"/>
          </w:tcPr>
          <w:p w14:paraId="70C260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867" w:type="dxa"/>
            <w:vAlign w:val="center"/>
          </w:tcPr>
          <w:p w14:paraId="6BF283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939" w:type="dxa"/>
            <w:vAlign w:val="center"/>
          </w:tcPr>
          <w:p w14:paraId="51AB13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944" w:type="dxa"/>
            <w:vAlign w:val="center"/>
          </w:tcPr>
          <w:p w14:paraId="2B2A0E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891" w:type="dxa"/>
            <w:vAlign w:val="center"/>
          </w:tcPr>
          <w:p w14:paraId="078A66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859" w:type="dxa"/>
            <w:vAlign w:val="center"/>
          </w:tcPr>
          <w:p w14:paraId="638801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0.58</w:t>
            </w:r>
          </w:p>
        </w:tc>
        <w:tc>
          <w:tcPr>
            <w:tcW w:w="859" w:type="dxa"/>
            <w:vAlign w:val="center"/>
          </w:tcPr>
          <w:p w14:paraId="739CEB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r>
      <w:tr w:rsidR="006E3616" w:rsidRPr="00400193" w14:paraId="6F256C5E" w14:textId="77777777" w:rsidTr="003B5486">
        <w:tc>
          <w:tcPr>
            <w:tcW w:w="885" w:type="dxa"/>
            <w:vAlign w:val="center"/>
          </w:tcPr>
          <w:p w14:paraId="38E16B6F" w14:textId="77777777" w:rsidR="006E3616" w:rsidRPr="00400193" w:rsidRDefault="006E3616" w:rsidP="003B5486">
            <w:pPr>
              <w:keepNext/>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Valid N</w:t>
            </w:r>
          </w:p>
        </w:tc>
        <w:tc>
          <w:tcPr>
            <w:tcW w:w="845" w:type="dxa"/>
            <w:vAlign w:val="center"/>
          </w:tcPr>
          <w:p w14:paraId="3AE35399"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r w:rsidRPr="00400193">
              <w:rPr>
                <w:rFonts w:asciiTheme="minorHAnsi" w:hAnsiTheme="minorHAnsi" w:cstheme="minorHAnsi"/>
                <w:sz w:val="18"/>
                <w:szCs w:val="18"/>
                <w:lang w:eastAsia="zh-CN" w:bidi="hi-IN"/>
              </w:rPr>
              <w:t>98</w:t>
            </w:r>
          </w:p>
        </w:tc>
        <w:tc>
          <w:tcPr>
            <w:tcW w:w="948" w:type="dxa"/>
            <w:vAlign w:val="center"/>
          </w:tcPr>
          <w:p w14:paraId="3E0AD8FE"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979" w:type="dxa"/>
            <w:vAlign w:val="center"/>
          </w:tcPr>
          <w:p w14:paraId="41335BE5"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867" w:type="dxa"/>
            <w:vAlign w:val="center"/>
          </w:tcPr>
          <w:p w14:paraId="6A592EF0"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939" w:type="dxa"/>
            <w:vAlign w:val="center"/>
          </w:tcPr>
          <w:p w14:paraId="7A6AA9B7"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944" w:type="dxa"/>
            <w:vAlign w:val="center"/>
          </w:tcPr>
          <w:p w14:paraId="68FDCD56"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891" w:type="dxa"/>
            <w:vAlign w:val="center"/>
          </w:tcPr>
          <w:p w14:paraId="6BBB3FD2"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859" w:type="dxa"/>
            <w:vAlign w:val="center"/>
          </w:tcPr>
          <w:p w14:paraId="098C447E"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c>
          <w:tcPr>
            <w:tcW w:w="859" w:type="dxa"/>
            <w:vAlign w:val="center"/>
          </w:tcPr>
          <w:p w14:paraId="652C4A25"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r>
    </w:tbl>
    <w:p w14:paraId="09BB46D1" w14:textId="4FF23070" w:rsidR="006E3616" w:rsidRPr="00400193" w:rsidRDefault="006E3616" w:rsidP="006E3616">
      <w:pPr>
        <w:pStyle w:val="Caption"/>
        <w:spacing w:after="240"/>
      </w:pPr>
      <w:bookmarkStart w:id="979" w:name="_Ref42945180"/>
      <w:bookmarkStart w:id="980" w:name="_Toc5290166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1</w:t>
      </w:r>
      <w:r w:rsidRPr="00400193">
        <w:rPr>
          <w:noProof/>
        </w:rPr>
        <w:fldChar w:fldCharType="end"/>
      </w:r>
      <w:bookmarkEnd w:id="979"/>
      <w:r w:rsidRPr="00400193">
        <w:t>: Descriptive statistics of the original dataset. See Table 0-3 for explanation of codes</w:t>
      </w:r>
      <w:bookmarkEnd w:id="980"/>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r w:rsidRPr="00400193">
        <w:rPr>
          <w:szCs w:val="24"/>
          <w:lang w:eastAsia="zh-CN" w:bidi="hi-IN"/>
        </w:rPr>
        <w:tab/>
      </w:r>
    </w:p>
    <w:tbl>
      <w:tblPr>
        <w:tblStyle w:val="TableGrid"/>
        <w:tblW w:w="0" w:type="auto"/>
        <w:tblLook w:val="04A0" w:firstRow="1" w:lastRow="0" w:firstColumn="1" w:lastColumn="0" w:noHBand="0" w:noVBand="1"/>
      </w:tblPr>
      <w:tblGrid>
        <w:gridCol w:w="1127"/>
        <w:gridCol w:w="1127"/>
        <w:gridCol w:w="1127"/>
        <w:gridCol w:w="1127"/>
        <w:gridCol w:w="1127"/>
        <w:gridCol w:w="1127"/>
        <w:gridCol w:w="1127"/>
        <w:gridCol w:w="1127"/>
      </w:tblGrid>
      <w:tr w:rsidR="006E3616" w:rsidRPr="00400193" w14:paraId="04FCDF36" w14:textId="77777777" w:rsidTr="003B5486">
        <w:trPr>
          <w:cantSplit/>
          <w:tblHeader/>
        </w:trPr>
        <w:tc>
          <w:tcPr>
            <w:tcW w:w="1127" w:type="dxa"/>
            <w:vAlign w:val="center"/>
          </w:tcPr>
          <w:p w14:paraId="70986C5B" w14:textId="77777777" w:rsidR="006E3616" w:rsidRPr="00400193" w:rsidRDefault="006E3616" w:rsidP="003B5486">
            <w:pPr>
              <w:suppressAutoHyphens/>
              <w:spacing w:line="240" w:lineRule="auto"/>
              <w:jc w:val="left"/>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Code</w:t>
            </w:r>
          </w:p>
        </w:tc>
        <w:tc>
          <w:tcPr>
            <w:tcW w:w="1127" w:type="dxa"/>
            <w:vAlign w:val="center"/>
          </w:tcPr>
          <w:p w14:paraId="2281D440"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Mean</w:t>
            </w:r>
          </w:p>
        </w:tc>
        <w:tc>
          <w:tcPr>
            <w:tcW w:w="1127" w:type="dxa"/>
            <w:vAlign w:val="center"/>
          </w:tcPr>
          <w:p w14:paraId="69B85205"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5% trimmed mean</w:t>
            </w:r>
          </w:p>
        </w:tc>
        <w:tc>
          <w:tcPr>
            <w:tcW w:w="1127" w:type="dxa"/>
            <w:vAlign w:val="center"/>
          </w:tcPr>
          <w:p w14:paraId="5F2F818D"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M-TM</w:t>
            </w:r>
          </w:p>
        </w:tc>
        <w:tc>
          <w:tcPr>
            <w:tcW w:w="1127" w:type="dxa"/>
            <w:vAlign w:val="center"/>
          </w:tcPr>
          <w:p w14:paraId="3C89E21A"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Minimum</w:t>
            </w:r>
          </w:p>
        </w:tc>
        <w:tc>
          <w:tcPr>
            <w:tcW w:w="1127" w:type="dxa"/>
            <w:vAlign w:val="center"/>
          </w:tcPr>
          <w:p w14:paraId="10B3DE28"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Maximum</w:t>
            </w:r>
          </w:p>
        </w:tc>
        <w:tc>
          <w:tcPr>
            <w:tcW w:w="1127" w:type="dxa"/>
            <w:vAlign w:val="center"/>
          </w:tcPr>
          <w:p w14:paraId="5F5E6EC9"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Skewness</w:t>
            </w:r>
          </w:p>
        </w:tc>
        <w:tc>
          <w:tcPr>
            <w:tcW w:w="1127" w:type="dxa"/>
            <w:vAlign w:val="center"/>
          </w:tcPr>
          <w:p w14:paraId="44CCEF15"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Kurtosis</w:t>
            </w:r>
          </w:p>
        </w:tc>
      </w:tr>
      <w:tr w:rsidR="006E3616" w:rsidRPr="00400193" w14:paraId="159D2887" w14:textId="77777777" w:rsidTr="003B5486">
        <w:tc>
          <w:tcPr>
            <w:tcW w:w="1127" w:type="dxa"/>
          </w:tcPr>
          <w:p w14:paraId="740BC14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w:t>
            </w:r>
          </w:p>
        </w:tc>
        <w:tc>
          <w:tcPr>
            <w:tcW w:w="1127" w:type="dxa"/>
            <w:vAlign w:val="center"/>
          </w:tcPr>
          <w:p w14:paraId="0202B6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3D205A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1D3C4F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2DB9DD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E6378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91B21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00F36C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r>
      <w:tr w:rsidR="006E3616" w:rsidRPr="00400193" w14:paraId="07E35052" w14:textId="77777777" w:rsidTr="003B5486">
        <w:tc>
          <w:tcPr>
            <w:tcW w:w="1127" w:type="dxa"/>
          </w:tcPr>
          <w:p w14:paraId="49288A4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KECA2</w:t>
            </w:r>
          </w:p>
        </w:tc>
        <w:tc>
          <w:tcPr>
            <w:tcW w:w="1127" w:type="dxa"/>
            <w:vAlign w:val="center"/>
          </w:tcPr>
          <w:p w14:paraId="334E87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66AB3B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521838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6298F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38154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39286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1127" w:type="dxa"/>
            <w:vAlign w:val="center"/>
          </w:tcPr>
          <w:p w14:paraId="773D5B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28C000AB" w14:textId="77777777" w:rsidTr="003B5486">
        <w:tc>
          <w:tcPr>
            <w:tcW w:w="1127" w:type="dxa"/>
          </w:tcPr>
          <w:p w14:paraId="368CFCC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KECA3</w:t>
            </w:r>
          </w:p>
        </w:tc>
        <w:tc>
          <w:tcPr>
            <w:tcW w:w="1127" w:type="dxa"/>
            <w:vAlign w:val="center"/>
          </w:tcPr>
          <w:p w14:paraId="59CA57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42982B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3.23</w:t>
            </w:r>
          </w:p>
        </w:tc>
        <w:tc>
          <w:tcPr>
            <w:tcW w:w="1127" w:type="dxa"/>
            <w:vAlign w:val="center"/>
          </w:tcPr>
          <w:p w14:paraId="62C2B1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2196A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405AD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8DF71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1127" w:type="dxa"/>
            <w:vAlign w:val="center"/>
          </w:tcPr>
          <w:p w14:paraId="5F21A4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r>
      <w:tr w:rsidR="006E3616" w:rsidRPr="00400193" w14:paraId="64A30C0B" w14:textId="77777777" w:rsidTr="003B5486">
        <w:tc>
          <w:tcPr>
            <w:tcW w:w="1127" w:type="dxa"/>
          </w:tcPr>
          <w:p w14:paraId="68E6764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KECA4</w:t>
            </w:r>
          </w:p>
        </w:tc>
        <w:tc>
          <w:tcPr>
            <w:tcW w:w="1127" w:type="dxa"/>
            <w:vAlign w:val="center"/>
          </w:tcPr>
          <w:p w14:paraId="6C54CA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1127" w:type="dxa"/>
            <w:vAlign w:val="center"/>
          </w:tcPr>
          <w:p w14:paraId="0BE4A8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3.33</w:t>
            </w:r>
          </w:p>
        </w:tc>
        <w:tc>
          <w:tcPr>
            <w:tcW w:w="1127" w:type="dxa"/>
            <w:vAlign w:val="center"/>
          </w:tcPr>
          <w:p w14:paraId="5E1C73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486A1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BECB7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34209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1127" w:type="dxa"/>
            <w:vAlign w:val="center"/>
          </w:tcPr>
          <w:p w14:paraId="177AFF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r>
      <w:tr w:rsidR="006E3616" w:rsidRPr="00400193" w14:paraId="1635E42E" w14:textId="77777777" w:rsidTr="003B5486">
        <w:tc>
          <w:tcPr>
            <w:tcW w:w="1127" w:type="dxa"/>
          </w:tcPr>
          <w:p w14:paraId="5E11E58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KECA5</w:t>
            </w:r>
          </w:p>
        </w:tc>
        <w:tc>
          <w:tcPr>
            <w:tcW w:w="1127" w:type="dxa"/>
            <w:vAlign w:val="center"/>
          </w:tcPr>
          <w:p w14:paraId="6F9E41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1127" w:type="dxa"/>
            <w:vAlign w:val="center"/>
          </w:tcPr>
          <w:p w14:paraId="254C81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1127" w:type="dxa"/>
            <w:vAlign w:val="center"/>
          </w:tcPr>
          <w:p w14:paraId="031C21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92E28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ADE2C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86AEB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28D88A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r>
      <w:tr w:rsidR="006E3616" w:rsidRPr="00400193" w14:paraId="58408F75" w14:textId="77777777" w:rsidTr="003B5486">
        <w:tc>
          <w:tcPr>
            <w:tcW w:w="1127" w:type="dxa"/>
          </w:tcPr>
          <w:p w14:paraId="2C7F740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KECA6</w:t>
            </w:r>
          </w:p>
        </w:tc>
        <w:tc>
          <w:tcPr>
            <w:tcW w:w="1127" w:type="dxa"/>
            <w:vAlign w:val="center"/>
          </w:tcPr>
          <w:p w14:paraId="309411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1127" w:type="dxa"/>
            <w:vAlign w:val="center"/>
          </w:tcPr>
          <w:p w14:paraId="3B715D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1127" w:type="dxa"/>
            <w:vAlign w:val="center"/>
          </w:tcPr>
          <w:p w14:paraId="070CBD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EDB47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D57CE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C9E69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6434CA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r>
      <w:tr w:rsidR="006E3616" w:rsidRPr="00400193" w14:paraId="51591216" w14:textId="77777777" w:rsidTr="003B5486">
        <w:tc>
          <w:tcPr>
            <w:tcW w:w="1127" w:type="dxa"/>
          </w:tcPr>
          <w:p w14:paraId="3FCC65E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KECA7</w:t>
            </w:r>
          </w:p>
        </w:tc>
        <w:tc>
          <w:tcPr>
            <w:tcW w:w="1127" w:type="dxa"/>
            <w:vAlign w:val="center"/>
          </w:tcPr>
          <w:p w14:paraId="1F6E26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5FB6F0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0840E3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3C5650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64B59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3C0BF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1127" w:type="dxa"/>
            <w:vAlign w:val="center"/>
          </w:tcPr>
          <w:p w14:paraId="34919D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-0.66</w:t>
            </w:r>
          </w:p>
        </w:tc>
      </w:tr>
      <w:tr w:rsidR="006E3616" w:rsidRPr="00400193" w14:paraId="304F2E59" w14:textId="77777777" w:rsidTr="003B5486">
        <w:tc>
          <w:tcPr>
            <w:tcW w:w="1127" w:type="dxa"/>
          </w:tcPr>
          <w:p w14:paraId="6117C5B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KECA8</w:t>
            </w:r>
          </w:p>
        </w:tc>
        <w:tc>
          <w:tcPr>
            <w:tcW w:w="1127" w:type="dxa"/>
            <w:vAlign w:val="center"/>
          </w:tcPr>
          <w:p w14:paraId="6808AA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2F79A4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3.37</w:t>
            </w:r>
          </w:p>
        </w:tc>
        <w:tc>
          <w:tcPr>
            <w:tcW w:w="1127" w:type="dxa"/>
            <w:vAlign w:val="center"/>
          </w:tcPr>
          <w:p w14:paraId="689C8D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58FF36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1D479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F5471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-0.38</w:t>
            </w:r>
          </w:p>
        </w:tc>
        <w:tc>
          <w:tcPr>
            <w:tcW w:w="1127" w:type="dxa"/>
            <w:vAlign w:val="center"/>
          </w:tcPr>
          <w:p w14:paraId="458592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r>
      <w:tr w:rsidR="006E3616" w:rsidRPr="00400193" w14:paraId="4E16A670" w14:textId="77777777" w:rsidTr="003B5486">
        <w:tc>
          <w:tcPr>
            <w:tcW w:w="1127" w:type="dxa"/>
          </w:tcPr>
          <w:p w14:paraId="68B1E27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KECA9</w:t>
            </w:r>
          </w:p>
        </w:tc>
        <w:tc>
          <w:tcPr>
            <w:tcW w:w="1127" w:type="dxa"/>
            <w:vAlign w:val="center"/>
          </w:tcPr>
          <w:p w14:paraId="0B4B1D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3.38</w:t>
            </w:r>
          </w:p>
        </w:tc>
        <w:tc>
          <w:tcPr>
            <w:tcW w:w="1127" w:type="dxa"/>
            <w:vAlign w:val="center"/>
          </w:tcPr>
          <w:p w14:paraId="5BCA7C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w:t>
            </w:r>
          </w:p>
        </w:tc>
        <w:tc>
          <w:tcPr>
            <w:tcW w:w="1127" w:type="dxa"/>
            <w:vAlign w:val="center"/>
          </w:tcPr>
          <w:p w14:paraId="0221C0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63E3B3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16B8D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61991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1127" w:type="dxa"/>
            <w:vAlign w:val="center"/>
          </w:tcPr>
          <w:p w14:paraId="1E0202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r>
      <w:tr w:rsidR="006E3616" w:rsidRPr="00400193" w14:paraId="03694385" w14:textId="77777777" w:rsidTr="003B5486">
        <w:tc>
          <w:tcPr>
            <w:tcW w:w="1127" w:type="dxa"/>
          </w:tcPr>
          <w:p w14:paraId="55FBE31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KECA10</w:t>
            </w:r>
          </w:p>
        </w:tc>
        <w:tc>
          <w:tcPr>
            <w:tcW w:w="1127" w:type="dxa"/>
            <w:vAlign w:val="center"/>
          </w:tcPr>
          <w:p w14:paraId="3B44B3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2.82</w:t>
            </w:r>
          </w:p>
        </w:tc>
        <w:tc>
          <w:tcPr>
            <w:tcW w:w="1127" w:type="dxa"/>
            <w:vAlign w:val="center"/>
          </w:tcPr>
          <w:p w14:paraId="55B507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2.80</w:t>
            </w:r>
          </w:p>
        </w:tc>
        <w:tc>
          <w:tcPr>
            <w:tcW w:w="1127" w:type="dxa"/>
            <w:vAlign w:val="center"/>
          </w:tcPr>
          <w:p w14:paraId="1CEB51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AB366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F7DFD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F7BD9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0D5EA8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-1.30</w:t>
            </w:r>
          </w:p>
        </w:tc>
      </w:tr>
      <w:tr w:rsidR="006E3616" w:rsidRPr="00400193" w14:paraId="79483408" w14:textId="77777777" w:rsidTr="003B5486">
        <w:tc>
          <w:tcPr>
            <w:tcW w:w="1127" w:type="dxa"/>
          </w:tcPr>
          <w:p w14:paraId="784FF57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KECA11</w:t>
            </w:r>
          </w:p>
        </w:tc>
        <w:tc>
          <w:tcPr>
            <w:tcW w:w="1127" w:type="dxa"/>
            <w:vAlign w:val="center"/>
          </w:tcPr>
          <w:p w14:paraId="2E89DB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79A790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2C54A6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467FE9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41F3D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D7BBF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1127" w:type="dxa"/>
            <w:vAlign w:val="center"/>
          </w:tcPr>
          <w:p w14:paraId="7F79A8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r>
      <w:tr w:rsidR="006E3616" w:rsidRPr="00400193" w14:paraId="7E3FBE15" w14:textId="77777777" w:rsidTr="003B5486">
        <w:tc>
          <w:tcPr>
            <w:tcW w:w="1127" w:type="dxa"/>
          </w:tcPr>
          <w:p w14:paraId="6201129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KECA12</w:t>
            </w:r>
          </w:p>
        </w:tc>
        <w:tc>
          <w:tcPr>
            <w:tcW w:w="1127" w:type="dxa"/>
            <w:vAlign w:val="center"/>
          </w:tcPr>
          <w:p w14:paraId="5E33E6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08256C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1EB82C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1A9E46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50812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1CA43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2790EF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-0.83</w:t>
            </w:r>
          </w:p>
        </w:tc>
      </w:tr>
      <w:tr w:rsidR="006E3616" w:rsidRPr="00400193" w14:paraId="2780BD59" w14:textId="77777777" w:rsidTr="003B5486">
        <w:tc>
          <w:tcPr>
            <w:tcW w:w="1127" w:type="dxa"/>
          </w:tcPr>
          <w:p w14:paraId="6E6C369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KECA13</w:t>
            </w:r>
          </w:p>
        </w:tc>
        <w:tc>
          <w:tcPr>
            <w:tcW w:w="1127" w:type="dxa"/>
            <w:vAlign w:val="center"/>
          </w:tcPr>
          <w:p w14:paraId="487849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1127" w:type="dxa"/>
            <w:vAlign w:val="center"/>
          </w:tcPr>
          <w:p w14:paraId="49A8A8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664DE5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5572A9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AE9BF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45C90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E22C8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r>
      <w:tr w:rsidR="006E3616" w:rsidRPr="00400193" w14:paraId="113905B7" w14:textId="77777777" w:rsidTr="003B5486">
        <w:tc>
          <w:tcPr>
            <w:tcW w:w="1127" w:type="dxa"/>
          </w:tcPr>
          <w:p w14:paraId="10ECCAD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KECA14</w:t>
            </w:r>
          </w:p>
        </w:tc>
        <w:tc>
          <w:tcPr>
            <w:tcW w:w="1127" w:type="dxa"/>
            <w:vAlign w:val="center"/>
          </w:tcPr>
          <w:p w14:paraId="672F37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196B8B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4DCC02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691A0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BB967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2C8A0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75B08D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r>
      <w:tr w:rsidR="006E3616" w:rsidRPr="00400193" w14:paraId="1C52D820" w14:textId="77777777" w:rsidTr="003B5486">
        <w:tc>
          <w:tcPr>
            <w:tcW w:w="1127" w:type="dxa"/>
          </w:tcPr>
          <w:p w14:paraId="539CF05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KEKA</w:t>
            </w:r>
          </w:p>
        </w:tc>
        <w:tc>
          <w:tcPr>
            <w:tcW w:w="1127" w:type="dxa"/>
            <w:vAlign w:val="center"/>
          </w:tcPr>
          <w:p w14:paraId="46BDB9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778A4F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1009D6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6480DE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EEEDC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4.43</w:t>
            </w:r>
          </w:p>
        </w:tc>
        <w:tc>
          <w:tcPr>
            <w:tcW w:w="1127" w:type="dxa"/>
            <w:vAlign w:val="center"/>
          </w:tcPr>
          <w:p w14:paraId="6C909E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c>
          <w:tcPr>
            <w:tcW w:w="1127" w:type="dxa"/>
            <w:vAlign w:val="center"/>
          </w:tcPr>
          <w:p w14:paraId="032E25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r>
      <w:tr w:rsidR="006E3616" w:rsidRPr="00400193" w14:paraId="20D7C8C9" w14:textId="77777777" w:rsidTr="003B5486">
        <w:tc>
          <w:tcPr>
            <w:tcW w:w="1127" w:type="dxa"/>
          </w:tcPr>
          <w:p w14:paraId="313A108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w:t>
            </w:r>
          </w:p>
        </w:tc>
        <w:tc>
          <w:tcPr>
            <w:tcW w:w="1127" w:type="dxa"/>
            <w:vAlign w:val="center"/>
          </w:tcPr>
          <w:p w14:paraId="1B97FD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30DC73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144890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ED3E1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175AF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ADFFA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D96E4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r>
      <w:tr w:rsidR="006E3616" w:rsidRPr="00400193" w14:paraId="291C190E" w14:textId="77777777" w:rsidTr="003B5486">
        <w:tc>
          <w:tcPr>
            <w:tcW w:w="1127" w:type="dxa"/>
          </w:tcPr>
          <w:p w14:paraId="113E854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KEH2</w:t>
            </w:r>
          </w:p>
        </w:tc>
        <w:tc>
          <w:tcPr>
            <w:tcW w:w="1127" w:type="dxa"/>
            <w:vAlign w:val="center"/>
          </w:tcPr>
          <w:p w14:paraId="268C19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1127" w:type="dxa"/>
            <w:vAlign w:val="center"/>
          </w:tcPr>
          <w:p w14:paraId="67AF0D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3.33</w:t>
            </w:r>
          </w:p>
        </w:tc>
        <w:tc>
          <w:tcPr>
            <w:tcW w:w="1127" w:type="dxa"/>
            <w:vAlign w:val="center"/>
          </w:tcPr>
          <w:p w14:paraId="41B2F5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9788E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10043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21B44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5B2EAF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r>
      <w:tr w:rsidR="006E3616" w:rsidRPr="00400193" w14:paraId="7066CB8B" w14:textId="77777777" w:rsidTr="003B5486">
        <w:tc>
          <w:tcPr>
            <w:tcW w:w="1127" w:type="dxa"/>
          </w:tcPr>
          <w:p w14:paraId="35F9FB0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KEH3</w:t>
            </w:r>
          </w:p>
        </w:tc>
        <w:tc>
          <w:tcPr>
            <w:tcW w:w="1127" w:type="dxa"/>
            <w:vAlign w:val="center"/>
          </w:tcPr>
          <w:p w14:paraId="522077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1127" w:type="dxa"/>
            <w:vAlign w:val="center"/>
          </w:tcPr>
          <w:p w14:paraId="428299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2751A8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2B46E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F0863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FDE43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c>
          <w:tcPr>
            <w:tcW w:w="1127" w:type="dxa"/>
            <w:vAlign w:val="center"/>
          </w:tcPr>
          <w:p w14:paraId="6CDCDF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24C41313" w14:textId="77777777" w:rsidTr="003B5486">
        <w:tc>
          <w:tcPr>
            <w:tcW w:w="1127" w:type="dxa"/>
          </w:tcPr>
          <w:p w14:paraId="329B863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KEH4</w:t>
            </w:r>
          </w:p>
        </w:tc>
        <w:tc>
          <w:tcPr>
            <w:tcW w:w="1127" w:type="dxa"/>
            <w:vAlign w:val="center"/>
          </w:tcPr>
          <w:p w14:paraId="1378A3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161416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1BC1FB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7BD9CA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D3EF1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2D40B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1127" w:type="dxa"/>
            <w:vAlign w:val="center"/>
          </w:tcPr>
          <w:p w14:paraId="3BD992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447AF0D4" w14:textId="77777777" w:rsidTr="003B5486">
        <w:tc>
          <w:tcPr>
            <w:tcW w:w="1127" w:type="dxa"/>
          </w:tcPr>
          <w:p w14:paraId="111C95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KEH5</w:t>
            </w:r>
          </w:p>
        </w:tc>
        <w:tc>
          <w:tcPr>
            <w:tcW w:w="1127" w:type="dxa"/>
            <w:vAlign w:val="center"/>
          </w:tcPr>
          <w:p w14:paraId="109C27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51988B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642880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0D879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BB6A9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98AE2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602D49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B53AC4A" w14:textId="77777777" w:rsidTr="003B5486">
        <w:tc>
          <w:tcPr>
            <w:tcW w:w="1127" w:type="dxa"/>
          </w:tcPr>
          <w:p w14:paraId="3B75D10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KEH6</w:t>
            </w:r>
          </w:p>
        </w:tc>
        <w:tc>
          <w:tcPr>
            <w:tcW w:w="1127" w:type="dxa"/>
            <w:vAlign w:val="center"/>
          </w:tcPr>
          <w:p w14:paraId="31E0D5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196AA4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2B3B73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2D4B2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4C4DE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F86F0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1127" w:type="dxa"/>
            <w:vAlign w:val="center"/>
          </w:tcPr>
          <w:p w14:paraId="16B651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r>
      <w:tr w:rsidR="006E3616" w:rsidRPr="00400193" w14:paraId="68C079B8" w14:textId="77777777" w:rsidTr="003B5486">
        <w:tc>
          <w:tcPr>
            <w:tcW w:w="1127" w:type="dxa"/>
          </w:tcPr>
          <w:p w14:paraId="040587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KEH7</w:t>
            </w:r>
          </w:p>
        </w:tc>
        <w:tc>
          <w:tcPr>
            <w:tcW w:w="1127" w:type="dxa"/>
            <w:vAlign w:val="center"/>
          </w:tcPr>
          <w:p w14:paraId="632818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1450A0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1127" w:type="dxa"/>
            <w:vAlign w:val="center"/>
          </w:tcPr>
          <w:p w14:paraId="7419D5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E1850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5CD5A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20F70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55068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-1.08</w:t>
            </w:r>
          </w:p>
        </w:tc>
      </w:tr>
      <w:tr w:rsidR="006E3616" w:rsidRPr="00400193" w14:paraId="1598A426" w14:textId="77777777" w:rsidTr="003B5486">
        <w:tc>
          <w:tcPr>
            <w:tcW w:w="1127" w:type="dxa"/>
          </w:tcPr>
          <w:p w14:paraId="3B0A820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KEH8</w:t>
            </w:r>
          </w:p>
        </w:tc>
        <w:tc>
          <w:tcPr>
            <w:tcW w:w="1127" w:type="dxa"/>
            <w:vAlign w:val="center"/>
          </w:tcPr>
          <w:p w14:paraId="1D2C10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3E7D23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1127" w:type="dxa"/>
            <w:vAlign w:val="center"/>
          </w:tcPr>
          <w:p w14:paraId="61B633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5E6E6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637CF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62405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6EE300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-0.98</w:t>
            </w:r>
          </w:p>
        </w:tc>
      </w:tr>
      <w:tr w:rsidR="006E3616" w:rsidRPr="00400193" w14:paraId="50F8C9CF" w14:textId="77777777" w:rsidTr="003B5486">
        <w:tc>
          <w:tcPr>
            <w:tcW w:w="1127" w:type="dxa"/>
          </w:tcPr>
          <w:p w14:paraId="1BDDFC9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KEH9</w:t>
            </w:r>
          </w:p>
        </w:tc>
        <w:tc>
          <w:tcPr>
            <w:tcW w:w="1127" w:type="dxa"/>
            <w:vAlign w:val="center"/>
          </w:tcPr>
          <w:p w14:paraId="2E2F8B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1127" w:type="dxa"/>
            <w:vAlign w:val="center"/>
          </w:tcPr>
          <w:p w14:paraId="70F9A1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3.33</w:t>
            </w:r>
          </w:p>
        </w:tc>
        <w:tc>
          <w:tcPr>
            <w:tcW w:w="1127" w:type="dxa"/>
            <w:vAlign w:val="center"/>
          </w:tcPr>
          <w:p w14:paraId="33B922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607DCE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5701C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903E7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-0.32</w:t>
            </w:r>
          </w:p>
        </w:tc>
        <w:tc>
          <w:tcPr>
            <w:tcW w:w="1127" w:type="dxa"/>
            <w:vAlign w:val="center"/>
          </w:tcPr>
          <w:p w14:paraId="35C490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529BA3DF" w14:textId="77777777" w:rsidTr="003B5486">
        <w:tc>
          <w:tcPr>
            <w:tcW w:w="1127" w:type="dxa"/>
          </w:tcPr>
          <w:p w14:paraId="7362F1B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KEH10</w:t>
            </w:r>
          </w:p>
        </w:tc>
        <w:tc>
          <w:tcPr>
            <w:tcW w:w="1127" w:type="dxa"/>
            <w:vAlign w:val="center"/>
          </w:tcPr>
          <w:p w14:paraId="35E12D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1AA0AC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2111B4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F50DF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C928E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D6BA0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6506D8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r>
      <w:tr w:rsidR="006E3616" w:rsidRPr="00400193" w14:paraId="4EF44BB6" w14:textId="77777777" w:rsidTr="003B5486">
        <w:tc>
          <w:tcPr>
            <w:tcW w:w="1127" w:type="dxa"/>
          </w:tcPr>
          <w:p w14:paraId="37EA757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KEH11</w:t>
            </w:r>
          </w:p>
        </w:tc>
        <w:tc>
          <w:tcPr>
            <w:tcW w:w="1127" w:type="dxa"/>
            <w:vAlign w:val="center"/>
          </w:tcPr>
          <w:p w14:paraId="38A9D6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66A494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52DB55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3709F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9C7E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8B873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1127" w:type="dxa"/>
            <w:vAlign w:val="center"/>
          </w:tcPr>
          <w:p w14:paraId="373031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r>
      <w:tr w:rsidR="006E3616" w:rsidRPr="00400193" w14:paraId="1B160D66" w14:textId="77777777" w:rsidTr="003B5486">
        <w:tc>
          <w:tcPr>
            <w:tcW w:w="1127" w:type="dxa"/>
          </w:tcPr>
          <w:p w14:paraId="0D0959B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KEH12</w:t>
            </w:r>
          </w:p>
        </w:tc>
        <w:tc>
          <w:tcPr>
            <w:tcW w:w="1127" w:type="dxa"/>
            <w:vAlign w:val="center"/>
          </w:tcPr>
          <w:p w14:paraId="3AC377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1127" w:type="dxa"/>
            <w:vAlign w:val="center"/>
          </w:tcPr>
          <w:p w14:paraId="77D507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429C90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B5484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45A3E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50DA7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1127" w:type="dxa"/>
            <w:vAlign w:val="center"/>
          </w:tcPr>
          <w:p w14:paraId="07D1EA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-0.81</w:t>
            </w:r>
          </w:p>
        </w:tc>
      </w:tr>
      <w:tr w:rsidR="006E3616" w:rsidRPr="00400193" w14:paraId="774F0A40" w14:textId="77777777" w:rsidTr="003B5486">
        <w:tc>
          <w:tcPr>
            <w:tcW w:w="1127" w:type="dxa"/>
          </w:tcPr>
          <w:p w14:paraId="380CC6D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KEH13</w:t>
            </w:r>
          </w:p>
        </w:tc>
        <w:tc>
          <w:tcPr>
            <w:tcW w:w="1127" w:type="dxa"/>
            <w:vAlign w:val="center"/>
          </w:tcPr>
          <w:p w14:paraId="5D34F6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1127" w:type="dxa"/>
            <w:vAlign w:val="center"/>
          </w:tcPr>
          <w:p w14:paraId="53D609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3.29</w:t>
            </w:r>
          </w:p>
        </w:tc>
        <w:tc>
          <w:tcPr>
            <w:tcW w:w="1127" w:type="dxa"/>
            <w:vAlign w:val="center"/>
          </w:tcPr>
          <w:p w14:paraId="553366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FE090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52643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7F0A6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1127" w:type="dxa"/>
            <w:vAlign w:val="center"/>
          </w:tcPr>
          <w:p w14:paraId="262512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r>
      <w:tr w:rsidR="006E3616" w:rsidRPr="00400193" w14:paraId="3BC3AD75" w14:textId="77777777" w:rsidTr="003B5486">
        <w:tc>
          <w:tcPr>
            <w:tcW w:w="1127" w:type="dxa"/>
          </w:tcPr>
          <w:p w14:paraId="2E4939E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KEH14</w:t>
            </w:r>
          </w:p>
        </w:tc>
        <w:tc>
          <w:tcPr>
            <w:tcW w:w="1127" w:type="dxa"/>
            <w:vAlign w:val="center"/>
          </w:tcPr>
          <w:p w14:paraId="4A3F28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73F2A8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1127" w:type="dxa"/>
            <w:vAlign w:val="center"/>
          </w:tcPr>
          <w:p w14:paraId="3F2A45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3CB3E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7389E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21512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4D6BCD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r>
      <w:tr w:rsidR="006E3616" w:rsidRPr="00400193" w14:paraId="065DD9D4" w14:textId="77777777" w:rsidTr="003B5486">
        <w:tc>
          <w:tcPr>
            <w:tcW w:w="1127" w:type="dxa"/>
          </w:tcPr>
          <w:p w14:paraId="5CE235D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KEH15</w:t>
            </w:r>
          </w:p>
        </w:tc>
        <w:tc>
          <w:tcPr>
            <w:tcW w:w="1127" w:type="dxa"/>
            <w:vAlign w:val="center"/>
          </w:tcPr>
          <w:p w14:paraId="6D399A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w:t>
            </w:r>
          </w:p>
        </w:tc>
        <w:tc>
          <w:tcPr>
            <w:tcW w:w="1127" w:type="dxa"/>
            <w:vAlign w:val="center"/>
          </w:tcPr>
          <w:p w14:paraId="55D8EA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3.48</w:t>
            </w:r>
          </w:p>
        </w:tc>
        <w:tc>
          <w:tcPr>
            <w:tcW w:w="1127" w:type="dxa"/>
            <w:vAlign w:val="center"/>
          </w:tcPr>
          <w:p w14:paraId="7DBA45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6E09BF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70871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9F548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1127" w:type="dxa"/>
            <w:vAlign w:val="center"/>
          </w:tcPr>
          <w:p w14:paraId="01E697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r>
      <w:tr w:rsidR="006E3616" w:rsidRPr="00400193" w14:paraId="25A567D0" w14:textId="77777777" w:rsidTr="003B5486">
        <w:tc>
          <w:tcPr>
            <w:tcW w:w="1127" w:type="dxa"/>
          </w:tcPr>
          <w:p w14:paraId="597A3EE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w:t>
            </w:r>
          </w:p>
        </w:tc>
        <w:tc>
          <w:tcPr>
            <w:tcW w:w="1127" w:type="dxa"/>
            <w:vAlign w:val="center"/>
          </w:tcPr>
          <w:p w14:paraId="41CB3C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2CE2DE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167B32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F5774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90ED1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4.93</w:t>
            </w:r>
          </w:p>
        </w:tc>
        <w:tc>
          <w:tcPr>
            <w:tcW w:w="1127" w:type="dxa"/>
            <w:vAlign w:val="center"/>
          </w:tcPr>
          <w:p w14:paraId="387BBE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1127" w:type="dxa"/>
            <w:vAlign w:val="center"/>
          </w:tcPr>
          <w:p w14:paraId="7E4B31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r>
      <w:tr w:rsidR="006E3616" w:rsidRPr="00400193" w14:paraId="44F1F8A3" w14:textId="77777777" w:rsidTr="003B5486">
        <w:tc>
          <w:tcPr>
            <w:tcW w:w="1127" w:type="dxa"/>
          </w:tcPr>
          <w:p w14:paraId="558C50E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KEP1</w:t>
            </w:r>
          </w:p>
        </w:tc>
        <w:tc>
          <w:tcPr>
            <w:tcW w:w="1127" w:type="dxa"/>
            <w:vAlign w:val="center"/>
          </w:tcPr>
          <w:p w14:paraId="0309A7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3.40</w:t>
            </w:r>
          </w:p>
        </w:tc>
        <w:tc>
          <w:tcPr>
            <w:tcW w:w="1127" w:type="dxa"/>
            <w:vAlign w:val="center"/>
          </w:tcPr>
          <w:p w14:paraId="24681E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3.45</w:t>
            </w:r>
          </w:p>
        </w:tc>
        <w:tc>
          <w:tcPr>
            <w:tcW w:w="1127" w:type="dxa"/>
            <w:vAlign w:val="center"/>
          </w:tcPr>
          <w:p w14:paraId="496D50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01B443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B9A5B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BC66D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c>
          <w:tcPr>
            <w:tcW w:w="1127" w:type="dxa"/>
            <w:vAlign w:val="center"/>
          </w:tcPr>
          <w:p w14:paraId="3671C0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r>
      <w:tr w:rsidR="006E3616" w:rsidRPr="00400193" w14:paraId="7398B951" w14:textId="77777777" w:rsidTr="003B5486">
        <w:tc>
          <w:tcPr>
            <w:tcW w:w="1127" w:type="dxa"/>
          </w:tcPr>
          <w:p w14:paraId="11DC69C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KEP2</w:t>
            </w:r>
          </w:p>
        </w:tc>
        <w:tc>
          <w:tcPr>
            <w:tcW w:w="1127" w:type="dxa"/>
            <w:vAlign w:val="center"/>
          </w:tcPr>
          <w:p w14:paraId="4FD27B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3.36</w:t>
            </w:r>
          </w:p>
        </w:tc>
        <w:tc>
          <w:tcPr>
            <w:tcW w:w="1127" w:type="dxa"/>
            <w:vAlign w:val="center"/>
          </w:tcPr>
          <w:p w14:paraId="58CFAB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3.40</w:t>
            </w:r>
          </w:p>
        </w:tc>
        <w:tc>
          <w:tcPr>
            <w:tcW w:w="1127" w:type="dxa"/>
            <w:vAlign w:val="center"/>
          </w:tcPr>
          <w:p w14:paraId="31E8D3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4C14D8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6D19C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27106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-0.44</w:t>
            </w:r>
          </w:p>
        </w:tc>
        <w:tc>
          <w:tcPr>
            <w:tcW w:w="1127" w:type="dxa"/>
            <w:vAlign w:val="center"/>
          </w:tcPr>
          <w:p w14:paraId="051AE3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r>
      <w:tr w:rsidR="006E3616" w:rsidRPr="00400193" w14:paraId="268BCB87" w14:textId="77777777" w:rsidTr="003B5486">
        <w:tc>
          <w:tcPr>
            <w:tcW w:w="1127" w:type="dxa"/>
          </w:tcPr>
          <w:p w14:paraId="450A467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KEP3</w:t>
            </w:r>
          </w:p>
        </w:tc>
        <w:tc>
          <w:tcPr>
            <w:tcW w:w="1127" w:type="dxa"/>
            <w:vAlign w:val="center"/>
          </w:tcPr>
          <w:p w14:paraId="363F49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34F4C6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3.33</w:t>
            </w:r>
          </w:p>
        </w:tc>
        <w:tc>
          <w:tcPr>
            <w:tcW w:w="1127" w:type="dxa"/>
            <w:vAlign w:val="center"/>
          </w:tcPr>
          <w:p w14:paraId="2D7457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63502A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569D6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8461D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54E66A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6785B179" w14:textId="77777777" w:rsidTr="003B5486">
        <w:tc>
          <w:tcPr>
            <w:tcW w:w="1127" w:type="dxa"/>
          </w:tcPr>
          <w:p w14:paraId="5C0BCE0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KEP4</w:t>
            </w:r>
          </w:p>
        </w:tc>
        <w:tc>
          <w:tcPr>
            <w:tcW w:w="1127" w:type="dxa"/>
            <w:vAlign w:val="center"/>
          </w:tcPr>
          <w:p w14:paraId="4BEC20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1127" w:type="dxa"/>
            <w:vAlign w:val="center"/>
          </w:tcPr>
          <w:p w14:paraId="3CB57F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3.49</w:t>
            </w:r>
          </w:p>
        </w:tc>
        <w:tc>
          <w:tcPr>
            <w:tcW w:w="1127" w:type="dxa"/>
            <w:vAlign w:val="center"/>
          </w:tcPr>
          <w:p w14:paraId="19F67F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07A99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A5CB2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139CD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1127" w:type="dxa"/>
            <w:vAlign w:val="center"/>
          </w:tcPr>
          <w:p w14:paraId="51849C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r>
      <w:tr w:rsidR="006E3616" w:rsidRPr="00400193" w14:paraId="2B5F0FC6" w14:textId="77777777" w:rsidTr="003B5486">
        <w:tc>
          <w:tcPr>
            <w:tcW w:w="1127" w:type="dxa"/>
          </w:tcPr>
          <w:p w14:paraId="0EF66CB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KEP5</w:t>
            </w:r>
          </w:p>
        </w:tc>
        <w:tc>
          <w:tcPr>
            <w:tcW w:w="1127" w:type="dxa"/>
            <w:vAlign w:val="center"/>
          </w:tcPr>
          <w:p w14:paraId="1EB46D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1127" w:type="dxa"/>
            <w:vAlign w:val="center"/>
          </w:tcPr>
          <w:p w14:paraId="0AE672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45CA18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7522CA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D25A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AD56E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18F288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r>
      <w:tr w:rsidR="006E3616" w:rsidRPr="00400193" w14:paraId="375BAF06" w14:textId="77777777" w:rsidTr="003B5486">
        <w:tc>
          <w:tcPr>
            <w:tcW w:w="1127" w:type="dxa"/>
          </w:tcPr>
          <w:p w14:paraId="78ECE83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KEP6</w:t>
            </w:r>
          </w:p>
        </w:tc>
        <w:tc>
          <w:tcPr>
            <w:tcW w:w="1127" w:type="dxa"/>
            <w:vAlign w:val="center"/>
          </w:tcPr>
          <w:p w14:paraId="33952B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7CBEE6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1127" w:type="dxa"/>
            <w:vAlign w:val="center"/>
          </w:tcPr>
          <w:p w14:paraId="42A8A2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5A6F27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5597D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52758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1127" w:type="dxa"/>
            <w:vAlign w:val="center"/>
          </w:tcPr>
          <w:p w14:paraId="51835B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13161CA6" w14:textId="77777777" w:rsidTr="003B5486">
        <w:tc>
          <w:tcPr>
            <w:tcW w:w="1127" w:type="dxa"/>
          </w:tcPr>
          <w:p w14:paraId="5356569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KEP7</w:t>
            </w:r>
          </w:p>
        </w:tc>
        <w:tc>
          <w:tcPr>
            <w:tcW w:w="1127" w:type="dxa"/>
            <w:vAlign w:val="center"/>
          </w:tcPr>
          <w:p w14:paraId="3245B2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36D547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1127" w:type="dxa"/>
            <w:vAlign w:val="center"/>
          </w:tcPr>
          <w:p w14:paraId="2F26CC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7E7D7A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ED108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4323B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3619B3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r>
      <w:tr w:rsidR="006E3616" w:rsidRPr="00400193" w14:paraId="2DFF9A9D" w14:textId="77777777" w:rsidTr="003B5486">
        <w:tc>
          <w:tcPr>
            <w:tcW w:w="1127" w:type="dxa"/>
          </w:tcPr>
          <w:p w14:paraId="5255CD5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KEP8</w:t>
            </w:r>
          </w:p>
        </w:tc>
        <w:tc>
          <w:tcPr>
            <w:tcW w:w="1127" w:type="dxa"/>
            <w:vAlign w:val="center"/>
          </w:tcPr>
          <w:p w14:paraId="40B375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3FBFA7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367AEF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25379E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1D2AF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A991E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F3CE3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r>
      <w:tr w:rsidR="006E3616" w:rsidRPr="00400193" w14:paraId="55C96FB8" w14:textId="77777777" w:rsidTr="003B5486">
        <w:tc>
          <w:tcPr>
            <w:tcW w:w="1127" w:type="dxa"/>
          </w:tcPr>
          <w:p w14:paraId="41DB4B6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KEP</w:t>
            </w:r>
          </w:p>
        </w:tc>
        <w:tc>
          <w:tcPr>
            <w:tcW w:w="1127" w:type="dxa"/>
            <w:vAlign w:val="center"/>
          </w:tcPr>
          <w:p w14:paraId="14E7B9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18D6A1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7D0585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57E6F6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920B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DBF0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1127" w:type="dxa"/>
            <w:vAlign w:val="center"/>
          </w:tcPr>
          <w:p w14:paraId="5BA7F7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r>
      <w:tr w:rsidR="006E3616" w:rsidRPr="00400193" w14:paraId="6E973E29" w14:textId="77777777" w:rsidTr="003B5486">
        <w:tc>
          <w:tcPr>
            <w:tcW w:w="1127" w:type="dxa"/>
          </w:tcPr>
          <w:p w14:paraId="2BCFC3E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w:t>
            </w:r>
          </w:p>
        </w:tc>
        <w:tc>
          <w:tcPr>
            <w:tcW w:w="1127" w:type="dxa"/>
            <w:vAlign w:val="center"/>
          </w:tcPr>
          <w:p w14:paraId="5C9A67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2A6E6A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68EB3D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39E52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BC590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54FF8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1127" w:type="dxa"/>
            <w:vAlign w:val="center"/>
          </w:tcPr>
          <w:p w14:paraId="580FBB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-0.71</w:t>
            </w:r>
          </w:p>
        </w:tc>
      </w:tr>
      <w:tr w:rsidR="006E3616" w:rsidRPr="00400193" w14:paraId="59682CC9" w14:textId="77777777" w:rsidTr="003B5486">
        <w:tc>
          <w:tcPr>
            <w:tcW w:w="1127" w:type="dxa"/>
          </w:tcPr>
          <w:p w14:paraId="3B388FC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KEFF2</w:t>
            </w:r>
          </w:p>
        </w:tc>
        <w:tc>
          <w:tcPr>
            <w:tcW w:w="1127" w:type="dxa"/>
            <w:vAlign w:val="center"/>
          </w:tcPr>
          <w:p w14:paraId="03EF7F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3.67</w:t>
            </w:r>
          </w:p>
        </w:tc>
        <w:tc>
          <w:tcPr>
            <w:tcW w:w="1127" w:type="dxa"/>
            <w:vAlign w:val="center"/>
          </w:tcPr>
          <w:p w14:paraId="15EC1E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1127" w:type="dxa"/>
            <w:vAlign w:val="center"/>
          </w:tcPr>
          <w:p w14:paraId="1E4D94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21549B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5EB01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3939B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c>
          <w:tcPr>
            <w:tcW w:w="1127" w:type="dxa"/>
            <w:vAlign w:val="center"/>
          </w:tcPr>
          <w:p w14:paraId="30B2E0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r>
      <w:tr w:rsidR="006E3616" w:rsidRPr="00400193" w14:paraId="4D316D09" w14:textId="77777777" w:rsidTr="003B5486">
        <w:tc>
          <w:tcPr>
            <w:tcW w:w="1127" w:type="dxa"/>
          </w:tcPr>
          <w:p w14:paraId="0C8AF9F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KEFF3</w:t>
            </w:r>
          </w:p>
        </w:tc>
        <w:tc>
          <w:tcPr>
            <w:tcW w:w="1127" w:type="dxa"/>
            <w:vAlign w:val="center"/>
          </w:tcPr>
          <w:p w14:paraId="4AA3E4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0C8D5A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25C931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283EF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A83FA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426BC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5D1016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-0.62</w:t>
            </w:r>
          </w:p>
        </w:tc>
      </w:tr>
      <w:tr w:rsidR="006E3616" w:rsidRPr="00400193" w14:paraId="627168A7" w14:textId="77777777" w:rsidTr="003B5486">
        <w:tc>
          <w:tcPr>
            <w:tcW w:w="1127" w:type="dxa"/>
          </w:tcPr>
          <w:p w14:paraId="7C30D46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KEFF4</w:t>
            </w:r>
          </w:p>
        </w:tc>
        <w:tc>
          <w:tcPr>
            <w:tcW w:w="1127" w:type="dxa"/>
            <w:vAlign w:val="center"/>
          </w:tcPr>
          <w:p w14:paraId="785231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044164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5BC4BE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5D0E1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95F37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4E62F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7DC0A4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r>
      <w:tr w:rsidR="006E3616" w:rsidRPr="00400193" w14:paraId="793876A4" w14:textId="77777777" w:rsidTr="003B5486">
        <w:tc>
          <w:tcPr>
            <w:tcW w:w="1127" w:type="dxa"/>
          </w:tcPr>
          <w:p w14:paraId="33C8B43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KEFF5</w:t>
            </w:r>
          </w:p>
        </w:tc>
        <w:tc>
          <w:tcPr>
            <w:tcW w:w="1127" w:type="dxa"/>
            <w:vAlign w:val="center"/>
          </w:tcPr>
          <w:p w14:paraId="35B5C0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18AF5B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1A64F5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E356C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8C32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78435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55F37E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r>
      <w:tr w:rsidR="006E3616" w:rsidRPr="00400193" w14:paraId="1C36E590" w14:textId="77777777" w:rsidTr="003B5486">
        <w:tc>
          <w:tcPr>
            <w:tcW w:w="1127" w:type="dxa"/>
          </w:tcPr>
          <w:p w14:paraId="062C665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KEFF6</w:t>
            </w:r>
          </w:p>
        </w:tc>
        <w:tc>
          <w:tcPr>
            <w:tcW w:w="1127" w:type="dxa"/>
            <w:vAlign w:val="center"/>
          </w:tcPr>
          <w:p w14:paraId="705E0B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62E301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1127" w:type="dxa"/>
            <w:vAlign w:val="center"/>
          </w:tcPr>
          <w:p w14:paraId="39B899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9E253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AB0B0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782F3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25C1F0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r>
      <w:tr w:rsidR="006E3616" w:rsidRPr="00400193" w14:paraId="22D12D2D" w14:textId="77777777" w:rsidTr="003B5486">
        <w:tc>
          <w:tcPr>
            <w:tcW w:w="1127" w:type="dxa"/>
          </w:tcPr>
          <w:p w14:paraId="0111749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KEFF7</w:t>
            </w:r>
          </w:p>
        </w:tc>
        <w:tc>
          <w:tcPr>
            <w:tcW w:w="1127" w:type="dxa"/>
            <w:vAlign w:val="center"/>
          </w:tcPr>
          <w:p w14:paraId="15B2B6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04085B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4FAEE7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3FB51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B62FB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F5772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1127" w:type="dxa"/>
            <w:vAlign w:val="center"/>
          </w:tcPr>
          <w:p w14:paraId="58CBF0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r>
      <w:tr w:rsidR="006E3616" w:rsidRPr="00400193" w14:paraId="27D3C92E" w14:textId="77777777" w:rsidTr="003B5486">
        <w:tc>
          <w:tcPr>
            <w:tcW w:w="1127" w:type="dxa"/>
          </w:tcPr>
          <w:p w14:paraId="4DBEE7D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KEFF8</w:t>
            </w:r>
          </w:p>
        </w:tc>
        <w:tc>
          <w:tcPr>
            <w:tcW w:w="1127" w:type="dxa"/>
            <w:vAlign w:val="center"/>
          </w:tcPr>
          <w:p w14:paraId="2FD040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633EA7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75A248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DB85D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4F1D3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C4382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24F00A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6D56AD77" w14:textId="77777777" w:rsidTr="003B5486">
        <w:tc>
          <w:tcPr>
            <w:tcW w:w="1127" w:type="dxa"/>
          </w:tcPr>
          <w:p w14:paraId="02D9C0A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KEFF9</w:t>
            </w:r>
          </w:p>
        </w:tc>
        <w:tc>
          <w:tcPr>
            <w:tcW w:w="1127" w:type="dxa"/>
            <w:vAlign w:val="center"/>
          </w:tcPr>
          <w:p w14:paraId="76BFAE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1127" w:type="dxa"/>
            <w:vAlign w:val="center"/>
          </w:tcPr>
          <w:p w14:paraId="32A70D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4DCB14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2DF38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88ABF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DE1E9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1127" w:type="dxa"/>
            <w:vAlign w:val="center"/>
          </w:tcPr>
          <w:p w14:paraId="2EC597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r>
      <w:tr w:rsidR="006E3616" w:rsidRPr="00400193" w14:paraId="1FF1516F" w14:textId="77777777" w:rsidTr="003B5486">
        <w:tc>
          <w:tcPr>
            <w:tcW w:w="1127" w:type="dxa"/>
          </w:tcPr>
          <w:p w14:paraId="31498DF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KEFF10</w:t>
            </w:r>
          </w:p>
        </w:tc>
        <w:tc>
          <w:tcPr>
            <w:tcW w:w="1127" w:type="dxa"/>
            <w:vAlign w:val="center"/>
          </w:tcPr>
          <w:p w14:paraId="6DD902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39341A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1EDA87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09C79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DF54D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6B664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2E3770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r>
      <w:tr w:rsidR="006E3616" w:rsidRPr="00400193" w14:paraId="72F46486" w14:textId="77777777" w:rsidTr="003B5486">
        <w:tc>
          <w:tcPr>
            <w:tcW w:w="1127" w:type="dxa"/>
          </w:tcPr>
          <w:p w14:paraId="07CDDAE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KEFF11</w:t>
            </w:r>
          </w:p>
        </w:tc>
        <w:tc>
          <w:tcPr>
            <w:tcW w:w="1127" w:type="dxa"/>
            <w:vAlign w:val="center"/>
          </w:tcPr>
          <w:p w14:paraId="7F549A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1127" w:type="dxa"/>
            <w:vAlign w:val="center"/>
          </w:tcPr>
          <w:p w14:paraId="6BB809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1127" w:type="dxa"/>
            <w:vAlign w:val="center"/>
          </w:tcPr>
          <w:p w14:paraId="0E5612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172297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5274A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F5F0A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2C1314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r>
      <w:tr w:rsidR="006E3616" w:rsidRPr="00400193" w14:paraId="7E9A614A" w14:textId="77777777" w:rsidTr="003B5486">
        <w:tc>
          <w:tcPr>
            <w:tcW w:w="1127" w:type="dxa"/>
          </w:tcPr>
          <w:p w14:paraId="24C15EE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KEFF12</w:t>
            </w:r>
          </w:p>
        </w:tc>
        <w:tc>
          <w:tcPr>
            <w:tcW w:w="1127" w:type="dxa"/>
            <w:vAlign w:val="center"/>
          </w:tcPr>
          <w:p w14:paraId="296329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5C2D7C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581200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5B699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92CF2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C5C97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27302F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r>
      <w:tr w:rsidR="006E3616" w:rsidRPr="00400193" w14:paraId="11892CAE" w14:textId="77777777" w:rsidTr="003B5486">
        <w:tc>
          <w:tcPr>
            <w:tcW w:w="1127" w:type="dxa"/>
          </w:tcPr>
          <w:p w14:paraId="03934B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KEFF13</w:t>
            </w:r>
          </w:p>
        </w:tc>
        <w:tc>
          <w:tcPr>
            <w:tcW w:w="1127" w:type="dxa"/>
            <w:vAlign w:val="center"/>
          </w:tcPr>
          <w:p w14:paraId="44C030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2.67</w:t>
            </w:r>
          </w:p>
        </w:tc>
        <w:tc>
          <w:tcPr>
            <w:tcW w:w="1127" w:type="dxa"/>
            <w:vAlign w:val="center"/>
          </w:tcPr>
          <w:p w14:paraId="1C1AB4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2.64</w:t>
            </w:r>
          </w:p>
        </w:tc>
        <w:tc>
          <w:tcPr>
            <w:tcW w:w="1127" w:type="dxa"/>
            <w:vAlign w:val="center"/>
          </w:tcPr>
          <w:p w14:paraId="479322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729B88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3BF7B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3F54F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1127" w:type="dxa"/>
            <w:vAlign w:val="center"/>
          </w:tcPr>
          <w:p w14:paraId="24F622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-1.32</w:t>
            </w:r>
          </w:p>
        </w:tc>
      </w:tr>
      <w:tr w:rsidR="006E3616" w:rsidRPr="00400193" w14:paraId="2718A0EF" w14:textId="77777777" w:rsidTr="003B5486">
        <w:tc>
          <w:tcPr>
            <w:tcW w:w="1127" w:type="dxa"/>
          </w:tcPr>
          <w:p w14:paraId="5683C20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w:t>
            </w:r>
          </w:p>
        </w:tc>
        <w:tc>
          <w:tcPr>
            <w:tcW w:w="1127" w:type="dxa"/>
            <w:vAlign w:val="center"/>
          </w:tcPr>
          <w:p w14:paraId="17B6CC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5ADAA0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103AB7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37937E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05817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E954A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04661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r>
      <w:tr w:rsidR="006E3616" w:rsidRPr="00400193" w14:paraId="50CA1DBA" w14:textId="77777777" w:rsidTr="003B5486">
        <w:tc>
          <w:tcPr>
            <w:tcW w:w="1127" w:type="dxa"/>
          </w:tcPr>
          <w:p w14:paraId="76E2B45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w:t>
            </w:r>
          </w:p>
        </w:tc>
        <w:tc>
          <w:tcPr>
            <w:tcW w:w="1127" w:type="dxa"/>
            <w:vAlign w:val="center"/>
          </w:tcPr>
          <w:p w14:paraId="722D22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488BD2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37080F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B4A7C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3907B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8CBC3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1C06ED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-1.22</w:t>
            </w:r>
          </w:p>
        </w:tc>
      </w:tr>
      <w:tr w:rsidR="006E3616" w:rsidRPr="00400193" w14:paraId="637C2EF1" w14:textId="77777777" w:rsidTr="003B5486">
        <w:tc>
          <w:tcPr>
            <w:tcW w:w="1127" w:type="dxa"/>
          </w:tcPr>
          <w:p w14:paraId="74E34D5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w:t>
            </w:r>
          </w:p>
        </w:tc>
        <w:tc>
          <w:tcPr>
            <w:tcW w:w="1127" w:type="dxa"/>
            <w:vAlign w:val="center"/>
          </w:tcPr>
          <w:p w14:paraId="4F1B34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2.79</w:t>
            </w:r>
          </w:p>
        </w:tc>
        <w:tc>
          <w:tcPr>
            <w:tcW w:w="1127" w:type="dxa"/>
            <w:vAlign w:val="center"/>
          </w:tcPr>
          <w:p w14:paraId="61CA9A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2.77</w:t>
            </w:r>
          </w:p>
        </w:tc>
        <w:tc>
          <w:tcPr>
            <w:tcW w:w="1127" w:type="dxa"/>
            <w:vAlign w:val="center"/>
          </w:tcPr>
          <w:p w14:paraId="34904D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1EF099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F35B4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A5C6B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6683A5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-1.25</w:t>
            </w:r>
          </w:p>
        </w:tc>
      </w:tr>
      <w:tr w:rsidR="006E3616" w:rsidRPr="00400193" w14:paraId="678C936D" w14:textId="77777777" w:rsidTr="003B5486">
        <w:tc>
          <w:tcPr>
            <w:tcW w:w="1127" w:type="dxa"/>
          </w:tcPr>
          <w:p w14:paraId="2E21B75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ETCA3</w:t>
            </w:r>
          </w:p>
        </w:tc>
        <w:tc>
          <w:tcPr>
            <w:tcW w:w="1127" w:type="dxa"/>
            <w:vAlign w:val="center"/>
          </w:tcPr>
          <w:p w14:paraId="5E83F5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1127" w:type="dxa"/>
            <w:vAlign w:val="center"/>
          </w:tcPr>
          <w:p w14:paraId="077987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1127" w:type="dxa"/>
            <w:vAlign w:val="center"/>
          </w:tcPr>
          <w:p w14:paraId="5C5D69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06A5FD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8F7AD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0BA0B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3C5A19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r>
      <w:tr w:rsidR="006E3616" w:rsidRPr="00400193" w14:paraId="713F5FF7" w14:textId="77777777" w:rsidTr="003B5486">
        <w:tc>
          <w:tcPr>
            <w:tcW w:w="1127" w:type="dxa"/>
          </w:tcPr>
          <w:p w14:paraId="170099B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ETCA4</w:t>
            </w:r>
          </w:p>
        </w:tc>
        <w:tc>
          <w:tcPr>
            <w:tcW w:w="1127" w:type="dxa"/>
            <w:vAlign w:val="center"/>
          </w:tcPr>
          <w:p w14:paraId="0D1692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36058E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0E2574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DFB34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914FA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4DDBF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7A1ACD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r>
      <w:tr w:rsidR="006E3616" w:rsidRPr="00400193" w14:paraId="7B043559" w14:textId="77777777" w:rsidTr="003B5486">
        <w:tc>
          <w:tcPr>
            <w:tcW w:w="1127" w:type="dxa"/>
          </w:tcPr>
          <w:p w14:paraId="27516E5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ETCA5</w:t>
            </w:r>
          </w:p>
        </w:tc>
        <w:tc>
          <w:tcPr>
            <w:tcW w:w="1127" w:type="dxa"/>
            <w:vAlign w:val="center"/>
          </w:tcPr>
          <w:p w14:paraId="7A037A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729225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6BAC3D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9CBBF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88A36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9485F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48979A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-0.69</w:t>
            </w:r>
          </w:p>
        </w:tc>
      </w:tr>
      <w:tr w:rsidR="006E3616" w:rsidRPr="00400193" w14:paraId="4A000799" w14:textId="77777777" w:rsidTr="003B5486">
        <w:tc>
          <w:tcPr>
            <w:tcW w:w="1127" w:type="dxa"/>
          </w:tcPr>
          <w:p w14:paraId="6B7FA3D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ETCA6</w:t>
            </w:r>
          </w:p>
        </w:tc>
        <w:tc>
          <w:tcPr>
            <w:tcW w:w="1127" w:type="dxa"/>
            <w:vAlign w:val="center"/>
          </w:tcPr>
          <w:p w14:paraId="1ABC9F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2.82</w:t>
            </w:r>
          </w:p>
        </w:tc>
        <w:tc>
          <w:tcPr>
            <w:tcW w:w="1127" w:type="dxa"/>
            <w:vAlign w:val="center"/>
          </w:tcPr>
          <w:p w14:paraId="513862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2.80</w:t>
            </w:r>
          </w:p>
        </w:tc>
        <w:tc>
          <w:tcPr>
            <w:tcW w:w="1127" w:type="dxa"/>
            <w:vAlign w:val="center"/>
          </w:tcPr>
          <w:p w14:paraId="7B25E4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77B3D7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951DF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4EA38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c>
          <w:tcPr>
            <w:tcW w:w="1127" w:type="dxa"/>
            <w:vAlign w:val="center"/>
          </w:tcPr>
          <w:p w14:paraId="0879F6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r>
      <w:tr w:rsidR="006E3616" w:rsidRPr="00400193" w14:paraId="1E13103A" w14:textId="77777777" w:rsidTr="003B5486">
        <w:tc>
          <w:tcPr>
            <w:tcW w:w="1127" w:type="dxa"/>
          </w:tcPr>
          <w:p w14:paraId="7E3062D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ETCA7</w:t>
            </w:r>
          </w:p>
        </w:tc>
        <w:tc>
          <w:tcPr>
            <w:tcW w:w="1127" w:type="dxa"/>
            <w:vAlign w:val="center"/>
          </w:tcPr>
          <w:p w14:paraId="214C4E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1127" w:type="dxa"/>
            <w:vAlign w:val="center"/>
          </w:tcPr>
          <w:p w14:paraId="076F95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5ED2B3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44FB4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0CF1F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5000D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1127" w:type="dxa"/>
            <w:vAlign w:val="center"/>
          </w:tcPr>
          <w:p w14:paraId="1E2575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r>
      <w:tr w:rsidR="006E3616" w:rsidRPr="00400193" w14:paraId="789249FA" w14:textId="77777777" w:rsidTr="003B5486">
        <w:tc>
          <w:tcPr>
            <w:tcW w:w="1127" w:type="dxa"/>
          </w:tcPr>
          <w:p w14:paraId="5C624C7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ETCA8</w:t>
            </w:r>
          </w:p>
        </w:tc>
        <w:tc>
          <w:tcPr>
            <w:tcW w:w="1127" w:type="dxa"/>
            <w:vAlign w:val="center"/>
          </w:tcPr>
          <w:p w14:paraId="421BA7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1127" w:type="dxa"/>
            <w:vAlign w:val="center"/>
          </w:tcPr>
          <w:p w14:paraId="39ED1D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3.35</w:t>
            </w:r>
          </w:p>
        </w:tc>
        <w:tc>
          <w:tcPr>
            <w:tcW w:w="1127" w:type="dxa"/>
            <w:vAlign w:val="center"/>
          </w:tcPr>
          <w:p w14:paraId="58A193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4991E7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D72C9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7B35B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76BE2B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443A34E0" w14:textId="77777777" w:rsidTr="003B5486">
        <w:tc>
          <w:tcPr>
            <w:tcW w:w="1127" w:type="dxa"/>
          </w:tcPr>
          <w:p w14:paraId="1F2CE8D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ETCA9</w:t>
            </w:r>
          </w:p>
        </w:tc>
        <w:tc>
          <w:tcPr>
            <w:tcW w:w="1127" w:type="dxa"/>
            <w:vAlign w:val="center"/>
          </w:tcPr>
          <w:p w14:paraId="18ED65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2.78</w:t>
            </w:r>
          </w:p>
        </w:tc>
        <w:tc>
          <w:tcPr>
            <w:tcW w:w="1127" w:type="dxa"/>
            <w:vAlign w:val="center"/>
          </w:tcPr>
          <w:p w14:paraId="6649D7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2.75</w:t>
            </w:r>
          </w:p>
        </w:tc>
        <w:tc>
          <w:tcPr>
            <w:tcW w:w="1127" w:type="dxa"/>
            <w:vAlign w:val="center"/>
          </w:tcPr>
          <w:p w14:paraId="39DB0D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3A96B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5879D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EC0A0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1127" w:type="dxa"/>
            <w:vAlign w:val="center"/>
          </w:tcPr>
          <w:p w14:paraId="2ECE87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2AF2798A" w14:textId="77777777" w:rsidTr="003B5486">
        <w:tc>
          <w:tcPr>
            <w:tcW w:w="1127" w:type="dxa"/>
          </w:tcPr>
          <w:p w14:paraId="080B5FB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ETCA10</w:t>
            </w:r>
          </w:p>
        </w:tc>
        <w:tc>
          <w:tcPr>
            <w:tcW w:w="1127" w:type="dxa"/>
            <w:vAlign w:val="center"/>
          </w:tcPr>
          <w:p w14:paraId="376326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71BD5A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0832AC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1B0830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4442E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6B296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6C4840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r>
      <w:tr w:rsidR="006E3616" w:rsidRPr="00400193" w14:paraId="2440AD38" w14:textId="77777777" w:rsidTr="003B5486">
        <w:tc>
          <w:tcPr>
            <w:tcW w:w="1127" w:type="dxa"/>
          </w:tcPr>
          <w:p w14:paraId="332D633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ETCA11</w:t>
            </w:r>
          </w:p>
        </w:tc>
        <w:tc>
          <w:tcPr>
            <w:tcW w:w="1127" w:type="dxa"/>
            <w:vAlign w:val="center"/>
          </w:tcPr>
          <w:p w14:paraId="6F435A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05F836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1E626E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140FD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55A05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995A7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c>
          <w:tcPr>
            <w:tcW w:w="1127" w:type="dxa"/>
            <w:vAlign w:val="center"/>
          </w:tcPr>
          <w:p w14:paraId="1D4CBE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-1.11</w:t>
            </w:r>
          </w:p>
        </w:tc>
      </w:tr>
      <w:tr w:rsidR="006E3616" w:rsidRPr="00400193" w14:paraId="68140C60" w14:textId="77777777" w:rsidTr="003B5486">
        <w:tc>
          <w:tcPr>
            <w:tcW w:w="1127" w:type="dxa"/>
          </w:tcPr>
          <w:p w14:paraId="604202A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ETCA12</w:t>
            </w:r>
          </w:p>
        </w:tc>
        <w:tc>
          <w:tcPr>
            <w:tcW w:w="1127" w:type="dxa"/>
            <w:vAlign w:val="center"/>
          </w:tcPr>
          <w:p w14:paraId="5F6C9B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648A1D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3.37</w:t>
            </w:r>
          </w:p>
        </w:tc>
        <w:tc>
          <w:tcPr>
            <w:tcW w:w="1127" w:type="dxa"/>
            <w:vAlign w:val="center"/>
          </w:tcPr>
          <w:p w14:paraId="21A38F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1AD6A1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71053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852D1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c>
          <w:tcPr>
            <w:tcW w:w="1127" w:type="dxa"/>
            <w:vAlign w:val="center"/>
          </w:tcPr>
          <w:p w14:paraId="6C3C80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75999BB0" w14:textId="77777777" w:rsidTr="003B5486">
        <w:tc>
          <w:tcPr>
            <w:tcW w:w="1127" w:type="dxa"/>
          </w:tcPr>
          <w:p w14:paraId="642BB47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ETCA13</w:t>
            </w:r>
          </w:p>
        </w:tc>
        <w:tc>
          <w:tcPr>
            <w:tcW w:w="1127" w:type="dxa"/>
            <w:vAlign w:val="center"/>
          </w:tcPr>
          <w:p w14:paraId="7BB606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111C9B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11771A4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137C3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353D7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286AB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336CF2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r>
      <w:tr w:rsidR="006E3616" w:rsidRPr="00400193" w14:paraId="4F109DCE" w14:textId="77777777" w:rsidTr="003B5486">
        <w:tc>
          <w:tcPr>
            <w:tcW w:w="1127" w:type="dxa"/>
          </w:tcPr>
          <w:p w14:paraId="20F6B5F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ETCA14</w:t>
            </w:r>
          </w:p>
        </w:tc>
        <w:tc>
          <w:tcPr>
            <w:tcW w:w="1127" w:type="dxa"/>
            <w:vAlign w:val="center"/>
          </w:tcPr>
          <w:p w14:paraId="33AF5E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3.49</w:t>
            </w:r>
          </w:p>
        </w:tc>
        <w:tc>
          <w:tcPr>
            <w:tcW w:w="1127" w:type="dxa"/>
            <w:vAlign w:val="center"/>
          </w:tcPr>
          <w:p w14:paraId="69BB07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3.52</w:t>
            </w:r>
          </w:p>
        </w:tc>
        <w:tc>
          <w:tcPr>
            <w:tcW w:w="1127" w:type="dxa"/>
            <w:vAlign w:val="center"/>
          </w:tcPr>
          <w:p w14:paraId="472C1D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0275F6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26E00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11836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c>
          <w:tcPr>
            <w:tcW w:w="1127" w:type="dxa"/>
            <w:vAlign w:val="center"/>
          </w:tcPr>
          <w:p w14:paraId="28F4B6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67496AB0" w14:textId="77777777" w:rsidTr="003B5486">
        <w:tc>
          <w:tcPr>
            <w:tcW w:w="1127" w:type="dxa"/>
          </w:tcPr>
          <w:p w14:paraId="4B82BFF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ETCA15</w:t>
            </w:r>
          </w:p>
        </w:tc>
        <w:tc>
          <w:tcPr>
            <w:tcW w:w="1127" w:type="dxa"/>
            <w:vAlign w:val="center"/>
          </w:tcPr>
          <w:p w14:paraId="720ABE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1127" w:type="dxa"/>
            <w:vAlign w:val="center"/>
          </w:tcPr>
          <w:p w14:paraId="213AD3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1127" w:type="dxa"/>
            <w:vAlign w:val="center"/>
          </w:tcPr>
          <w:p w14:paraId="68C5F7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0DB36E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7971F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B90DE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FC799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-1.09</w:t>
            </w:r>
          </w:p>
        </w:tc>
      </w:tr>
      <w:tr w:rsidR="006E3616" w:rsidRPr="00400193" w14:paraId="1F92A69F" w14:textId="77777777" w:rsidTr="003B5486">
        <w:tc>
          <w:tcPr>
            <w:tcW w:w="1127" w:type="dxa"/>
          </w:tcPr>
          <w:p w14:paraId="068EBF8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ETCA16</w:t>
            </w:r>
          </w:p>
        </w:tc>
        <w:tc>
          <w:tcPr>
            <w:tcW w:w="1127" w:type="dxa"/>
            <w:vAlign w:val="center"/>
          </w:tcPr>
          <w:p w14:paraId="2D564C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62C195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379708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832BD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DA101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4C596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5B27C3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r>
      <w:tr w:rsidR="006E3616" w:rsidRPr="00400193" w14:paraId="57D7A8E0" w14:textId="77777777" w:rsidTr="003B5486">
        <w:tc>
          <w:tcPr>
            <w:tcW w:w="1127" w:type="dxa"/>
          </w:tcPr>
          <w:p w14:paraId="580EDC5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ETCA17</w:t>
            </w:r>
          </w:p>
        </w:tc>
        <w:tc>
          <w:tcPr>
            <w:tcW w:w="1127" w:type="dxa"/>
            <w:vAlign w:val="center"/>
          </w:tcPr>
          <w:p w14:paraId="4D286A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228C4E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7BA7D1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00BDC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218FE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3F179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41D65D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-0.62</w:t>
            </w:r>
          </w:p>
        </w:tc>
      </w:tr>
      <w:tr w:rsidR="006E3616" w:rsidRPr="00400193" w14:paraId="2417A812" w14:textId="77777777" w:rsidTr="003B5486">
        <w:tc>
          <w:tcPr>
            <w:tcW w:w="1127" w:type="dxa"/>
          </w:tcPr>
          <w:p w14:paraId="07768B9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ETCA18</w:t>
            </w:r>
          </w:p>
        </w:tc>
        <w:tc>
          <w:tcPr>
            <w:tcW w:w="1127" w:type="dxa"/>
            <w:vAlign w:val="center"/>
          </w:tcPr>
          <w:p w14:paraId="69D50C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2D520C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3FB745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74F4EA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2D5F3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4EBEA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1127" w:type="dxa"/>
            <w:vAlign w:val="center"/>
          </w:tcPr>
          <w:p w14:paraId="399F01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57E31794" w14:textId="77777777" w:rsidTr="003B5486">
        <w:tc>
          <w:tcPr>
            <w:tcW w:w="1127" w:type="dxa"/>
          </w:tcPr>
          <w:p w14:paraId="3A978F2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ETCA19</w:t>
            </w:r>
          </w:p>
        </w:tc>
        <w:tc>
          <w:tcPr>
            <w:tcW w:w="1127" w:type="dxa"/>
            <w:vAlign w:val="center"/>
          </w:tcPr>
          <w:p w14:paraId="635AE7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3.35</w:t>
            </w:r>
          </w:p>
        </w:tc>
        <w:tc>
          <w:tcPr>
            <w:tcW w:w="1127" w:type="dxa"/>
            <w:vAlign w:val="center"/>
          </w:tcPr>
          <w:p w14:paraId="3181B5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3.35</w:t>
            </w:r>
          </w:p>
        </w:tc>
        <w:tc>
          <w:tcPr>
            <w:tcW w:w="1127" w:type="dxa"/>
            <w:vAlign w:val="center"/>
          </w:tcPr>
          <w:p w14:paraId="5823FB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776C95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B9F43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E7CA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225FFF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r>
      <w:tr w:rsidR="006E3616" w:rsidRPr="00400193" w14:paraId="1E548D56" w14:textId="77777777" w:rsidTr="003B5486">
        <w:tc>
          <w:tcPr>
            <w:tcW w:w="1127" w:type="dxa"/>
          </w:tcPr>
          <w:p w14:paraId="3E0C76C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ETCA20</w:t>
            </w:r>
          </w:p>
        </w:tc>
        <w:tc>
          <w:tcPr>
            <w:tcW w:w="1127" w:type="dxa"/>
            <w:vAlign w:val="center"/>
          </w:tcPr>
          <w:p w14:paraId="7F34E3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2AFCAC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3A6587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64053A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79834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51423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1127" w:type="dxa"/>
            <w:vAlign w:val="center"/>
          </w:tcPr>
          <w:p w14:paraId="509C7C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r>
      <w:tr w:rsidR="006E3616" w:rsidRPr="00400193" w14:paraId="6820631C" w14:textId="77777777" w:rsidTr="003B5486">
        <w:tc>
          <w:tcPr>
            <w:tcW w:w="1127" w:type="dxa"/>
          </w:tcPr>
          <w:p w14:paraId="2CBEDE8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ETCA21</w:t>
            </w:r>
          </w:p>
        </w:tc>
        <w:tc>
          <w:tcPr>
            <w:tcW w:w="1127" w:type="dxa"/>
            <w:vAlign w:val="center"/>
          </w:tcPr>
          <w:p w14:paraId="316CBD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2.88</w:t>
            </w:r>
          </w:p>
        </w:tc>
        <w:tc>
          <w:tcPr>
            <w:tcW w:w="1127" w:type="dxa"/>
            <w:vAlign w:val="center"/>
          </w:tcPr>
          <w:p w14:paraId="33BE62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2.87</w:t>
            </w:r>
          </w:p>
        </w:tc>
        <w:tc>
          <w:tcPr>
            <w:tcW w:w="1127" w:type="dxa"/>
            <w:vAlign w:val="center"/>
          </w:tcPr>
          <w:p w14:paraId="29DD12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1157E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0B521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FDF6F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49D0BE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7EB560B5" w14:textId="77777777" w:rsidTr="003B5486">
        <w:tc>
          <w:tcPr>
            <w:tcW w:w="1127" w:type="dxa"/>
          </w:tcPr>
          <w:p w14:paraId="3D8727A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w:t>
            </w:r>
          </w:p>
        </w:tc>
        <w:tc>
          <w:tcPr>
            <w:tcW w:w="1127" w:type="dxa"/>
            <w:vAlign w:val="center"/>
          </w:tcPr>
          <w:p w14:paraId="0508FC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44CC65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7068D5C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00DF5C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3EFC0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FA6CF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6D62B4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r>
      <w:tr w:rsidR="006E3616" w:rsidRPr="00400193" w14:paraId="2DBDC4D1" w14:textId="77777777" w:rsidTr="003B5486">
        <w:tc>
          <w:tcPr>
            <w:tcW w:w="1127" w:type="dxa"/>
          </w:tcPr>
          <w:p w14:paraId="0F4BF7B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w:t>
            </w:r>
          </w:p>
        </w:tc>
        <w:tc>
          <w:tcPr>
            <w:tcW w:w="1127" w:type="dxa"/>
            <w:vAlign w:val="center"/>
          </w:tcPr>
          <w:p w14:paraId="706AF9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5304C5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790B96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4CAB9E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EE5EE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60088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c>
          <w:tcPr>
            <w:tcW w:w="1127" w:type="dxa"/>
            <w:vAlign w:val="center"/>
          </w:tcPr>
          <w:p w14:paraId="5D8E0E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-0.81</w:t>
            </w:r>
          </w:p>
        </w:tc>
      </w:tr>
      <w:tr w:rsidR="006E3616" w:rsidRPr="00400193" w14:paraId="487DEA45" w14:textId="77777777" w:rsidTr="003B5486">
        <w:tc>
          <w:tcPr>
            <w:tcW w:w="1127" w:type="dxa"/>
          </w:tcPr>
          <w:p w14:paraId="6434535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w:t>
            </w:r>
          </w:p>
        </w:tc>
        <w:tc>
          <w:tcPr>
            <w:tcW w:w="1127" w:type="dxa"/>
            <w:vAlign w:val="center"/>
          </w:tcPr>
          <w:p w14:paraId="466D89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2.95</w:t>
            </w:r>
          </w:p>
        </w:tc>
        <w:tc>
          <w:tcPr>
            <w:tcW w:w="1127" w:type="dxa"/>
            <w:vAlign w:val="center"/>
          </w:tcPr>
          <w:p w14:paraId="733AC7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311438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FD2B2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11AEA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0ABDC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-0.18</w:t>
            </w:r>
          </w:p>
        </w:tc>
        <w:tc>
          <w:tcPr>
            <w:tcW w:w="1127" w:type="dxa"/>
            <w:vAlign w:val="center"/>
          </w:tcPr>
          <w:p w14:paraId="5C3DC3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r>
      <w:tr w:rsidR="006E3616" w:rsidRPr="00400193" w14:paraId="65DE0734" w14:textId="77777777" w:rsidTr="003B5486">
        <w:tc>
          <w:tcPr>
            <w:tcW w:w="1127" w:type="dxa"/>
          </w:tcPr>
          <w:p w14:paraId="21912BD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KILA3</w:t>
            </w:r>
          </w:p>
        </w:tc>
        <w:tc>
          <w:tcPr>
            <w:tcW w:w="1127" w:type="dxa"/>
            <w:vAlign w:val="center"/>
          </w:tcPr>
          <w:p w14:paraId="594C8C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68A7EB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0CFB07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154B21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E4DE4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D46F2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1127" w:type="dxa"/>
            <w:vAlign w:val="center"/>
          </w:tcPr>
          <w:p w14:paraId="75CD73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r>
      <w:tr w:rsidR="006E3616" w:rsidRPr="00400193" w14:paraId="521DF6AD" w14:textId="77777777" w:rsidTr="003B5486">
        <w:tc>
          <w:tcPr>
            <w:tcW w:w="1127" w:type="dxa"/>
          </w:tcPr>
          <w:p w14:paraId="11C7455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KILA4</w:t>
            </w:r>
          </w:p>
        </w:tc>
        <w:tc>
          <w:tcPr>
            <w:tcW w:w="1127" w:type="dxa"/>
            <w:vAlign w:val="center"/>
          </w:tcPr>
          <w:p w14:paraId="24BAC5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2C3236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1D567C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19F8CD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8F5BE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68DCD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1127" w:type="dxa"/>
            <w:vAlign w:val="center"/>
          </w:tcPr>
          <w:p w14:paraId="092456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2C1D957F" w14:textId="77777777" w:rsidTr="003B5486">
        <w:tc>
          <w:tcPr>
            <w:tcW w:w="1127" w:type="dxa"/>
          </w:tcPr>
          <w:p w14:paraId="628D1DC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KILA5</w:t>
            </w:r>
          </w:p>
        </w:tc>
        <w:tc>
          <w:tcPr>
            <w:tcW w:w="1127" w:type="dxa"/>
            <w:vAlign w:val="center"/>
          </w:tcPr>
          <w:p w14:paraId="5ABCD1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3.32</w:t>
            </w:r>
          </w:p>
        </w:tc>
        <w:tc>
          <w:tcPr>
            <w:tcW w:w="1127" w:type="dxa"/>
            <w:vAlign w:val="center"/>
          </w:tcPr>
          <w:p w14:paraId="18BE3D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3.33</w:t>
            </w:r>
          </w:p>
        </w:tc>
        <w:tc>
          <w:tcPr>
            <w:tcW w:w="1127" w:type="dxa"/>
            <w:vAlign w:val="center"/>
          </w:tcPr>
          <w:p w14:paraId="553BA0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B84AC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BD820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D658F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1127" w:type="dxa"/>
            <w:vAlign w:val="center"/>
          </w:tcPr>
          <w:p w14:paraId="0C3A1A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r>
      <w:tr w:rsidR="006E3616" w:rsidRPr="00400193" w14:paraId="3A16DF2C" w14:textId="77777777" w:rsidTr="003B5486">
        <w:tc>
          <w:tcPr>
            <w:tcW w:w="1127" w:type="dxa"/>
          </w:tcPr>
          <w:p w14:paraId="05FCE34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KILA6</w:t>
            </w:r>
          </w:p>
        </w:tc>
        <w:tc>
          <w:tcPr>
            <w:tcW w:w="1127" w:type="dxa"/>
            <w:vAlign w:val="center"/>
          </w:tcPr>
          <w:p w14:paraId="51A819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3.23</w:t>
            </w:r>
          </w:p>
        </w:tc>
        <w:tc>
          <w:tcPr>
            <w:tcW w:w="1127" w:type="dxa"/>
            <w:vAlign w:val="center"/>
          </w:tcPr>
          <w:p w14:paraId="38DB7D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1127" w:type="dxa"/>
            <w:vAlign w:val="center"/>
          </w:tcPr>
          <w:p w14:paraId="576714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89275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5BAC1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88BF1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-0.47</w:t>
            </w:r>
          </w:p>
        </w:tc>
        <w:tc>
          <w:tcPr>
            <w:tcW w:w="1127" w:type="dxa"/>
            <w:vAlign w:val="center"/>
          </w:tcPr>
          <w:p w14:paraId="6BB5D7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r>
      <w:tr w:rsidR="006E3616" w:rsidRPr="00400193" w14:paraId="3AE26326" w14:textId="77777777" w:rsidTr="003B5486">
        <w:tc>
          <w:tcPr>
            <w:tcW w:w="1127" w:type="dxa"/>
          </w:tcPr>
          <w:p w14:paraId="1A7C5BA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KILA7</w:t>
            </w:r>
          </w:p>
        </w:tc>
        <w:tc>
          <w:tcPr>
            <w:tcW w:w="1127" w:type="dxa"/>
            <w:vAlign w:val="center"/>
          </w:tcPr>
          <w:p w14:paraId="2FD4BF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0FCE12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1127" w:type="dxa"/>
            <w:vAlign w:val="center"/>
          </w:tcPr>
          <w:p w14:paraId="6FA017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6BB5E7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C913F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B4B8C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c>
          <w:tcPr>
            <w:tcW w:w="1127" w:type="dxa"/>
            <w:vAlign w:val="center"/>
          </w:tcPr>
          <w:p w14:paraId="0C6933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139B6766" w14:textId="77777777" w:rsidTr="003B5486">
        <w:tc>
          <w:tcPr>
            <w:tcW w:w="1127" w:type="dxa"/>
          </w:tcPr>
          <w:p w14:paraId="1A026F8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KILA8</w:t>
            </w:r>
          </w:p>
        </w:tc>
        <w:tc>
          <w:tcPr>
            <w:tcW w:w="1127" w:type="dxa"/>
            <w:vAlign w:val="center"/>
          </w:tcPr>
          <w:p w14:paraId="6A7DC6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1127" w:type="dxa"/>
            <w:vAlign w:val="center"/>
          </w:tcPr>
          <w:p w14:paraId="763877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6F45CD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63DAD3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CEC4E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08EBC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c>
          <w:tcPr>
            <w:tcW w:w="1127" w:type="dxa"/>
            <w:vAlign w:val="center"/>
          </w:tcPr>
          <w:p w14:paraId="2EEB4AA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-0.86</w:t>
            </w:r>
          </w:p>
        </w:tc>
      </w:tr>
      <w:tr w:rsidR="006E3616" w:rsidRPr="00400193" w14:paraId="17B43C0E" w14:textId="77777777" w:rsidTr="003B5486">
        <w:tc>
          <w:tcPr>
            <w:tcW w:w="1127" w:type="dxa"/>
          </w:tcPr>
          <w:p w14:paraId="4BDA642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KILA9</w:t>
            </w:r>
          </w:p>
        </w:tc>
        <w:tc>
          <w:tcPr>
            <w:tcW w:w="1127" w:type="dxa"/>
            <w:vAlign w:val="center"/>
          </w:tcPr>
          <w:p w14:paraId="144143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26D6A1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130168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804B1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70BEB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F47DD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-0.40</w:t>
            </w:r>
          </w:p>
        </w:tc>
        <w:tc>
          <w:tcPr>
            <w:tcW w:w="1127" w:type="dxa"/>
            <w:vAlign w:val="center"/>
          </w:tcPr>
          <w:p w14:paraId="530C3E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r>
      <w:tr w:rsidR="006E3616" w:rsidRPr="00400193" w14:paraId="4C7D41E3" w14:textId="77777777" w:rsidTr="003B5486">
        <w:tc>
          <w:tcPr>
            <w:tcW w:w="1127" w:type="dxa"/>
          </w:tcPr>
          <w:p w14:paraId="7870B0A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KILA10</w:t>
            </w:r>
          </w:p>
        </w:tc>
        <w:tc>
          <w:tcPr>
            <w:tcW w:w="1127" w:type="dxa"/>
            <w:vAlign w:val="center"/>
          </w:tcPr>
          <w:p w14:paraId="163734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3.60</w:t>
            </w:r>
          </w:p>
        </w:tc>
        <w:tc>
          <w:tcPr>
            <w:tcW w:w="1127" w:type="dxa"/>
            <w:vAlign w:val="center"/>
          </w:tcPr>
          <w:p w14:paraId="5EDFD6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3.65</w:t>
            </w:r>
          </w:p>
        </w:tc>
        <w:tc>
          <w:tcPr>
            <w:tcW w:w="1127" w:type="dxa"/>
            <w:vAlign w:val="center"/>
          </w:tcPr>
          <w:p w14:paraId="4C3D97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1F1B1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0231A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DB0A0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c>
          <w:tcPr>
            <w:tcW w:w="1127" w:type="dxa"/>
            <w:vAlign w:val="center"/>
          </w:tcPr>
          <w:p w14:paraId="3BF8A2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r>
      <w:tr w:rsidR="006E3616" w:rsidRPr="00400193" w14:paraId="7C860140" w14:textId="77777777" w:rsidTr="003B5486">
        <w:tc>
          <w:tcPr>
            <w:tcW w:w="1127" w:type="dxa"/>
          </w:tcPr>
          <w:p w14:paraId="7C55841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KILA11</w:t>
            </w:r>
          </w:p>
        </w:tc>
        <w:tc>
          <w:tcPr>
            <w:tcW w:w="1127" w:type="dxa"/>
            <w:vAlign w:val="center"/>
          </w:tcPr>
          <w:p w14:paraId="77B881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7C5B58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575B1B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5D4613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46292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490D6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-0.44</w:t>
            </w:r>
          </w:p>
        </w:tc>
        <w:tc>
          <w:tcPr>
            <w:tcW w:w="1127" w:type="dxa"/>
            <w:vAlign w:val="center"/>
          </w:tcPr>
          <w:p w14:paraId="337DCF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-0.59</w:t>
            </w:r>
          </w:p>
        </w:tc>
      </w:tr>
      <w:tr w:rsidR="006E3616" w:rsidRPr="00400193" w14:paraId="4CB28D2A" w14:textId="77777777" w:rsidTr="003B5486">
        <w:tc>
          <w:tcPr>
            <w:tcW w:w="1127" w:type="dxa"/>
          </w:tcPr>
          <w:p w14:paraId="3BEAFD5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KILA12</w:t>
            </w:r>
          </w:p>
        </w:tc>
        <w:tc>
          <w:tcPr>
            <w:tcW w:w="1127" w:type="dxa"/>
            <w:vAlign w:val="center"/>
          </w:tcPr>
          <w:p w14:paraId="4106E8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411518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6160BD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575D4A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1083D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418FF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c>
          <w:tcPr>
            <w:tcW w:w="1127" w:type="dxa"/>
            <w:vAlign w:val="center"/>
          </w:tcPr>
          <w:p w14:paraId="6E18E9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r>
      <w:tr w:rsidR="006E3616" w:rsidRPr="00400193" w14:paraId="3C4BFBBA" w14:textId="77777777" w:rsidTr="003B5486">
        <w:tc>
          <w:tcPr>
            <w:tcW w:w="1127" w:type="dxa"/>
          </w:tcPr>
          <w:p w14:paraId="78DE697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KILA13</w:t>
            </w:r>
          </w:p>
        </w:tc>
        <w:tc>
          <w:tcPr>
            <w:tcW w:w="1127" w:type="dxa"/>
            <w:vAlign w:val="center"/>
          </w:tcPr>
          <w:p w14:paraId="0781A3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2.89</w:t>
            </w:r>
          </w:p>
        </w:tc>
        <w:tc>
          <w:tcPr>
            <w:tcW w:w="1127" w:type="dxa"/>
            <w:vAlign w:val="center"/>
          </w:tcPr>
          <w:p w14:paraId="135AC3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2.88</w:t>
            </w:r>
          </w:p>
        </w:tc>
        <w:tc>
          <w:tcPr>
            <w:tcW w:w="1127" w:type="dxa"/>
            <w:vAlign w:val="center"/>
          </w:tcPr>
          <w:p w14:paraId="1BF8F8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967E3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1A1C8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68F4E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12D2CE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r>
      <w:tr w:rsidR="006E3616" w:rsidRPr="00400193" w14:paraId="36CDA87A" w14:textId="77777777" w:rsidTr="003B5486">
        <w:tc>
          <w:tcPr>
            <w:tcW w:w="1127" w:type="dxa"/>
          </w:tcPr>
          <w:p w14:paraId="4A04E0F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KILA14</w:t>
            </w:r>
          </w:p>
        </w:tc>
        <w:tc>
          <w:tcPr>
            <w:tcW w:w="1127" w:type="dxa"/>
            <w:vAlign w:val="center"/>
          </w:tcPr>
          <w:p w14:paraId="383842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616099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51DFC9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14501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F665A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4A9BB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6E7FC5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-1.26</w:t>
            </w:r>
          </w:p>
        </w:tc>
      </w:tr>
      <w:tr w:rsidR="006E3616" w:rsidRPr="00400193" w14:paraId="27CEF1A1" w14:textId="77777777" w:rsidTr="003B5486">
        <w:tc>
          <w:tcPr>
            <w:tcW w:w="1127" w:type="dxa"/>
          </w:tcPr>
          <w:p w14:paraId="0AC514E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KILA15</w:t>
            </w:r>
          </w:p>
        </w:tc>
        <w:tc>
          <w:tcPr>
            <w:tcW w:w="1127" w:type="dxa"/>
            <w:vAlign w:val="center"/>
          </w:tcPr>
          <w:p w14:paraId="45BEDD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2.85</w:t>
            </w:r>
          </w:p>
        </w:tc>
        <w:tc>
          <w:tcPr>
            <w:tcW w:w="1127" w:type="dxa"/>
            <w:vAlign w:val="center"/>
          </w:tcPr>
          <w:p w14:paraId="463C73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2.83</w:t>
            </w:r>
          </w:p>
        </w:tc>
        <w:tc>
          <w:tcPr>
            <w:tcW w:w="1127" w:type="dxa"/>
            <w:vAlign w:val="center"/>
          </w:tcPr>
          <w:p w14:paraId="18191C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16734C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045DF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39D4A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1127" w:type="dxa"/>
            <w:vAlign w:val="center"/>
          </w:tcPr>
          <w:p w14:paraId="743B73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-1.16</w:t>
            </w:r>
          </w:p>
        </w:tc>
      </w:tr>
      <w:tr w:rsidR="006E3616" w:rsidRPr="00400193" w14:paraId="4B506AA7" w14:textId="77777777" w:rsidTr="003B5486">
        <w:tc>
          <w:tcPr>
            <w:tcW w:w="1127" w:type="dxa"/>
          </w:tcPr>
          <w:p w14:paraId="49186BC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KILA16</w:t>
            </w:r>
          </w:p>
        </w:tc>
        <w:tc>
          <w:tcPr>
            <w:tcW w:w="1127" w:type="dxa"/>
            <w:vAlign w:val="center"/>
          </w:tcPr>
          <w:p w14:paraId="48EAA2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6C739A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1127" w:type="dxa"/>
            <w:vAlign w:val="center"/>
          </w:tcPr>
          <w:p w14:paraId="29EA35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917FE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88AC0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DFC46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22D9F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r>
      <w:tr w:rsidR="006E3616" w:rsidRPr="00400193" w14:paraId="38DC3935" w14:textId="77777777" w:rsidTr="003B5486">
        <w:tc>
          <w:tcPr>
            <w:tcW w:w="1127" w:type="dxa"/>
          </w:tcPr>
          <w:p w14:paraId="671859B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KILA17</w:t>
            </w:r>
          </w:p>
        </w:tc>
        <w:tc>
          <w:tcPr>
            <w:tcW w:w="1127" w:type="dxa"/>
            <w:vAlign w:val="center"/>
          </w:tcPr>
          <w:p w14:paraId="2C3796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6B8379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2DE210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549C9A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6E8EB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092DE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1D78A8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-1.19</w:t>
            </w:r>
          </w:p>
        </w:tc>
      </w:tr>
      <w:tr w:rsidR="006E3616" w:rsidRPr="00400193" w14:paraId="4E44B21A" w14:textId="77777777" w:rsidTr="003B5486">
        <w:tc>
          <w:tcPr>
            <w:tcW w:w="1127" w:type="dxa"/>
          </w:tcPr>
          <w:p w14:paraId="738B78E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KILA18</w:t>
            </w:r>
          </w:p>
        </w:tc>
        <w:tc>
          <w:tcPr>
            <w:tcW w:w="1127" w:type="dxa"/>
            <w:vAlign w:val="center"/>
          </w:tcPr>
          <w:p w14:paraId="48AB66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2.80</w:t>
            </w:r>
          </w:p>
        </w:tc>
        <w:tc>
          <w:tcPr>
            <w:tcW w:w="1127" w:type="dxa"/>
            <w:vAlign w:val="center"/>
          </w:tcPr>
          <w:p w14:paraId="728FE7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2.78</w:t>
            </w:r>
          </w:p>
        </w:tc>
        <w:tc>
          <w:tcPr>
            <w:tcW w:w="1127" w:type="dxa"/>
            <w:vAlign w:val="center"/>
          </w:tcPr>
          <w:p w14:paraId="15A65B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A1B0A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A7289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1A0E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4D9E55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-1.17</w:t>
            </w:r>
          </w:p>
        </w:tc>
      </w:tr>
      <w:tr w:rsidR="006E3616" w:rsidRPr="00400193" w14:paraId="6847FE55" w14:textId="77777777" w:rsidTr="003B5486">
        <w:tc>
          <w:tcPr>
            <w:tcW w:w="1127" w:type="dxa"/>
          </w:tcPr>
          <w:p w14:paraId="3C716BE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KILA19</w:t>
            </w:r>
          </w:p>
        </w:tc>
        <w:tc>
          <w:tcPr>
            <w:tcW w:w="1127" w:type="dxa"/>
            <w:vAlign w:val="center"/>
          </w:tcPr>
          <w:p w14:paraId="664582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13B296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453F49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7E514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A452F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B34E5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675FFB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-1.07</w:t>
            </w:r>
          </w:p>
        </w:tc>
      </w:tr>
      <w:tr w:rsidR="006E3616" w:rsidRPr="00400193" w14:paraId="79BDEAD6" w14:textId="77777777" w:rsidTr="003B5486">
        <w:tc>
          <w:tcPr>
            <w:tcW w:w="1127" w:type="dxa"/>
          </w:tcPr>
          <w:p w14:paraId="2CF4E9D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KILA20</w:t>
            </w:r>
          </w:p>
        </w:tc>
        <w:tc>
          <w:tcPr>
            <w:tcW w:w="1127" w:type="dxa"/>
            <w:vAlign w:val="center"/>
          </w:tcPr>
          <w:p w14:paraId="4ABB59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107414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50381E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13FDC2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91B27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1D9713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c>
          <w:tcPr>
            <w:tcW w:w="1127" w:type="dxa"/>
            <w:vAlign w:val="center"/>
          </w:tcPr>
          <w:p w14:paraId="3DDA46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r>
      <w:tr w:rsidR="006E3616" w:rsidRPr="00400193" w14:paraId="1F8BED13" w14:textId="77777777" w:rsidTr="003B5486">
        <w:tc>
          <w:tcPr>
            <w:tcW w:w="1127" w:type="dxa"/>
          </w:tcPr>
          <w:p w14:paraId="05E7019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KILA21</w:t>
            </w:r>
          </w:p>
        </w:tc>
        <w:tc>
          <w:tcPr>
            <w:tcW w:w="1127" w:type="dxa"/>
            <w:vAlign w:val="center"/>
          </w:tcPr>
          <w:p w14:paraId="0A34BC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242D48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783FC1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40EC78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ACECA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A433A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c>
          <w:tcPr>
            <w:tcW w:w="1127" w:type="dxa"/>
            <w:vAlign w:val="center"/>
          </w:tcPr>
          <w:p w14:paraId="003580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-0.63</w:t>
            </w:r>
          </w:p>
        </w:tc>
      </w:tr>
      <w:tr w:rsidR="006E3616" w:rsidRPr="00400193" w14:paraId="0CA4B047" w14:textId="77777777" w:rsidTr="003B5486">
        <w:tc>
          <w:tcPr>
            <w:tcW w:w="1127" w:type="dxa"/>
          </w:tcPr>
          <w:p w14:paraId="5612BCD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KILA22</w:t>
            </w:r>
          </w:p>
        </w:tc>
        <w:tc>
          <w:tcPr>
            <w:tcW w:w="1127" w:type="dxa"/>
            <w:vAlign w:val="center"/>
          </w:tcPr>
          <w:p w14:paraId="27E311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3.42</w:t>
            </w:r>
          </w:p>
        </w:tc>
        <w:tc>
          <w:tcPr>
            <w:tcW w:w="1127" w:type="dxa"/>
            <w:vAlign w:val="center"/>
          </w:tcPr>
          <w:p w14:paraId="4D2F61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3.47</w:t>
            </w:r>
          </w:p>
        </w:tc>
        <w:tc>
          <w:tcPr>
            <w:tcW w:w="1127" w:type="dxa"/>
            <w:vAlign w:val="center"/>
          </w:tcPr>
          <w:p w14:paraId="2DCEB8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6E9AD3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4A9A0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A7A1D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1127" w:type="dxa"/>
            <w:vAlign w:val="center"/>
          </w:tcPr>
          <w:p w14:paraId="79BE17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r>
      <w:tr w:rsidR="006E3616" w:rsidRPr="00400193" w14:paraId="27BB49F2" w14:textId="77777777" w:rsidTr="003B5486">
        <w:tc>
          <w:tcPr>
            <w:tcW w:w="1127" w:type="dxa"/>
          </w:tcPr>
          <w:p w14:paraId="250B574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KILA23</w:t>
            </w:r>
          </w:p>
        </w:tc>
        <w:tc>
          <w:tcPr>
            <w:tcW w:w="1127" w:type="dxa"/>
            <w:vAlign w:val="center"/>
          </w:tcPr>
          <w:p w14:paraId="3F2118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73A4F7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1ABD93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5CA4A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C8B49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69382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4143E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050ABAF1" w14:textId="77777777" w:rsidTr="003B5486">
        <w:tc>
          <w:tcPr>
            <w:tcW w:w="1127" w:type="dxa"/>
          </w:tcPr>
          <w:p w14:paraId="5710973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KILA24</w:t>
            </w:r>
          </w:p>
        </w:tc>
        <w:tc>
          <w:tcPr>
            <w:tcW w:w="1127" w:type="dxa"/>
            <w:vAlign w:val="center"/>
          </w:tcPr>
          <w:p w14:paraId="3285EB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2.86</w:t>
            </w:r>
          </w:p>
        </w:tc>
        <w:tc>
          <w:tcPr>
            <w:tcW w:w="1127" w:type="dxa"/>
            <w:vAlign w:val="center"/>
          </w:tcPr>
          <w:p w14:paraId="56B020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2.84</w:t>
            </w:r>
          </w:p>
        </w:tc>
        <w:tc>
          <w:tcPr>
            <w:tcW w:w="1127" w:type="dxa"/>
            <w:vAlign w:val="center"/>
          </w:tcPr>
          <w:p w14:paraId="3DD1F2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A4346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1F21E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07925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4299101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w:t>
            </w:r>
          </w:p>
        </w:tc>
      </w:tr>
      <w:tr w:rsidR="006E3616" w:rsidRPr="00400193" w14:paraId="7A015F12" w14:textId="77777777" w:rsidTr="003B5486">
        <w:tc>
          <w:tcPr>
            <w:tcW w:w="1127" w:type="dxa"/>
          </w:tcPr>
          <w:p w14:paraId="07B26F2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KILA25</w:t>
            </w:r>
          </w:p>
        </w:tc>
        <w:tc>
          <w:tcPr>
            <w:tcW w:w="1127" w:type="dxa"/>
            <w:vAlign w:val="center"/>
          </w:tcPr>
          <w:p w14:paraId="635F80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3.11</w:t>
            </w:r>
          </w:p>
        </w:tc>
        <w:tc>
          <w:tcPr>
            <w:tcW w:w="1127" w:type="dxa"/>
            <w:vAlign w:val="center"/>
          </w:tcPr>
          <w:p w14:paraId="61C87AA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631663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CF742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4B31D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678FC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-0.22</w:t>
            </w:r>
          </w:p>
        </w:tc>
        <w:tc>
          <w:tcPr>
            <w:tcW w:w="1127" w:type="dxa"/>
            <w:vAlign w:val="center"/>
          </w:tcPr>
          <w:p w14:paraId="2A8CE3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-0.80</w:t>
            </w:r>
          </w:p>
        </w:tc>
      </w:tr>
      <w:tr w:rsidR="006E3616" w:rsidRPr="00400193" w14:paraId="3E1F13B1" w14:textId="77777777" w:rsidTr="003B5486">
        <w:tc>
          <w:tcPr>
            <w:tcW w:w="1127" w:type="dxa"/>
          </w:tcPr>
          <w:p w14:paraId="21A93C1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w:t>
            </w:r>
          </w:p>
        </w:tc>
        <w:tc>
          <w:tcPr>
            <w:tcW w:w="1127" w:type="dxa"/>
            <w:vAlign w:val="center"/>
          </w:tcPr>
          <w:p w14:paraId="7473E0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1C802D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1127" w:type="dxa"/>
            <w:vAlign w:val="center"/>
          </w:tcPr>
          <w:p w14:paraId="7C6859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A45E2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61F48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93BD5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c>
          <w:tcPr>
            <w:tcW w:w="1127" w:type="dxa"/>
            <w:vAlign w:val="center"/>
          </w:tcPr>
          <w:p w14:paraId="776A25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r>
      <w:tr w:rsidR="006E3616" w:rsidRPr="00400193" w14:paraId="49F532C9" w14:textId="77777777" w:rsidTr="003B5486">
        <w:tc>
          <w:tcPr>
            <w:tcW w:w="1127" w:type="dxa"/>
          </w:tcPr>
          <w:p w14:paraId="494349D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w:t>
            </w:r>
          </w:p>
        </w:tc>
        <w:tc>
          <w:tcPr>
            <w:tcW w:w="1127" w:type="dxa"/>
            <w:vAlign w:val="center"/>
          </w:tcPr>
          <w:p w14:paraId="35747D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50EFE0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1D7906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6FF28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5BCA9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1D140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c>
          <w:tcPr>
            <w:tcW w:w="1127" w:type="dxa"/>
            <w:vAlign w:val="center"/>
          </w:tcPr>
          <w:p w14:paraId="039D70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7A0E20EE" w14:textId="77777777" w:rsidTr="003B5486">
        <w:tc>
          <w:tcPr>
            <w:tcW w:w="1127" w:type="dxa"/>
          </w:tcPr>
          <w:p w14:paraId="5EAA325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KIRC2</w:t>
            </w:r>
          </w:p>
        </w:tc>
        <w:tc>
          <w:tcPr>
            <w:tcW w:w="1127" w:type="dxa"/>
            <w:vAlign w:val="center"/>
          </w:tcPr>
          <w:p w14:paraId="425B28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1127" w:type="dxa"/>
            <w:vAlign w:val="center"/>
          </w:tcPr>
          <w:p w14:paraId="3E39F6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1127" w:type="dxa"/>
            <w:vAlign w:val="center"/>
          </w:tcPr>
          <w:p w14:paraId="50C4A3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22CF6D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AAFE4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8D68F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7A53C0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46BCA616" w14:textId="77777777" w:rsidTr="003B5486">
        <w:tc>
          <w:tcPr>
            <w:tcW w:w="1127" w:type="dxa"/>
          </w:tcPr>
          <w:p w14:paraId="0B1250A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KIRC3</w:t>
            </w:r>
          </w:p>
        </w:tc>
        <w:tc>
          <w:tcPr>
            <w:tcW w:w="1127" w:type="dxa"/>
            <w:vAlign w:val="center"/>
          </w:tcPr>
          <w:p w14:paraId="58AD23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052AA5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501AFB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61D47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C41AC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E7AC2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66758D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-0.86</w:t>
            </w:r>
          </w:p>
        </w:tc>
      </w:tr>
      <w:tr w:rsidR="006E3616" w:rsidRPr="00400193" w14:paraId="1C5E73F4" w14:textId="77777777" w:rsidTr="003B5486">
        <w:tc>
          <w:tcPr>
            <w:tcW w:w="1127" w:type="dxa"/>
          </w:tcPr>
          <w:p w14:paraId="4E3C858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KIRC4</w:t>
            </w:r>
          </w:p>
        </w:tc>
        <w:tc>
          <w:tcPr>
            <w:tcW w:w="1127" w:type="dxa"/>
            <w:vAlign w:val="center"/>
          </w:tcPr>
          <w:p w14:paraId="02DAE5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1127" w:type="dxa"/>
            <w:vAlign w:val="center"/>
          </w:tcPr>
          <w:p w14:paraId="22A45E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16C2D6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BB034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1E1C3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D1288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-0.39</w:t>
            </w:r>
          </w:p>
        </w:tc>
        <w:tc>
          <w:tcPr>
            <w:tcW w:w="1127" w:type="dxa"/>
            <w:vAlign w:val="center"/>
          </w:tcPr>
          <w:p w14:paraId="1B1C00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r>
      <w:tr w:rsidR="006E3616" w:rsidRPr="00400193" w14:paraId="1878431E" w14:textId="77777777" w:rsidTr="003B5486">
        <w:tc>
          <w:tcPr>
            <w:tcW w:w="1127" w:type="dxa"/>
          </w:tcPr>
          <w:p w14:paraId="6E93182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KIRC5</w:t>
            </w:r>
          </w:p>
        </w:tc>
        <w:tc>
          <w:tcPr>
            <w:tcW w:w="1127" w:type="dxa"/>
            <w:vAlign w:val="center"/>
          </w:tcPr>
          <w:p w14:paraId="1C1279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0BBB66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2F5466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3EBD6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98CC1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E819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2E15E1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4136F7C7" w14:textId="77777777" w:rsidTr="003B5486">
        <w:tc>
          <w:tcPr>
            <w:tcW w:w="1127" w:type="dxa"/>
          </w:tcPr>
          <w:p w14:paraId="58B38D0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KIRC6</w:t>
            </w:r>
          </w:p>
        </w:tc>
        <w:tc>
          <w:tcPr>
            <w:tcW w:w="1127" w:type="dxa"/>
            <w:vAlign w:val="center"/>
          </w:tcPr>
          <w:p w14:paraId="7B36D3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01518D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30BD44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67FC0E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BD450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B2416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228AC8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w:t>
            </w:r>
          </w:p>
        </w:tc>
      </w:tr>
      <w:tr w:rsidR="006E3616" w:rsidRPr="00400193" w14:paraId="563CAF22" w14:textId="77777777" w:rsidTr="003B5486">
        <w:tc>
          <w:tcPr>
            <w:tcW w:w="1127" w:type="dxa"/>
          </w:tcPr>
          <w:p w14:paraId="74CC576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KIRC7</w:t>
            </w:r>
          </w:p>
        </w:tc>
        <w:tc>
          <w:tcPr>
            <w:tcW w:w="1127" w:type="dxa"/>
            <w:vAlign w:val="center"/>
          </w:tcPr>
          <w:p w14:paraId="5E41B0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1910C3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332A04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E0283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18D85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D391A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2AC47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r>
      <w:tr w:rsidR="006E3616" w:rsidRPr="00400193" w14:paraId="6668AF7A" w14:textId="77777777" w:rsidTr="003B5486">
        <w:tc>
          <w:tcPr>
            <w:tcW w:w="1127" w:type="dxa"/>
          </w:tcPr>
          <w:p w14:paraId="71178E7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KIRC8</w:t>
            </w:r>
          </w:p>
        </w:tc>
        <w:tc>
          <w:tcPr>
            <w:tcW w:w="1127" w:type="dxa"/>
            <w:vAlign w:val="center"/>
          </w:tcPr>
          <w:p w14:paraId="2FC1EA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3D4B97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1127" w:type="dxa"/>
            <w:vAlign w:val="center"/>
          </w:tcPr>
          <w:p w14:paraId="1810B6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5433E8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66148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D1A9B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c>
          <w:tcPr>
            <w:tcW w:w="1127" w:type="dxa"/>
            <w:vAlign w:val="center"/>
          </w:tcPr>
          <w:p w14:paraId="40DC81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-0.70</w:t>
            </w:r>
          </w:p>
        </w:tc>
      </w:tr>
      <w:tr w:rsidR="006E3616" w:rsidRPr="00400193" w14:paraId="415BB67E" w14:textId="77777777" w:rsidTr="003B5486">
        <w:tc>
          <w:tcPr>
            <w:tcW w:w="1127" w:type="dxa"/>
          </w:tcPr>
          <w:p w14:paraId="5920DA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KIRC9</w:t>
            </w:r>
          </w:p>
        </w:tc>
        <w:tc>
          <w:tcPr>
            <w:tcW w:w="1127" w:type="dxa"/>
            <w:vAlign w:val="center"/>
          </w:tcPr>
          <w:p w14:paraId="5C6757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038CA2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454B82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CCDD2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F13AC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0CC16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c>
          <w:tcPr>
            <w:tcW w:w="1127" w:type="dxa"/>
            <w:vAlign w:val="center"/>
          </w:tcPr>
          <w:p w14:paraId="207847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6D44EE07" w14:textId="77777777" w:rsidTr="003B5486">
        <w:tc>
          <w:tcPr>
            <w:tcW w:w="1127" w:type="dxa"/>
          </w:tcPr>
          <w:p w14:paraId="7674D41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KIRC10</w:t>
            </w:r>
          </w:p>
        </w:tc>
        <w:tc>
          <w:tcPr>
            <w:tcW w:w="1127" w:type="dxa"/>
            <w:vAlign w:val="center"/>
          </w:tcPr>
          <w:p w14:paraId="7AF877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2904B6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34CFF4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8ECC1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DC5CA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E99D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c>
          <w:tcPr>
            <w:tcW w:w="1127" w:type="dxa"/>
            <w:vAlign w:val="center"/>
          </w:tcPr>
          <w:p w14:paraId="684655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r>
      <w:tr w:rsidR="006E3616" w:rsidRPr="00400193" w14:paraId="7C9932E0" w14:textId="77777777" w:rsidTr="003B5486">
        <w:tc>
          <w:tcPr>
            <w:tcW w:w="1127" w:type="dxa"/>
          </w:tcPr>
          <w:p w14:paraId="086C735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KIRC11</w:t>
            </w:r>
          </w:p>
        </w:tc>
        <w:tc>
          <w:tcPr>
            <w:tcW w:w="1127" w:type="dxa"/>
            <w:vAlign w:val="center"/>
          </w:tcPr>
          <w:p w14:paraId="439085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1A68E2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2.89</w:t>
            </w:r>
          </w:p>
        </w:tc>
        <w:tc>
          <w:tcPr>
            <w:tcW w:w="1127" w:type="dxa"/>
            <w:vAlign w:val="center"/>
          </w:tcPr>
          <w:p w14:paraId="44BBE1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6C4E7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AFE44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795A0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122A52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-1.01</w:t>
            </w:r>
          </w:p>
        </w:tc>
      </w:tr>
      <w:tr w:rsidR="006E3616" w:rsidRPr="00400193" w14:paraId="21867124" w14:textId="77777777" w:rsidTr="003B5486">
        <w:tc>
          <w:tcPr>
            <w:tcW w:w="1127" w:type="dxa"/>
          </w:tcPr>
          <w:p w14:paraId="1C41A9E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KIRC12</w:t>
            </w:r>
          </w:p>
        </w:tc>
        <w:tc>
          <w:tcPr>
            <w:tcW w:w="1127" w:type="dxa"/>
            <w:vAlign w:val="center"/>
          </w:tcPr>
          <w:p w14:paraId="1E1F8D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1127" w:type="dxa"/>
            <w:vAlign w:val="center"/>
          </w:tcPr>
          <w:p w14:paraId="3B7259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2CE9FF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7FCC3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6EA76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BCFB8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3AD892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7B51B240" w14:textId="77777777" w:rsidTr="003B5486">
        <w:tc>
          <w:tcPr>
            <w:tcW w:w="1127" w:type="dxa"/>
          </w:tcPr>
          <w:p w14:paraId="3DAF318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KIRC13</w:t>
            </w:r>
          </w:p>
        </w:tc>
        <w:tc>
          <w:tcPr>
            <w:tcW w:w="1127" w:type="dxa"/>
            <w:vAlign w:val="center"/>
          </w:tcPr>
          <w:p w14:paraId="050C75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4A070DD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1127" w:type="dxa"/>
            <w:vAlign w:val="center"/>
          </w:tcPr>
          <w:p w14:paraId="0BAC07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61B4B4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C83D2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82F2B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64B127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w:t>
            </w:r>
          </w:p>
        </w:tc>
      </w:tr>
      <w:tr w:rsidR="006E3616" w:rsidRPr="00400193" w14:paraId="742BFFC6" w14:textId="77777777" w:rsidTr="003B5486">
        <w:tc>
          <w:tcPr>
            <w:tcW w:w="1127" w:type="dxa"/>
          </w:tcPr>
          <w:p w14:paraId="083030F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KIRC14</w:t>
            </w:r>
          </w:p>
        </w:tc>
        <w:tc>
          <w:tcPr>
            <w:tcW w:w="1127" w:type="dxa"/>
            <w:vAlign w:val="center"/>
          </w:tcPr>
          <w:p w14:paraId="3BD36D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391674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2D8EA0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3A2A5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1B115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18CCD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31B47C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r>
      <w:tr w:rsidR="006E3616" w:rsidRPr="00400193" w14:paraId="7C876F15" w14:textId="77777777" w:rsidTr="003B5486">
        <w:tc>
          <w:tcPr>
            <w:tcW w:w="1127" w:type="dxa"/>
          </w:tcPr>
          <w:p w14:paraId="5700578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KIRC15</w:t>
            </w:r>
          </w:p>
        </w:tc>
        <w:tc>
          <w:tcPr>
            <w:tcW w:w="1127" w:type="dxa"/>
            <w:vAlign w:val="center"/>
          </w:tcPr>
          <w:p w14:paraId="432A8E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52ADFC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77B0D7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565620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13C4C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14AB6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6A5290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-1.13</w:t>
            </w:r>
          </w:p>
        </w:tc>
      </w:tr>
      <w:tr w:rsidR="006E3616" w:rsidRPr="00400193" w14:paraId="2A2DB8E5" w14:textId="77777777" w:rsidTr="003B5486">
        <w:tc>
          <w:tcPr>
            <w:tcW w:w="1127" w:type="dxa"/>
          </w:tcPr>
          <w:p w14:paraId="72BD835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KIRC16</w:t>
            </w:r>
          </w:p>
        </w:tc>
        <w:tc>
          <w:tcPr>
            <w:tcW w:w="1127" w:type="dxa"/>
            <w:vAlign w:val="center"/>
          </w:tcPr>
          <w:p w14:paraId="6B63C3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6D3D75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69DB25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174D09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16A46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51CCF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c>
          <w:tcPr>
            <w:tcW w:w="1127" w:type="dxa"/>
            <w:vAlign w:val="center"/>
          </w:tcPr>
          <w:p w14:paraId="1D3F8D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r>
      <w:tr w:rsidR="006E3616" w:rsidRPr="00400193" w14:paraId="1F61EF7D" w14:textId="77777777" w:rsidTr="003B5486">
        <w:tc>
          <w:tcPr>
            <w:tcW w:w="1127" w:type="dxa"/>
          </w:tcPr>
          <w:p w14:paraId="371B013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KIRC17</w:t>
            </w:r>
          </w:p>
        </w:tc>
        <w:tc>
          <w:tcPr>
            <w:tcW w:w="1127" w:type="dxa"/>
            <w:vAlign w:val="center"/>
          </w:tcPr>
          <w:p w14:paraId="220B1E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1FA4E8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148305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0185CF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5715D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922D0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779EBA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r>
      <w:tr w:rsidR="006E3616" w:rsidRPr="00400193" w14:paraId="149A2237" w14:textId="77777777" w:rsidTr="003B5486">
        <w:tc>
          <w:tcPr>
            <w:tcW w:w="1127" w:type="dxa"/>
          </w:tcPr>
          <w:p w14:paraId="0B2D61C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KIRC18</w:t>
            </w:r>
          </w:p>
        </w:tc>
        <w:tc>
          <w:tcPr>
            <w:tcW w:w="1127" w:type="dxa"/>
            <w:vAlign w:val="center"/>
          </w:tcPr>
          <w:p w14:paraId="670DFC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1127" w:type="dxa"/>
            <w:vAlign w:val="center"/>
          </w:tcPr>
          <w:p w14:paraId="1E8B14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3.29</w:t>
            </w:r>
          </w:p>
        </w:tc>
        <w:tc>
          <w:tcPr>
            <w:tcW w:w="1127" w:type="dxa"/>
            <w:vAlign w:val="center"/>
          </w:tcPr>
          <w:p w14:paraId="589F53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734FD1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819FE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83DA9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709163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r>
      <w:tr w:rsidR="006E3616" w:rsidRPr="00400193" w14:paraId="7B534314" w14:textId="77777777" w:rsidTr="003B5486">
        <w:tc>
          <w:tcPr>
            <w:tcW w:w="1127" w:type="dxa"/>
          </w:tcPr>
          <w:p w14:paraId="781F4AD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w:t>
            </w:r>
          </w:p>
        </w:tc>
        <w:tc>
          <w:tcPr>
            <w:tcW w:w="1127" w:type="dxa"/>
            <w:vAlign w:val="center"/>
          </w:tcPr>
          <w:p w14:paraId="63879A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6433DD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34CF5B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1E315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FAB45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89524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1127" w:type="dxa"/>
            <w:vAlign w:val="center"/>
          </w:tcPr>
          <w:p w14:paraId="0C9997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-0.50</w:t>
            </w:r>
          </w:p>
        </w:tc>
      </w:tr>
      <w:tr w:rsidR="006E3616" w:rsidRPr="00400193" w14:paraId="65E41EB1" w14:textId="77777777" w:rsidTr="003B5486">
        <w:tc>
          <w:tcPr>
            <w:tcW w:w="1127" w:type="dxa"/>
          </w:tcPr>
          <w:p w14:paraId="44415A9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KIFF1</w:t>
            </w:r>
          </w:p>
        </w:tc>
        <w:tc>
          <w:tcPr>
            <w:tcW w:w="1127" w:type="dxa"/>
            <w:vAlign w:val="center"/>
          </w:tcPr>
          <w:p w14:paraId="1A3D24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1127" w:type="dxa"/>
            <w:vAlign w:val="center"/>
          </w:tcPr>
          <w:p w14:paraId="36A688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3.03</w:t>
            </w:r>
          </w:p>
        </w:tc>
        <w:tc>
          <w:tcPr>
            <w:tcW w:w="1127" w:type="dxa"/>
            <w:vAlign w:val="center"/>
          </w:tcPr>
          <w:p w14:paraId="2DDBBA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19D14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22330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B0FC8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2782F4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r>
      <w:tr w:rsidR="006E3616" w:rsidRPr="00400193" w14:paraId="114C46E0" w14:textId="77777777" w:rsidTr="003B5486">
        <w:tc>
          <w:tcPr>
            <w:tcW w:w="1127" w:type="dxa"/>
          </w:tcPr>
          <w:p w14:paraId="7B7A66E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KIFF2</w:t>
            </w:r>
          </w:p>
        </w:tc>
        <w:tc>
          <w:tcPr>
            <w:tcW w:w="1127" w:type="dxa"/>
            <w:vAlign w:val="center"/>
          </w:tcPr>
          <w:p w14:paraId="21C9CC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55ACF5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1127" w:type="dxa"/>
            <w:vAlign w:val="center"/>
          </w:tcPr>
          <w:p w14:paraId="675082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16B61C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365DA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581FC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-0.36</w:t>
            </w:r>
          </w:p>
        </w:tc>
        <w:tc>
          <w:tcPr>
            <w:tcW w:w="1127" w:type="dxa"/>
            <w:vAlign w:val="center"/>
          </w:tcPr>
          <w:p w14:paraId="76C57C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r>
      <w:tr w:rsidR="006E3616" w:rsidRPr="00400193" w14:paraId="631A195A" w14:textId="77777777" w:rsidTr="003B5486">
        <w:tc>
          <w:tcPr>
            <w:tcW w:w="1127" w:type="dxa"/>
          </w:tcPr>
          <w:p w14:paraId="3647AD0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KIFF3</w:t>
            </w:r>
          </w:p>
        </w:tc>
        <w:tc>
          <w:tcPr>
            <w:tcW w:w="1127" w:type="dxa"/>
            <w:vAlign w:val="center"/>
          </w:tcPr>
          <w:p w14:paraId="76C4F0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1127" w:type="dxa"/>
            <w:vAlign w:val="center"/>
          </w:tcPr>
          <w:p w14:paraId="7C5CA8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3.17</w:t>
            </w:r>
          </w:p>
        </w:tc>
        <w:tc>
          <w:tcPr>
            <w:tcW w:w="1127" w:type="dxa"/>
            <w:vAlign w:val="center"/>
          </w:tcPr>
          <w:p w14:paraId="09BB9A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7D1449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E6187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EA6CD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702F56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r>
      <w:tr w:rsidR="006E3616" w:rsidRPr="00400193" w14:paraId="45B02568" w14:textId="77777777" w:rsidTr="003B5486">
        <w:tc>
          <w:tcPr>
            <w:tcW w:w="1127" w:type="dxa"/>
          </w:tcPr>
          <w:p w14:paraId="7B4B6F9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KIFF4</w:t>
            </w:r>
          </w:p>
        </w:tc>
        <w:tc>
          <w:tcPr>
            <w:tcW w:w="1127" w:type="dxa"/>
            <w:vAlign w:val="center"/>
          </w:tcPr>
          <w:p w14:paraId="180471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7D8176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1127" w:type="dxa"/>
            <w:vAlign w:val="center"/>
          </w:tcPr>
          <w:p w14:paraId="6AAD48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4B8A6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ADCFB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AAA34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4EB660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-0.88</w:t>
            </w:r>
          </w:p>
        </w:tc>
      </w:tr>
      <w:tr w:rsidR="006E3616" w:rsidRPr="00400193" w14:paraId="11319EEE" w14:textId="77777777" w:rsidTr="003B5486">
        <w:tc>
          <w:tcPr>
            <w:tcW w:w="1127" w:type="dxa"/>
          </w:tcPr>
          <w:p w14:paraId="1197D60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KIFF5</w:t>
            </w:r>
          </w:p>
        </w:tc>
        <w:tc>
          <w:tcPr>
            <w:tcW w:w="1127" w:type="dxa"/>
            <w:vAlign w:val="center"/>
          </w:tcPr>
          <w:p w14:paraId="08FBB7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3BC1FA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1127" w:type="dxa"/>
            <w:vAlign w:val="center"/>
          </w:tcPr>
          <w:p w14:paraId="1BA5AA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D7C0A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AAAD2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65651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c>
          <w:tcPr>
            <w:tcW w:w="1127" w:type="dxa"/>
            <w:vAlign w:val="center"/>
          </w:tcPr>
          <w:p w14:paraId="18946D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-0.59</w:t>
            </w:r>
          </w:p>
        </w:tc>
      </w:tr>
      <w:tr w:rsidR="006E3616" w:rsidRPr="00400193" w14:paraId="07C2768E" w14:textId="77777777" w:rsidTr="003B5486">
        <w:tc>
          <w:tcPr>
            <w:tcW w:w="1127" w:type="dxa"/>
          </w:tcPr>
          <w:p w14:paraId="37AACB4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KIFF6</w:t>
            </w:r>
          </w:p>
        </w:tc>
        <w:tc>
          <w:tcPr>
            <w:tcW w:w="1127" w:type="dxa"/>
            <w:vAlign w:val="center"/>
          </w:tcPr>
          <w:p w14:paraId="2E4553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34951D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3.07</w:t>
            </w:r>
          </w:p>
        </w:tc>
        <w:tc>
          <w:tcPr>
            <w:tcW w:w="1127" w:type="dxa"/>
            <w:vAlign w:val="center"/>
          </w:tcPr>
          <w:p w14:paraId="579D43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72647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29D37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454B9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1127" w:type="dxa"/>
            <w:vAlign w:val="center"/>
          </w:tcPr>
          <w:p w14:paraId="416982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-0.81</w:t>
            </w:r>
          </w:p>
        </w:tc>
      </w:tr>
      <w:tr w:rsidR="006E3616" w:rsidRPr="00400193" w14:paraId="5E2CAC5D" w14:textId="77777777" w:rsidTr="003B5486">
        <w:tc>
          <w:tcPr>
            <w:tcW w:w="1127" w:type="dxa"/>
          </w:tcPr>
          <w:p w14:paraId="4A4AC77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KIFF7</w:t>
            </w:r>
          </w:p>
        </w:tc>
        <w:tc>
          <w:tcPr>
            <w:tcW w:w="1127" w:type="dxa"/>
            <w:vAlign w:val="center"/>
          </w:tcPr>
          <w:p w14:paraId="31D28A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752696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2.93</w:t>
            </w:r>
          </w:p>
        </w:tc>
        <w:tc>
          <w:tcPr>
            <w:tcW w:w="1127" w:type="dxa"/>
            <w:vAlign w:val="center"/>
          </w:tcPr>
          <w:p w14:paraId="645A59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791F41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F121D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50940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3EF87E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-1.03</w:t>
            </w:r>
          </w:p>
        </w:tc>
      </w:tr>
      <w:tr w:rsidR="006E3616" w:rsidRPr="00400193" w14:paraId="59355A29" w14:textId="77777777" w:rsidTr="003B5486">
        <w:tc>
          <w:tcPr>
            <w:tcW w:w="1127" w:type="dxa"/>
          </w:tcPr>
          <w:p w14:paraId="72DD60A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KIFF</w:t>
            </w:r>
          </w:p>
        </w:tc>
        <w:tc>
          <w:tcPr>
            <w:tcW w:w="1127" w:type="dxa"/>
            <w:vAlign w:val="center"/>
          </w:tcPr>
          <w:p w14:paraId="31D28E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3.10</w:t>
            </w:r>
          </w:p>
        </w:tc>
        <w:tc>
          <w:tcPr>
            <w:tcW w:w="1127" w:type="dxa"/>
            <w:vAlign w:val="center"/>
          </w:tcPr>
          <w:p w14:paraId="75A2AA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7C6490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913A4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19D53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B9457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14F369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-0.42</w:t>
            </w:r>
          </w:p>
        </w:tc>
      </w:tr>
      <w:tr w:rsidR="006E3616" w:rsidRPr="00400193" w14:paraId="77277E07" w14:textId="77777777" w:rsidTr="003B5486">
        <w:tc>
          <w:tcPr>
            <w:tcW w:w="1127" w:type="dxa"/>
          </w:tcPr>
          <w:p w14:paraId="6ED0B58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ITCA1</w:t>
            </w:r>
          </w:p>
        </w:tc>
        <w:tc>
          <w:tcPr>
            <w:tcW w:w="1127" w:type="dxa"/>
            <w:vAlign w:val="center"/>
          </w:tcPr>
          <w:p w14:paraId="57D0E5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3.12</w:t>
            </w:r>
          </w:p>
        </w:tc>
        <w:tc>
          <w:tcPr>
            <w:tcW w:w="1127" w:type="dxa"/>
            <w:vAlign w:val="center"/>
          </w:tcPr>
          <w:p w14:paraId="040895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3.13</w:t>
            </w:r>
          </w:p>
        </w:tc>
        <w:tc>
          <w:tcPr>
            <w:tcW w:w="1127" w:type="dxa"/>
            <w:vAlign w:val="center"/>
          </w:tcPr>
          <w:p w14:paraId="58615B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A12E7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24AFD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1EAC3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265071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r>
      <w:tr w:rsidR="006E3616" w:rsidRPr="00400193" w14:paraId="6A4E1312" w14:textId="77777777" w:rsidTr="003B5486">
        <w:tc>
          <w:tcPr>
            <w:tcW w:w="1127" w:type="dxa"/>
          </w:tcPr>
          <w:p w14:paraId="411ACFC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ITCA2</w:t>
            </w:r>
          </w:p>
        </w:tc>
        <w:tc>
          <w:tcPr>
            <w:tcW w:w="1127" w:type="dxa"/>
            <w:vAlign w:val="center"/>
          </w:tcPr>
          <w:p w14:paraId="3CA0C0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3.42</w:t>
            </w:r>
          </w:p>
        </w:tc>
        <w:tc>
          <w:tcPr>
            <w:tcW w:w="1127" w:type="dxa"/>
            <w:vAlign w:val="center"/>
          </w:tcPr>
          <w:p w14:paraId="7DFE5C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3.43</w:t>
            </w:r>
          </w:p>
        </w:tc>
        <w:tc>
          <w:tcPr>
            <w:tcW w:w="1127" w:type="dxa"/>
            <w:vAlign w:val="center"/>
          </w:tcPr>
          <w:p w14:paraId="221F73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2B8FDF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97096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F5673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-0.34</w:t>
            </w:r>
          </w:p>
        </w:tc>
        <w:tc>
          <w:tcPr>
            <w:tcW w:w="1127" w:type="dxa"/>
            <w:vAlign w:val="center"/>
          </w:tcPr>
          <w:p w14:paraId="329A73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r>
      <w:tr w:rsidR="006E3616" w:rsidRPr="00400193" w14:paraId="325F47EE" w14:textId="77777777" w:rsidTr="003B5486">
        <w:tc>
          <w:tcPr>
            <w:tcW w:w="1127" w:type="dxa"/>
          </w:tcPr>
          <w:p w14:paraId="503E995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ITCA3</w:t>
            </w:r>
          </w:p>
        </w:tc>
        <w:tc>
          <w:tcPr>
            <w:tcW w:w="1127" w:type="dxa"/>
            <w:vAlign w:val="center"/>
          </w:tcPr>
          <w:p w14:paraId="0C8E80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3.15</w:t>
            </w:r>
          </w:p>
        </w:tc>
        <w:tc>
          <w:tcPr>
            <w:tcW w:w="1127" w:type="dxa"/>
            <w:vAlign w:val="center"/>
          </w:tcPr>
          <w:p w14:paraId="51DE77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3.14</w:t>
            </w:r>
          </w:p>
        </w:tc>
        <w:tc>
          <w:tcPr>
            <w:tcW w:w="1127" w:type="dxa"/>
            <w:vAlign w:val="center"/>
          </w:tcPr>
          <w:p w14:paraId="5E9F1B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8E70F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35C83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F28AB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1127" w:type="dxa"/>
            <w:vAlign w:val="center"/>
          </w:tcPr>
          <w:p w14:paraId="16360B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r>
      <w:tr w:rsidR="006E3616" w:rsidRPr="00400193" w14:paraId="40235686" w14:textId="77777777" w:rsidTr="003B5486">
        <w:tc>
          <w:tcPr>
            <w:tcW w:w="1127" w:type="dxa"/>
          </w:tcPr>
          <w:p w14:paraId="0C57381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ITCA4</w:t>
            </w:r>
          </w:p>
        </w:tc>
        <w:tc>
          <w:tcPr>
            <w:tcW w:w="1127" w:type="dxa"/>
            <w:vAlign w:val="center"/>
          </w:tcPr>
          <w:p w14:paraId="090EF6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1E1C6F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2.89</w:t>
            </w:r>
          </w:p>
        </w:tc>
        <w:tc>
          <w:tcPr>
            <w:tcW w:w="1127" w:type="dxa"/>
            <w:vAlign w:val="center"/>
          </w:tcPr>
          <w:p w14:paraId="43E3D1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5DF3B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FEDE6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4A8A6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65170B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-1.05</w:t>
            </w:r>
          </w:p>
        </w:tc>
      </w:tr>
      <w:tr w:rsidR="006E3616" w:rsidRPr="00400193" w14:paraId="76EE80D8" w14:textId="77777777" w:rsidTr="003B5486">
        <w:tc>
          <w:tcPr>
            <w:tcW w:w="1127" w:type="dxa"/>
          </w:tcPr>
          <w:p w14:paraId="26BB29E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ITCA5</w:t>
            </w:r>
          </w:p>
        </w:tc>
        <w:tc>
          <w:tcPr>
            <w:tcW w:w="1127" w:type="dxa"/>
            <w:vAlign w:val="center"/>
          </w:tcPr>
          <w:p w14:paraId="754320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2B4338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1127" w:type="dxa"/>
            <w:vAlign w:val="center"/>
          </w:tcPr>
          <w:p w14:paraId="4CCD0B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713578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B4D86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821CC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3A7C9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w:t>
            </w:r>
          </w:p>
        </w:tc>
      </w:tr>
      <w:tr w:rsidR="006E3616" w:rsidRPr="00400193" w14:paraId="672061EF" w14:textId="77777777" w:rsidTr="003B5486">
        <w:tc>
          <w:tcPr>
            <w:tcW w:w="1127" w:type="dxa"/>
          </w:tcPr>
          <w:p w14:paraId="36D1E57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ITCA6</w:t>
            </w:r>
          </w:p>
        </w:tc>
        <w:tc>
          <w:tcPr>
            <w:tcW w:w="1127" w:type="dxa"/>
            <w:vAlign w:val="center"/>
          </w:tcPr>
          <w:p w14:paraId="2D5DD2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3.41</w:t>
            </w:r>
          </w:p>
        </w:tc>
        <w:tc>
          <w:tcPr>
            <w:tcW w:w="1127" w:type="dxa"/>
            <w:vAlign w:val="center"/>
          </w:tcPr>
          <w:p w14:paraId="0362C1B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1127" w:type="dxa"/>
            <w:vAlign w:val="center"/>
          </w:tcPr>
          <w:p w14:paraId="7EAE4B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F877C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BB0E1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BC65A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1127" w:type="dxa"/>
            <w:vAlign w:val="center"/>
          </w:tcPr>
          <w:p w14:paraId="239D5D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-0.73</w:t>
            </w:r>
          </w:p>
        </w:tc>
      </w:tr>
      <w:tr w:rsidR="006E3616" w:rsidRPr="00400193" w14:paraId="7746CBB9" w14:textId="77777777" w:rsidTr="003B5486">
        <w:tc>
          <w:tcPr>
            <w:tcW w:w="1127" w:type="dxa"/>
          </w:tcPr>
          <w:p w14:paraId="6059F9B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ITCA7</w:t>
            </w:r>
          </w:p>
        </w:tc>
        <w:tc>
          <w:tcPr>
            <w:tcW w:w="1127" w:type="dxa"/>
            <w:vAlign w:val="center"/>
          </w:tcPr>
          <w:p w14:paraId="76CDF7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5693A3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3.25</w:t>
            </w:r>
          </w:p>
        </w:tc>
        <w:tc>
          <w:tcPr>
            <w:tcW w:w="1127" w:type="dxa"/>
            <w:vAlign w:val="center"/>
          </w:tcPr>
          <w:p w14:paraId="78E112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DA056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B1615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94E0D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2260D13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-0.50</w:t>
            </w:r>
          </w:p>
        </w:tc>
      </w:tr>
      <w:tr w:rsidR="006E3616" w:rsidRPr="00400193" w14:paraId="6A047D1B" w14:textId="77777777" w:rsidTr="003B5486">
        <w:tc>
          <w:tcPr>
            <w:tcW w:w="1127" w:type="dxa"/>
          </w:tcPr>
          <w:p w14:paraId="7202608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ITCA</w:t>
            </w:r>
          </w:p>
        </w:tc>
        <w:tc>
          <w:tcPr>
            <w:tcW w:w="1127" w:type="dxa"/>
            <w:vAlign w:val="center"/>
          </w:tcPr>
          <w:p w14:paraId="603D2F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2643A9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0CC18C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7844E6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64F7B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23880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3CAA3D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r>
      <w:tr w:rsidR="006E3616" w:rsidRPr="00400193" w14:paraId="28A603F7" w14:textId="77777777" w:rsidTr="003B5486">
        <w:tc>
          <w:tcPr>
            <w:tcW w:w="1127" w:type="dxa"/>
          </w:tcPr>
          <w:p w14:paraId="4940593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w:t>
            </w:r>
          </w:p>
        </w:tc>
        <w:tc>
          <w:tcPr>
            <w:tcW w:w="1127" w:type="dxa"/>
            <w:vAlign w:val="center"/>
          </w:tcPr>
          <w:p w14:paraId="44AB55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7C052D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3.30</w:t>
            </w:r>
          </w:p>
        </w:tc>
        <w:tc>
          <w:tcPr>
            <w:tcW w:w="1127" w:type="dxa"/>
            <w:vAlign w:val="center"/>
          </w:tcPr>
          <w:p w14:paraId="6DBAA1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BCFED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2D066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FF6B5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1127" w:type="dxa"/>
            <w:vAlign w:val="center"/>
          </w:tcPr>
          <w:p w14:paraId="66B0D3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-0.58</w:t>
            </w:r>
          </w:p>
        </w:tc>
      </w:tr>
      <w:tr w:rsidR="006E3616" w:rsidRPr="00400193" w14:paraId="3FB4C8E7" w14:textId="77777777" w:rsidTr="003B5486">
        <w:tc>
          <w:tcPr>
            <w:tcW w:w="1127" w:type="dxa"/>
          </w:tcPr>
          <w:p w14:paraId="03F2E4E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VW2</w:t>
            </w:r>
          </w:p>
        </w:tc>
        <w:tc>
          <w:tcPr>
            <w:tcW w:w="1127" w:type="dxa"/>
            <w:vAlign w:val="center"/>
          </w:tcPr>
          <w:p w14:paraId="184491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3.05</w:t>
            </w:r>
          </w:p>
        </w:tc>
        <w:tc>
          <w:tcPr>
            <w:tcW w:w="1127" w:type="dxa"/>
            <w:vAlign w:val="center"/>
          </w:tcPr>
          <w:p w14:paraId="1997EA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3.06</w:t>
            </w:r>
          </w:p>
        </w:tc>
        <w:tc>
          <w:tcPr>
            <w:tcW w:w="1127" w:type="dxa"/>
            <w:vAlign w:val="center"/>
          </w:tcPr>
          <w:p w14:paraId="740698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3C04E3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2A2F8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13269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6617F2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w:t>
            </w:r>
          </w:p>
        </w:tc>
      </w:tr>
      <w:tr w:rsidR="006E3616" w:rsidRPr="00400193" w14:paraId="09E32362" w14:textId="77777777" w:rsidTr="003B5486">
        <w:tc>
          <w:tcPr>
            <w:tcW w:w="1127" w:type="dxa"/>
          </w:tcPr>
          <w:p w14:paraId="158C2F5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VW3</w:t>
            </w:r>
          </w:p>
        </w:tc>
        <w:tc>
          <w:tcPr>
            <w:tcW w:w="1127" w:type="dxa"/>
            <w:vAlign w:val="center"/>
          </w:tcPr>
          <w:p w14:paraId="3E010C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493FBF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3.27</w:t>
            </w:r>
          </w:p>
        </w:tc>
        <w:tc>
          <w:tcPr>
            <w:tcW w:w="1127" w:type="dxa"/>
            <w:vAlign w:val="center"/>
          </w:tcPr>
          <w:p w14:paraId="2DA094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047046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25A30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8F5E2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4BF826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r>
      <w:tr w:rsidR="006E3616" w:rsidRPr="00400193" w14:paraId="372B440A" w14:textId="77777777" w:rsidTr="003B5486">
        <w:tc>
          <w:tcPr>
            <w:tcW w:w="1127" w:type="dxa"/>
          </w:tcPr>
          <w:p w14:paraId="69D1294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VW4</w:t>
            </w:r>
          </w:p>
        </w:tc>
        <w:tc>
          <w:tcPr>
            <w:tcW w:w="1127" w:type="dxa"/>
            <w:vAlign w:val="center"/>
          </w:tcPr>
          <w:p w14:paraId="1829C8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1604C2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3.21</w:t>
            </w:r>
          </w:p>
        </w:tc>
        <w:tc>
          <w:tcPr>
            <w:tcW w:w="1127" w:type="dxa"/>
            <w:vAlign w:val="center"/>
          </w:tcPr>
          <w:p w14:paraId="4FA1F7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13936C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9C6D7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C4733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-0.23</w:t>
            </w:r>
          </w:p>
        </w:tc>
        <w:tc>
          <w:tcPr>
            <w:tcW w:w="1127" w:type="dxa"/>
            <w:vAlign w:val="center"/>
          </w:tcPr>
          <w:p w14:paraId="52919C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-0.15</w:t>
            </w:r>
          </w:p>
        </w:tc>
      </w:tr>
      <w:tr w:rsidR="006E3616" w:rsidRPr="00400193" w14:paraId="135DD969" w14:textId="77777777" w:rsidTr="003B5486">
        <w:tc>
          <w:tcPr>
            <w:tcW w:w="1127" w:type="dxa"/>
          </w:tcPr>
          <w:p w14:paraId="11DDF4D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VW5</w:t>
            </w:r>
          </w:p>
        </w:tc>
        <w:tc>
          <w:tcPr>
            <w:tcW w:w="1127" w:type="dxa"/>
            <w:vAlign w:val="center"/>
          </w:tcPr>
          <w:p w14:paraId="0B05F7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3.34</w:t>
            </w:r>
          </w:p>
        </w:tc>
        <w:tc>
          <w:tcPr>
            <w:tcW w:w="1127" w:type="dxa"/>
            <w:vAlign w:val="center"/>
          </w:tcPr>
          <w:p w14:paraId="7EE85F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3.38</w:t>
            </w:r>
          </w:p>
        </w:tc>
        <w:tc>
          <w:tcPr>
            <w:tcW w:w="1127" w:type="dxa"/>
            <w:vAlign w:val="center"/>
          </w:tcPr>
          <w:p w14:paraId="33B1F4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4CF435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FA82D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1ED20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-0.65</w:t>
            </w:r>
          </w:p>
        </w:tc>
        <w:tc>
          <w:tcPr>
            <w:tcW w:w="1127" w:type="dxa"/>
            <w:vAlign w:val="center"/>
          </w:tcPr>
          <w:p w14:paraId="00F6B3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r>
      <w:tr w:rsidR="006E3616" w:rsidRPr="00400193" w14:paraId="0605A638" w14:textId="77777777" w:rsidTr="003B5486">
        <w:tc>
          <w:tcPr>
            <w:tcW w:w="1127" w:type="dxa"/>
          </w:tcPr>
          <w:p w14:paraId="126A524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VW6</w:t>
            </w:r>
          </w:p>
        </w:tc>
        <w:tc>
          <w:tcPr>
            <w:tcW w:w="1127" w:type="dxa"/>
            <w:vAlign w:val="center"/>
          </w:tcPr>
          <w:p w14:paraId="13E248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2.51</w:t>
            </w:r>
          </w:p>
        </w:tc>
        <w:tc>
          <w:tcPr>
            <w:tcW w:w="1127" w:type="dxa"/>
            <w:vAlign w:val="center"/>
          </w:tcPr>
          <w:p w14:paraId="6B00A4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2.47</w:t>
            </w:r>
          </w:p>
        </w:tc>
        <w:tc>
          <w:tcPr>
            <w:tcW w:w="1127" w:type="dxa"/>
            <w:vAlign w:val="center"/>
          </w:tcPr>
          <w:p w14:paraId="12A1F3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69F40B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5B0F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A661C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0.39</w:t>
            </w:r>
          </w:p>
        </w:tc>
        <w:tc>
          <w:tcPr>
            <w:tcW w:w="1127" w:type="dxa"/>
            <w:vAlign w:val="center"/>
          </w:tcPr>
          <w:p w14:paraId="0A5BFD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-0.55</w:t>
            </w:r>
          </w:p>
        </w:tc>
      </w:tr>
      <w:tr w:rsidR="006E3616" w:rsidRPr="00400193" w14:paraId="6820021F" w14:textId="77777777" w:rsidTr="003B5486">
        <w:tc>
          <w:tcPr>
            <w:tcW w:w="1127" w:type="dxa"/>
          </w:tcPr>
          <w:p w14:paraId="21C6752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VW7</w:t>
            </w:r>
          </w:p>
        </w:tc>
        <w:tc>
          <w:tcPr>
            <w:tcW w:w="1127" w:type="dxa"/>
            <w:vAlign w:val="center"/>
          </w:tcPr>
          <w:p w14:paraId="558A40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3.44</w:t>
            </w:r>
          </w:p>
        </w:tc>
        <w:tc>
          <w:tcPr>
            <w:tcW w:w="1127" w:type="dxa"/>
            <w:vAlign w:val="center"/>
          </w:tcPr>
          <w:p w14:paraId="33D754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3.49</w:t>
            </w:r>
          </w:p>
        </w:tc>
        <w:tc>
          <w:tcPr>
            <w:tcW w:w="1127" w:type="dxa"/>
            <w:vAlign w:val="center"/>
          </w:tcPr>
          <w:p w14:paraId="66CB82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285163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56E04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8A579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-0.57</w:t>
            </w:r>
          </w:p>
        </w:tc>
        <w:tc>
          <w:tcPr>
            <w:tcW w:w="1127" w:type="dxa"/>
            <w:vAlign w:val="center"/>
          </w:tcPr>
          <w:p w14:paraId="7F2FCE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-0.62</w:t>
            </w:r>
          </w:p>
        </w:tc>
      </w:tr>
      <w:tr w:rsidR="006E3616" w:rsidRPr="00400193" w14:paraId="18A94C50" w14:textId="77777777" w:rsidTr="003B5486">
        <w:tc>
          <w:tcPr>
            <w:tcW w:w="1127" w:type="dxa"/>
          </w:tcPr>
          <w:p w14:paraId="2EFE599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VW8</w:t>
            </w:r>
          </w:p>
        </w:tc>
        <w:tc>
          <w:tcPr>
            <w:tcW w:w="1127" w:type="dxa"/>
            <w:vAlign w:val="center"/>
          </w:tcPr>
          <w:p w14:paraId="6EC0F3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2.61</w:t>
            </w:r>
          </w:p>
        </w:tc>
        <w:tc>
          <w:tcPr>
            <w:tcW w:w="1127" w:type="dxa"/>
            <w:vAlign w:val="center"/>
          </w:tcPr>
          <w:p w14:paraId="7B5D18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2.59</w:t>
            </w:r>
          </w:p>
        </w:tc>
        <w:tc>
          <w:tcPr>
            <w:tcW w:w="1127" w:type="dxa"/>
            <w:vAlign w:val="center"/>
          </w:tcPr>
          <w:p w14:paraId="3D8EA1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3CA61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5F8A1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E4E38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9EA32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r>
      <w:tr w:rsidR="006E3616" w:rsidRPr="00400193" w14:paraId="557D90ED" w14:textId="77777777" w:rsidTr="003B5486">
        <w:tc>
          <w:tcPr>
            <w:tcW w:w="1127" w:type="dxa"/>
          </w:tcPr>
          <w:p w14:paraId="31E14FC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VW9</w:t>
            </w:r>
          </w:p>
        </w:tc>
        <w:tc>
          <w:tcPr>
            <w:tcW w:w="1127" w:type="dxa"/>
            <w:vAlign w:val="center"/>
          </w:tcPr>
          <w:p w14:paraId="2BBDB6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280550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6EEF03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2537E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81E65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137A8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4F38EA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r>
      <w:tr w:rsidR="006E3616" w:rsidRPr="00400193" w14:paraId="3E393485" w14:textId="77777777" w:rsidTr="003B5486">
        <w:tc>
          <w:tcPr>
            <w:tcW w:w="1127" w:type="dxa"/>
          </w:tcPr>
          <w:p w14:paraId="4D2DB6B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VW10</w:t>
            </w:r>
          </w:p>
        </w:tc>
        <w:tc>
          <w:tcPr>
            <w:tcW w:w="1127" w:type="dxa"/>
            <w:vAlign w:val="center"/>
          </w:tcPr>
          <w:p w14:paraId="6DC6F2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3.81</w:t>
            </w:r>
          </w:p>
        </w:tc>
        <w:tc>
          <w:tcPr>
            <w:tcW w:w="1127" w:type="dxa"/>
            <w:vAlign w:val="center"/>
          </w:tcPr>
          <w:p w14:paraId="045AB3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3.87</w:t>
            </w:r>
          </w:p>
        </w:tc>
        <w:tc>
          <w:tcPr>
            <w:tcW w:w="1127" w:type="dxa"/>
            <w:vAlign w:val="center"/>
          </w:tcPr>
          <w:p w14:paraId="26A5C9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41230D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8CBA4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76077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-0.80</w:t>
            </w:r>
          </w:p>
        </w:tc>
        <w:tc>
          <w:tcPr>
            <w:tcW w:w="1127" w:type="dxa"/>
            <w:vAlign w:val="center"/>
          </w:tcPr>
          <w:p w14:paraId="0AC838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1.00</w:t>
            </w:r>
          </w:p>
        </w:tc>
      </w:tr>
      <w:tr w:rsidR="006E3616" w:rsidRPr="00400193" w14:paraId="1E5DDAD7" w14:textId="77777777" w:rsidTr="003B5486">
        <w:tc>
          <w:tcPr>
            <w:tcW w:w="1127" w:type="dxa"/>
          </w:tcPr>
          <w:p w14:paraId="33A0B6C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VW11</w:t>
            </w:r>
          </w:p>
        </w:tc>
        <w:tc>
          <w:tcPr>
            <w:tcW w:w="1127" w:type="dxa"/>
            <w:vAlign w:val="center"/>
          </w:tcPr>
          <w:p w14:paraId="379179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1127" w:type="dxa"/>
            <w:vAlign w:val="center"/>
          </w:tcPr>
          <w:p w14:paraId="62FBFC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3.51</w:t>
            </w:r>
          </w:p>
        </w:tc>
        <w:tc>
          <w:tcPr>
            <w:tcW w:w="1127" w:type="dxa"/>
            <w:vAlign w:val="center"/>
          </w:tcPr>
          <w:p w14:paraId="781C55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1FC69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B71D2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8B1CE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-0.66</w:t>
            </w:r>
          </w:p>
        </w:tc>
        <w:tc>
          <w:tcPr>
            <w:tcW w:w="1127" w:type="dxa"/>
            <w:vAlign w:val="center"/>
          </w:tcPr>
          <w:p w14:paraId="3839D9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22F83027" w14:textId="77777777" w:rsidTr="003B5486">
        <w:tc>
          <w:tcPr>
            <w:tcW w:w="1127" w:type="dxa"/>
          </w:tcPr>
          <w:p w14:paraId="11A1212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VW12</w:t>
            </w:r>
          </w:p>
        </w:tc>
        <w:tc>
          <w:tcPr>
            <w:tcW w:w="1127" w:type="dxa"/>
            <w:vAlign w:val="center"/>
          </w:tcPr>
          <w:p w14:paraId="6D82A8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3.78</w:t>
            </w:r>
          </w:p>
        </w:tc>
        <w:tc>
          <w:tcPr>
            <w:tcW w:w="1127" w:type="dxa"/>
            <w:vAlign w:val="center"/>
          </w:tcPr>
          <w:p w14:paraId="488AA2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3.87</w:t>
            </w:r>
          </w:p>
        </w:tc>
        <w:tc>
          <w:tcPr>
            <w:tcW w:w="1127" w:type="dxa"/>
            <w:vAlign w:val="center"/>
          </w:tcPr>
          <w:p w14:paraId="098D41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c>
          <w:tcPr>
            <w:tcW w:w="1127" w:type="dxa"/>
            <w:vAlign w:val="center"/>
          </w:tcPr>
          <w:p w14:paraId="0B0FA9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2F6B95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E3153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c>
          <w:tcPr>
            <w:tcW w:w="1127" w:type="dxa"/>
            <w:vAlign w:val="center"/>
          </w:tcPr>
          <w:p w14:paraId="4559D9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r>
      <w:tr w:rsidR="006E3616" w:rsidRPr="00400193" w14:paraId="312CA43F" w14:textId="77777777" w:rsidTr="003B5486">
        <w:tc>
          <w:tcPr>
            <w:tcW w:w="1127" w:type="dxa"/>
          </w:tcPr>
          <w:p w14:paraId="265C090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VW13</w:t>
            </w:r>
          </w:p>
        </w:tc>
        <w:tc>
          <w:tcPr>
            <w:tcW w:w="1127" w:type="dxa"/>
            <w:vAlign w:val="center"/>
          </w:tcPr>
          <w:p w14:paraId="33D443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2.95</w:t>
            </w:r>
          </w:p>
        </w:tc>
        <w:tc>
          <w:tcPr>
            <w:tcW w:w="1127" w:type="dxa"/>
            <w:vAlign w:val="center"/>
          </w:tcPr>
          <w:p w14:paraId="712CFC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2.94</w:t>
            </w:r>
          </w:p>
        </w:tc>
        <w:tc>
          <w:tcPr>
            <w:tcW w:w="1127" w:type="dxa"/>
            <w:vAlign w:val="center"/>
          </w:tcPr>
          <w:p w14:paraId="65ED22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542BA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BFAC0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DC670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-0.17</w:t>
            </w:r>
          </w:p>
        </w:tc>
        <w:tc>
          <w:tcPr>
            <w:tcW w:w="1127" w:type="dxa"/>
            <w:vAlign w:val="center"/>
          </w:tcPr>
          <w:p w14:paraId="20E5F6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r>
      <w:tr w:rsidR="006E3616" w:rsidRPr="00400193" w14:paraId="59FBF95E" w14:textId="77777777" w:rsidTr="003B5486">
        <w:tc>
          <w:tcPr>
            <w:tcW w:w="1127" w:type="dxa"/>
          </w:tcPr>
          <w:p w14:paraId="18A5D22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w:t>
            </w:r>
          </w:p>
        </w:tc>
        <w:tc>
          <w:tcPr>
            <w:tcW w:w="1127" w:type="dxa"/>
            <w:vAlign w:val="center"/>
          </w:tcPr>
          <w:p w14:paraId="2C7B6C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3.20</w:t>
            </w:r>
          </w:p>
        </w:tc>
        <w:tc>
          <w:tcPr>
            <w:tcW w:w="1127" w:type="dxa"/>
            <w:vAlign w:val="center"/>
          </w:tcPr>
          <w:p w14:paraId="161041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08A543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70EA4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7CBD6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200CE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-0.53</w:t>
            </w:r>
          </w:p>
        </w:tc>
        <w:tc>
          <w:tcPr>
            <w:tcW w:w="1127" w:type="dxa"/>
            <w:vAlign w:val="center"/>
          </w:tcPr>
          <w:p w14:paraId="73FD5D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2.30</w:t>
            </w:r>
          </w:p>
        </w:tc>
      </w:tr>
      <w:tr w:rsidR="006E3616" w:rsidRPr="00400193" w14:paraId="7A524EEA" w14:textId="77777777" w:rsidTr="003B5486">
        <w:tc>
          <w:tcPr>
            <w:tcW w:w="1127" w:type="dxa"/>
          </w:tcPr>
          <w:p w14:paraId="329A6CA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w:t>
            </w:r>
          </w:p>
        </w:tc>
        <w:tc>
          <w:tcPr>
            <w:tcW w:w="1127" w:type="dxa"/>
            <w:vAlign w:val="center"/>
          </w:tcPr>
          <w:p w14:paraId="694642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3.40</w:t>
            </w:r>
          </w:p>
        </w:tc>
        <w:tc>
          <w:tcPr>
            <w:tcW w:w="1127" w:type="dxa"/>
            <w:vAlign w:val="center"/>
          </w:tcPr>
          <w:p w14:paraId="476DD1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3.44</w:t>
            </w:r>
          </w:p>
        </w:tc>
        <w:tc>
          <w:tcPr>
            <w:tcW w:w="1127" w:type="dxa"/>
            <w:vAlign w:val="center"/>
          </w:tcPr>
          <w:p w14:paraId="5B05D1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09385B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29E7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CAA04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-0.67</w:t>
            </w:r>
          </w:p>
        </w:tc>
        <w:tc>
          <w:tcPr>
            <w:tcW w:w="1127" w:type="dxa"/>
            <w:vAlign w:val="center"/>
          </w:tcPr>
          <w:p w14:paraId="11836F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r>
      <w:tr w:rsidR="006E3616" w:rsidRPr="00400193" w14:paraId="0C6F8553" w14:textId="77777777" w:rsidTr="003B5486">
        <w:tc>
          <w:tcPr>
            <w:tcW w:w="1127" w:type="dxa"/>
          </w:tcPr>
          <w:p w14:paraId="42AA54B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VWP2</w:t>
            </w:r>
          </w:p>
        </w:tc>
        <w:tc>
          <w:tcPr>
            <w:tcW w:w="1127" w:type="dxa"/>
            <w:vAlign w:val="center"/>
          </w:tcPr>
          <w:p w14:paraId="1B8054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2.48</w:t>
            </w:r>
          </w:p>
        </w:tc>
        <w:tc>
          <w:tcPr>
            <w:tcW w:w="1127" w:type="dxa"/>
            <w:vAlign w:val="center"/>
          </w:tcPr>
          <w:p w14:paraId="252C49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2.43</w:t>
            </w:r>
          </w:p>
        </w:tc>
        <w:tc>
          <w:tcPr>
            <w:tcW w:w="1127" w:type="dxa"/>
            <w:vAlign w:val="center"/>
          </w:tcPr>
          <w:p w14:paraId="2F040D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49897F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AF29C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85B96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0.29</w:t>
            </w:r>
          </w:p>
        </w:tc>
        <w:tc>
          <w:tcPr>
            <w:tcW w:w="1127" w:type="dxa"/>
            <w:vAlign w:val="center"/>
          </w:tcPr>
          <w:p w14:paraId="3CA476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-1.10</w:t>
            </w:r>
          </w:p>
        </w:tc>
      </w:tr>
      <w:tr w:rsidR="006E3616" w:rsidRPr="00400193" w14:paraId="0B5E9556" w14:textId="77777777" w:rsidTr="003B5486">
        <w:tc>
          <w:tcPr>
            <w:tcW w:w="1127" w:type="dxa"/>
          </w:tcPr>
          <w:p w14:paraId="2D5A809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VWP3</w:t>
            </w:r>
          </w:p>
        </w:tc>
        <w:tc>
          <w:tcPr>
            <w:tcW w:w="1127" w:type="dxa"/>
            <w:vAlign w:val="center"/>
          </w:tcPr>
          <w:p w14:paraId="0405017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2.79</w:t>
            </w:r>
          </w:p>
        </w:tc>
        <w:tc>
          <w:tcPr>
            <w:tcW w:w="1127" w:type="dxa"/>
            <w:vAlign w:val="center"/>
          </w:tcPr>
          <w:p w14:paraId="4F162A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2.76</w:t>
            </w:r>
          </w:p>
        </w:tc>
        <w:tc>
          <w:tcPr>
            <w:tcW w:w="1127" w:type="dxa"/>
            <w:vAlign w:val="center"/>
          </w:tcPr>
          <w:p w14:paraId="20746B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D40E8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E17FB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90854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FA5814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-0.46</w:t>
            </w:r>
          </w:p>
        </w:tc>
      </w:tr>
      <w:tr w:rsidR="006E3616" w:rsidRPr="00400193" w14:paraId="02DBD09A" w14:textId="77777777" w:rsidTr="003B5486">
        <w:tc>
          <w:tcPr>
            <w:tcW w:w="1127" w:type="dxa"/>
          </w:tcPr>
          <w:p w14:paraId="4693AB6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VWP4</w:t>
            </w:r>
          </w:p>
        </w:tc>
        <w:tc>
          <w:tcPr>
            <w:tcW w:w="1127" w:type="dxa"/>
            <w:vAlign w:val="center"/>
          </w:tcPr>
          <w:p w14:paraId="2A2474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2.57</w:t>
            </w:r>
          </w:p>
        </w:tc>
        <w:tc>
          <w:tcPr>
            <w:tcW w:w="1127" w:type="dxa"/>
            <w:vAlign w:val="center"/>
          </w:tcPr>
          <w:p w14:paraId="539ECE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2.53</w:t>
            </w:r>
          </w:p>
        </w:tc>
        <w:tc>
          <w:tcPr>
            <w:tcW w:w="1127" w:type="dxa"/>
            <w:vAlign w:val="center"/>
          </w:tcPr>
          <w:p w14:paraId="0E5C30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01CE5B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4954D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ED25F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0.16</w:t>
            </w:r>
          </w:p>
        </w:tc>
        <w:tc>
          <w:tcPr>
            <w:tcW w:w="1127" w:type="dxa"/>
            <w:vAlign w:val="center"/>
          </w:tcPr>
          <w:p w14:paraId="77B557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w:t>
            </w:r>
          </w:p>
        </w:tc>
      </w:tr>
      <w:tr w:rsidR="006E3616" w:rsidRPr="00400193" w14:paraId="210A3016" w14:textId="77777777" w:rsidTr="003B5486">
        <w:tc>
          <w:tcPr>
            <w:tcW w:w="1127" w:type="dxa"/>
          </w:tcPr>
          <w:p w14:paraId="45DE482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VWP5</w:t>
            </w:r>
          </w:p>
        </w:tc>
        <w:tc>
          <w:tcPr>
            <w:tcW w:w="1127" w:type="dxa"/>
            <w:vAlign w:val="center"/>
          </w:tcPr>
          <w:p w14:paraId="7B8236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3.08</w:t>
            </w:r>
          </w:p>
        </w:tc>
        <w:tc>
          <w:tcPr>
            <w:tcW w:w="1127" w:type="dxa"/>
            <w:vAlign w:val="center"/>
          </w:tcPr>
          <w:p w14:paraId="4D69A1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3.09</w:t>
            </w:r>
          </w:p>
        </w:tc>
        <w:tc>
          <w:tcPr>
            <w:tcW w:w="1127" w:type="dxa"/>
            <w:vAlign w:val="center"/>
          </w:tcPr>
          <w:p w14:paraId="6877DF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9CB7F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ED511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F0678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364C1D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-0.85</w:t>
            </w:r>
          </w:p>
        </w:tc>
      </w:tr>
      <w:tr w:rsidR="006E3616" w:rsidRPr="00400193" w14:paraId="2173B834" w14:textId="77777777" w:rsidTr="003B5486">
        <w:tc>
          <w:tcPr>
            <w:tcW w:w="1127" w:type="dxa"/>
          </w:tcPr>
          <w:p w14:paraId="1EE372B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VWP6</w:t>
            </w:r>
          </w:p>
        </w:tc>
        <w:tc>
          <w:tcPr>
            <w:tcW w:w="1127" w:type="dxa"/>
            <w:vAlign w:val="center"/>
          </w:tcPr>
          <w:p w14:paraId="16B3BA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080E73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2D6DA1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1DFC4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08384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06EB1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1A065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r>
      <w:tr w:rsidR="006E3616" w:rsidRPr="00400193" w14:paraId="516EB8B9" w14:textId="77777777" w:rsidTr="003B5486">
        <w:tc>
          <w:tcPr>
            <w:tcW w:w="1127" w:type="dxa"/>
          </w:tcPr>
          <w:p w14:paraId="6F6E5AB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VWP7</w:t>
            </w:r>
          </w:p>
        </w:tc>
        <w:tc>
          <w:tcPr>
            <w:tcW w:w="1127" w:type="dxa"/>
            <w:vAlign w:val="center"/>
          </w:tcPr>
          <w:p w14:paraId="779ADE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2.92</w:t>
            </w:r>
          </w:p>
        </w:tc>
        <w:tc>
          <w:tcPr>
            <w:tcW w:w="1127" w:type="dxa"/>
            <w:vAlign w:val="center"/>
          </w:tcPr>
          <w:p w14:paraId="0B4FC0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2.91</w:t>
            </w:r>
          </w:p>
        </w:tc>
        <w:tc>
          <w:tcPr>
            <w:tcW w:w="1127" w:type="dxa"/>
            <w:vAlign w:val="center"/>
          </w:tcPr>
          <w:p w14:paraId="0D9287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495C4E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54484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09BB0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4FD24A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-0.89</w:t>
            </w:r>
          </w:p>
        </w:tc>
      </w:tr>
      <w:tr w:rsidR="006E3616" w:rsidRPr="00400193" w14:paraId="71DAB012" w14:textId="77777777" w:rsidTr="003B5486">
        <w:tc>
          <w:tcPr>
            <w:tcW w:w="1127" w:type="dxa"/>
          </w:tcPr>
          <w:p w14:paraId="1FB1644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VWP8</w:t>
            </w:r>
          </w:p>
        </w:tc>
        <w:tc>
          <w:tcPr>
            <w:tcW w:w="1127" w:type="dxa"/>
            <w:vAlign w:val="center"/>
          </w:tcPr>
          <w:p w14:paraId="7361C8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1127" w:type="dxa"/>
            <w:vAlign w:val="center"/>
          </w:tcPr>
          <w:p w14:paraId="095C3B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3.02</w:t>
            </w:r>
          </w:p>
        </w:tc>
        <w:tc>
          <w:tcPr>
            <w:tcW w:w="1127" w:type="dxa"/>
            <w:vAlign w:val="center"/>
          </w:tcPr>
          <w:p w14:paraId="325580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1535B02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7B3C3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65CFE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-0.11</w:t>
            </w:r>
          </w:p>
        </w:tc>
        <w:tc>
          <w:tcPr>
            <w:tcW w:w="1127" w:type="dxa"/>
            <w:vAlign w:val="center"/>
          </w:tcPr>
          <w:p w14:paraId="48A4B5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w:t>
            </w:r>
          </w:p>
        </w:tc>
      </w:tr>
      <w:tr w:rsidR="006E3616" w:rsidRPr="00400193" w14:paraId="5D4549D8" w14:textId="77777777" w:rsidTr="003B5486">
        <w:tc>
          <w:tcPr>
            <w:tcW w:w="1127" w:type="dxa"/>
          </w:tcPr>
          <w:p w14:paraId="6DA196E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VWP9</w:t>
            </w:r>
          </w:p>
        </w:tc>
        <w:tc>
          <w:tcPr>
            <w:tcW w:w="1127" w:type="dxa"/>
            <w:vAlign w:val="center"/>
          </w:tcPr>
          <w:p w14:paraId="6B26F9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3.16</w:t>
            </w:r>
          </w:p>
        </w:tc>
        <w:tc>
          <w:tcPr>
            <w:tcW w:w="1127" w:type="dxa"/>
            <w:vAlign w:val="center"/>
          </w:tcPr>
          <w:p w14:paraId="51331F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3.18</w:t>
            </w:r>
          </w:p>
        </w:tc>
        <w:tc>
          <w:tcPr>
            <w:tcW w:w="1127" w:type="dxa"/>
            <w:vAlign w:val="center"/>
          </w:tcPr>
          <w:p w14:paraId="3143A3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AD54B7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3BD6D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5111E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-0.19</w:t>
            </w:r>
          </w:p>
        </w:tc>
        <w:tc>
          <w:tcPr>
            <w:tcW w:w="1127" w:type="dxa"/>
            <w:vAlign w:val="center"/>
          </w:tcPr>
          <w:p w14:paraId="7CDA49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r>
      <w:tr w:rsidR="006E3616" w:rsidRPr="00400193" w14:paraId="387B38A4" w14:textId="77777777" w:rsidTr="003B5486">
        <w:tc>
          <w:tcPr>
            <w:tcW w:w="1127" w:type="dxa"/>
          </w:tcPr>
          <w:p w14:paraId="462EBB3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VWP10</w:t>
            </w:r>
          </w:p>
        </w:tc>
        <w:tc>
          <w:tcPr>
            <w:tcW w:w="1127" w:type="dxa"/>
            <w:vAlign w:val="center"/>
          </w:tcPr>
          <w:p w14:paraId="09D0D4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3.24</w:t>
            </w:r>
          </w:p>
        </w:tc>
        <w:tc>
          <w:tcPr>
            <w:tcW w:w="1127" w:type="dxa"/>
            <w:vAlign w:val="center"/>
          </w:tcPr>
          <w:p w14:paraId="2B87ED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3.26</w:t>
            </w:r>
          </w:p>
        </w:tc>
        <w:tc>
          <w:tcPr>
            <w:tcW w:w="1127" w:type="dxa"/>
            <w:vAlign w:val="center"/>
          </w:tcPr>
          <w:p w14:paraId="18C0E0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3A7016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929E9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7F9B0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1127" w:type="dxa"/>
            <w:vAlign w:val="center"/>
          </w:tcPr>
          <w:p w14:paraId="20FA2C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r>
      <w:tr w:rsidR="006E3616" w:rsidRPr="00400193" w14:paraId="3C8D66AF" w14:textId="77777777" w:rsidTr="003B5486">
        <w:tc>
          <w:tcPr>
            <w:tcW w:w="1127" w:type="dxa"/>
          </w:tcPr>
          <w:p w14:paraId="6A38B8D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VWP11</w:t>
            </w:r>
          </w:p>
        </w:tc>
        <w:tc>
          <w:tcPr>
            <w:tcW w:w="1127" w:type="dxa"/>
            <w:vAlign w:val="center"/>
          </w:tcPr>
          <w:p w14:paraId="1D17814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3.19</w:t>
            </w:r>
          </w:p>
        </w:tc>
        <w:tc>
          <w:tcPr>
            <w:tcW w:w="1127" w:type="dxa"/>
            <w:vAlign w:val="center"/>
          </w:tcPr>
          <w:p w14:paraId="29C70F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3.22</w:t>
            </w:r>
          </w:p>
        </w:tc>
        <w:tc>
          <w:tcPr>
            <w:tcW w:w="1127" w:type="dxa"/>
            <w:vAlign w:val="center"/>
          </w:tcPr>
          <w:p w14:paraId="54A10C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416E32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B8364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ABE25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c>
          <w:tcPr>
            <w:tcW w:w="1127" w:type="dxa"/>
            <w:vAlign w:val="center"/>
          </w:tcPr>
          <w:p w14:paraId="2BBAE9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7D6A470C" w14:textId="77777777" w:rsidTr="003B5486">
        <w:tc>
          <w:tcPr>
            <w:tcW w:w="1127" w:type="dxa"/>
          </w:tcPr>
          <w:p w14:paraId="17A9120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VWP12</w:t>
            </w:r>
          </w:p>
        </w:tc>
        <w:tc>
          <w:tcPr>
            <w:tcW w:w="1127" w:type="dxa"/>
            <w:vAlign w:val="center"/>
          </w:tcPr>
          <w:p w14:paraId="4C266B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1127" w:type="dxa"/>
            <w:vAlign w:val="center"/>
          </w:tcPr>
          <w:p w14:paraId="78FE3F8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2.98</w:t>
            </w:r>
          </w:p>
        </w:tc>
        <w:tc>
          <w:tcPr>
            <w:tcW w:w="1127" w:type="dxa"/>
            <w:vAlign w:val="center"/>
          </w:tcPr>
          <w:p w14:paraId="4CD779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014DC5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FA508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937F5D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c>
          <w:tcPr>
            <w:tcW w:w="1127" w:type="dxa"/>
            <w:vAlign w:val="center"/>
          </w:tcPr>
          <w:p w14:paraId="12DE83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r>
      <w:tr w:rsidR="006E3616" w:rsidRPr="00400193" w14:paraId="751C9375" w14:textId="77777777" w:rsidTr="003B5486">
        <w:tc>
          <w:tcPr>
            <w:tcW w:w="1127" w:type="dxa"/>
          </w:tcPr>
          <w:p w14:paraId="7134991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VWP13</w:t>
            </w:r>
          </w:p>
        </w:tc>
        <w:tc>
          <w:tcPr>
            <w:tcW w:w="1127" w:type="dxa"/>
            <w:vAlign w:val="center"/>
          </w:tcPr>
          <w:p w14:paraId="09E22E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1127" w:type="dxa"/>
            <w:vAlign w:val="center"/>
          </w:tcPr>
          <w:p w14:paraId="4519C7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1127" w:type="dxa"/>
            <w:vAlign w:val="center"/>
          </w:tcPr>
          <w:p w14:paraId="090F32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270CCC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1071C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8E831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EB808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w:t>
            </w:r>
          </w:p>
        </w:tc>
      </w:tr>
      <w:tr w:rsidR="006E3616" w:rsidRPr="00400193" w14:paraId="1587888A" w14:textId="77777777" w:rsidTr="003B5486">
        <w:tc>
          <w:tcPr>
            <w:tcW w:w="1127" w:type="dxa"/>
          </w:tcPr>
          <w:p w14:paraId="6451D5A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VWP14</w:t>
            </w:r>
          </w:p>
        </w:tc>
        <w:tc>
          <w:tcPr>
            <w:tcW w:w="1127" w:type="dxa"/>
            <w:vAlign w:val="center"/>
          </w:tcPr>
          <w:p w14:paraId="327D718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1127" w:type="dxa"/>
            <w:vAlign w:val="center"/>
          </w:tcPr>
          <w:p w14:paraId="117850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3.01</w:t>
            </w:r>
          </w:p>
        </w:tc>
        <w:tc>
          <w:tcPr>
            <w:tcW w:w="1127" w:type="dxa"/>
            <w:vAlign w:val="center"/>
          </w:tcPr>
          <w:p w14:paraId="4FC4B5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487260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6E3AF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7D08E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26E761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-0.78</w:t>
            </w:r>
          </w:p>
        </w:tc>
      </w:tr>
      <w:tr w:rsidR="006E3616" w:rsidRPr="00400193" w14:paraId="49BFD2C5" w14:textId="77777777" w:rsidTr="003B5486">
        <w:tc>
          <w:tcPr>
            <w:tcW w:w="1127" w:type="dxa"/>
          </w:tcPr>
          <w:p w14:paraId="0B8DC86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w:t>
            </w:r>
          </w:p>
        </w:tc>
        <w:tc>
          <w:tcPr>
            <w:tcW w:w="1127" w:type="dxa"/>
            <w:vAlign w:val="center"/>
          </w:tcPr>
          <w:p w14:paraId="594E39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2.99</w:t>
            </w:r>
          </w:p>
        </w:tc>
        <w:tc>
          <w:tcPr>
            <w:tcW w:w="1127" w:type="dxa"/>
            <w:vAlign w:val="center"/>
          </w:tcPr>
          <w:p w14:paraId="28FD66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1C4308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52A635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D51FB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D3A76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26CE0C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r>
      <w:tr w:rsidR="006E3616" w:rsidRPr="00400193" w14:paraId="46A04EF4" w14:textId="77777777" w:rsidTr="003B5486">
        <w:tc>
          <w:tcPr>
            <w:tcW w:w="1127" w:type="dxa"/>
          </w:tcPr>
          <w:p w14:paraId="5F059E3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w:t>
            </w:r>
          </w:p>
        </w:tc>
        <w:tc>
          <w:tcPr>
            <w:tcW w:w="1127" w:type="dxa"/>
            <w:vAlign w:val="center"/>
          </w:tcPr>
          <w:p w14:paraId="75947F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3.28</w:t>
            </w:r>
          </w:p>
        </w:tc>
        <w:tc>
          <w:tcPr>
            <w:tcW w:w="1127" w:type="dxa"/>
            <w:vAlign w:val="center"/>
          </w:tcPr>
          <w:p w14:paraId="5CF4B5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3.31</w:t>
            </w:r>
          </w:p>
        </w:tc>
        <w:tc>
          <w:tcPr>
            <w:tcW w:w="1127" w:type="dxa"/>
            <w:vAlign w:val="center"/>
          </w:tcPr>
          <w:p w14:paraId="32F01C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407F1A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72D39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CF93C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c>
          <w:tcPr>
            <w:tcW w:w="1127" w:type="dxa"/>
            <w:vAlign w:val="center"/>
          </w:tcPr>
          <w:p w14:paraId="108E85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-0.63</w:t>
            </w:r>
          </w:p>
        </w:tc>
      </w:tr>
      <w:tr w:rsidR="006E3616" w:rsidRPr="00400193" w14:paraId="55231C0E" w14:textId="77777777" w:rsidTr="003B5486">
        <w:tc>
          <w:tcPr>
            <w:tcW w:w="1127" w:type="dxa"/>
          </w:tcPr>
          <w:p w14:paraId="0F01C9A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RP2</w:t>
            </w:r>
          </w:p>
        </w:tc>
        <w:tc>
          <w:tcPr>
            <w:tcW w:w="1127" w:type="dxa"/>
            <w:vAlign w:val="center"/>
          </w:tcPr>
          <w:p w14:paraId="52A0B0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2.90</w:t>
            </w:r>
          </w:p>
        </w:tc>
        <w:tc>
          <w:tcPr>
            <w:tcW w:w="1127" w:type="dxa"/>
            <w:vAlign w:val="center"/>
          </w:tcPr>
          <w:p w14:paraId="79A2F31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2.89</w:t>
            </w:r>
          </w:p>
        </w:tc>
        <w:tc>
          <w:tcPr>
            <w:tcW w:w="1127" w:type="dxa"/>
            <w:vAlign w:val="center"/>
          </w:tcPr>
          <w:p w14:paraId="7B554E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2BA93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AB11D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7BD0A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4A525F6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r>
      <w:tr w:rsidR="006E3616" w:rsidRPr="00400193" w14:paraId="411EFE35" w14:textId="77777777" w:rsidTr="003B5486">
        <w:tc>
          <w:tcPr>
            <w:tcW w:w="1127" w:type="dxa"/>
          </w:tcPr>
          <w:p w14:paraId="3EF827E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RP3</w:t>
            </w:r>
          </w:p>
        </w:tc>
        <w:tc>
          <w:tcPr>
            <w:tcW w:w="1127" w:type="dxa"/>
            <w:vAlign w:val="center"/>
          </w:tcPr>
          <w:p w14:paraId="51202C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5A4E70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3.00</w:t>
            </w:r>
          </w:p>
        </w:tc>
        <w:tc>
          <w:tcPr>
            <w:tcW w:w="1127" w:type="dxa"/>
            <w:vAlign w:val="center"/>
          </w:tcPr>
          <w:p w14:paraId="0E4B96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04DBDD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1CBFF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A09AF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30AEE8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r>
      <w:tr w:rsidR="006E3616" w:rsidRPr="00400193" w14:paraId="4BF2D83F" w14:textId="77777777" w:rsidTr="003B5486">
        <w:tc>
          <w:tcPr>
            <w:tcW w:w="1127" w:type="dxa"/>
          </w:tcPr>
          <w:p w14:paraId="5D0B1BC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RP4</w:t>
            </w:r>
          </w:p>
        </w:tc>
        <w:tc>
          <w:tcPr>
            <w:tcW w:w="1127" w:type="dxa"/>
            <w:vAlign w:val="center"/>
          </w:tcPr>
          <w:p w14:paraId="0E3534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2.97</w:t>
            </w:r>
          </w:p>
        </w:tc>
        <w:tc>
          <w:tcPr>
            <w:tcW w:w="1127" w:type="dxa"/>
            <w:vAlign w:val="center"/>
          </w:tcPr>
          <w:p w14:paraId="2A3C32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2.96</w:t>
            </w:r>
          </w:p>
        </w:tc>
        <w:tc>
          <w:tcPr>
            <w:tcW w:w="1127" w:type="dxa"/>
            <w:vAlign w:val="center"/>
          </w:tcPr>
          <w:p w14:paraId="625EC1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0.00</w:t>
            </w:r>
          </w:p>
        </w:tc>
        <w:tc>
          <w:tcPr>
            <w:tcW w:w="1127" w:type="dxa"/>
            <w:vAlign w:val="center"/>
          </w:tcPr>
          <w:p w14:paraId="681FA54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1143A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01D08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0.01</w:t>
            </w:r>
          </w:p>
        </w:tc>
        <w:tc>
          <w:tcPr>
            <w:tcW w:w="1127" w:type="dxa"/>
            <w:vAlign w:val="center"/>
          </w:tcPr>
          <w:p w14:paraId="14CE5D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7148CC21" w14:textId="77777777" w:rsidTr="003B5486">
        <w:tc>
          <w:tcPr>
            <w:tcW w:w="1127" w:type="dxa"/>
          </w:tcPr>
          <w:p w14:paraId="3E5ECC3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RP5</w:t>
            </w:r>
          </w:p>
        </w:tc>
        <w:tc>
          <w:tcPr>
            <w:tcW w:w="1127" w:type="dxa"/>
            <w:vAlign w:val="center"/>
          </w:tcPr>
          <w:p w14:paraId="55CE3A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1127" w:type="dxa"/>
            <w:vAlign w:val="center"/>
          </w:tcPr>
          <w:p w14:paraId="63B34B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3.81</w:t>
            </w:r>
          </w:p>
        </w:tc>
        <w:tc>
          <w:tcPr>
            <w:tcW w:w="1127" w:type="dxa"/>
            <w:vAlign w:val="center"/>
          </w:tcPr>
          <w:p w14:paraId="705222F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1A14F66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13E04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33E3F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w:t>
            </w:r>
          </w:p>
        </w:tc>
        <w:tc>
          <w:tcPr>
            <w:tcW w:w="1127" w:type="dxa"/>
            <w:vAlign w:val="center"/>
          </w:tcPr>
          <w:p w14:paraId="762129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0.61</w:t>
            </w:r>
          </w:p>
        </w:tc>
      </w:tr>
      <w:tr w:rsidR="006E3616" w:rsidRPr="00400193" w14:paraId="6A022017" w14:textId="77777777" w:rsidTr="003B5486">
        <w:tc>
          <w:tcPr>
            <w:tcW w:w="1127" w:type="dxa"/>
          </w:tcPr>
          <w:p w14:paraId="10CBF89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RP6</w:t>
            </w:r>
          </w:p>
        </w:tc>
        <w:tc>
          <w:tcPr>
            <w:tcW w:w="1127" w:type="dxa"/>
            <w:vAlign w:val="center"/>
          </w:tcPr>
          <w:p w14:paraId="7C0D64C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4.12</w:t>
            </w:r>
          </w:p>
        </w:tc>
        <w:tc>
          <w:tcPr>
            <w:tcW w:w="1127" w:type="dxa"/>
            <w:vAlign w:val="center"/>
          </w:tcPr>
          <w:p w14:paraId="28E09D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4.22</w:t>
            </w:r>
          </w:p>
        </w:tc>
        <w:tc>
          <w:tcPr>
            <w:tcW w:w="1127" w:type="dxa"/>
            <w:vAlign w:val="center"/>
          </w:tcPr>
          <w:p w14:paraId="4C0EFA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75A161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B217A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E63F1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-1.42</w:t>
            </w:r>
          </w:p>
        </w:tc>
        <w:tc>
          <w:tcPr>
            <w:tcW w:w="1127" w:type="dxa"/>
            <w:vAlign w:val="center"/>
          </w:tcPr>
          <w:p w14:paraId="3B453B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1.85</w:t>
            </w:r>
          </w:p>
        </w:tc>
      </w:tr>
      <w:tr w:rsidR="006E3616" w:rsidRPr="00400193" w14:paraId="7202AE39" w14:textId="77777777" w:rsidTr="003B5486">
        <w:tc>
          <w:tcPr>
            <w:tcW w:w="1127" w:type="dxa"/>
          </w:tcPr>
          <w:p w14:paraId="6E9607F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RP7</w:t>
            </w:r>
          </w:p>
        </w:tc>
        <w:tc>
          <w:tcPr>
            <w:tcW w:w="1127" w:type="dxa"/>
            <w:vAlign w:val="center"/>
          </w:tcPr>
          <w:p w14:paraId="0CBD7B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4.20</w:t>
            </w:r>
          </w:p>
        </w:tc>
        <w:tc>
          <w:tcPr>
            <w:tcW w:w="1127" w:type="dxa"/>
            <w:vAlign w:val="center"/>
          </w:tcPr>
          <w:p w14:paraId="5C455F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4.33</w:t>
            </w:r>
          </w:p>
        </w:tc>
        <w:tc>
          <w:tcPr>
            <w:tcW w:w="1127" w:type="dxa"/>
            <w:vAlign w:val="center"/>
          </w:tcPr>
          <w:p w14:paraId="6C7303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-0.12</w:t>
            </w:r>
          </w:p>
        </w:tc>
        <w:tc>
          <w:tcPr>
            <w:tcW w:w="1127" w:type="dxa"/>
            <w:vAlign w:val="center"/>
          </w:tcPr>
          <w:p w14:paraId="1360C9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3179D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C0FE9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-1.59</w:t>
            </w:r>
          </w:p>
        </w:tc>
        <w:tc>
          <w:tcPr>
            <w:tcW w:w="1127" w:type="dxa"/>
            <w:vAlign w:val="center"/>
          </w:tcPr>
          <w:p w14:paraId="498442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2.56</w:t>
            </w:r>
          </w:p>
        </w:tc>
      </w:tr>
      <w:tr w:rsidR="006E3616" w:rsidRPr="00400193" w14:paraId="3BF0E3EF" w14:textId="77777777" w:rsidTr="003B5486">
        <w:tc>
          <w:tcPr>
            <w:tcW w:w="1127" w:type="dxa"/>
          </w:tcPr>
          <w:p w14:paraId="6BE2AA0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RP8</w:t>
            </w:r>
          </w:p>
        </w:tc>
        <w:tc>
          <w:tcPr>
            <w:tcW w:w="1127" w:type="dxa"/>
            <w:vAlign w:val="center"/>
          </w:tcPr>
          <w:p w14:paraId="71A2C3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4.09</w:t>
            </w:r>
          </w:p>
        </w:tc>
        <w:tc>
          <w:tcPr>
            <w:tcW w:w="1127" w:type="dxa"/>
            <w:vAlign w:val="center"/>
          </w:tcPr>
          <w:p w14:paraId="0C429FF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4.19</w:t>
            </w:r>
          </w:p>
        </w:tc>
        <w:tc>
          <w:tcPr>
            <w:tcW w:w="1127" w:type="dxa"/>
            <w:vAlign w:val="center"/>
          </w:tcPr>
          <w:p w14:paraId="73002E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68F2DE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8505B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DC8AD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-1.24</w:t>
            </w:r>
          </w:p>
        </w:tc>
        <w:tc>
          <w:tcPr>
            <w:tcW w:w="1127" w:type="dxa"/>
            <w:vAlign w:val="center"/>
          </w:tcPr>
          <w:p w14:paraId="26A250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1.63</w:t>
            </w:r>
          </w:p>
        </w:tc>
      </w:tr>
      <w:tr w:rsidR="006E3616" w:rsidRPr="00400193" w14:paraId="3A62CFE9" w14:textId="77777777" w:rsidTr="003B5486">
        <w:tc>
          <w:tcPr>
            <w:tcW w:w="1127" w:type="dxa"/>
          </w:tcPr>
          <w:p w14:paraId="236528D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RP9</w:t>
            </w:r>
          </w:p>
        </w:tc>
        <w:tc>
          <w:tcPr>
            <w:tcW w:w="1127" w:type="dxa"/>
            <w:vAlign w:val="center"/>
          </w:tcPr>
          <w:p w14:paraId="7ADD3C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3.72</w:t>
            </w:r>
          </w:p>
        </w:tc>
        <w:tc>
          <w:tcPr>
            <w:tcW w:w="1127" w:type="dxa"/>
            <w:vAlign w:val="center"/>
          </w:tcPr>
          <w:p w14:paraId="145432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3.80</w:t>
            </w:r>
          </w:p>
        </w:tc>
        <w:tc>
          <w:tcPr>
            <w:tcW w:w="1127" w:type="dxa"/>
            <w:vAlign w:val="center"/>
          </w:tcPr>
          <w:p w14:paraId="7D2FC7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2D03D3C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6E078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C73D0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-0.70</w:t>
            </w:r>
          </w:p>
        </w:tc>
        <w:tc>
          <w:tcPr>
            <w:tcW w:w="1127" w:type="dxa"/>
            <w:vAlign w:val="center"/>
          </w:tcPr>
          <w:p w14:paraId="322116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r>
      <w:tr w:rsidR="006E3616" w:rsidRPr="00400193" w14:paraId="41D3F240" w14:textId="77777777" w:rsidTr="003B5486">
        <w:tc>
          <w:tcPr>
            <w:tcW w:w="1127" w:type="dxa"/>
          </w:tcPr>
          <w:p w14:paraId="7BCF025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RP10</w:t>
            </w:r>
          </w:p>
        </w:tc>
        <w:tc>
          <w:tcPr>
            <w:tcW w:w="1127" w:type="dxa"/>
            <w:vAlign w:val="center"/>
          </w:tcPr>
          <w:p w14:paraId="4F99EE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3.65</w:t>
            </w:r>
          </w:p>
        </w:tc>
        <w:tc>
          <w:tcPr>
            <w:tcW w:w="1127" w:type="dxa"/>
            <w:vAlign w:val="center"/>
          </w:tcPr>
          <w:p w14:paraId="5F7163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3.70</w:t>
            </w:r>
          </w:p>
        </w:tc>
        <w:tc>
          <w:tcPr>
            <w:tcW w:w="1127" w:type="dxa"/>
            <w:vAlign w:val="center"/>
          </w:tcPr>
          <w:p w14:paraId="1C013E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6BFA5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13658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CEBA1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-0.50</w:t>
            </w:r>
          </w:p>
        </w:tc>
        <w:tc>
          <w:tcPr>
            <w:tcW w:w="1127" w:type="dxa"/>
            <w:vAlign w:val="center"/>
          </w:tcPr>
          <w:p w14:paraId="4690F3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-0.35</w:t>
            </w:r>
          </w:p>
        </w:tc>
      </w:tr>
      <w:tr w:rsidR="006E3616" w:rsidRPr="00400193" w14:paraId="0BDAB4D9" w14:textId="77777777" w:rsidTr="003B5486">
        <w:tc>
          <w:tcPr>
            <w:tcW w:w="1127" w:type="dxa"/>
          </w:tcPr>
          <w:p w14:paraId="7B014A1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RP11</w:t>
            </w:r>
          </w:p>
        </w:tc>
        <w:tc>
          <w:tcPr>
            <w:tcW w:w="1127" w:type="dxa"/>
            <w:vAlign w:val="center"/>
          </w:tcPr>
          <w:p w14:paraId="7B83D0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3.94</w:t>
            </w:r>
          </w:p>
        </w:tc>
        <w:tc>
          <w:tcPr>
            <w:tcW w:w="1127" w:type="dxa"/>
            <w:vAlign w:val="center"/>
          </w:tcPr>
          <w:p w14:paraId="0ADE27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4.05</w:t>
            </w:r>
          </w:p>
        </w:tc>
        <w:tc>
          <w:tcPr>
            <w:tcW w:w="1127" w:type="dxa"/>
            <w:vAlign w:val="center"/>
          </w:tcPr>
          <w:p w14:paraId="07AABC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3C203E7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C0993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67162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-1.14</w:t>
            </w:r>
          </w:p>
        </w:tc>
        <w:tc>
          <w:tcPr>
            <w:tcW w:w="1127" w:type="dxa"/>
            <w:vAlign w:val="center"/>
          </w:tcPr>
          <w:p w14:paraId="56C984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0.99</w:t>
            </w:r>
          </w:p>
        </w:tc>
      </w:tr>
      <w:tr w:rsidR="006E3616" w:rsidRPr="00400193" w14:paraId="3A33FC59" w14:textId="77777777" w:rsidTr="003B5486">
        <w:tc>
          <w:tcPr>
            <w:tcW w:w="1127" w:type="dxa"/>
          </w:tcPr>
          <w:p w14:paraId="6058941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RP12</w:t>
            </w:r>
          </w:p>
        </w:tc>
        <w:tc>
          <w:tcPr>
            <w:tcW w:w="1127" w:type="dxa"/>
            <w:vAlign w:val="center"/>
          </w:tcPr>
          <w:p w14:paraId="413522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3.90</w:t>
            </w:r>
          </w:p>
        </w:tc>
        <w:tc>
          <w:tcPr>
            <w:tcW w:w="1127" w:type="dxa"/>
            <w:vAlign w:val="center"/>
          </w:tcPr>
          <w:p w14:paraId="2E7D19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3.98</w:t>
            </w:r>
          </w:p>
        </w:tc>
        <w:tc>
          <w:tcPr>
            <w:tcW w:w="1127" w:type="dxa"/>
            <w:vAlign w:val="center"/>
          </w:tcPr>
          <w:p w14:paraId="10588A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2FD3299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2EFEE6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99AEA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-0.81</w:t>
            </w:r>
          </w:p>
        </w:tc>
        <w:tc>
          <w:tcPr>
            <w:tcW w:w="1127" w:type="dxa"/>
            <w:vAlign w:val="center"/>
          </w:tcPr>
          <w:p w14:paraId="273513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r>
      <w:tr w:rsidR="006E3616" w:rsidRPr="00400193" w14:paraId="57E7766E" w14:textId="77777777" w:rsidTr="003B5486">
        <w:tc>
          <w:tcPr>
            <w:tcW w:w="1127" w:type="dxa"/>
          </w:tcPr>
          <w:p w14:paraId="7764B2F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RP13</w:t>
            </w:r>
          </w:p>
        </w:tc>
        <w:tc>
          <w:tcPr>
            <w:tcW w:w="1127" w:type="dxa"/>
            <w:vAlign w:val="center"/>
          </w:tcPr>
          <w:p w14:paraId="6D32259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3.95</w:t>
            </w:r>
          </w:p>
        </w:tc>
        <w:tc>
          <w:tcPr>
            <w:tcW w:w="1127" w:type="dxa"/>
            <w:vAlign w:val="center"/>
          </w:tcPr>
          <w:p w14:paraId="37D7E6F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4.03</w:t>
            </w:r>
          </w:p>
        </w:tc>
        <w:tc>
          <w:tcPr>
            <w:tcW w:w="1127" w:type="dxa"/>
            <w:vAlign w:val="center"/>
          </w:tcPr>
          <w:p w14:paraId="70C39F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1BC971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1A270E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763BC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1127" w:type="dxa"/>
            <w:vAlign w:val="center"/>
          </w:tcPr>
          <w:p w14:paraId="785109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0.70</w:t>
            </w:r>
          </w:p>
        </w:tc>
      </w:tr>
      <w:tr w:rsidR="006E3616" w:rsidRPr="00400193" w14:paraId="6DC8B928" w14:textId="77777777" w:rsidTr="003B5486">
        <w:tc>
          <w:tcPr>
            <w:tcW w:w="1127" w:type="dxa"/>
          </w:tcPr>
          <w:p w14:paraId="65B7338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RP14</w:t>
            </w:r>
          </w:p>
        </w:tc>
        <w:tc>
          <w:tcPr>
            <w:tcW w:w="1127" w:type="dxa"/>
            <w:vAlign w:val="center"/>
          </w:tcPr>
          <w:p w14:paraId="403F91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4.00</w:t>
            </w:r>
          </w:p>
        </w:tc>
        <w:tc>
          <w:tcPr>
            <w:tcW w:w="1127" w:type="dxa"/>
            <w:vAlign w:val="center"/>
          </w:tcPr>
          <w:p w14:paraId="61C3EA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4.10</w:t>
            </w:r>
          </w:p>
        </w:tc>
        <w:tc>
          <w:tcPr>
            <w:tcW w:w="1127" w:type="dxa"/>
            <w:vAlign w:val="center"/>
          </w:tcPr>
          <w:p w14:paraId="33FF25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c>
          <w:tcPr>
            <w:tcW w:w="1127" w:type="dxa"/>
            <w:vAlign w:val="center"/>
          </w:tcPr>
          <w:p w14:paraId="5E59B6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2BE6A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DFBA6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-1.12</w:t>
            </w:r>
          </w:p>
        </w:tc>
        <w:tc>
          <w:tcPr>
            <w:tcW w:w="1127" w:type="dxa"/>
            <w:vAlign w:val="center"/>
          </w:tcPr>
          <w:p w14:paraId="4A34FC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1.43</w:t>
            </w:r>
          </w:p>
        </w:tc>
      </w:tr>
      <w:tr w:rsidR="006E3616" w:rsidRPr="00400193" w14:paraId="461F36FB" w14:textId="77777777" w:rsidTr="003B5486">
        <w:tc>
          <w:tcPr>
            <w:tcW w:w="1127" w:type="dxa"/>
          </w:tcPr>
          <w:p w14:paraId="487425D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RP15</w:t>
            </w:r>
          </w:p>
        </w:tc>
        <w:tc>
          <w:tcPr>
            <w:tcW w:w="1127" w:type="dxa"/>
            <w:vAlign w:val="center"/>
          </w:tcPr>
          <w:p w14:paraId="2ADDBD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3.88</w:t>
            </w:r>
          </w:p>
        </w:tc>
        <w:tc>
          <w:tcPr>
            <w:tcW w:w="1127" w:type="dxa"/>
            <w:vAlign w:val="center"/>
          </w:tcPr>
          <w:p w14:paraId="17AA31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3.96</w:t>
            </w:r>
          </w:p>
        </w:tc>
        <w:tc>
          <w:tcPr>
            <w:tcW w:w="1127" w:type="dxa"/>
            <w:vAlign w:val="center"/>
          </w:tcPr>
          <w:p w14:paraId="7737FC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39E02C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8113F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8AE7E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-0.87</w:t>
            </w:r>
          </w:p>
        </w:tc>
        <w:tc>
          <w:tcPr>
            <w:tcW w:w="1127" w:type="dxa"/>
            <w:vAlign w:val="center"/>
          </w:tcPr>
          <w:p w14:paraId="5944F9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r>
      <w:tr w:rsidR="006E3616" w:rsidRPr="00400193" w14:paraId="01C897E3" w14:textId="77777777" w:rsidTr="003B5486">
        <w:tc>
          <w:tcPr>
            <w:tcW w:w="1127" w:type="dxa"/>
          </w:tcPr>
          <w:p w14:paraId="368D1EF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RP16</w:t>
            </w:r>
          </w:p>
        </w:tc>
        <w:tc>
          <w:tcPr>
            <w:tcW w:w="1127" w:type="dxa"/>
            <w:vAlign w:val="center"/>
          </w:tcPr>
          <w:p w14:paraId="5EEAA7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3.83</w:t>
            </w:r>
          </w:p>
        </w:tc>
        <w:tc>
          <w:tcPr>
            <w:tcW w:w="1127" w:type="dxa"/>
            <w:vAlign w:val="center"/>
          </w:tcPr>
          <w:p w14:paraId="6B2E80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3.89</w:t>
            </w:r>
          </w:p>
        </w:tc>
        <w:tc>
          <w:tcPr>
            <w:tcW w:w="1127" w:type="dxa"/>
            <w:vAlign w:val="center"/>
          </w:tcPr>
          <w:p w14:paraId="71F2FF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1247C6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6A076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4DE14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-0.66</w:t>
            </w:r>
          </w:p>
        </w:tc>
        <w:tc>
          <w:tcPr>
            <w:tcW w:w="1127" w:type="dxa"/>
            <w:vAlign w:val="center"/>
          </w:tcPr>
          <w:p w14:paraId="46B751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0.10</w:t>
            </w:r>
          </w:p>
        </w:tc>
      </w:tr>
      <w:tr w:rsidR="006E3616" w:rsidRPr="00400193" w14:paraId="0953C210" w14:textId="77777777" w:rsidTr="003B5486">
        <w:tc>
          <w:tcPr>
            <w:tcW w:w="1127" w:type="dxa"/>
          </w:tcPr>
          <w:p w14:paraId="07777E1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RP17</w:t>
            </w:r>
          </w:p>
        </w:tc>
        <w:tc>
          <w:tcPr>
            <w:tcW w:w="1127" w:type="dxa"/>
            <w:vAlign w:val="center"/>
          </w:tcPr>
          <w:p w14:paraId="0E2DDD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3.77</w:t>
            </w:r>
          </w:p>
        </w:tc>
        <w:tc>
          <w:tcPr>
            <w:tcW w:w="1127" w:type="dxa"/>
            <w:vAlign w:val="center"/>
          </w:tcPr>
          <w:p w14:paraId="108AF2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3.83</w:t>
            </w:r>
          </w:p>
        </w:tc>
        <w:tc>
          <w:tcPr>
            <w:tcW w:w="1127" w:type="dxa"/>
            <w:vAlign w:val="center"/>
          </w:tcPr>
          <w:p w14:paraId="3D85664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41B0E70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A9CC3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B09AC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-0.68</w:t>
            </w:r>
          </w:p>
        </w:tc>
        <w:tc>
          <w:tcPr>
            <w:tcW w:w="1127" w:type="dxa"/>
            <w:vAlign w:val="center"/>
          </w:tcPr>
          <w:p w14:paraId="2D1E95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0.28</w:t>
            </w:r>
          </w:p>
        </w:tc>
      </w:tr>
      <w:tr w:rsidR="006E3616" w:rsidRPr="00400193" w14:paraId="678D4347" w14:textId="77777777" w:rsidTr="003B5486">
        <w:tc>
          <w:tcPr>
            <w:tcW w:w="1127" w:type="dxa"/>
          </w:tcPr>
          <w:p w14:paraId="6D488DA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RP18</w:t>
            </w:r>
          </w:p>
        </w:tc>
        <w:tc>
          <w:tcPr>
            <w:tcW w:w="1127" w:type="dxa"/>
            <w:vAlign w:val="center"/>
          </w:tcPr>
          <w:p w14:paraId="136FB9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1127" w:type="dxa"/>
            <w:vAlign w:val="center"/>
          </w:tcPr>
          <w:p w14:paraId="4022CE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3.77</w:t>
            </w:r>
          </w:p>
        </w:tc>
        <w:tc>
          <w:tcPr>
            <w:tcW w:w="1127" w:type="dxa"/>
            <w:vAlign w:val="center"/>
          </w:tcPr>
          <w:p w14:paraId="124F4C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073EA5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9595E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49416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c>
          <w:tcPr>
            <w:tcW w:w="1127" w:type="dxa"/>
            <w:vAlign w:val="center"/>
          </w:tcPr>
          <w:p w14:paraId="0026B2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r>
      <w:tr w:rsidR="006E3616" w:rsidRPr="00400193" w14:paraId="2D686560" w14:textId="77777777" w:rsidTr="003B5486">
        <w:tc>
          <w:tcPr>
            <w:tcW w:w="1127" w:type="dxa"/>
          </w:tcPr>
          <w:p w14:paraId="315AF51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w:t>
            </w:r>
          </w:p>
        </w:tc>
        <w:tc>
          <w:tcPr>
            <w:tcW w:w="1127" w:type="dxa"/>
            <w:vAlign w:val="center"/>
          </w:tcPr>
          <w:p w14:paraId="0978D2E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3.70</w:t>
            </w:r>
          </w:p>
        </w:tc>
        <w:tc>
          <w:tcPr>
            <w:tcW w:w="1127" w:type="dxa"/>
            <w:vAlign w:val="center"/>
          </w:tcPr>
          <w:p w14:paraId="7B401BE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1127" w:type="dxa"/>
            <w:vAlign w:val="center"/>
          </w:tcPr>
          <w:p w14:paraId="657B05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3B9182B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85158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3B106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w:t>
            </w:r>
          </w:p>
        </w:tc>
        <w:tc>
          <w:tcPr>
            <w:tcW w:w="1127" w:type="dxa"/>
            <w:vAlign w:val="center"/>
          </w:tcPr>
          <w:p w14:paraId="796186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2.42</w:t>
            </w:r>
          </w:p>
        </w:tc>
      </w:tr>
      <w:tr w:rsidR="006E3616" w:rsidRPr="00400193" w14:paraId="71AC96EA" w14:textId="77777777" w:rsidTr="003B5486">
        <w:tc>
          <w:tcPr>
            <w:tcW w:w="1127" w:type="dxa"/>
          </w:tcPr>
          <w:p w14:paraId="1905CDC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w:t>
            </w:r>
          </w:p>
        </w:tc>
        <w:tc>
          <w:tcPr>
            <w:tcW w:w="1127" w:type="dxa"/>
            <w:vAlign w:val="center"/>
          </w:tcPr>
          <w:p w14:paraId="0EB4CE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3.89</w:t>
            </w:r>
          </w:p>
        </w:tc>
        <w:tc>
          <w:tcPr>
            <w:tcW w:w="1127" w:type="dxa"/>
            <w:vAlign w:val="center"/>
          </w:tcPr>
          <w:p w14:paraId="495917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3.96</w:t>
            </w:r>
          </w:p>
        </w:tc>
        <w:tc>
          <w:tcPr>
            <w:tcW w:w="1127" w:type="dxa"/>
            <w:vAlign w:val="center"/>
          </w:tcPr>
          <w:p w14:paraId="79D961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23899E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1A215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21A0D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-0.72</w:t>
            </w:r>
          </w:p>
        </w:tc>
        <w:tc>
          <w:tcPr>
            <w:tcW w:w="1127" w:type="dxa"/>
            <w:vAlign w:val="center"/>
          </w:tcPr>
          <w:p w14:paraId="6C78CF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0.20</w:t>
            </w:r>
          </w:p>
        </w:tc>
      </w:tr>
      <w:tr w:rsidR="006E3616" w:rsidRPr="00400193" w14:paraId="4A140AEE" w14:textId="77777777" w:rsidTr="003B5486">
        <w:tc>
          <w:tcPr>
            <w:tcW w:w="1127" w:type="dxa"/>
          </w:tcPr>
          <w:p w14:paraId="052683D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w:t>
            </w:r>
          </w:p>
        </w:tc>
        <w:tc>
          <w:tcPr>
            <w:tcW w:w="1127" w:type="dxa"/>
            <w:vAlign w:val="center"/>
          </w:tcPr>
          <w:p w14:paraId="319BF0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3.87</w:t>
            </w:r>
          </w:p>
        </w:tc>
        <w:tc>
          <w:tcPr>
            <w:tcW w:w="1127" w:type="dxa"/>
            <w:vAlign w:val="center"/>
          </w:tcPr>
          <w:p w14:paraId="4653DC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3.93</w:t>
            </w:r>
          </w:p>
        </w:tc>
        <w:tc>
          <w:tcPr>
            <w:tcW w:w="1127" w:type="dxa"/>
            <w:vAlign w:val="center"/>
          </w:tcPr>
          <w:p w14:paraId="1A4902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c>
          <w:tcPr>
            <w:tcW w:w="1127" w:type="dxa"/>
            <w:vAlign w:val="center"/>
          </w:tcPr>
          <w:p w14:paraId="7DFA63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09D74F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41510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-0.69</w:t>
            </w:r>
          </w:p>
        </w:tc>
        <w:tc>
          <w:tcPr>
            <w:tcW w:w="1127" w:type="dxa"/>
            <w:vAlign w:val="center"/>
          </w:tcPr>
          <w:p w14:paraId="57148A8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r>
      <w:tr w:rsidR="006E3616" w:rsidRPr="00400193" w14:paraId="7C2F7A97" w14:textId="77777777" w:rsidTr="003B5486">
        <w:tc>
          <w:tcPr>
            <w:tcW w:w="1127" w:type="dxa"/>
          </w:tcPr>
          <w:p w14:paraId="7DF41FC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OR3</w:t>
            </w:r>
          </w:p>
        </w:tc>
        <w:tc>
          <w:tcPr>
            <w:tcW w:w="1127" w:type="dxa"/>
            <w:vAlign w:val="center"/>
          </w:tcPr>
          <w:p w14:paraId="197414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4.05</w:t>
            </w:r>
          </w:p>
        </w:tc>
        <w:tc>
          <w:tcPr>
            <w:tcW w:w="1127" w:type="dxa"/>
            <w:vAlign w:val="center"/>
          </w:tcPr>
          <w:p w14:paraId="15527B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4.13</w:t>
            </w:r>
          </w:p>
        </w:tc>
        <w:tc>
          <w:tcPr>
            <w:tcW w:w="1127" w:type="dxa"/>
            <w:vAlign w:val="center"/>
          </w:tcPr>
          <w:p w14:paraId="1868C1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05CDC7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26589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C5DDF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-1.06</w:t>
            </w:r>
          </w:p>
        </w:tc>
        <w:tc>
          <w:tcPr>
            <w:tcW w:w="1127" w:type="dxa"/>
            <w:vAlign w:val="center"/>
          </w:tcPr>
          <w:p w14:paraId="485B93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1.37</w:t>
            </w:r>
          </w:p>
        </w:tc>
      </w:tr>
      <w:tr w:rsidR="006E3616" w:rsidRPr="00400193" w14:paraId="5F338712" w14:textId="77777777" w:rsidTr="003B5486">
        <w:tc>
          <w:tcPr>
            <w:tcW w:w="1127" w:type="dxa"/>
          </w:tcPr>
          <w:p w14:paraId="447EEFD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OR4</w:t>
            </w:r>
          </w:p>
        </w:tc>
        <w:tc>
          <w:tcPr>
            <w:tcW w:w="1127" w:type="dxa"/>
            <w:vAlign w:val="center"/>
          </w:tcPr>
          <w:p w14:paraId="54C3BD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1127" w:type="dxa"/>
            <w:vAlign w:val="center"/>
          </w:tcPr>
          <w:p w14:paraId="7450AD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3.78</w:t>
            </w:r>
          </w:p>
        </w:tc>
        <w:tc>
          <w:tcPr>
            <w:tcW w:w="1127" w:type="dxa"/>
            <w:vAlign w:val="center"/>
          </w:tcPr>
          <w:p w14:paraId="56173A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541F9A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B69A0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E4A17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1127" w:type="dxa"/>
            <w:vAlign w:val="center"/>
          </w:tcPr>
          <w:p w14:paraId="7B8603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0.14</w:t>
            </w:r>
          </w:p>
        </w:tc>
      </w:tr>
      <w:tr w:rsidR="006E3616" w:rsidRPr="00400193" w14:paraId="1524AE18" w14:textId="77777777" w:rsidTr="003B5486">
        <w:tc>
          <w:tcPr>
            <w:tcW w:w="1127" w:type="dxa"/>
          </w:tcPr>
          <w:p w14:paraId="56D1954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OR5</w:t>
            </w:r>
          </w:p>
        </w:tc>
        <w:tc>
          <w:tcPr>
            <w:tcW w:w="1127" w:type="dxa"/>
            <w:vAlign w:val="center"/>
          </w:tcPr>
          <w:p w14:paraId="4158B9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3.66</w:t>
            </w:r>
          </w:p>
        </w:tc>
        <w:tc>
          <w:tcPr>
            <w:tcW w:w="1127" w:type="dxa"/>
            <w:vAlign w:val="center"/>
          </w:tcPr>
          <w:p w14:paraId="03D270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3.71</w:t>
            </w:r>
          </w:p>
        </w:tc>
        <w:tc>
          <w:tcPr>
            <w:tcW w:w="1127" w:type="dxa"/>
            <w:vAlign w:val="center"/>
          </w:tcPr>
          <w:p w14:paraId="3B2332D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50615D8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24F04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6C699C6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-0.56</w:t>
            </w:r>
          </w:p>
        </w:tc>
        <w:tc>
          <w:tcPr>
            <w:tcW w:w="1127" w:type="dxa"/>
            <w:vAlign w:val="center"/>
          </w:tcPr>
          <w:p w14:paraId="2AA19D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-0.33</w:t>
            </w:r>
          </w:p>
        </w:tc>
      </w:tr>
      <w:tr w:rsidR="006E3616" w:rsidRPr="00400193" w14:paraId="0074D09C" w14:textId="77777777" w:rsidTr="003B5486">
        <w:tc>
          <w:tcPr>
            <w:tcW w:w="1127" w:type="dxa"/>
          </w:tcPr>
          <w:p w14:paraId="3B3779B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OR6</w:t>
            </w:r>
          </w:p>
        </w:tc>
        <w:tc>
          <w:tcPr>
            <w:tcW w:w="1127" w:type="dxa"/>
            <w:vAlign w:val="center"/>
          </w:tcPr>
          <w:p w14:paraId="5A45B87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3.55</w:t>
            </w:r>
          </w:p>
        </w:tc>
        <w:tc>
          <w:tcPr>
            <w:tcW w:w="1127" w:type="dxa"/>
            <w:vAlign w:val="center"/>
          </w:tcPr>
          <w:p w14:paraId="3FC1F2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3.61</w:t>
            </w:r>
          </w:p>
        </w:tc>
        <w:tc>
          <w:tcPr>
            <w:tcW w:w="1127" w:type="dxa"/>
            <w:vAlign w:val="center"/>
          </w:tcPr>
          <w:p w14:paraId="0E806F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048A6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E34AC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5D88DC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-0.49</w:t>
            </w:r>
          </w:p>
        </w:tc>
        <w:tc>
          <w:tcPr>
            <w:tcW w:w="1127" w:type="dxa"/>
            <w:vAlign w:val="center"/>
          </w:tcPr>
          <w:p w14:paraId="4FC2D5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r>
      <w:tr w:rsidR="006E3616" w:rsidRPr="00400193" w14:paraId="3645791E" w14:textId="77777777" w:rsidTr="003B5486">
        <w:tc>
          <w:tcPr>
            <w:tcW w:w="1127" w:type="dxa"/>
          </w:tcPr>
          <w:p w14:paraId="1C73A59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OR7</w:t>
            </w:r>
          </w:p>
        </w:tc>
        <w:tc>
          <w:tcPr>
            <w:tcW w:w="1127" w:type="dxa"/>
            <w:vAlign w:val="center"/>
          </w:tcPr>
          <w:p w14:paraId="1BA3B50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4.06</w:t>
            </w:r>
          </w:p>
        </w:tc>
        <w:tc>
          <w:tcPr>
            <w:tcW w:w="1127" w:type="dxa"/>
            <w:vAlign w:val="center"/>
          </w:tcPr>
          <w:p w14:paraId="726464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4.14</w:t>
            </w:r>
          </w:p>
        </w:tc>
        <w:tc>
          <w:tcPr>
            <w:tcW w:w="1127" w:type="dxa"/>
            <w:vAlign w:val="center"/>
          </w:tcPr>
          <w:p w14:paraId="106250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26B116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72A832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99FF4D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-0.84</w:t>
            </w:r>
          </w:p>
        </w:tc>
        <w:tc>
          <w:tcPr>
            <w:tcW w:w="1127" w:type="dxa"/>
            <w:vAlign w:val="center"/>
          </w:tcPr>
          <w:p w14:paraId="4881CA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0.41</w:t>
            </w:r>
          </w:p>
        </w:tc>
      </w:tr>
      <w:tr w:rsidR="006E3616" w:rsidRPr="00400193" w14:paraId="245A43C5" w14:textId="77777777" w:rsidTr="003B5486">
        <w:tc>
          <w:tcPr>
            <w:tcW w:w="1127" w:type="dxa"/>
          </w:tcPr>
          <w:p w14:paraId="2244363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OR8</w:t>
            </w:r>
          </w:p>
        </w:tc>
        <w:tc>
          <w:tcPr>
            <w:tcW w:w="1127" w:type="dxa"/>
            <w:vAlign w:val="center"/>
          </w:tcPr>
          <w:p w14:paraId="2DE085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3.58</w:t>
            </w:r>
          </w:p>
        </w:tc>
        <w:tc>
          <w:tcPr>
            <w:tcW w:w="1127" w:type="dxa"/>
            <w:vAlign w:val="center"/>
          </w:tcPr>
          <w:p w14:paraId="197F3D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3.63</w:t>
            </w:r>
          </w:p>
        </w:tc>
        <w:tc>
          <w:tcPr>
            <w:tcW w:w="1127" w:type="dxa"/>
            <w:vAlign w:val="center"/>
          </w:tcPr>
          <w:p w14:paraId="416B08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4236A72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5B6A85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B657F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-0.38</w:t>
            </w:r>
          </w:p>
        </w:tc>
        <w:tc>
          <w:tcPr>
            <w:tcW w:w="1127" w:type="dxa"/>
            <w:vAlign w:val="center"/>
          </w:tcPr>
          <w:p w14:paraId="4FCDC7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-0.54</w:t>
            </w:r>
          </w:p>
        </w:tc>
      </w:tr>
      <w:tr w:rsidR="006E3616" w:rsidRPr="00400193" w14:paraId="60A71C5E" w14:textId="77777777" w:rsidTr="003B5486">
        <w:tc>
          <w:tcPr>
            <w:tcW w:w="1127" w:type="dxa"/>
          </w:tcPr>
          <w:p w14:paraId="35E6B4A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OR9</w:t>
            </w:r>
          </w:p>
        </w:tc>
        <w:tc>
          <w:tcPr>
            <w:tcW w:w="1127" w:type="dxa"/>
            <w:vAlign w:val="center"/>
          </w:tcPr>
          <w:p w14:paraId="6EAE68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3.46</w:t>
            </w:r>
          </w:p>
        </w:tc>
        <w:tc>
          <w:tcPr>
            <w:tcW w:w="1127" w:type="dxa"/>
            <w:vAlign w:val="center"/>
          </w:tcPr>
          <w:p w14:paraId="33E909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3.49</w:t>
            </w:r>
          </w:p>
        </w:tc>
        <w:tc>
          <w:tcPr>
            <w:tcW w:w="1127" w:type="dxa"/>
            <w:vAlign w:val="center"/>
          </w:tcPr>
          <w:p w14:paraId="0E0CD71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1DA577D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FF404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F52B5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-0.25</w:t>
            </w:r>
          </w:p>
        </w:tc>
        <w:tc>
          <w:tcPr>
            <w:tcW w:w="1127" w:type="dxa"/>
            <w:vAlign w:val="center"/>
          </w:tcPr>
          <w:p w14:paraId="230061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-0.60</w:t>
            </w:r>
          </w:p>
        </w:tc>
      </w:tr>
      <w:tr w:rsidR="006E3616" w:rsidRPr="00400193" w14:paraId="008B33A2" w14:textId="77777777" w:rsidTr="003B5486">
        <w:tc>
          <w:tcPr>
            <w:tcW w:w="1127" w:type="dxa"/>
          </w:tcPr>
          <w:p w14:paraId="05F826B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OR10</w:t>
            </w:r>
          </w:p>
        </w:tc>
        <w:tc>
          <w:tcPr>
            <w:tcW w:w="1127" w:type="dxa"/>
            <w:vAlign w:val="center"/>
          </w:tcPr>
          <w:p w14:paraId="1BF1981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3.81</w:t>
            </w:r>
          </w:p>
        </w:tc>
        <w:tc>
          <w:tcPr>
            <w:tcW w:w="1127" w:type="dxa"/>
            <w:vAlign w:val="center"/>
          </w:tcPr>
          <w:p w14:paraId="1E6475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3.87</w:t>
            </w:r>
          </w:p>
        </w:tc>
        <w:tc>
          <w:tcPr>
            <w:tcW w:w="1127" w:type="dxa"/>
            <w:vAlign w:val="center"/>
          </w:tcPr>
          <w:p w14:paraId="0F0B3C8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3D1E41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CB109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ED3AA0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w:t>
            </w:r>
          </w:p>
        </w:tc>
        <w:tc>
          <w:tcPr>
            <w:tcW w:w="1127" w:type="dxa"/>
            <w:vAlign w:val="center"/>
          </w:tcPr>
          <w:p w14:paraId="592F24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0.13</w:t>
            </w:r>
          </w:p>
        </w:tc>
      </w:tr>
      <w:tr w:rsidR="006E3616" w:rsidRPr="00400193" w14:paraId="212E2AE6" w14:textId="77777777" w:rsidTr="003B5486">
        <w:tc>
          <w:tcPr>
            <w:tcW w:w="1127" w:type="dxa"/>
          </w:tcPr>
          <w:p w14:paraId="77486F3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OR11</w:t>
            </w:r>
          </w:p>
        </w:tc>
        <w:tc>
          <w:tcPr>
            <w:tcW w:w="1127" w:type="dxa"/>
            <w:vAlign w:val="center"/>
          </w:tcPr>
          <w:p w14:paraId="30DEA4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3.66</w:t>
            </w:r>
          </w:p>
        </w:tc>
        <w:tc>
          <w:tcPr>
            <w:tcW w:w="1127" w:type="dxa"/>
            <w:vAlign w:val="center"/>
          </w:tcPr>
          <w:p w14:paraId="68590D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3.69</w:t>
            </w:r>
          </w:p>
        </w:tc>
        <w:tc>
          <w:tcPr>
            <w:tcW w:w="1127" w:type="dxa"/>
            <w:vAlign w:val="center"/>
          </w:tcPr>
          <w:p w14:paraId="3B743D4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755ECC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0CA5F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EC3D3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-0.59</w:t>
            </w:r>
          </w:p>
        </w:tc>
        <w:tc>
          <w:tcPr>
            <w:tcW w:w="1127" w:type="dxa"/>
            <w:vAlign w:val="center"/>
          </w:tcPr>
          <w:p w14:paraId="39843D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r>
      <w:tr w:rsidR="006E3616" w:rsidRPr="00400193" w14:paraId="38B475DD" w14:textId="77777777" w:rsidTr="003B5486">
        <w:tc>
          <w:tcPr>
            <w:tcW w:w="1127" w:type="dxa"/>
          </w:tcPr>
          <w:p w14:paraId="033075F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OR12</w:t>
            </w:r>
          </w:p>
        </w:tc>
        <w:tc>
          <w:tcPr>
            <w:tcW w:w="1127" w:type="dxa"/>
            <w:vAlign w:val="center"/>
          </w:tcPr>
          <w:p w14:paraId="7529AE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3.66</w:t>
            </w:r>
          </w:p>
        </w:tc>
        <w:tc>
          <w:tcPr>
            <w:tcW w:w="1127" w:type="dxa"/>
            <w:vAlign w:val="center"/>
          </w:tcPr>
          <w:p w14:paraId="5B0C49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3.69</w:t>
            </w:r>
          </w:p>
        </w:tc>
        <w:tc>
          <w:tcPr>
            <w:tcW w:w="1127" w:type="dxa"/>
            <w:vAlign w:val="center"/>
          </w:tcPr>
          <w:p w14:paraId="015EFB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33F4FF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58F345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07C20A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-0.49</w:t>
            </w:r>
          </w:p>
        </w:tc>
        <w:tc>
          <w:tcPr>
            <w:tcW w:w="1127" w:type="dxa"/>
            <w:vAlign w:val="center"/>
          </w:tcPr>
          <w:p w14:paraId="3A1452A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0.06</w:t>
            </w:r>
          </w:p>
        </w:tc>
      </w:tr>
      <w:tr w:rsidR="006E3616" w:rsidRPr="00400193" w14:paraId="55764892" w14:textId="77777777" w:rsidTr="003B5486">
        <w:tc>
          <w:tcPr>
            <w:tcW w:w="1127" w:type="dxa"/>
          </w:tcPr>
          <w:p w14:paraId="7E1A6FE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OR13</w:t>
            </w:r>
          </w:p>
        </w:tc>
        <w:tc>
          <w:tcPr>
            <w:tcW w:w="1127" w:type="dxa"/>
            <w:vAlign w:val="center"/>
          </w:tcPr>
          <w:p w14:paraId="5744023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3.80</w:t>
            </w:r>
          </w:p>
        </w:tc>
        <w:tc>
          <w:tcPr>
            <w:tcW w:w="1127" w:type="dxa"/>
            <w:vAlign w:val="center"/>
          </w:tcPr>
          <w:p w14:paraId="671566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3.86</w:t>
            </w:r>
          </w:p>
        </w:tc>
        <w:tc>
          <w:tcPr>
            <w:tcW w:w="1127" w:type="dxa"/>
            <w:vAlign w:val="center"/>
          </w:tcPr>
          <w:p w14:paraId="3B0AF0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2DAC015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ABBC2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01B60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-0.74</w:t>
            </w:r>
          </w:p>
        </w:tc>
        <w:tc>
          <w:tcPr>
            <w:tcW w:w="1127" w:type="dxa"/>
            <w:vAlign w:val="center"/>
          </w:tcPr>
          <w:p w14:paraId="455B2A6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r>
      <w:tr w:rsidR="006E3616" w:rsidRPr="00400193" w14:paraId="40E0A4CA" w14:textId="77777777" w:rsidTr="003B5486">
        <w:tc>
          <w:tcPr>
            <w:tcW w:w="1127" w:type="dxa"/>
          </w:tcPr>
          <w:p w14:paraId="35CAE7C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OR14</w:t>
            </w:r>
          </w:p>
        </w:tc>
        <w:tc>
          <w:tcPr>
            <w:tcW w:w="1127" w:type="dxa"/>
            <w:vAlign w:val="center"/>
          </w:tcPr>
          <w:p w14:paraId="44297B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3.89</w:t>
            </w:r>
          </w:p>
        </w:tc>
        <w:tc>
          <w:tcPr>
            <w:tcW w:w="1127" w:type="dxa"/>
            <w:vAlign w:val="center"/>
          </w:tcPr>
          <w:p w14:paraId="0660AF6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3.96</w:t>
            </w:r>
          </w:p>
        </w:tc>
        <w:tc>
          <w:tcPr>
            <w:tcW w:w="1127" w:type="dxa"/>
            <w:vAlign w:val="center"/>
          </w:tcPr>
          <w:p w14:paraId="4636CF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-0.08</w:t>
            </w:r>
          </w:p>
        </w:tc>
        <w:tc>
          <w:tcPr>
            <w:tcW w:w="1127" w:type="dxa"/>
            <w:vAlign w:val="center"/>
          </w:tcPr>
          <w:p w14:paraId="3FB6BE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0B238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3023CA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w:t>
            </w:r>
          </w:p>
        </w:tc>
        <w:tc>
          <w:tcPr>
            <w:tcW w:w="1127" w:type="dxa"/>
            <w:vAlign w:val="center"/>
          </w:tcPr>
          <w:p w14:paraId="681320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0.30</w:t>
            </w:r>
          </w:p>
        </w:tc>
      </w:tr>
      <w:tr w:rsidR="006E3616" w:rsidRPr="00400193" w14:paraId="1677DF01" w14:textId="77777777" w:rsidTr="003B5486">
        <w:tc>
          <w:tcPr>
            <w:tcW w:w="1127" w:type="dxa"/>
          </w:tcPr>
          <w:p w14:paraId="051E9F7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OR15</w:t>
            </w:r>
          </w:p>
        </w:tc>
        <w:tc>
          <w:tcPr>
            <w:tcW w:w="1127" w:type="dxa"/>
            <w:vAlign w:val="center"/>
          </w:tcPr>
          <w:p w14:paraId="02D785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3.78</w:t>
            </w:r>
          </w:p>
        </w:tc>
        <w:tc>
          <w:tcPr>
            <w:tcW w:w="1127" w:type="dxa"/>
            <w:vAlign w:val="center"/>
          </w:tcPr>
          <w:p w14:paraId="212A267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3.82</w:t>
            </w:r>
          </w:p>
        </w:tc>
        <w:tc>
          <w:tcPr>
            <w:tcW w:w="1127" w:type="dxa"/>
            <w:vAlign w:val="center"/>
          </w:tcPr>
          <w:p w14:paraId="69138E2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2E428C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A2135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7718AC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-0.65</w:t>
            </w:r>
          </w:p>
        </w:tc>
        <w:tc>
          <w:tcPr>
            <w:tcW w:w="1127" w:type="dxa"/>
            <w:vAlign w:val="center"/>
          </w:tcPr>
          <w:p w14:paraId="089D52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-0.09</w:t>
            </w:r>
          </w:p>
        </w:tc>
      </w:tr>
      <w:tr w:rsidR="006E3616" w:rsidRPr="00400193" w14:paraId="0A080B59" w14:textId="77777777" w:rsidTr="003B5486">
        <w:tc>
          <w:tcPr>
            <w:tcW w:w="1127" w:type="dxa"/>
          </w:tcPr>
          <w:p w14:paraId="0FB2EE2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OR16</w:t>
            </w:r>
          </w:p>
        </w:tc>
        <w:tc>
          <w:tcPr>
            <w:tcW w:w="1127" w:type="dxa"/>
            <w:vAlign w:val="center"/>
          </w:tcPr>
          <w:p w14:paraId="5E66F7E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1127" w:type="dxa"/>
            <w:vAlign w:val="center"/>
          </w:tcPr>
          <w:p w14:paraId="2F41396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3.78</w:t>
            </w:r>
          </w:p>
        </w:tc>
        <w:tc>
          <w:tcPr>
            <w:tcW w:w="1127" w:type="dxa"/>
            <w:vAlign w:val="center"/>
          </w:tcPr>
          <w:p w14:paraId="7444E2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-0.04</w:t>
            </w:r>
          </w:p>
        </w:tc>
        <w:tc>
          <w:tcPr>
            <w:tcW w:w="1127" w:type="dxa"/>
            <w:vAlign w:val="center"/>
          </w:tcPr>
          <w:p w14:paraId="11B771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588AB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272B6CA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1127" w:type="dxa"/>
            <w:vAlign w:val="center"/>
          </w:tcPr>
          <w:p w14:paraId="47F481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-0.26</w:t>
            </w:r>
          </w:p>
        </w:tc>
      </w:tr>
      <w:tr w:rsidR="006E3616" w:rsidRPr="00400193" w14:paraId="675878B5" w14:textId="77777777" w:rsidTr="003B5486">
        <w:tc>
          <w:tcPr>
            <w:tcW w:w="1127" w:type="dxa"/>
          </w:tcPr>
          <w:p w14:paraId="71A8023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OR17</w:t>
            </w:r>
          </w:p>
        </w:tc>
        <w:tc>
          <w:tcPr>
            <w:tcW w:w="1127" w:type="dxa"/>
            <w:vAlign w:val="center"/>
          </w:tcPr>
          <w:p w14:paraId="5569CA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3.57</w:t>
            </w:r>
          </w:p>
        </w:tc>
        <w:tc>
          <w:tcPr>
            <w:tcW w:w="1127" w:type="dxa"/>
            <w:vAlign w:val="center"/>
          </w:tcPr>
          <w:p w14:paraId="5680E4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3.59</w:t>
            </w:r>
          </w:p>
        </w:tc>
        <w:tc>
          <w:tcPr>
            <w:tcW w:w="1127" w:type="dxa"/>
            <w:vAlign w:val="center"/>
          </w:tcPr>
          <w:p w14:paraId="29BE4D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04B1940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B87C1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20EB5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-0.21</w:t>
            </w:r>
          </w:p>
        </w:tc>
        <w:tc>
          <w:tcPr>
            <w:tcW w:w="1127" w:type="dxa"/>
            <w:vAlign w:val="center"/>
          </w:tcPr>
          <w:p w14:paraId="5959DB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-0.43</w:t>
            </w:r>
          </w:p>
        </w:tc>
      </w:tr>
      <w:tr w:rsidR="006E3616" w:rsidRPr="00400193" w14:paraId="6F9F6CFB" w14:textId="77777777" w:rsidTr="003B5486">
        <w:tc>
          <w:tcPr>
            <w:tcW w:w="1127" w:type="dxa"/>
          </w:tcPr>
          <w:p w14:paraId="481B99C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OR18</w:t>
            </w:r>
          </w:p>
        </w:tc>
        <w:tc>
          <w:tcPr>
            <w:tcW w:w="1127" w:type="dxa"/>
            <w:vAlign w:val="center"/>
          </w:tcPr>
          <w:p w14:paraId="65E697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3.45</w:t>
            </w:r>
          </w:p>
        </w:tc>
        <w:tc>
          <w:tcPr>
            <w:tcW w:w="1127" w:type="dxa"/>
            <w:vAlign w:val="center"/>
          </w:tcPr>
          <w:p w14:paraId="5A5A2B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3.47</w:t>
            </w:r>
          </w:p>
        </w:tc>
        <w:tc>
          <w:tcPr>
            <w:tcW w:w="1127" w:type="dxa"/>
            <w:vAlign w:val="center"/>
          </w:tcPr>
          <w:p w14:paraId="503BF9A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-0.02</w:t>
            </w:r>
          </w:p>
        </w:tc>
        <w:tc>
          <w:tcPr>
            <w:tcW w:w="1127" w:type="dxa"/>
            <w:vAlign w:val="center"/>
          </w:tcPr>
          <w:p w14:paraId="27E607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3EA7DB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489D90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-0.07</w:t>
            </w:r>
          </w:p>
        </w:tc>
        <w:tc>
          <w:tcPr>
            <w:tcW w:w="1127" w:type="dxa"/>
            <w:vAlign w:val="center"/>
          </w:tcPr>
          <w:p w14:paraId="5FCDA77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-0.37</w:t>
            </w:r>
          </w:p>
        </w:tc>
      </w:tr>
      <w:tr w:rsidR="006E3616" w:rsidRPr="00400193" w14:paraId="48B0A28F" w14:textId="77777777" w:rsidTr="003B5486">
        <w:tc>
          <w:tcPr>
            <w:tcW w:w="1127" w:type="dxa"/>
          </w:tcPr>
          <w:p w14:paraId="5224BBB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OR19</w:t>
            </w:r>
          </w:p>
        </w:tc>
        <w:tc>
          <w:tcPr>
            <w:tcW w:w="1127" w:type="dxa"/>
            <w:vAlign w:val="center"/>
          </w:tcPr>
          <w:p w14:paraId="66422F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3.68</w:t>
            </w:r>
          </w:p>
        </w:tc>
        <w:tc>
          <w:tcPr>
            <w:tcW w:w="1127" w:type="dxa"/>
            <w:vAlign w:val="center"/>
          </w:tcPr>
          <w:p w14:paraId="143565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3.73</w:t>
            </w:r>
          </w:p>
        </w:tc>
        <w:tc>
          <w:tcPr>
            <w:tcW w:w="1127" w:type="dxa"/>
            <w:vAlign w:val="center"/>
          </w:tcPr>
          <w:p w14:paraId="5F8E2C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6C3FC7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65D9421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AC8B8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-0.49</w:t>
            </w:r>
          </w:p>
        </w:tc>
        <w:tc>
          <w:tcPr>
            <w:tcW w:w="1127" w:type="dxa"/>
            <w:vAlign w:val="center"/>
          </w:tcPr>
          <w:p w14:paraId="6163B2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-0.24</w:t>
            </w:r>
          </w:p>
        </w:tc>
      </w:tr>
      <w:tr w:rsidR="006E3616" w:rsidRPr="00400193" w14:paraId="415F4177" w14:textId="77777777" w:rsidTr="003B5486">
        <w:tc>
          <w:tcPr>
            <w:tcW w:w="1127" w:type="dxa"/>
          </w:tcPr>
          <w:p w14:paraId="3B592BC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OR20</w:t>
            </w:r>
          </w:p>
        </w:tc>
        <w:tc>
          <w:tcPr>
            <w:tcW w:w="1127" w:type="dxa"/>
            <w:vAlign w:val="center"/>
          </w:tcPr>
          <w:p w14:paraId="66F062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3.57</w:t>
            </w:r>
          </w:p>
        </w:tc>
        <w:tc>
          <w:tcPr>
            <w:tcW w:w="1127" w:type="dxa"/>
            <w:vAlign w:val="center"/>
          </w:tcPr>
          <w:p w14:paraId="2F0D39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3.62</w:t>
            </w:r>
          </w:p>
        </w:tc>
        <w:tc>
          <w:tcPr>
            <w:tcW w:w="1127" w:type="dxa"/>
            <w:vAlign w:val="center"/>
          </w:tcPr>
          <w:p w14:paraId="29745F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70810E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21D579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AB549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-0.48</w:t>
            </w:r>
          </w:p>
        </w:tc>
        <w:tc>
          <w:tcPr>
            <w:tcW w:w="1127" w:type="dxa"/>
            <w:vAlign w:val="center"/>
          </w:tcPr>
          <w:p w14:paraId="77D4FF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-0.27</w:t>
            </w:r>
          </w:p>
        </w:tc>
      </w:tr>
      <w:tr w:rsidR="006E3616" w:rsidRPr="00400193" w14:paraId="35DBFDD7" w14:textId="77777777" w:rsidTr="003B5486">
        <w:tc>
          <w:tcPr>
            <w:tcW w:w="1127" w:type="dxa"/>
          </w:tcPr>
          <w:p w14:paraId="7E5F4FD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OR21</w:t>
            </w:r>
          </w:p>
        </w:tc>
        <w:tc>
          <w:tcPr>
            <w:tcW w:w="1127" w:type="dxa"/>
            <w:vAlign w:val="center"/>
          </w:tcPr>
          <w:p w14:paraId="2985D9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3.60</w:t>
            </w:r>
          </w:p>
        </w:tc>
        <w:tc>
          <w:tcPr>
            <w:tcW w:w="1127" w:type="dxa"/>
            <w:vAlign w:val="center"/>
          </w:tcPr>
          <w:p w14:paraId="0EFF3F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3.65</w:t>
            </w:r>
          </w:p>
        </w:tc>
        <w:tc>
          <w:tcPr>
            <w:tcW w:w="1127" w:type="dxa"/>
            <w:vAlign w:val="center"/>
          </w:tcPr>
          <w:p w14:paraId="7135721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-0.05</w:t>
            </w:r>
          </w:p>
        </w:tc>
        <w:tc>
          <w:tcPr>
            <w:tcW w:w="1127" w:type="dxa"/>
            <w:vAlign w:val="center"/>
          </w:tcPr>
          <w:p w14:paraId="2A66B7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41A7AB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585A7D9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-0.54</w:t>
            </w:r>
          </w:p>
        </w:tc>
        <w:tc>
          <w:tcPr>
            <w:tcW w:w="1127" w:type="dxa"/>
            <w:vAlign w:val="center"/>
          </w:tcPr>
          <w:p w14:paraId="229128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0.31</w:t>
            </w:r>
          </w:p>
        </w:tc>
      </w:tr>
      <w:tr w:rsidR="006E3616" w:rsidRPr="00400193" w14:paraId="7F37E684" w14:textId="77777777" w:rsidTr="003B5486">
        <w:tc>
          <w:tcPr>
            <w:tcW w:w="1127" w:type="dxa"/>
          </w:tcPr>
          <w:p w14:paraId="53A5F09A" w14:textId="77777777" w:rsidR="006E3616" w:rsidRPr="00400193" w:rsidRDefault="006E3616" w:rsidP="003B5486">
            <w:pPr>
              <w:keepNext/>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ORe</w:t>
            </w:r>
          </w:p>
        </w:tc>
        <w:tc>
          <w:tcPr>
            <w:tcW w:w="1127" w:type="dxa"/>
            <w:vAlign w:val="center"/>
          </w:tcPr>
          <w:p w14:paraId="200C396F"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3.72</w:t>
            </w:r>
          </w:p>
        </w:tc>
        <w:tc>
          <w:tcPr>
            <w:tcW w:w="1127" w:type="dxa"/>
            <w:vAlign w:val="center"/>
          </w:tcPr>
          <w:p w14:paraId="100429F9"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3.74</w:t>
            </w:r>
          </w:p>
        </w:tc>
        <w:tc>
          <w:tcPr>
            <w:tcW w:w="1127" w:type="dxa"/>
            <w:vAlign w:val="center"/>
          </w:tcPr>
          <w:p w14:paraId="0ACAF659"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-0.03</w:t>
            </w:r>
          </w:p>
        </w:tc>
        <w:tc>
          <w:tcPr>
            <w:tcW w:w="1127" w:type="dxa"/>
            <w:vAlign w:val="center"/>
          </w:tcPr>
          <w:p w14:paraId="27597359"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1</w:t>
            </w:r>
          </w:p>
        </w:tc>
        <w:tc>
          <w:tcPr>
            <w:tcW w:w="1127" w:type="dxa"/>
            <w:vAlign w:val="center"/>
          </w:tcPr>
          <w:p w14:paraId="2DAAEDF5"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5</w:t>
            </w:r>
          </w:p>
        </w:tc>
        <w:tc>
          <w:tcPr>
            <w:tcW w:w="1127" w:type="dxa"/>
            <w:vAlign w:val="center"/>
          </w:tcPr>
          <w:p w14:paraId="11779491"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-0.52</w:t>
            </w:r>
          </w:p>
        </w:tc>
        <w:tc>
          <w:tcPr>
            <w:tcW w:w="1127" w:type="dxa"/>
            <w:vAlign w:val="center"/>
          </w:tcPr>
          <w:p w14:paraId="338B39DF"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0.65</w:t>
            </w:r>
          </w:p>
        </w:tc>
      </w:tr>
    </w:tbl>
    <w:p w14:paraId="1E93533C" w14:textId="3017DDC4" w:rsidR="006E3616" w:rsidRPr="00400193" w:rsidRDefault="006E3616" w:rsidP="006E3616">
      <w:pPr>
        <w:pStyle w:val="Caption"/>
        <w:rPr>
          <w:b w:val="0"/>
          <w:i w:val="0"/>
          <w:szCs w:val="24"/>
          <w:lang w:eastAsia="zh-CN" w:bidi="hi-IN"/>
        </w:rPr>
      </w:pPr>
      <w:bookmarkStart w:id="981" w:name="_1e03kqp"/>
      <w:bookmarkStart w:id="982" w:name="_Ref42945193"/>
      <w:bookmarkStart w:id="983" w:name="_Toc52901662"/>
      <w:bookmarkEnd w:id="981"/>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2</w:t>
      </w:r>
      <w:r w:rsidRPr="00400193">
        <w:rPr>
          <w:noProof/>
        </w:rPr>
        <w:fldChar w:fldCharType="end"/>
      </w:r>
      <w:bookmarkEnd w:id="982"/>
      <w:r w:rsidRPr="00400193">
        <w:t>: The original mean and 5% trimmed mean values, difference between them, minimum, maximum, skewness and kurtosis for the study variables</w:t>
      </w:r>
      <w:bookmarkEnd w:id="983"/>
    </w:p>
    <w:p w14:paraId="14ECF340"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See Table 0-3 onwards for Code explanation</w:t>
      </w:r>
    </w:p>
    <w:p w14:paraId="613C988B" w14:textId="77777777" w:rsidR="006E3616" w:rsidRPr="00400193" w:rsidRDefault="006E3616" w:rsidP="006E3616">
      <w:pPr>
        <w:suppressAutoHyphens/>
        <w:spacing w:before="120" w:after="120" w:line="240" w:lineRule="auto"/>
        <w:rPr>
          <w:szCs w:val="24"/>
          <w:lang w:eastAsia="zh-CN" w:bidi="hi-IN"/>
        </w:rPr>
      </w:pPr>
    </w:p>
    <w:tbl>
      <w:tblPr>
        <w:tblStyle w:val="TableGrid"/>
        <w:tblW w:w="8926" w:type="dxa"/>
        <w:tblLook w:val="04A0" w:firstRow="1" w:lastRow="0" w:firstColumn="1" w:lastColumn="0" w:noHBand="0" w:noVBand="1"/>
      </w:tblPr>
      <w:tblGrid>
        <w:gridCol w:w="1112"/>
        <w:gridCol w:w="5163"/>
        <w:gridCol w:w="1428"/>
        <w:gridCol w:w="1223"/>
      </w:tblGrid>
      <w:tr w:rsidR="00A0618E" w:rsidRPr="00400193" w14:paraId="603C1E8E" w14:textId="77777777" w:rsidTr="003B5486">
        <w:trPr>
          <w:cantSplit/>
          <w:trHeight w:val="409"/>
          <w:tblHeader/>
        </w:trPr>
        <w:tc>
          <w:tcPr>
            <w:tcW w:w="1112" w:type="dxa"/>
            <w:vAlign w:val="center"/>
          </w:tcPr>
          <w:p w14:paraId="6CB4F279" w14:textId="77777777" w:rsidR="006E3616" w:rsidRPr="00400193" w:rsidRDefault="006E3616" w:rsidP="003B5486">
            <w:pPr>
              <w:suppressAutoHyphens/>
              <w:spacing w:line="240" w:lineRule="auto"/>
              <w:jc w:val="left"/>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Factor code</w:t>
            </w:r>
          </w:p>
        </w:tc>
        <w:tc>
          <w:tcPr>
            <w:tcW w:w="5163" w:type="dxa"/>
            <w:vAlign w:val="center"/>
          </w:tcPr>
          <w:p w14:paraId="74C6EDF6" w14:textId="77777777" w:rsidR="006E3616" w:rsidRPr="00400193" w:rsidRDefault="006E3616" w:rsidP="003B5486">
            <w:pPr>
              <w:suppressAutoHyphens/>
              <w:spacing w:line="240" w:lineRule="auto"/>
              <w:jc w:val="left"/>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Item</w:t>
            </w:r>
          </w:p>
        </w:tc>
        <w:tc>
          <w:tcPr>
            <w:tcW w:w="1428" w:type="dxa"/>
            <w:vAlign w:val="center"/>
          </w:tcPr>
          <w:p w14:paraId="0EA3E6B0"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Alpha if deleted</w:t>
            </w:r>
          </w:p>
        </w:tc>
        <w:tc>
          <w:tcPr>
            <w:tcW w:w="1223" w:type="dxa"/>
            <w:vAlign w:val="center"/>
          </w:tcPr>
          <w:p w14:paraId="40D5AC3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Cronbach Alpha (α)</w:t>
            </w:r>
          </w:p>
        </w:tc>
      </w:tr>
      <w:tr w:rsidR="00A0618E" w:rsidRPr="00400193" w14:paraId="5DBF4FDE" w14:textId="77777777" w:rsidTr="003B5486">
        <w:trPr>
          <w:trHeight w:val="215"/>
        </w:trPr>
        <w:tc>
          <w:tcPr>
            <w:tcW w:w="8926" w:type="dxa"/>
            <w:gridSpan w:val="4"/>
            <w:shd w:val="clear" w:color="auto" w:fill="D9D9D9" w:themeFill="background1" w:themeFillShade="D9"/>
            <w:vAlign w:val="center"/>
          </w:tcPr>
          <w:p w14:paraId="7D6D1B5A"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Key Internal Threats - Lack of Awareness</w:t>
            </w:r>
          </w:p>
        </w:tc>
      </w:tr>
      <w:tr w:rsidR="00A0618E" w:rsidRPr="00400193" w14:paraId="1CB1FAFA" w14:textId="77777777" w:rsidTr="003B5486">
        <w:trPr>
          <w:trHeight w:val="204"/>
        </w:trPr>
        <w:tc>
          <w:tcPr>
            <w:tcW w:w="1112" w:type="dxa"/>
          </w:tcPr>
          <w:p w14:paraId="0F67E16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w:t>
            </w:r>
          </w:p>
        </w:tc>
        <w:tc>
          <w:tcPr>
            <w:tcW w:w="5163" w:type="dxa"/>
          </w:tcPr>
          <w:p w14:paraId="1F3DDEA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Employees lack vigilance</w:t>
            </w:r>
          </w:p>
        </w:tc>
        <w:tc>
          <w:tcPr>
            <w:tcW w:w="1428" w:type="dxa"/>
            <w:vAlign w:val="center"/>
          </w:tcPr>
          <w:p w14:paraId="239401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001766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0.975</w:t>
            </w:r>
          </w:p>
        </w:tc>
      </w:tr>
      <w:tr w:rsidR="00A0618E" w:rsidRPr="00400193" w14:paraId="43DD9A4B" w14:textId="77777777" w:rsidTr="003B5486">
        <w:trPr>
          <w:trHeight w:val="204"/>
        </w:trPr>
        <w:tc>
          <w:tcPr>
            <w:tcW w:w="1112" w:type="dxa"/>
          </w:tcPr>
          <w:p w14:paraId="72F619E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w:t>
            </w:r>
          </w:p>
        </w:tc>
        <w:tc>
          <w:tcPr>
            <w:tcW w:w="5163" w:type="dxa"/>
          </w:tcPr>
          <w:p w14:paraId="664C3BD5" w14:textId="0BBBDC78"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Connecting personal devices to organ</w:t>
            </w:r>
            <w:r w:rsidR="00D75A7B" w:rsidRPr="00400193">
              <w:rPr>
                <w:rFonts w:asciiTheme="minorHAnsi" w:hAnsiTheme="minorHAnsi" w:cstheme="minorHAnsi"/>
                <w:sz w:val="18"/>
                <w:szCs w:val="18"/>
                <w:lang w:eastAsia="zh-CN" w:bidi="hi-IN"/>
              </w:rPr>
              <w:t>isa</w:t>
            </w:r>
            <w:r w:rsidRPr="00400193">
              <w:rPr>
                <w:rFonts w:asciiTheme="minorHAnsi" w:hAnsiTheme="minorHAnsi" w:cstheme="minorHAnsi"/>
                <w:sz w:val="18"/>
                <w:szCs w:val="18"/>
                <w:lang w:eastAsia="zh-CN" w:bidi="hi-IN"/>
              </w:rPr>
              <w:t>tional systems</w:t>
            </w:r>
          </w:p>
        </w:tc>
        <w:tc>
          <w:tcPr>
            <w:tcW w:w="1428" w:type="dxa"/>
            <w:vAlign w:val="center"/>
          </w:tcPr>
          <w:p w14:paraId="15A04B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418C71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B8B31B3" w14:textId="77777777" w:rsidTr="003B5486">
        <w:trPr>
          <w:trHeight w:val="204"/>
        </w:trPr>
        <w:tc>
          <w:tcPr>
            <w:tcW w:w="1112" w:type="dxa"/>
          </w:tcPr>
          <w:p w14:paraId="277500C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p>
        </w:tc>
        <w:tc>
          <w:tcPr>
            <w:tcW w:w="5163" w:type="dxa"/>
          </w:tcPr>
          <w:p w14:paraId="4EAB510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p>
        </w:tc>
        <w:tc>
          <w:tcPr>
            <w:tcW w:w="1428" w:type="dxa"/>
            <w:vAlign w:val="center"/>
          </w:tcPr>
          <w:p w14:paraId="1D5003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c>
          <w:tcPr>
            <w:tcW w:w="1223" w:type="dxa"/>
            <w:vAlign w:val="center"/>
          </w:tcPr>
          <w:p w14:paraId="219AD2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DCD3948" w14:textId="77777777" w:rsidTr="003B5486">
        <w:trPr>
          <w:trHeight w:val="204"/>
        </w:trPr>
        <w:tc>
          <w:tcPr>
            <w:tcW w:w="1112" w:type="dxa"/>
          </w:tcPr>
          <w:p w14:paraId="35FE83C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KILA3</w:t>
            </w:r>
          </w:p>
        </w:tc>
        <w:tc>
          <w:tcPr>
            <w:tcW w:w="5163" w:type="dxa"/>
          </w:tcPr>
          <w:p w14:paraId="00117A4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Laissez faire attitude</w:t>
            </w:r>
          </w:p>
        </w:tc>
        <w:tc>
          <w:tcPr>
            <w:tcW w:w="1428" w:type="dxa"/>
            <w:vAlign w:val="center"/>
          </w:tcPr>
          <w:p w14:paraId="398BBB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0.975</w:t>
            </w:r>
          </w:p>
        </w:tc>
        <w:tc>
          <w:tcPr>
            <w:tcW w:w="1223" w:type="dxa"/>
            <w:vAlign w:val="center"/>
          </w:tcPr>
          <w:p w14:paraId="40AE67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ACEA5CD" w14:textId="77777777" w:rsidTr="003B5486">
        <w:trPr>
          <w:trHeight w:val="215"/>
        </w:trPr>
        <w:tc>
          <w:tcPr>
            <w:tcW w:w="1112" w:type="dxa"/>
          </w:tcPr>
          <w:p w14:paraId="451B77A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KILA4</w:t>
            </w:r>
          </w:p>
        </w:tc>
        <w:tc>
          <w:tcPr>
            <w:tcW w:w="5163" w:type="dxa"/>
          </w:tcPr>
          <w:p w14:paraId="49C9AB6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situational awareness materials</w:t>
            </w:r>
          </w:p>
        </w:tc>
        <w:tc>
          <w:tcPr>
            <w:tcW w:w="1428" w:type="dxa"/>
            <w:vAlign w:val="center"/>
          </w:tcPr>
          <w:p w14:paraId="58C1DD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2056538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CAEDFA1" w14:textId="77777777" w:rsidTr="003B5486">
        <w:trPr>
          <w:trHeight w:val="204"/>
        </w:trPr>
        <w:tc>
          <w:tcPr>
            <w:tcW w:w="1112" w:type="dxa"/>
          </w:tcPr>
          <w:p w14:paraId="54BB81D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KILA5</w:t>
            </w:r>
          </w:p>
        </w:tc>
        <w:tc>
          <w:tcPr>
            <w:tcW w:w="5163" w:type="dxa"/>
          </w:tcPr>
          <w:p w14:paraId="386FE85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Security threats are not gathered and shared</w:t>
            </w:r>
          </w:p>
        </w:tc>
        <w:tc>
          <w:tcPr>
            <w:tcW w:w="1428" w:type="dxa"/>
            <w:vAlign w:val="center"/>
          </w:tcPr>
          <w:p w14:paraId="383070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3567081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52F631E" w14:textId="77777777" w:rsidTr="003B5486">
        <w:trPr>
          <w:trHeight w:val="204"/>
        </w:trPr>
        <w:tc>
          <w:tcPr>
            <w:tcW w:w="1112" w:type="dxa"/>
          </w:tcPr>
          <w:p w14:paraId="6BC60BF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KILA6</w:t>
            </w:r>
          </w:p>
        </w:tc>
        <w:tc>
          <w:tcPr>
            <w:tcW w:w="5163" w:type="dxa"/>
          </w:tcPr>
          <w:p w14:paraId="27C4D7F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Regulations are not maintained or updated</w:t>
            </w:r>
          </w:p>
        </w:tc>
        <w:tc>
          <w:tcPr>
            <w:tcW w:w="1428" w:type="dxa"/>
            <w:vAlign w:val="center"/>
          </w:tcPr>
          <w:p w14:paraId="459E20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5E54C5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3E5F4BA" w14:textId="77777777" w:rsidTr="003B5486">
        <w:trPr>
          <w:trHeight w:val="204"/>
        </w:trPr>
        <w:tc>
          <w:tcPr>
            <w:tcW w:w="1112" w:type="dxa"/>
          </w:tcPr>
          <w:p w14:paraId="35FA72B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KILA7</w:t>
            </w:r>
          </w:p>
        </w:tc>
        <w:tc>
          <w:tcPr>
            <w:tcW w:w="5163" w:type="dxa"/>
          </w:tcPr>
          <w:p w14:paraId="64103B1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Internal controls are not reviewed or tested</w:t>
            </w:r>
          </w:p>
        </w:tc>
        <w:tc>
          <w:tcPr>
            <w:tcW w:w="1428" w:type="dxa"/>
            <w:vAlign w:val="center"/>
          </w:tcPr>
          <w:p w14:paraId="5DB79B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67E694C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FCDFD39" w14:textId="77777777" w:rsidTr="003B5486">
        <w:trPr>
          <w:trHeight w:val="420"/>
        </w:trPr>
        <w:tc>
          <w:tcPr>
            <w:tcW w:w="1112" w:type="dxa"/>
          </w:tcPr>
          <w:p w14:paraId="77EA4F0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KILA8</w:t>
            </w:r>
          </w:p>
        </w:tc>
        <w:tc>
          <w:tcPr>
            <w:tcW w:w="5163" w:type="dxa"/>
          </w:tcPr>
          <w:p w14:paraId="72E66FA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 failure to use testing scenarios to improve incident detection and response</w:t>
            </w:r>
          </w:p>
        </w:tc>
        <w:tc>
          <w:tcPr>
            <w:tcW w:w="1428" w:type="dxa"/>
            <w:vAlign w:val="center"/>
          </w:tcPr>
          <w:p w14:paraId="0D55FE7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370FAF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5EE57E0" w14:textId="77777777" w:rsidTr="003B5486">
        <w:trPr>
          <w:trHeight w:val="204"/>
        </w:trPr>
        <w:tc>
          <w:tcPr>
            <w:tcW w:w="1112" w:type="dxa"/>
          </w:tcPr>
          <w:p w14:paraId="4C78677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KILA9</w:t>
            </w:r>
          </w:p>
        </w:tc>
        <w:tc>
          <w:tcPr>
            <w:tcW w:w="5163" w:type="dxa"/>
          </w:tcPr>
          <w:p w14:paraId="422658D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Accidental leaks of information because of lack of awareness</w:t>
            </w:r>
          </w:p>
        </w:tc>
        <w:tc>
          <w:tcPr>
            <w:tcW w:w="1428" w:type="dxa"/>
            <w:vAlign w:val="center"/>
          </w:tcPr>
          <w:p w14:paraId="542BC9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2EEAEF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C5A9454" w14:textId="77777777" w:rsidTr="003B5486">
        <w:trPr>
          <w:trHeight w:val="204"/>
        </w:trPr>
        <w:tc>
          <w:tcPr>
            <w:tcW w:w="1112" w:type="dxa"/>
          </w:tcPr>
          <w:p w14:paraId="23ADD49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KILA10</w:t>
            </w:r>
          </w:p>
        </w:tc>
        <w:tc>
          <w:tcPr>
            <w:tcW w:w="5163" w:type="dxa"/>
          </w:tcPr>
          <w:p w14:paraId="5EC2534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reporting policy</w:t>
            </w:r>
          </w:p>
        </w:tc>
        <w:tc>
          <w:tcPr>
            <w:tcW w:w="1428" w:type="dxa"/>
            <w:vAlign w:val="center"/>
          </w:tcPr>
          <w:p w14:paraId="600135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296BEC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00242CF" w14:textId="77777777" w:rsidTr="003B5486">
        <w:trPr>
          <w:trHeight w:val="204"/>
        </w:trPr>
        <w:tc>
          <w:tcPr>
            <w:tcW w:w="1112" w:type="dxa"/>
          </w:tcPr>
          <w:p w14:paraId="29F915D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KILA11</w:t>
            </w:r>
          </w:p>
        </w:tc>
        <w:tc>
          <w:tcPr>
            <w:tcW w:w="5163" w:type="dxa"/>
          </w:tcPr>
          <w:p w14:paraId="53C86D5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information security training</w:t>
            </w:r>
          </w:p>
        </w:tc>
        <w:tc>
          <w:tcPr>
            <w:tcW w:w="1428" w:type="dxa"/>
            <w:vAlign w:val="center"/>
          </w:tcPr>
          <w:p w14:paraId="4B187D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059FD6D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899D79D" w14:textId="77777777" w:rsidTr="003B5486">
        <w:trPr>
          <w:trHeight w:val="204"/>
        </w:trPr>
        <w:tc>
          <w:tcPr>
            <w:tcW w:w="1112" w:type="dxa"/>
          </w:tcPr>
          <w:p w14:paraId="51C9E25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KILA12</w:t>
            </w:r>
          </w:p>
        </w:tc>
        <w:tc>
          <w:tcPr>
            <w:tcW w:w="5163" w:type="dxa"/>
          </w:tcPr>
          <w:p w14:paraId="48FC964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Unrestricted access for employees</w:t>
            </w:r>
          </w:p>
        </w:tc>
        <w:tc>
          <w:tcPr>
            <w:tcW w:w="1428" w:type="dxa"/>
            <w:vAlign w:val="center"/>
          </w:tcPr>
          <w:p w14:paraId="1D1DA2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14E321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836BEDE" w14:textId="77777777" w:rsidTr="003B5486">
        <w:trPr>
          <w:trHeight w:val="215"/>
        </w:trPr>
        <w:tc>
          <w:tcPr>
            <w:tcW w:w="1112" w:type="dxa"/>
          </w:tcPr>
          <w:p w14:paraId="70F1A3A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KILA13</w:t>
            </w:r>
          </w:p>
        </w:tc>
        <w:tc>
          <w:tcPr>
            <w:tcW w:w="5163" w:type="dxa"/>
          </w:tcPr>
          <w:p w14:paraId="01206D6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Unrestricted access for contractors and suppliers</w:t>
            </w:r>
          </w:p>
        </w:tc>
        <w:tc>
          <w:tcPr>
            <w:tcW w:w="1428" w:type="dxa"/>
            <w:vAlign w:val="center"/>
          </w:tcPr>
          <w:p w14:paraId="5410D3C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2498E2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14E7AF9" w14:textId="77777777" w:rsidTr="003B5486">
        <w:trPr>
          <w:trHeight w:val="204"/>
        </w:trPr>
        <w:tc>
          <w:tcPr>
            <w:tcW w:w="1112" w:type="dxa"/>
          </w:tcPr>
          <w:p w14:paraId="0745071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KILA14</w:t>
            </w:r>
          </w:p>
        </w:tc>
        <w:tc>
          <w:tcPr>
            <w:tcW w:w="5163" w:type="dxa"/>
          </w:tcPr>
          <w:p w14:paraId="7E2ED3C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Unauthenticated networks</w:t>
            </w:r>
          </w:p>
        </w:tc>
        <w:tc>
          <w:tcPr>
            <w:tcW w:w="1428" w:type="dxa"/>
            <w:vAlign w:val="center"/>
          </w:tcPr>
          <w:p w14:paraId="657F56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0.975</w:t>
            </w:r>
          </w:p>
        </w:tc>
        <w:tc>
          <w:tcPr>
            <w:tcW w:w="1223" w:type="dxa"/>
            <w:vAlign w:val="center"/>
          </w:tcPr>
          <w:p w14:paraId="6134CA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BBAD748" w14:textId="77777777" w:rsidTr="003B5486">
        <w:trPr>
          <w:trHeight w:val="204"/>
        </w:trPr>
        <w:tc>
          <w:tcPr>
            <w:tcW w:w="1112" w:type="dxa"/>
          </w:tcPr>
          <w:p w14:paraId="7AD07F4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KILA15</w:t>
            </w:r>
          </w:p>
        </w:tc>
        <w:tc>
          <w:tcPr>
            <w:tcW w:w="5163" w:type="dxa"/>
          </w:tcPr>
          <w:p w14:paraId="2BB03C1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Weak administrative passwords</w:t>
            </w:r>
          </w:p>
        </w:tc>
        <w:tc>
          <w:tcPr>
            <w:tcW w:w="1428" w:type="dxa"/>
            <w:vAlign w:val="center"/>
          </w:tcPr>
          <w:p w14:paraId="22FECC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23F150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C793264" w14:textId="77777777" w:rsidTr="003B5486">
        <w:trPr>
          <w:trHeight w:val="204"/>
        </w:trPr>
        <w:tc>
          <w:tcPr>
            <w:tcW w:w="1112" w:type="dxa"/>
          </w:tcPr>
          <w:p w14:paraId="49E1EC0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KILA16</w:t>
            </w:r>
          </w:p>
        </w:tc>
        <w:tc>
          <w:tcPr>
            <w:tcW w:w="5163" w:type="dxa"/>
          </w:tcPr>
          <w:p w14:paraId="7B28A09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Weak security administration</w:t>
            </w:r>
          </w:p>
        </w:tc>
        <w:tc>
          <w:tcPr>
            <w:tcW w:w="1428" w:type="dxa"/>
            <w:vAlign w:val="center"/>
          </w:tcPr>
          <w:p w14:paraId="60A55E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432278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B218938" w14:textId="77777777" w:rsidTr="003B5486">
        <w:trPr>
          <w:trHeight w:val="204"/>
        </w:trPr>
        <w:tc>
          <w:tcPr>
            <w:tcW w:w="1112" w:type="dxa"/>
          </w:tcPr>
          <w:p w14:paraId="708EF1A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KILA17</w:t>
            </w:r>
          </w:p>
        </w:tc>
        <w:tc>
          <w:tcPr>
            <w:tcW w:w="5163" w:type="dxa"/>
          </w:tcPr>
          <w:p w14:paraId="36D89C6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Unrestricted remote access</w:t>
            </w:r>
          </w:p>
        </w:tc>
        <w:tc>
          <w:tcPr>
            <w:tcW w:w="1428" w:type="dxa"/>
            <w:vAlign w:val="center"/>
          </w:tcPr>
          <w:p w14:paraId="2EF42ED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68B60D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498BD30" w14:textId="77777777" w:rsidTr="003B5486">
        <w:trPr>
          <w:trHeight w:val="215"/>
        </w:trPr>
        <w:tc>
          <w:tcPr>
            <w:tcW w:w="1112" w:type="dxa"/>
          </w:tcPr>
          <w:p w14:paraId="4099FCF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KILA18</w:t>
            </w:r>
          </w:p>
        </w:tc>
        <w:tc>
          <w:tcPr>
            <w:tcW w:w="5163" w:type="dxa"/>
          </w:tcPr>
          <w:p w14:paraId="6E8A5E7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Ignoring security errors</w:t>
            </w:r>
          </w:p>
        </w:tc>
        <w:tc>
          <w:tcPr>
            <w:tcW w:w="1428" w:type="dxa"/>
            <w:vAlign w:val="center"/>
          </w:tcPr>
          <w:p w14:paraId="4D576A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2DAB02D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E60FF79" w14:textId="77777777" w:rsidTr="003B5486">
        <w:trPr>
          <w:trHeight w:val="204"/>
        </w:trPr>
        <w:tc>
          <w:tcPr>
            <w:tcW w:w="1112" w:type="dxa"/>
          </w:tcPr>
          <w:p w14:paraId="429E8E1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KILA19</w:t>
            </w:r>
          </w:p>
        </w:tc>
        <w:tc>
          <w:tcPr>
            <w:tcW w:w="5163" w:type="dxa"/>
          </w:tcPr>
          <w:p w14:paraId="57BCDB6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cybersecurity training</w:t>
            </w:r>
          </w:p>
        </w:tc>
        <w:tc>
          <w:tcPr>
            <w:tcW w:w="1428" w:type="dxa"/>
            <w:vAlign w:val="center"/>
          </w:tcPr>
          <w:p w14:paraId="033A8F6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789B71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A40BF5F" w14:textId="77777777" w:rsidTr="003B5486">
        <w:trPr>
          <w:trHeight w:val="204"/>
        </w:trPr>
        <w:tc>
          <w:tcPr>
            <w:tcW w:w="1112" w:type="dxa"/>
          </w:tcPr>
          <w:p w14:paraId="6A35CB7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KILA20</w:t>
            </w:r>
          </w:p>
        </w:tc>
        <w:tc>
          <w:tcPr>
            <w:tcW w:w="5163" w:type="dxa"/>
          </w:tcPr>
          <w:p w14:paraId="2CCAFCC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cybersecurity training update cycles</w:t>
            </w:r>
          </w:p>
        </w:tc>
        <w:tc>
          <w:tcPr>
            <w:tcW w:w="1428" w:type="dxa"/>
            <w:vAlign w:val="center"/>
          </w:tcPr>
          <w:p w14:paraId="02503D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5B5DD8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F5135B6" w14:textId="77777777" w:rsidTr="003B5486">
        <w:trPr>
          <w:trHeight w:val="204"/>
        </w:trPr>
        <w:tc>
          <w:tcPr>
            <w:tcW w:w="1112" w:type="dxa"/>
          </w:tcPr>
          <w:p w14:paraId="60FA7A7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KILA21</w:t>
            </w:r>
          </w:p>
        </w:tc>
        <w:tc>
          <w:tcPr>
            <w:tcW w:w="5163" w:type="dxa"/>
          </w:tcPr>
          <w:p w14:paraId="0439616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incident training</w:t>
            </w:r>
          </w:p>
        </w:tc>
        <w:tc>
          <w:tcPr>
            <w:tcW w:w="1428" w:type="dxa"/>
            <w:vAlign w:val="center"/>
          </w:tcPr>
          <w:p w14:paraId="285B7AE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58869D6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EB800C1" w14:textId="77777777" w:rsidTr="003B5486">
        <w:trPr>
          <w:trHeight w:val="204"/>
        </w:trPr>
        <w:tc>
          <w:tcPr>
            <w:tcW w:w="1112" w:type="dxa"/>
          </w:tcPr>
          <w:p w14:paraId="298650E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KILA22</w:t>
            </w:r>
          </w:p>
        </w:tc>
        <w:tc>
          <w:tcPr>
            <w:tcW w:w="5163" w:type="dxa"/>
          </w:tcPr>
          <w:p w14:paraId="20DB445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adequate controls at data entry</w:t>
            </w:r>
          </w:p>
        </w:tc>
        <w:tc>
          <w:tcPr>
            <w:tcW w:w="1428" w:type="dxa"/>
            <w:vAlign w:val="center"/>
          </w:tcPr>
          <w:p w14:paraId="16DA09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45B07CF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3D73691" w14:textId="77777777" w:rsidTr="003B5486">
        <w:trPr>
          <w:trHeight w:val="204"/>
        </w:trPr>
        <w:tc>
          <w:tcPr>
            <w:tcW w:w="1112" w:type="dxa"/>
          </w:tcPr>
          <w:p w14:paraId="1401B5D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KILA23</w:t>
            </w:r>
          </w:p>
        </w:tc>
        <w:tc>
          <w:tcPr>
            <w:tcW w:w="5163" w:type="dxa"/>
          </w:tcPr>
          <w:p w14:paraId="20A9EF1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adequate controls at biometric access point</w:t>
            </w:r>
          </w:p>
        </w:tc>
        <w:tc>
          <w:tcPr>
            <w:tcW w:w="1428" w:type="dxa"/>
            <w:vAlign w:val="center"/>
          </w:tcPr>
          <w:p w14:paraId="32472E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6FE15D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F6B027A" w14:textId="77777777" w:rsidTr="003B5486">
        <w:trPr>
          <w:trHeight w:val="215"/>
        </w:trPr>
        <w:tc>
          <w:tcPr>
            <w:tcW w:w="1112" w:type="dxa"/>
          </w:tcPr>
          <w:p w14:paraId="6255370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KILA24</w:t>
            </w:r>
          </w:p>
        </w:tc>
        <w:tc>
          <w:tcPr>
            <w:tcW w:w="5163" w:type="dxa"/>
          </w:tcPr>
          <w:p w14:paraId="7A2C3BD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Non-compliance with data protection standards</w:t>
            </w:r>
          </w:p>
        </w:tc>
        <w:tc>
          <w:tcPr>
            <w:tcW w:w="1428" w:type="dxa"/>
            <w:vAlign w:val="center"/>
          </w:tcPr>
          <w:p w14:paraId="0E017BF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69FD246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r>
      <w:tr w:rsidR="00A0618E" w:rsidRPr="00400193" w14:paraId="1CFB0BCF" w14:textId="77777777" w:rsidTr="003B5486">
        <w:trPr>
          <w:trHeight w:val="409"/>
        </w:trPr>
        <w:tc>
          <w:tcPr>
            <w:tcW w:w="1112" w:type="dxa"/>
          </w:tcPr>
          <w:p w14:paraId="374AC17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KILA25</w:t>
            </w:r>
          </w:p>
        </w:tc>
        <w:tc>
          <w:tcPr>
            <w:tcW w:w="5163" w:type="dxa"/>
          </w:tcPr>
          <w:p w14:paraId="49ED909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Function creep (data used for other purposes than the ones for which they were originally collected)</w:t>
            </w:r>
          </w:p>
        </w:tc>
        <w:tc>
          <w:tcPr>
            <w:tcW w:w="1428" w:type="dxa"/>
            <w:vAlign w:val="center"/>
          </w:tcPr>
          <w:p w14:paraId="39D16C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324F08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975A143" w14:textId="77777777" w:rsidTr="003B5486">
        <w:trPr>
          <w:trHeight w:val="215"/>
        </w:trPr>
        <w:tc>
          <w:tcPr>
            <w:tcW w:w="8926" w:type="dxa"/>
            <w:gridSpan w:val="4"/>
            <w:shd w:val="clear" w:color="auto" w:fill="D9D9D9" w:themeFill="background1" w:themeFillShade="D9"/>
            <w:vAlign w:val="center"/>
          </w:tcPr>
          <w:p w14:paraId="6600D84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lastRenderedPageBreak/>
              <w:t>Key Internal Threats - Risk Culture and Laziness</w:t>
            </w:r>
          </w:p>
        </w:tc>
      </w:tr>
      <w:tr w:rsidR="00A0618E" w:rsidRPr="00400193" w14:paraId="244ACB26" w14:textId="77777777" w:rsidTr="003B5486">
        <w:trPr>
          <w:trHeight w:val="204"/>
        </w:trPr>
        <w:tc>
          <w:tcPr>
            <w:tcW w:w="1112" w:type="dxa"/>
          </w:tcPr>
          <w:p w14:paraId="40B86B2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w:t>
            </w:r>
          </w:p>
        </w:tc>
        <w:tc>
          <w:tcPr>
            <w:tcW w:w="5163" w:type="dxa"/>
          </w:tcPr>
          <w:p w14:paraId="7DF3422E" w14:textId="0EB357DF"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 low organ</w:t>
            </w:r>
            <w:r w:rsidR="00D75A7B" w:rsidRPr="00400193">
              <w:rPr>
                <w:rFonts w:asciiTheme="minorHAnsi" w:hAnsiTheme="minorHAnsi" w:cstheme="minorHAnsi"/>
                <w:sz w:val="18"/>
                <w:szCs w:val="18"/>
                <w:lang w:eastAsia="zh-CN" w:bidi="hi-IN"/>
              </w:rPr>
              <w:t>isa</w:t>
            </w:r>
            <w:r w:rsidRPr="00400193">
              <w:rPr>
                <w:rFonts w:asciiTheme="minorHAnsi" w:hAnsiTheme="minorHAnsi" w:cstheme="minorHAnsi"/>
                <w:sz w:val="18"/>
                <w:szCs w:val="18"/>
                <w:lang w:eastAsia="zh-CN" w:bidi="hi-IN"/>
              </w:rPr>
              <w:t>tion-wide risk culture</w:t>
            </w:r>
          </w:p>
        </w:tc>
        <w:tc>
          <w:tcPr>
            <w:tcW w:w="1428" w:type="dxa"/>
            <w:vAlign w:val="center"/>
          </w:tcPr>
          <w:p w14:paraId="783ED37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1D42BC9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0.975</w:t>
            </w:r>
          </w:p>
        </w:tc>
      </w:tr>
      <w:tr w:rsidR="00A0618E" w:rsidRPr="00400193" w14:paraId="6F141694" w14:textId="77777777" w:rsidTr="003B5486">
        <w:trPr>
          <w:trHeight w:val="204"/>
        </w:trPr>
        <w:tc>
          <w:tcPr>
            <w:tcW w:w="1112" w:type="dxa"/>
          </w:tcPr>
          <w:p w14:paraId="64602AC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KIRC2</w:t>
            </w:r>
          </w:p>
        </w:tc>
        <w:tc>
          <w:tcPr>
            <w:tcW w:w="5163" w:type="dxa"/>
          </w:tcPr>
          <w:p w14:paraId="5856C49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Cybersecurity training is not based on risk culture</w:t>
            </w:r>
          </w:p>
        </w:tc>
        <w:tc>
          <w:tcPr>
            <w:tcW w:w="1428" w:type="dxa"/>
            <w:vAlign w:val="center"/>
          </w:tcPr>
          <w:p w14:paraId="13C02D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4EAD72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4F8034A" w14:textId="77777777" w:rsidTr="003B5486">
        <w:trPr>
          <w:trHeight w:val="204"/>
        </w:trPr>
        <w:tc>
          <w:tcPr>
            <w:tcW w:w="1112" w:type="dxa"/>
          </w:tcPr>
          <w:p w14:paraId="70B3288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KIRC2</w:t>
            </w:r>
          </w:p>
        </w:tc>
        <w:tc>
          <w:tcPr>
            <w:tcW w:w="5163" w:type="dxa"/>
          </w:tcPr>
          <w:p w14:paraId="242660C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risk management policies are implemented</w:t>
            </w:r>
          </w:p>
        </w:tc>
        <w:tc>
          <w:tcPr>
            <w:tcW w:w="1428" w:type="dxa"/>
            <w:vAlign w:val="center"/>
          </w:tcPr>
          <w:p w14:paraId="6F5C03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3801B7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F4BE1A0" w14:textId="77777777" w:rsidTr="003B5486">
        <w:trPr>
          <w:trHeight w:val="420"/>
        </w:trPr>
        <w:tc>
          <w:tcPr>
            <w:tcW w:w="1112" w:type="dxa"/>
          </w:tcPr>
          <w:p w14:paraId="29A2EB7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KIRC4</w:t>
            </w:r>
          </w:p>
        </w:tc>
        <w:tc>
          <w:tcPr>
            <w:tcW w:w="5163" w:type="dxa"/>
          </w:tcPr>
          <w:p w14:paraId="6A3066A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risk culture causes deficiency of appropriate access control</w:t>
            </w:r>
          </w:p>
        </w:tc>
        <w:tc>
          <w:tcPr>
            <w:tcW w:w="1428" w:type="dxa"/>
            <w:vAlign w:val="center"/>
          </w:tcPr>
          <w:p w14:paraId="5DDE41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327DCD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151D2C7" w14:textId="77777777" w:rsidTr="003B5486">
        <w:trPr>
          <w:trHeight w:val="204"/>
        </w:trPr>
        <w:tc>
          <w:tcPr>
            <w:tcW w:w="1112" w:type="dxa"/>
          </w:tcPr>
          <w:p w14:paraId="3D1B6F8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KIRC5</w:t>
            </w:r>
          </w:p>
        </w:tc>
        <w:tc>
          <w:tcPr>
            <w:tcW w:w="5163" w:type="dxa"/>
          </w:tcPr>
          <w:p w14:paraId="60931F1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threats and vulnerability reporting</w:t>
            </w:r>
          </w:p>
        </w:tc>
        <w:tc>
          <w:tcPr>
            <w:tcW w:w="1428" w:type="dxa"/>
            <w:vAlign w:val="center"/>
          </w:tcPr>
          <w:p w14:paraId="071C3E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61994D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C95893F" w14:textId="77777777" w:rsidTr="003B5486">
        <w:trPr>
          <w:trHeight w:val="409"/>
        </w:trPr>
        <w:tc>
          <w:tcPr>
            <w:tcW w:w="1112" w:type="dxa"/>
          </w:tcPr>
          <w:p w14:paraId="4B0FFD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KIRC6</w:t>
            </w:r>
          </w:p>
        </w:tc>
        <w:tc>
          <w:tcPr>
            <w:tcW w:w="5163" w:type="dxa"/>
          </w:tcPr>
          <w:p w14:paraId="3F791B7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regular audit of internal information, system logs and usage</w:t>
            </w:r>
          </w:p>
        </w:tc>
        <w:tc>
          <w:tcPr>
            <w:tcW w:w="1428" w:type="dxa"/>
            <w:vAlign w:val="center"/>
          </w:tcPr>
          <w:p w14:paraId="242006F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7BB7FDE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0D9012D" w14:textId="77777777" w:rsidTr="003B5486">
        <w:trPr>
          <w:trHeight w:val="420"/>
        </w:trPr>
        <w:tc>
          <w:tcPr>
            <w:tcW w:w="1112" w:type="dxa"/>
          </w:tcPr>
          <w:p w14:paraId="6FBF246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KIRC7</w:t>
            </w:r>
          </w:p>
        </w:tc>
        <w:tc>
          <w:tcPr>
            <w:tcW w:w="5163" w:type="dxa"/>
          </w:tcPr>
          <w:p w14:paraId="12E4808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employee accountability and responsiveness to potential risks</w:t>
            </w:r>
          </w:p>
        </w:tc>
        <w:tc>
          <w:tcPr>
            <w:tcW w:w="1428" w:type="dxa"/>
            <w:vAlign w:val="center"/>
          </w:tcPr>
          <w:p w14:paraId="632461E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05CC11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08F2DB5" w14:textId="77777777" w:rsidTr="003B5486">
        <w:trPr>
          <w:trHeight w:val="204"/>
        </w:trPr>
        <w:tc>
          <w:tcPr>
            <w:tcW w:w="1112" w:type="dxa"/>
          </w:tcPr>
          <w:p w14:paraId="200EDEC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KIRC8</w:t>
            </w:r>
          </w:p>
        </w:tc>
        <w:tc>
          <w:tcPr>
            <w:tcW w:w="5163" w:type="dxa"/>
          </w:tcPr>
          <w:p w14:paraId="75858AC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regular software upgrades and update patching</w:t>
            </w:r>
          </w:p>
        </w:tc>
        <w:tc>
          <w:tcPr>
            <w:tcW w:w="1428" w:type="dxa"/>
            <w:vAlign w:val="center"/>
          </w:tcPr>
          <w:p w14:paraId="1F29DD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242D15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5159AF0" w14:textId="77777777" w:rsidTr="003B5486">
        <w:trPr>
          <w:trHeight w:val="409"/>
        </w:trPr>
        <w:tc>
          <w:tcPr>
            <w:tcW w:w="1112" w:type="dxa"/>
          </w:tcPr>
          <w:p w14:paraId="3FD9597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KIRC9</w:t>
            </w:r>
          </w:p>
        </w:tc>
        <w:tc>
          <w:tcPr>
            <w:tcW w:w="5163" w:type="dxa"/>
          </w:tcPr>
          <w:p w14:paraId="104AD71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test of upgrades and update patches before deployment in the organisation</w:t>
            </w:r>
          </w:p>
        </w:tc>
        <w:tc>
          <w:tcPr>
            <w:tcW w:w="1428" w:type="dxa"/>
            <w:vAlign w:val="center"/>
          </w:tcPr>
          <w:p w14:paraId="22298C0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2EEDD51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9749AA2" w14:textId="77777777" w:rsidTr="003B5486">
        <w:trPr>
          <w:trHeight w:val="204"/>
        </w:trPr>
        <w:tc>
          <w:tcPr>
            <w:tcW w:w="1112" w:type="dxa"/>
          </w:tcPr>
          <w:p w14:paraId="58E5EE7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KIRC10</w:t>
            </w:r>
          </w:p>
        </w:tc>
        <w:tc>
          <w:tcPr>
            <w:tcW w:w="5163" w:type="dxa"/>
          </w:tcPr>
          <w:p w14:paraId="07FAEA4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regular security patch deployment and control</w:t>
            </w:r>
          </w:p>
        </w:tc>
        <w:tc>
          <w:tcPr>
            <w:tcW w:w="1428" w:type="dxa"/>
            <w:vAlign w:val="center"/>
          </w:tcPr>
          <w:p w14:paraId="3FFAA0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0CF8A2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DFFE0A2" w14:textId="77777777" w:rsidTr="003B5486">
        <w:trPr>
          <w:trHeight w:val="215"/>
        </w:trPr>
        <w:tc>
          <w:tcPr>
            <w:tcW w:w="1112" w:type="dxa"/>
          </w:tcPr>
          <w:p w14:paraId="495D139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KIRC11</w:t>
            </w:r>
          </w:p>
        </w:tc>
        <w:tc>
          <w:tcPr>
            <w:tcW w:w="5163" w:type="dxa"/>
          </w:tcPr>
          <w:p w14:paraId="12C5606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protection measures</w:t>
            </w:r>
          </w:p>
        </w:tc>
        <w:tc>
          <w:tcPr>
            <w:tcW w:w="1428" w:type="dxa"/>
            <w:vAlign w:val="center"/>
          </w:tcPr>
          <w:p w14:paraId="3910DD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570FA37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D5222CF" w14:textId="77777777" w:rsidTr="003B5486">
        <w:trPr>
          <w:trHeight w:val="204"/>
        </w:trPr>
        <w:tc>
          <w:tcPr>
            <w:tcW w:w="1112" w:type="dxa"/>
          </w:tcPr>
          <w:p w14:paraId="2C5961B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KIRC12</w:t>
            </w:r>
          </w:p>
        </w:tc>
        <w:tc>
          <w:tcPr>
            <w:tcW w:w="5163" w:type="dxa"/>
          </w:tcPr>
          <w:p w14:paraId="7C07AD6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of commonly used passwords</w:t>
            </w:r>
          </w:p>
        </w:tc>
        <w:tc>
          <w:tcPr>
            <w:tcW w:w="1428" w:type="dxa"/>
            <w:vAlign w:val="center"/>
          </w:tcPr>
          <w:p w14:paraId="4D9370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2C3CA3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5FD62C3" w14:textId="77777777" w:rsidTr="003B5486">
        <w:trPr>
          <w:trHeight w:val="204"/>
        </w:trPr>
        <w:tc>
          <w:tcPr>
            <w:tcW w:w="1112" w:type="dxa"/>
          </w:tcPr>
          <w:p w14:paraId="430E248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KIRC13</w:t>
            </w:r>
          </w:p>
        </w:tc>
        <w:tc>
          <w:tcPr>
            <w:tcW w:w="5163" w:type="dxa"/>
          </w:tcPr>
          <w:p w14:paraId="109B69BE" w14:textId="6C17DAE6"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of 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applications</w:t>
            </w:r>
          </w:p>
        </w:tc>
        <w:tc>
          <w:tcPr>
            <w:tcW w:w="1428" w:type="dxa"/>
            <w:vAlign w:val="center"/>
          </w:tcPr>
          <w:p w14:paraId="353461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3594513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19B444B" w14:textId="77777777" w:rsidTr="003B5486">
        <w:trPr>
          <w:trHeight w:val="204"/>
        </w:trPr>
        <w:tc>
          <w:tcPr>
            <w:tcW w:w="1112" w:type="dxa"/>
          </w:tcPr>
          <w:p w14:paraId="34C27EE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KIRC14</w:t>
            </w:r>
          </w:p>
        </w:tc>
        <w:tc>
          <w:tcPr>
            <w:tcW w:w="5163" w:type="dxa"/>
          </w:tcPr>
          <w:p w14:paraId="248B0FE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Unattended “logged in” computers</w:t>
            </w:r>
          </w:p>
        </w:tc>
        <w:tc>
          <w:tcPr>
            <w:tcW w:w="1428" w:type="dxa"/>
            <w:vAlign w:val="center"/>
          </w:tcPr>
          <w:p w14:paraId="05EDDC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11291F1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FA7A942" w14:textId="77777777" w:rsidTr="003B5486">
        <w:trPr>
          <w:trHeight w:val="204"/>
        </w:trPr>
        <w:tc>
          <w:tcPr>
            <w:tcW w:w="1112" w:type="dxa"/>
          </w:tcPr>
          <w:p w14:paraId="6C97EA4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KIRC15</w:t>
            </w:r>
          </w:p>
        </w:tc>
        <w:tc>
          <w:tcPr>
            <w:tcW w:w="5163" w:type="dxa"/>
          </w:tcPr>
          <w:p w14:paraId="1B02A6F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staff induction process covering cyber-risks</w:t>
            </w:r>
          </w:p>
        </w:tc>
        <w:tc>
          <w:tcPr>
            <w:tcW w:w="1428" w:type="dxa"/>
            <w:vAlign w:val="center"/>
          </w:tcPr>
          <w:p w14:paraId="4FCB31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0.972</w:t>
            </w:r>
          </w:p>
        </w:tc>
        <w:tc>
          <w:tcPr>
            <w:tcW w:w="1223" w:type="dxa"/>
            <w:vAlign w:val="center"/>
          </w:tcPr>
          <w:p w14:paraId="413B01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DE226A6" w14:textId="77777777" w:rsidTr="003B5486">
        <w:trPr>
          <w:trHeight w:val="215"/>
        </w:trPr>
        <w:tc>
          <w:tcPr>
            <w:tcW w:w="1112" w:type="dxa"/>
          </w:tcPr>
          <w:p w14:paraId="2E15010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KIRC16</w:t>
            </w:r>
          </w:p>
        </w:tc>
        <w:tc>
          <w:tcPr>
            <w:tcW w:w="5163" w:type="dxa"/>
          </w:tcPr>
          <w:p w14:paraId="76D517E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No formal assessment of users’ IT skills</w:t>
            </w:r>
          </w:p>
        </w:tc>
        <w:tc>
          <w:tcPr>
            <w:tcW w:w="1428" w:type="dxa"/>
            <w:vAlign w:val="center"/>
          </w:tcPr>
          <w:p w14:paraId="6803A3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6E9BE6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A55B191" w14:textId="77777777" w:rsidTr="003B5486">
        <w:trPr>
          <w:trHeight w:val="204"/>
        </w:trPr>
        <w:tc>
          <w:tcPr>
            <w:tcW w:w="1112" w:type="dxa"/>
          </w:tcPr>
          <w:p w14:paraId="17F1A19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KIRC17</w:t>
            </w:r>
          </w:p>
        </w:tc>
        <w:tc>
          <w:tcPr>
            <w:tcW w:w="5163" w:type="dxa"/>
          </w:tcPr>
          <w:p w14:paraId="2BD2193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Improperly classified information</w:t>
            </w:r>
          </w:p>
        </w:tc>
        <w:tc>
          <w:tcPr>
            <w:tcW w:w="1428" w:type="dxa"/>
            <w:vAlign w:val="center"/>
          </w:tcPr>
          <w:p w14:paraId="361E459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0.973</w:t>
            </w:r>
          </w:p>
        </w:tc>
        <w:tc>
          <w:tcPr>
            <w:tcW w:w="1223" w:type="dxa"/>
            <w:vAlign w:val="center"/>
          </w:tcPr>
          <w:p w14:paraId="4261BB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2833E2E" w14:textId="77777777" w:rsidTr="003B5486">
        <w:trPr>
          <w:trHeight w:val="204"/>
        </w:trPr>
        <w:tc>
          <w:tcPr>
            <w:tcW w:w="1112" w:type="dxa"/>
          </w:tcPr>
          <w:p w14:paraId="0489DED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KIRC18</w:t>
            </w:r>
          </w:p>
        </w:tc>
        <w:tc>
          <w:tcPr>
            <w:tcW w:w="5163" w:type="dxa"/>
          </w:tcPr>
          <w:p w14:paraId="3835DB4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Lack of clearly defined system user’s authority </w:t>
            </w:r>
          </w:p>
        </w:tc>
        <w:tc>
          <w:tcPr>
            <w:tcW w:w="1428" w:type="dxa"/>
            <w:vAlign w:val="center"/>
          </w:tcPr>
          <w:p w14:paraId="052A2D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0.974</w:t>
            </w:r>
          </w:p>
        </w:tc>
        <w:tc>
          <w:tcPr>
            <w:tcW w:w="1223" w:type="dxa"/>
            <w:vAlign w:val="center"/>
          </w:tcPr>
          <w:p w14:paraId="3E1E7BE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F2E4894" w14:textId="77777777" w:rsidTr="003B5486">
        <w:trPr>
          <w:trHeight w:val="204"/>
        </w:trPr>
        <w:tc>
          <w:tcPr>
            <w:tcW w:w="8926" w:type="dxa"/>
            <w:gridSpan w:val="4"/>
            <w:shd w:val="clear" w:color="auto" w:fill="D9D9D9" w:themeFill="background1" w:themeFillShade="D9"/>
            <w:vAlign w:val="center"/>
          </w:tcPr>
          <w:p w14:paraId="6FF54393" w14:textId="77777777" w:rsidR="006E3616" w:rsidRPr="00400193" w:rsidRDefault="006E3616" w:rsidP="003B5486">
            <w:pPr>
              <w:suppressAutoHyphens/>
              <w:spacing w:line="240" w:lineRule="auto"/>
              <w:jc w:val="center"/>
              <w:rPr>
                <w:b/>
                <w:bCs/>
                <w:sz w:val="18"/>
                <w:szCs w:val="18"/>
                <w:lang w:eastAsia="zh-CN" w:bidi="hi-IN"/>
              </w:rPr>
            </w:pPr>
            <w:r w:rsidRPr="00400193">
              <w:rPr>
                <w:b/>
                <w:bCs/>
                <w:sz w:val="18"/>
                <w:szCs w:val="18"/>
                <w:lang w:eastAsia="zh-CN" w:bidi="hi-IN"/>
              </w:rPr>
              <w:t>Key Internal Threats - Financial Fraud</w:t>
            </w:r>
          </w:p>
        </w:tc>
      </w:tr>
      <w:tr w:rsidR="00A0618E" w:rsidRPr="00400193" w14:paraId="224D5F61" w14:textId="77777777" w:rsidTr="003B5486">
        <w:trPr>
          <w:trHeight w:val="204"/>
        </w:trPr>
        <w:tc>
          <w:tcPr>
            <w:tcW w:w="1112" w:type="dxa"/>
          </w:tcPr>
          <w:p w14:paraId="1DA31814"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KIFF1</w:t>
            </w:r>
          </w:p>
        </w:tc>
        <w:tc>
          <w:tcPr>
            <w:tcW w:w="5163" w:type="dxa"/>
          </w:tcPr>
          <w:p w14:paraId="14DF8797"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Lack of financial and cyber-knowledge</w:t>
            </w:r>
          </w:p>
        </w:tc>
        <w:tc>
          <w:tcPr>
            <w:tcW w:w="1428" w:type="dxa"/>
            <w:vAlign w:val="center"/>
          </w:tcPr>
          <w:p w14:paraId="5E617AE7"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0.891</w:t>
            </w:r>
          </w:p>
        </w:tc>
        <w:tc>
          <w:tcPr>
            <w:tcW w:w="1223" w:type="dxa"/>
            <w:vAlign w:val="center"/>
          </w:tcPr>
          <w:p w14:paraId="5CB4E1F5"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0.911</w:t>
            </w:r>
          </w:p>
        </w:tc>
      </w:tr>
      <w:tr w:rsidR="00A0618E" w:rsidRPr="00400193" w14:paraId="52668DD2" w14:textId="77777777" w:rsidTr="003B5486">
        <w:trPr>
          <w:trHeight w:val="215"/>
        </w:trPr>
        <w:tc>
          <w:tcPr>
            <w:tcW w:w="1112" w:type="dxa"/>
          </w:tcPr>
          <w:p w14:paraId="0D50CAE2"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KIFF2</w:t>
            </w:r>
          </w:p>
        </w:tc>
        <w:tc>
          <w:tcPr>
            <w:tcW w:w="5163" w:type="dxa"/>
          </w:tcPr>
          <w:p w14:paraId="6F83EDE1"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Inadequate audit and accounting measures</w:t>
            </w:r>
          </w:p>
        </w:tc>
        <w:tc>
          <w:tcPr>
            <w:tcW w:w="1428" w:type="dxa"/>
            <w:vAlign w:val="center"/>
          </w:tcPr>
          <w:p w14:paraId="3349D044"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0.911</w:t>
            </w:r>
          </w:p>
        </w:tc>
        <w:tc>
          <w:tcPr>
            <w:tcW w:w="1223" w:type="dxa"/>
            <w:vAlign w:val="center"/>
          </w:tcPr>
          <w:p w14:paraId="31C7A08A"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3A951C2D" w14:textId="77777777" w:rsidTr="003B5486">
        <w:trPr>
          <w:trHeight w:val="204"/>
        </w:trPr>
        <w:tc>
          <w:tcPr>
            <w:tcW w:w="1112" w:type="dxa"/>
          </w:tcPr>
          <w:p w14:paraId="435B9A44"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KIFF3</w:t>
            </w:r>
          </w:p>
        </w:tc>
        <w:tc>
          <w:tcPr>
            <w:tcW w:w="5163" w:type="dxa"/>
          </w:tcPr>
          <w:p w14:paraId="2C39E88A"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Access rights of ex-employees are not immediately terminated</w:t>
            </w:r>
          </w:p>
        </w:tc>
        <w:tc>
          <w:tcPr>
            <w:tcW w:w="1428" w:type="dxa"/>
            <w:vAlign w:val="center"/>
          </w:tcPr>
          <w:p w14:paraId="449AB4B3"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0.892</w:t>
            </w:r>
          </w:p>
        </w:tc>
        <w:tc>
          <w:tcPr>
            <w:tcW w:w="1223" w:type="dxa"/>
            <w:vAlign w:val="center"/>
          </w:tcPr>
          <w:p w14:paraId="7E130433"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6AA80B30" w14:textId="77777777" w:rsidTr="003B5486">
        <w:trPr>
          <w:trHeight w:val="204"/>
        </w:trPr>
        <w:tc>
          <w:tcPr>
            <w:tcW w:w="1112" w:type="dxa"/>
          </w:tcPr>
          <w:p w14:paraId="0566C9B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KIFF4</w:t>
            </w:r>
          </w:p>
        </w:tc>
        <w:tc>
          <w:tcPr>
            <w:tcW w:w="5163" w:type="dxa"/>
          </w:tcPr>
          <w:p w14:paraId="5355ED8A" w14:textId="23AAD819"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Financial data is handled by non-author</w:t>
            </w:r>
            <w:r w:rsidR="00D75A7B" w:rsidRPr="00400193">
              <w:rPr>
                <w:sz w:val="18"/>
                <w:szCs w:val="18"/>
                <w:lang w:eastAsia="zh-CN" w:bidi="hi-IN"/>
              </w:rPr>
              <w:t>ise</w:t>
            </w:r>
            <w:r w:rsidRPr="00400193">
              <w:rPr>
                <w:sz w:val="18"/>
                <w:szCs w:val="18"/>
                <w:lang w:eastAsia="zh-CN" w:bidi="hi-IN"/>
              </w:rPr>
              <w:t>d employees</w:t>
            </w:r>
          </w:p>
        </w:tc>
        <w:tc>
          <w:tcPr>
            <w:tcW w:w="1428" w:type="dxa"/>
            <w:vAlign w:val="center"/>
          </w:tcPr>
          <w:p w14:paraId="2286A279"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0.894</w:t>
            </w:r>
          </w:p>
        </w:tc>
        <w:tc>
          <w:tcPr>
            <w:tcW w:w="1223" w:type="dxa"/>
            <w:vAlign w:val="center"/>
          </w:tcPr>
          <w:p w14:paraId="2213BF8B"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75677B1B" w14:textId="77777777" w:rsidTr="003B5486">
        <w:trPr>
          <w:trHeight w:val="204"/>
        </w:trPr>
        <w:tc>
          <w:tcPr>
            <w:tcW w:w="1112" w:type="dxa"/>
          </w:tcPr>
          <w:p w14:paraId="4BC22C85"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KIFF5</w:t>
            </w:r>
          </w:p>
        </w:tc>
        <w:tc>
          <w:tcPr>
            <w:tcW w:w="5163" w:type="dxa"/>
          </w:tcPr>
          <w:p w14:paraId="7332BC5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Espionage, shoulder-surfing</w:t>
            </w:r>
          </w:p>
        </w:tc>
        <w:tc>
          <w:tcPr>
            <w:tcW w:w="1428" w:type="dxa"/>
            <w:vAlign w:val="center"/>
          </w:tcPr>
          <w:p w14:paraId="7C7111A6"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0.895</w:t>
            </w:r>
          </w:p>
        </w:tc>
        <w:tc>
          <w:tcPr>
            <w:tcW w:w="1223" w:type="dxa"/>
            <w:vAlign w:val="center"/>
          </w:tcPr>
          <w:p w14:paraId="18BF13CE"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1FCCEA3B" w14:textId="77777777" w:rsidTr="003B5486">
        <w:trPr>
          <w:trHeight w:val="204"/>
        </w:trPr>
        <w:tc>
          <w:tcPr>
            <w:tcW w:w="1112" w:type="dxa"/>
          </w:tcPr>
          <w:p w14:paraId="1DEAC0A2"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KIFF6</w:t>
            </w:r>
          </w:p>
        </w:tc>
        <w:tc>
          <w:tcPr>
            <w:tcW w:w="5163" w:type="dxa"/>
          </w:tcPr>
          <w:p w14:paraId="51ECCA36"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Mistakes by employees</w:t>
            </w:r>
          </w:p>
        </w:tc>
        <w:tc>
          <w:tcPr>
            <w:tcW w:w="1428" w:type="dxa"/>
            <w:vAlign w:val="center"/>
          </w:tcPr>
          <w:p w14:paraId="04165EC6"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0.895</w:t>
            </w:r>
          </w:p>
        </w:tc>
        <w:tc>
          <w:tcPr>
            <w:tcW w:w="1223" w:type="dxa"/>
            <w:vAlign w:val="center"/>
          </w:tcPr>
          <w:p w14:paraId="693E8DA5"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51480043" w14:textId="77777777" w:rsidTr="003B5486">
        <w:trPr>
          <w:trHeight w:val="215"/>
        </w:trPr>
        <w:tc>
          <w:tcPr>
            <w:tcW w:w="1112" w:type="dxa"/>
          </w:tcPr>
          <w:p w14:paraId="13429382"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KIFF7</w:t>
            </w:r>
          </w:p>
        </w:tc>
        <w:tc>
          <w:tcPr>
            <w:tcW w:w="5163" w:type="dxa"/>
          </w:tcPr>
          <w:p w14:paraId="7C218CEF"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Fraud, misuse of assets or information</w:t>
            </w:r>
          </w:p>
        </w:tc>
        <w:tc>
          <w:tcPr>
            <w:tcW w:w="1428" w:type="dxa"/>
            <w:vAlign w:val="center"/>
          </w:tcPr>
          <w:p w14:paraId="2E289B32"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0.906</w:t>
            </w:r>
          </w:p>
        </w:tc>
        <w:tc>
          <w:tcPr>
            <w:tcW w:w="1223" w:type="dxa"/>
            <w:vAlign w:val="center"/>
          </w:tcPr>
          <w:p w14:paraId="66D69611"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05AD8471" w14:textId="77777777" w:rsidTr="003B5486">
        <w:trPr>
          <w:trHeight w:val="409"/>
        </w:trPr>
        <w:tc>
          <w:tcPr>
            <w:tcW w:w="1112" w:type="dxa"/>
          </w:tcPr>
          <w:p w14:paraId="523EEE5E" w14:textId="77777777" w:rsidR="006E3616" w:rsidRPr="00400193" w:rsidRDefault="006E3616" w:rsidP="003B5486">
            <w:pPr>
              <w:suppressAutoHyphens/>
              <w:spacing w:line="240" w:lineRule="auto"/>
              <w:rPr>
                <w:sz w:val="18"/>
                <w:szCs w:val="18"/>
                <w:lang w:eastAsia="zh-CN" w:bidi="hi-IN"/>
              </w:rPr>
            </w:pPr>
          </w:p>
        </w:tc>
        <w:tc>
          <w:tcPr>
            <w:tcW w:w="5163" w:type="dxa"/>
          </w:tcPr>
          <w:p w14:paraId="534B78CB" w14:textId="77777777" w:rsidR="006E3616" w:rsidRPr="00400193" w:rsidRDefault="006E3616" w:rsidP="003B5486">
            <w:pPr>
              <w:suppressAutoHyphens/>
              <w:spacing w:line="240" w:lineRule="auto"/>
              <w:rPr>
                <w:sz w:val="18"/>
                <w:szCs w:val="18"/>
                <w:lang w:eastAsia="zh-CN" w:bidi="hi-IN"/>
              </w:rPr>
            </w:pPr>
          </w:p>
        </w:tc>
        <w:tc>
          <w:tcPr>
            <w:tcW w:w="1428" w:type="dxa"/>
            <w:vAlign w:val="center"/>
          </w:tcPr>
          <w:p w14:paraId="1165EC20" w14:textId="77777777" w:rsidR="006E3616" w:rsidRPr="00400193" w:rsidRDefault="006E3616" w:rsidP="003B5486">
            <w:pPr>
              <w:suppressAutoHyphens/>
              <w:spacing w:line="240" w:lineRule="auto"/>
              <w:jc w:val="center"/>
              <w:rPr>
                <w:sz w:val="18"/>
                <w:szCs w:val="18"/>
                <w:lang w:eastAsia="zh-CN" w:bidi="hi-IN"/>
              </w:rPr>
            </w:pPr>
          </w:p>
        </w:tc>
        <w:tc>
          <w:tcPr>
            <w:tcW w:w="1223" w:type="dxa"/>
            <w:vAlign w:val="center"/>
          </w:tcPr>
          <w:p w14:paraId="0E203C14"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6448C5BE" w14:textId="77777777" w:rsidTr="003B5486">
        <w:trPr>
          <w:trHeight w:val="204"/>
        </w:trPr>
        <w:tc>
          <w:tcPr>
            <w:tcW w:w="8926" w:type="dxa"/>
            <w:gridSpan w:val="4"/>
            <w:shd w:val="clear" w:color="auto" w:fill="D9D9D9" w:themeFill="background1" w:themeFillShade="D9"/>
            <w:vAlign w:val="center"/>
          </w:tcPr>
          <w:p w14:paraId="6CBE86DD" w14:textId="77777777" w:rsidR="006E3616" w:rsidRPr="00400193" w:rsidRDefault="006E3616" w:rsidP="003B5486">
            <w:pPr>
              <w:suppressAutoHyphens/>
              <w:spacing w:line="240" w:lineRule="auto"/>
              <w:jc w:val="center"/>
              <w:rPr>
                <w:b/>
                <w:bCs/>
                <w:sz w:val="18"/>
                <w:szCs w:val="18"/>
                <w:lang w:eastAsia="zh-CN" w:bidi="hi-IN"/>
              </w:rPr>
            </w:pPr>
            <w:r w:rsidRPr="00400193">
              <w:rPr>
                <w:b/>
                <w:bCs/>
                <w:sz w:val="18"/>
                <w:szCs w:val="18"/>
                <w:lang w:eastAsia="zh-CN" w:bidi="hi-IN"/>
              </w:rPr>
              <w:t>Key Internal Threats - Criminal Acts</w:t>
            </w:r>
          </w:p>
        </w:tc>
      </w:tr>
      <w:tr w:rsidR="00A0618E" w:rsidRPr="00400193" w14:paraId="77906283" w14:textId="77777777" w:rsidTr="003B5486">
        <w:trPr>
          <w:trHeight w:val="250"/>
        </w:trPr>
        <w:tc>
          <w:tcPr>
            <w:tcW w:w="1112" w:type="dxa"/>
          </w:tcPr>
          <w:p w14:paraId="56D6F4C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ITCA1</w:t>
            </w:r>
          </w:p>
        </w:tc>
        <w:tc>
          <w:tcPr>
            <w:tcW w:w="5163" w:type="dxa"/>
          </w:tcPr>
          <w:p w14:paraId="0F7A09B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Revenge attacks by employees or ex-employees</w:t>
            </w:r>
          </w:p>
        </w:tc>
        <w:tc>
          <w:tcPr>
            <w:tcW w:w="1428" w:type="dxa"/>
            <w:vAlign w:val="center"/>
          </w:tcPr>
          <w:p w14:paraId="57D419AF"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0.869</w:t>
            </w:r>
          </w:p>
        </w:tc>
        <w:tc>
          <w:tcPr>
            <w:tcW w:w="1223" w:type="dxa"/>
            <w:vAlign w:val="center"/>
          </w:tcPr>
          <w:p w14:paraId="7EEA24BD" w14:textId="77777777" w:rsidR="006E3616" w:rsidRPr="00400193" w:rsidRDefault="006E3616" w:rsidP="003B5486">
            <w:pPr>
              <w:suppressAutoHyphens/>
              <w:spacing w:line="240" w:lineRule="auto"/>
              <w:ind w:right="-43"/>
              <w:jc w:val="center"/>
              <w:rPr>
                <w:sz w:val="18"/>
                <w:szCs w:val="18"/>
                <w:lang w:eastAsia="zh-CN" w:bidi="hi-IN"/>
              </w:rPr>
            </w:pPr>
            <w:r w:rsidRPr="00400193">
              <w:rPr>
                <w:sz w:val="18"/>
                <w:szCs w:val="18"/>
                <w:lang w:eastAsia="zh-CN" w:bidi="hi-IN"/>
              </w:rPr>
              <w:t>0.894</w:t>
            </w:r>
          </w:p>
        </w:tc>
      </w:tr>
      <w:tr w:rsidR="00A0618E" w:rsidRPr="00400193" w14:paraId="31D3E47E" w14:textId="77777777" w:rsidTr="003B5486">
        <w:trPr>
          <w:trHeight w:val="250"/>
        </w:trPr>
        <w:tc>
          <w:tcPr>
            <w:tcW w:w="1112" w:type="dxa"/>
          </w:tcPr>
          <w:p w14:paraId="79204588"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ITCA2</w:t>
            </w:r>
          </w:p>
        </w:tc>
        <w:tc>
          <w:tcPr>
            <w:tcW w:w="5163" w:type="dxa"/>
          </w:tcPr>
          <w:p w14:paraId="66185BAE"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Revenge attacks by outsiders</w:t>
            </w:r>
          </w:p>
        </w:tc>
        <w:tc>
          <w:tcPr>
            <w:tcW w:w="1428" w:type="dxa"/>
            <w:vAlign w:val="center"/>
          </w:tcPr>
          <w:p w14:paraId="4F8203FE"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0.881</w:t>
            </w:r>
          </w:p>
        </w:tc>
        <w:tc>
          <w:tcPr>
            <w:tcW w:w="1223" w:type="dxa"/>
            <w:vAlign w:val="center"/>
          </w:tcPr>
          <w:p w14:paraId="49E002B0"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2C5F7753" w14:textId="77777777" w:rsidTr="003B5486">
        <w:trPr>
          <w:trHeight w:val="250"/>
        </w:trPr>
        <w:tc>
          <w:tcPr>
            <w:tcW w:w="1112" w:type="dxa"/>
          </w:tcPr>
          <w:p w14:paraId="28F18559"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ITCA3</w:t>
            </w:r>
          </w:p>
        </w:tc>
        <w:tc>
          <w:tcPr>
            <w:tcW w:w="5163" w:type="dxa"/>
          </w:tcPr>
          <w:p w14:paraId="54957D6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Enforcing usage policies</w:t>
            </w:r>
          </w:p>
        </w:tc>
        <w:tc>
          <w:tcPr>
            <w:tcW w:w="1428" w:type="dxa"/>
            <w:vAlign w:val="center"/>
          </w:tcPr>
          <w:p w14:paraId="05F98D20"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0.862</w:t>
            </w:r>
          </w:p>
        </w:tc>
        <w:tc>
          <w:tcPr>
            <w:tcW w:w="1223" w:type="dxa"/>
            <w:vAlign w:val="center"/>
          </w:tcPr>
          <w:p w14:paraId="51A7C5E3"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3F353F35" w14:textId="77777777" w:rsidTr="003B5486">
        <w:trPr>
          <w:trHeight w:val="250"/>
        </w:trPr>
        <w:tc>
          <w:tcPr>
            <w:tcW w:w="1112" w:type="dxa"/>
          </w:tcPr>
          <w:p w14:paraId="6571672B"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ITCA4</w:t>
            </w:r>
          </w:p>
        </w:tc>
        <w:tc>
          <w:tcPr>
            <w:tcW w:w="5163" w:type="dxa"/>
          </w:tcPr>
          <w:p w14:paraId="4A8FC96B"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Malicious attacks</w:t>
            </w:r>
          </w:p>
        </w:tc>
        <w:tc>
          <w:tcPr>
            <w:tcW w:w="1428" w:type="dxa"/>
            <w:vAlign w:val="center"/>
          </w:tcPr>
          <w:p w14:paraId="092EDDD3"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0.889</w:t>
            </w:r>
          </w:p>
        </w:tc>
        <w:tc>
          <w:tcPr>
            <w:tcW w:w="1223" w:type="dxa"/>
            <w:vAlign w:val="center"/>
          </w:tcPr>
          <w:p w14:paraId="660093DC"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4F7E793F" w14:textId="77777777" w:rsidTr="003B5486">
        <w:trPr>
          <w:trHeight w:val="250"/>
        </w:trPr>
        <w:tc>
          <w:tcPr>
            <w:tcW w:w="1112" w:type="dxa"/>
          </w:tcPr>
          <w:p w14:paraId="78C69763"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ITCA5</w:t>
            </w:r>
          </w:p>
        </w:tc>
        <w:tc>
          <w:tcPr>
            <w:tcW w:w="5163" w:type="dxa"/>
          </w:tcPr>
          <w:p w14:paraId="75AAA793"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Theft of hardware</w:t>
            </w:r>
          </w:p>
        </w:tc>
        <w:tc>
          <w:tcPr>
            <w:tcW w:w="1428" w:type="dxa"/>
            <w:vAlign w:val="center"/>
          </w:tcPr>
          <w:p w14:paraId="2EEBA0EC"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0.873</w:t>
            </w:r>
          </w:p>
        </w:tc>
        <w:tc>
          <w:tcPr>
            <w:tcW w:w="1223" w:type="dxa"/>
            <w:vAlign w:val="center"/>
          </w:tcPr>
          <w:p w14:paraId="20895494"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5884FF92" w14:textId="77777777" w:rsidTr="003B5486">
        <w:trPr>
          <w:trHeight w:val="250"/>
        </w:trPr>
        <w:tc>
          <w:tcPr>
            <w:tcW w:w="1112" w:type="dxa"/>
          </w:tcPr>
          <w:p w14:paraId="41FE4AAA"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ITCA6</w:t>
            </w:r>
          </w:p>
        </w:tc>
        <w:tc>
          <w:tcPr>
            <w:tcW w:w="5163" w:type="dxa"/>
          </w:tcPr>
          <w:p w14:paraId="5383415C"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Theft of assets and intellectual property</w:t>
            </w:r>
          </w:p>
        </w:tc>
        <w:tc>
          <w:tcPr>
            <w:tcW w:w="1428" w:type="dxa"/>
            <w:vAlign w:val="center"/>
          </w:tcPr>
          <w:p w14:paraId="6D6F4BF2"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0.875</w:t>
            </w:r>
          </w:p>
        </w:tc>
        <w:tc>
          <w:tcPr>
            <w:tcW w:w="1223" w:type="dxa"/>
            <w:vAlign w:val="center"/>
          </w:tcPr>
          <w:p w14:paraId="61C187D6"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557841E7" w14:textId="77777777" w:rsidTr="003B5486">
        <w:trPr>
          <w:trHeight w:val="250"/>
        </w:trPr>
        <w:tc>
          <w:tcPr>
            <w:tcW w:w="1112" w:type="dxa"/>
          </w:tcPr>
          <w:p w14:paraId="014D7449"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ITCA7</w:t>
            </w:r>
          </w:p>
        </w:tc>
        <w:tc>
          <w:tcPr>
            <w:tcW w:w="5163" w:type="dxa"/>
          </w:tcPr>
          <w:p w14:paraId="1372CBBF" w14:textId="77777777" w:rsidR="006E3616" w:rsidRPr="00400193" w:rsidRDefault="006E3616" w:rsidP="003B5486">
            <w:pPr>
              <w:suppressAutoHyphens/>
              <w:spacing w:line="240" w:lineRule="auto"/>
              <w:rPr>
                <w:sz w:val="18"/>
                <w:szCs w:val="18"/>
                <w:lang w:eastAsia="zh-CN" w:bidi="hi-IN"/>
              </w:rPr>
            </w:pPr>
            <w:r w:rsidRPr="00400193">
              <w:rPr>
                <w:sz w:val="18"/>
                <w:szCs w:val="18"/>
                <w:lang w:eastAsia="zh-CN" w:bidi="hi-IN"/>
              </w:rPr>
              <w:t>Social engineering</w:t>
            </w:r>
          </w:p>
        </w:tc>
        <w:tc>
          <w:tcPr>
            <w:tcW w:w="1428" w:type="dxa"/>
            <w:vAlign w:val="center"/>
          </w:tcPr>
          <w:p w14:paraId="35FF0CD8"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0.898</w:t>
            </w:r>
          </w:p>
        </w:tc>
        <w:tc>
          <w:tcPr>
            <w:tcW w:w="1223" w:type="dxa"/>
            <w:vAlign w:val="center"/>
          </w:tcPr>
          <w:p w14:paraId="149C9120" w14:textId="77777777" w:rsidR="006E3616" w:rsidRPr="00400193" w:rsidRDefault="006E3616" w:rsidP="003B5486">
            <w:pPr>
              <w:keepNext/>
              <w:suppressAutoHyphens/>
              <w:spacing w:line="240" w:lineRule="auto"/>
              <w:jc w:val="center"/>
              <w:rPr>
                <w:sz w:val="18"/>
                <w:szCs w:val="18"/>
                <w:lang w:eastAsia="zh-CN" w:bidi="hi-IN"/>
              </w:rPr>
            </w:pPr>
          </w:p>
        </w:tc>
      </w:tr>
    </w:tbl>
    <w:p w14:paraId="01852D7D" w14:textId="7195A907" w:rsidR="006E3616" w:rsidRPr="00400193" w:rsidRDefault="006E3616" w:rsidP="006E3616">
      <w:pPr>
        <w:pStyle w:val="Caption"/>
        <w:spacing w:after="240"/>
        <w:rPr>
          <w:szCs w:val="24"/>
          <w:lang w:eastAsia="zh-CN" w:bidi="hi-IN"/>
        </w:rPr>
      </w:pPr>
      <w:bookmarkStart w:id="984" w:name="_Ref43168116"/>
      <w:bookmarkStart w:id="985" w:name="_Toc52901663"/>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3</w:t>
      </w:r>
      <w:r w:rsidRPr="00400193">
        <w:rPr>
          <w:noProof/>
        </w:rPr>
        <w:fldChar w:fldCharType="end"/>
      </w:r>
      <w:bookmarkEnd w:id="984"/>
      <w:r w:rsidRPr="00400193">
        <w:t>: Codes for Internal Threats and Cronbach’s Alpha for the study measures using the primary data</w:t>
      </w:r>
      <w:bookmarkEnd w:id="985"/>
    </w:p>
    <w:tbl>
      <w:tblPr>
        <w:tblStyle w:val="TableGrid"/>
        <w:tblW w:w="0" w:type="auto"/>
        <w:tblLook w:val="04A0" w:firstRow="1" w:lastRow="0" w:firstColumn="1" w:lastColumn="0" w:noHBand="0" w:noVBand="1"/>
      </w:tblPr>
      <w:tblGrid>
        <w:gridCol w:w="1112"/>
        <w:gridCol w:w="17"/>
        <w:gridCol w:w="5103"/>
        <w:gridCol w:w="1418"/>
        <w:gridCol w:w="1366"/>
      </w:tblGrid>
      <w:tr w:rsidR="00A0618E" w:rsidRPr="00400193" w14:paraId="771F00C8" w14:textId="77777777" w:rsidTr="003B5486">
        <w:trPr>
          <w:cantSplit/>
          <w:tblHeader/>
        </w:trPr>
        <w:tc>
          <w:tcPr>
            <w:tcW w:w="1112" w:type="dxa"/>
          </w:tcPr>
          <w:p w14:paraId="6D2EBD78"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Factor code</w:t>
            </w:r>
          </w:p>
        </w:tc>
        <w:tc>
          <w:tcPr>
            <w:tcW w:w="5120" w:type="dxa"/>
            <w:gridSpan w:val="2"/>
          </w:tcPr>
          <w:p w14:paraId="3527931D"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Item</w:t>
            </w:r>
          </w:p>
        </w:tc>
        <w:tc>
          <w:tcPr>
            <w:tcW w:w="1418" w:type="dxa"/>
            <w:vAlign w:val="center"/>
          </w:tcPr>
          <w:p w14:paraId="4A43A1EA"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Alpha if deleted</w:t>
            </w:r>
          </w:p>
        </w:tc>
        <w:tc>
          <w:tcPr>
            <w:tcW w:w="1366" w:type="dxa"/>
            <w:vAlign w:val="center"/>
          </w:tcPr>
          <w:p w14:paraId="1FA77ACE"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Cronbach Alpha (α)</w:t>
            </w:r>
          </w:p>
        </w:tc>
      </w:tr>
      <w:tr w:rsidR="00A0618E" w:rsidRPr="00400193" w14:paraId="43DA0E4A" w14:textId="77777777" w:rsidTr="003B5486">
        <w:tc>
          <w:tcPr>
            <w:tcW w:w="9016" w:type="dxa"/>
            <w:gridSpan w:val="5"/>
            <w:shd w:val="clear" w:color="auto" w:fill="D9D9D9" w:themeFill="background1" w:themeFillShade="D9"/>
            <w:vAlign w:val="center"/>
          </w:tcPr>
          <w:p w14:paraId="7B6DF196"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Vulnerabilities and Weaknesses</w:t>
            </w:r>
          </w:p>
        </w:tc>
      </w:tr>
      <w:tr w:rsidR="00A0618E" w:rsidRPr="00400193" w14:paraId="229FA3EE" w14:textId="77777777" w:rsidTr="003B5486">
        <w:tc>
          <w:tcPr>
            <w:tcW w:w="1112" w:type="dxa"/>
          </w:tcPr>
          <w:p w14:paraId="1F62FE0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w:t>
            </w:r>
          </w:p>
        </w:tc>
        <w:tc>
          <w:tcPr>
            <w:tcW w:w="5120" w:type="dxa"/>
            <w:gridSpan w:val="2"/>
          </w:tcPr>
          <w:p w14:paraId="33B847E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Larger systems cause greater cyber-risks</w:t>
            </w:r>
          </w:p>
        </w:tc>
        <w:tc>
          <w:tcPr>
            <w:tcW w:w="1418" w:type="dxa"/>
            <w:vAlign w:val="center"/>
          </w:tcPr>
          <w:p w14:paraId="3FAA6DD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0.765</w:t>
            </w:r>
          </w:p>
        </w:tc>
        <w:tc>
          <w:tcPr>
            <w:tcW w:w="1366" w:type="dxa"/>
            <w:vAlign w:val="center"/>
          </w:tcPr>
          <w:p w14:paraId="08438D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0.795</w:t>
            </w:r>
          </w:p>
        </w:tc>
      </w:tr>
      <w:tr w:rsidR="00A0618E" w:rsidRPr="00400193" w14:paraId="1390CDF0" w14:textId="77777777" w:rsidTr="003B5486">
        <w:tc>
          <w:tcPr>
            <w:tcW w:w="1112" w:type="dxa"/>
          </w:tcPr>
          <w:p w14:paraId="6160B92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VW2</w:t>
            </w:r>
          </w:p>
        </w:tc>
        <w:tc>
          <w:tcPr>
            <w:tcW w:w="5120" w:type="dxa"/>
            <w:gridSpan w:val="2"/>
          </w:tcPr>
          <w:p w14:paraId="56AAEE6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Systems will never cause risk</w:t>
            </w:r>
          </w:p>
        </w:tc>
        <w:tc>
          <w:tcPr>
            <w:tcW w:w="1418" w:type="dxa"/>
            <w:vAlign w:val="center"/>
          </w:tcPr>
          <w:p w14:paraId="768876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0.761</w:t>
            </w:r>
          </w:p>
        </w:tc>
        <w:tc>
          <w:tcPr>
            <w:tcW w:w="1366" w:type="dxa"/>
            <w:vAlign w:val="center"/>
          </w:tcPr>
          <w:p w14:paraId="6C36F63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3C251A3" w14:textId="77777777" w:rsidTr="003B5486">
        <w:tc>
          <w:tcPr>
            <w:tcW w:w="1112" w:type="dxa"/>
          </w:tcPr>
          <w:p w14:paraId="353932F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VW3</w:t>
            </w:r>
          </w:p>
        </w:tc>
        <w:tc>
          <w:tcPr>
            <w:tcW w:w="5120" w:type="dxa"/>
            <w:gridSpan w:val="2"/>
          </w:tcPr>
          <w:p w14:paraId="6E64680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Easy access to confidential data can be a problem</w:t>
            </w:r>
          </w:p>
        </w:tc>
        <w:tc>
          <w:tcPr>
            <w:tcW w:w="1418" w:type="dxa"/>
            <w:vAlign w:val="center"/>
          </w:tcPr>
          <w:p w14:paraId="1CF871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0.758</w:t>
            </w:r>
          </w:p>
        </w:tc>
        <w:tc>
          <w:tcPr>
            <w:tcW w:w="1366" w:type="dxa"/>
            <w:vAlign w:val="center"/>
          </w:tcPr>
          <w:p w14:paraId="0215A7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CBF8E12" w14:textId="77777777" w:rsidTr="003B5486">
        <w:tc>
          <w:tcPr>
            <w:tcW w:w="1112" w:type="dxa"/>
          </w:tcPr>
          <w:p w14:paraId="20C28C3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VW4</w:t>
            </w:r>
          </w:p>
        </w:tc>
        <w:tc>
          <w:tcPr>
            <w:tcW w:w="5120" w:type="dxa"/>
            <w:gridSpan w:val="2"/>
          </w:tcPr>
          <w:p w14:paraId="62892A8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We do not report system crashes or failures</w:t>
            </w:r>
          </w:p>
        </w:tc>
        <w:tc>
          <w:tcPr>
            <w:tcW w:w="1418" w:type="dxa"/>
            <w:vAlign w:val="center"/>
          </w:tcPr>
          <w:p w14:paraId="4332AC5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0.766</w:t>
            </w:r>
          </w:p>
        </w:tc>
        <w:tc>
          <w:tcPr>
            <w:tcW w:w="1366" w:type="dxa"/>
            <w:vAlign w:val="center"/>
          </w:tcPr>
          <w:p w14:paraId="0A0A00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FD53687" w14:textId="77777777" w:rsidTr="003B5486">
        <w:tc>
          <w:tcPr>
            <w:tcW w:w="1112" w:type="dxa"/>
          </w:tcPr>
          <w:p w14:paraId="1BBA2A0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VW5</w:t>
            </w:r>
          </w:p>
        </w:tc>
        <w:tc>
          <w:tcPr>
            <w:tcW w:w="5120" w:type="dxa"/>
            <w:gridSpan w:val="2"/>
          </w:tcPr>
          <w:p w14:paraId="4FEAE7B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We lack a system for independent testing</w:t>
            </w:r>
          </w:p>
        </w:tc>
        <w:tc>
          <w:tcPr>
            <w:tcW w:w="1418" w:type="dxa"/>
            <w:vAlign w:val="center"/>
          </w:tcPr>
          <w:p w14:paraId="01C858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0.769</w:t>
            </w:r>
          </w:p>
        </w:tc>
        <w:tc>
          <w:tcPr>
            <w:tcW w:w="1366" w:type="dxa"/>
            <w:vAlign w:val="center"/>
          </w:tcPr>
          <w:p w14:paraId="7E06A4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4CB74D0" w14:textId="77777777" w:rsidTr="003B5486">
        <w:tc>
          <w:tcPr>
            <w:tcW w:w="1112" w:type="dxa"/>
          </w:tcPr>
          <w:p w14:paraId="1199C44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VW6</w:t>
            </w:r>
          </w:p>
        </w:tc>
        <w:tc>
          <w:tcPr>
            <w:tcW w:w="5120" w:type="dxa"/>
            <w:gridSpan w:val="2"/>
          </w:tcPr>
          <w:p w14:paraId="530B3BC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Anti-virus and anti-malware tools are used to detect attacks</w:t>
            </w:r>
          </w:p>
        </w:tc>
        <w:tc>
          <w:tcPr>
            <w:tcW w:w="1418" w:type="dxa"/>
            <w:vAlign w:val="center"/>
          </w:tcPr>
          <w:p w14:paraId="7100D0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0.820</w:t>
            </w:r>
          </w:p>
        </w:tc>
        <w:tc>
          <w:tcPr>
            <w:tcW w:w="1366" w:type="dxa"/>
            <w:vAlign w:val="center"/>
          </w:tcPr>
          <w:p w14:paraId="475CF9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2C82B53" w14:textId="77777777" w:rsidTr="003B5486">
        <w:tc>
          <w:tcPr>
            <w:tcW w:w="1112" w:type="dxa"/>
          </w:tcPr>
          <w:p w14:paraId="1C4D2A8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VW7</w:t>
            </w:r>
          </w:p>
        </w:tc>
        <w:tc>
          <w:tcPr>
            <w:tcW w:w="5120" w:type="dxa"/>
            <w:gridSpan w:val="2"/>
          </w:tcPr>
          <w:p w14:paraId="5765442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Firewall rules are audited or verified regularly</w:t>
            </w:r>
          </w:p>
        </w:tc>
        <w:tc>
          <w:tcPr>
            <w:tcW w:w="1418" w:type="dxa"/>
            <w:vAlign w:val="center"/>
          </w:tcPr>
          <w:p w14:paraId="62F44E1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0.776</w:t>
            </w:r>
          </w:p>
        </w:tc>
        <w:tc>
          <w:tcPr>
            <w:tcW w:w="1366" w:type="dxa"/>
            <w:vAlign w:val="center"/>
          </w:tcPr>
          <w:p w14:paraId="516535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DF18EF9" w14:textId="77777777" w:rsidTr="003B5486">
        <w:tc>
          <w:tcPr>
            <w:tcW w:w="1112" w:type="dxa"/>
          </w:tcPr>
          <w:p w14:paraId="4432D8F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VW8</w:t>
            </w:r>
          </w:p>
        </w:tc>
        <w:tc>
          <w:tcPr>
            <w:tcW w:w="5120" w:type="dxa"/>
            <w:gridSpan w:val="2"/>
          </w:tcPr>
          <w:p w14:paraId="6DBA059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E-mail protection mechanisms are present</w:t>
            </w:r>
          </w:p>
        </w:tc>
        <w:tc>
          <w:tcPr>
            <w:tcW w:w="1418" w:type="dxa"/>
            <w:vAlign w:val="center"/>
          </w:tcPr>
          <w:p w14:paraId="14767DB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0.789</w:t>
            </w:r>
          </w:p>
        </w:tc>
        <w:tc>
          <w:tcPr>
            <w:tcW w:w="1366" w:type="dxa"/>
            <w:vAlign w:val="center"/>
          </w:tcPr>
          <w:p w14:paraId="20C12D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612BB1F" w14:textId="77777777" w:rsidTr="003B5486">
        <w:tc>
          <w:tcPr>
            <w:tcW w:w="1112" w:type="dxa"/>
          </w:tcPr>
          <w:p w14:paraId="2706AC1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VW9</w:t>
            </w:r>
          </w:p>
        </w:tc>
        <w:tc>
          <w:tcPr>
            <w:tcW w:w="5120" w:type="dxa"/>
            <w:gridSpan w:val="2"/>
          </w:tcPr>
          <w:p w14:paraId="4603D83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Staff use personal tablets and smartphones in work</w:t>
            </w:r>
          </w:p>
        </w:tc>
        <w:tc>
          <w:tcPr>
            <w:tcW w:w="1418" w:type="dxa"/>
            <w:vAlign w:val="center"/>
          </w:tcPr>
          <w:p w14:paraId="1C89F6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0.776</w:t>
            </w:r>
          </w:p>
        </w:tc>
        <w:tc>
          <w:tcPr>
            <w:tcW w:w="1366" w:type="dxa"/>
            <w:vAlign w:val="center"/>
          </w:tcPr>
          <w:p w14:paraId="73B1C6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BAA88CB" w14:textId="77777777" w:rsidTr="003B5486">
        <w:tc>
          <w:tcPr>
            <w:tcW w:w="1112" w:type="dxa"/>
          </w:tcPr>
          <w:p w14:paraId="17A13AB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VW10</w:t>
            </w:r>
          </w:p>
        </w:tc>
        <w:tc>
          <w:tcPr>
            <w:tcW w:w="5120" w:type="dxa"/>
            <w:gridSpan w:val="2"/>
          </w:tcPr>
          <w:p w14:paraId="1F55C5D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Utility programs and applications are restricted</w:t>
            </w:r>
          </w:p>
        </w:tc>
        <w:tc>
          <w:tcPr>
            <w:tcW w:w="1418" w:type="dxa"/>
            <w:vAlign w:val="center"/>
          </w:tcPr>
          <w:p w14:paraId="389370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0.782</w:t>
            </w:r>
          </w:p>
        </w:tc>
        <w:tc>
          <w:tcPr>
            <w:tcW w:w="1366" w:type="dxa"/>
            <w:vAlign w:val="center"/>
          </w:tcPr>
          <w:p w14:paraId="0B47C7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2F0993E" w14:textId="77777777" w:rsidTr="003B5486">
        <w:tc>
          <w:tcPr>
            <w:tcW w:w="1112" w:type="dxa"/>
          </w:tcPr>
          <w:p w14:paraId="384EB14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VW11</w:t>
            </w:r>
          </w:p>
        </w:tc>
        <w:tc>
          <w:tcPr>
            <w:tcW w:w="5120" w:type="dxa"/>
            <w:gridSpan w:val="2"/>
          </w:tcPr>
          <w:p w14:paraId="3DF2FED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Sharing device/system credentials is common</w:t>
            </w:r>
          </w:p>
        </w:tc>
        <w:tc>
          <w:tcPr>
            <w:tcW w:w="1418" w:type="dxa"/>
            <w:vAlign w:val="center"/>
          </w:tcPr>
          <w:p w14:paraId="2E26DA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0.787</w:t>
            </w:r>
          </w:p>
        </w:tc>
        <w:tc>
          <w:tcPr>
            <w:tcW w:w="1366" w:type="dxa"/>
            <w:vAlign w:val="center"/>
          </w:tcPr>
          <w:p w14:paraId="239129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C9E4A36" w14:textId="77777777" w:rsidTr="003B5486">
        <w:tc>
          <w:tcPr>
            <w:tcW w:w="1112" w:type="dxa"/>
          </w:tcPr>
          <w:p w14:paraId="33339F4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VW12</w:t>
            </w:r>
          </w:p>
        </w:tc>
        <w:tc>
          <w:tcPr>
            <w:tcW w:w="5120" w:type="dxa"/>
            <w:gridSpan w:val="2"/>
          </w:tcPr>
          <w:p w14:paraId="5E72A37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We sometimes have hardware failures because of malfunctions</w:t>
            </w:r>
          </w:p>
        </w:tc>
        <w:tc>
          <w:tcPr>
            <w:tcW w:w="1418" w:type="dxa"/>
            <w:vAlign w:val="center"/>
          </w:tcPr>
          <w:p w14:paraId="6EF5CD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0.799</w:t>
            </w:r>
          </w:p>
        </w:tc>
        <w:tc>
          <w:tcPr>
            <w:tcW w:w="1366" w:type="dxa"/>
            <w:vAlign w:val="center"/>
          </w:tcPr>
          <w:p w14:paraId="66EA7B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5AA8389" w14:textId="77777777" w:rsidTr="003B5486">
        <w:tc>
          <w:tcPr>
            <w:tcW w:w="1112" w:type="dxa"/>
          </w:tcPr>
          <w:p w14:paraId="6F91E8A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VW13</w:t>
            </w:r>
          </w:p>
        </w:tc>
        <w:tc>
          <w:tcPr>
            <w:tcW w:w="5120" w:type="dxa"/>
            <w:gridSpan w:val="2"/>
          </w:tcPr>
          <w:p w14:paraId="4B977C9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We sometimes have power supply (UPS) failure </w:t>
            </w:r>
          </w:p>
        </w:tc>
        <w:tc>
          <w:tcPr>
            <w:tcW w:w="1418" w:type="dxa"/>
            <w:vAlign w:val="center"/>
          </w:tcPr>
          <w:p w14:paraId="0D9303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0.800</w:t>
            </w:r>
          </w:p>
        </w:tc>
        <w:tc>
          <w:tcPr>
            <w:tcW w:w="1366" w:type="dxa"/>
            <w:vAlign w:val="center"/>
          </w:tcPr>
          <w:p w14:paraId="5C084E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B3A01C1" w14:textId="77777777" w:rsidTr="003B5486">
        <w:tc>
          <w:tcPr>
            <w:tcW w:w="9016" w:type="dxa"/>
            <w:gridSpan w:val="5"/>
            <w:shd w:val="clear" w:color="auto" w:fill="D9D9D9" w:themeFill="background1" w:themeFillShade="D9"/>
            <w:vAlign w:val="center"/>
          </w:tcPr>
          <w:p w14:paraId="3984EB0C" w14:textId="2D8A0BA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Organ</w:t>
            </w:r>
            <w:r w:rsidR="00D75A7B" w:rsidRPr="00400193">
              <w:rPr>
                <w:rFonts w:asciiTheme="minorHAnsi" w:hAnsiTheme="minorHAnsi" w:cstheme="minorHAnsi"/>
                <w:sz w:val="18"/>
                <w:szCs w:val="18"/>
                <w:lang w:eastAsia="zh-CN" w:bidi="hi-IN"/>
              </w:rPr>
              <w:t>isa</w:t>
            </w:r>
            <w:r w:rsidRPr="00400193">
              <w:rPr>
                <w:rFonts w:asciiTheme="minorHAnsi" w:hAnsiTheme="minorHAnsi" w:cstheme="minorHAnsi"/>
                <w:sz w:val="18"/>
                <w:szCs w:val="18"/>
                <w:lang w:eastAsia="zh-CN" w:bidi="hi-IN"/>
              </w:rPr>
              <w:t>tion vulnerabilities and weaknesses physical and digital assets</w:t>
            </w:r>
          </w:p>
        </w:tc>
      </w:tr>
      <w:tr w:rsidR="00A0618E" w:rsidRPr="00400193" w14:paraId="472E3386" w14:textId="77777777" w:rsidTr="003B5486">
        <w:tc>
          <w:tcPr>
            <w:tcW w:w="1129" w:type="dxa"/>
            <w:gridSpan w:val="2"/>
          </w:tcPr>
          <w:p w14:paraId="3B620D2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w:t>
            </w:r>
          </w:p>
        </w:tc>
        <w:tc>
          <w:tcPr>
            <w:tcW w:w="5103" w:type="dxa"/>
          </w:tcPr>
          <w:p w14:paraId="3B9F41F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Computers</w:t>
            </w:r>
          </w:p>
        </w:tc>
        <w:tc>
          <w:tcPr>
            <w:tcW w:w="1418" w:type="dxa"/>
            <w:vAlign w:val="center"/>
          </w:tcPr>
          <w:p w14:paraId="67B1C4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0.946</w:t>
            </w:r>
          </w:p>
        </w:tc>
        <w:tc>
          <w:tcPr>
            <w:tcW w:w="1366" w:type="dxa"/>
            <w:vAlign w:val="center"/>
          </w:tcPr>
          <w:p w14:paraId="29C35F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0.934</w:t>
            </w:r>
          </w:p>
        </w:tc>
      </w:tr>
      <w:tr w:rsidR="00A0618E" w:rsidRPr="00400193" w14:paraId="3A6CD779" w14:textId="77777777" w:rsidTr="003B5486">
        <w:tc>
          <w:tcPr>
            <w:tcW w:w="1129" w:type="dxa"/>
            <w:gridSpan w:val="2"/>
          </w:tcPr>
          <w:p w14:paraId="527B731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VWP2</w:t>
            </w:r>
          </w:p>
        </w:tc>
        <w:tc>
          <w:tcPr>
            <w:tcW w:w="5103" w:type="dxa"/>
          </w:tcPr>
          <w:p w14:paraId="64FC452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Servers</w:t>
            </w:r>
          </w:p>
        </w:tc>
        <w:tc>
          <w:tcPr>
            <w:tcW w:w="1418" w:type="dxa"/>
            <w:vAlign w:val="center"/>
          </w:tcPr>
          <w:p w14:paraId="3CF4C6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157B68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271894C" w14:textId="77777777" w:rsidTr="003B5486">
        <w:tc>
          <w:tcPr>
            <w:tcW w:w="1129" w:type="dxa"/>
            <w:gridSpan w:val="2"/>
          </w:tcPr>
          <w:p w14:paraId="7C93102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VWP3</w:t>
            </w:r>
          </w:p>
        </w:tc>
        <w:tc>
          <w:tcPr>
            <w:tcW w:w="5103" w:type="dxa"/>
          </w:tcPr>
          <w:p w14:paraId="30DE8D4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Hard disks</w:t>
            </w:r>
          </w:p>
        </w:tc>
        <w:tc>
          <w:tcPr>
            <w:tcW w:w="1418" w:type="dxa"/>
            <w:vAlign w:val="center"/>
          </w:tcPr>
          <w:p w14:paraId="64DF3E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0.931</w:t>
            </w:r>
          </w:p>
        </w:tc>
        <w:tc>
          <w:tcPr>
            <w:tcW w:w="1366" w:type="dxa"/>
            <w:vAlign w:val="center"/>
          </w:tcPr>
          <w:p w14:paraId="637B0B6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9570933" w14:textId="77777777" w:rsidTr="003B5486">
        <w:tc>
          <w:tcPr>
            <w:tcW w:w="1129" w:type="dxa"/>
            <w:gridSpan w:val="2"/>
          </w:tcPr>
          <w:p w14:paraId="58ACED6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VWP4</w:t>
            </w:r>
          </w:p>
        </w:tc>
        <w:tc>
          <w:tcPr>
            <w:tcW w:w="5103" w:type="dxa"/>
          </w:tcPr>
          <w:p w14:paraId="7D1C0BC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Personal information</w:t>
            </w:r>
          </w:p>
        </w:tc>
        <w:tc>
          <w:tcPr>
            <w:tcW w:w="1418" w:type="dxa"/>
            <w:vAlign w:val="center"/>
          </w:tcPr>
          <w:p w14:paraId="37FD3B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08EF8F3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2DB7CC8" w14:textId="77777777" w:rsidTr="003B5486">
        <w:tc>
          <w:tcPr>
            <w:tcW w:w="1129" w:type="dxa"/>
            <w:gridSpan w:val="2"/>
          </w:tcPr>
          <w:p w14:paraId="4B08D4E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VWP5</w:t>
            </w:r>
          </w:p>
        </w:tc>
        <w:tc>
          <w:tcPr>
            <w:tcW w:w="5103" w:type="dxa"/>
          </w:tcPr>
          <w:p w14:paraId="2CDC608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Networks</w:t>
            </w:r>
          </w:p>
        </w:tc>
        <w:tc>
          <w:tcPr>
            <w:tcW w:w="1418" w:type="dxa"/>
            <w:vAlign w:val="center"/>
          </w:tcPr>
          <w:p w14:paraId="1D7122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0.925</w:t>
            </w:r>
          </w:p>
        </w:tc>
        <w:tc>
          <w:tcPr>
            <w:tcW w:w="1366" w:type="dxa"/>
            <w:vAlign w:val="center"/>
          </w:tcPr>
          <w:p w14:paraId="1835CB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5D870D2" w14:textId="77777777" w:rsidTr="003B5486">
        <w:tc>
          <w:tcPr>
            <w:tcW w:w="1129" w:type="dxa"/>
            <w:gridSpan w:val="2"/>
          </w:tcPr>
          <w:p w14:paraId="194F032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VWP6</w:t>
            </w:r>
          </w:p>
        </w:tc>
        <w:tc>
          <w:tcPr>
            <w:tcW w:w="5103" w:type="dxa"/>
          </w:tcPr>
          <w:p w14:paraId="0738209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Business information</w:t>
            </w:r>
          </w:p>
        </w:tc>
        <w:tc>
          <w:tcPr>
            <w:tcW w:w="1418" w:type="dxa"/>
            <w:vAlign w:val="center"/>
          </w:tcPr>
          <w:p w14:paraId="0F4646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0.924</w:t>
            </w:r>
          </w:p>
        </w:tc>
        <w:tc>
          <w:tcPr>
            <w:tcW w:w="1366" w:type="dxa"/>
            <w:vAlign w:val="center"/>
          </w:tcPr>
          <w:p w14:paraId="15FCFF3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ED7C8F1" w14:textId="77777777" w:rsidTr="003B5486">
        <w:tc>
          <w:tcPr>
            <w:tcW w:w="1129" w:type="dxa"/>
            <w:gridSpan w:val="2"/>
          </w:tcPr>
          <w:p w14:paraId="7B6D01D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VWP7</w:t>
            </w:r>
          </w:p>
        </w:tc>
        <w:tc>
          <w:tcPr>
            <w:tcW w:w="5103" w:type="dxa"/>
          </w:tcPr>
          <w:p w14:paraId="1FEBFE2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Intellectual property</w:t>
            </w:r>
          </w:p>
        </w:tc>
        <w:tc>
          <w:tcPr>
            <w:tcW w:w="1418" w:type="dxa"/>
            <w:vAlign w:val="center"/>
          </w:tcPr>
          <w:p w14:paraId="3B82EE5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28FF8D2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B771EBC" w14:textId="77777777" w:rsidTr="003B5486">
        <w:tc>
          <w:tcPr>
            <w:tcW w:w="1129" w:type="dxa"/>
            <w:gridSpan w:val="2"/>
          </w:tcPr>
          <w:p w14:paraId="6744BE5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VWP8</w:t>
            </w:r>
          </w:p>
        </w:tc>
        <w:tc>
          <w:tcPr>
            <w:tcW w:w="5103" w:type="dxa"/>
          </w:tcPr>
          <w:p w14:paraId="5346BB9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Certificates</w:t>
            </w:r>
          </w:p>
        </w:tc>
        <w:tc>
          <w:tcPr>
            <w:tcW w:w="1418" w:type="dxa"/>
            <w:vAlign w:val="center"/>
          </w:tcPr>
          <w:p w14:paraId="5B975B3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5893DC4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B2868D9" w14:textId="77777777" w:rsidTr="003B5486">
        <w:tc>
          <w:tcPr>
            <w:tcW w:w="1129" w:type="dxa"/>
            <w:gridSpan w:val="2"/>
          </w:tcPr>
          <w:p w14:paraId="63E2E4F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VWP9</w:t>
            </w:r>
          </w:p>
        </w:tc>
        <w:tc>
          <w:tcPr>
            <w:tcW w:w="5103" w:type="dxa"/>
          </w:tcPr>
          <w:p w14:paraId="1275D8C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Programs and apps</w:t>
            </w:r>
          </w:p>
        </w:tc>
        <w:tc>
          <w:tcPr>
            <w:tcW w:w="1418" w:type="dxa"/>
            <w:vAlign w:val="center"/>
          </w:tcPr>
          <w:p w14:paraId="4E0B15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0.923</w:t>
            </w:r>
          </w:p>
        </w:tc>
        <w:tc>
          <w:tcPr>
            <w:tcW w:w="1366" w:type="dxa"/>
            <w:vAlign w:val="center"/>
          </w:tcPr>
          <w:p w14:paraId="1A521C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874BC20" w14:textId="77777777" w:rsidTr="003B5486">
        <w:tc>
          <w:tcPr>
            <w:tcW w:w="1129" w:type="dxa"/>
            <w:gridSpan w:val="2"/>
          </w:tcPr>
          <w:p w14:paraId="384B2E6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VWP10</w:t>
            </w:r>
          </w:p>
        </w:tc>
        <w:tc>
          <w:tcPr>
            <w:tcW w:w="5103" w:type="dxa"/>
          </w:tcPr>
          <w:p w14:paraId="373F78D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Malicious attack on power systems</w:t>
            </w:r>
          </w:p>
        </w:tc>
        <w:tc>
          <w:tcPr>
            <w:tcW w:w="1418" w:type="dxa"/>
            <w:vAlign w:val="center"/>
          </w:tcPr>
          <w:p w14:paraId="190B80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0.925</w:t>
            </w:r>
          </w:p>
        </w:tc>
        <w:tc>
          <w:tcPr>
            <w:tcW w:w="1366" w:type="dxa"/>
            <w:vAlign w:val="center"/>
          </w:tcPr>
          <w:p w14:paraId="6953A1D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D999BA1" w14:textId="77777777" w:rsidTr="003B5486">
        <w:tc>
          <w:tcPr>
            <w:tcW w:w="1129" w:type="dxa"/>
            <w:gridSpan w:val="2"/>
          </w:tcPr>
          <w:p w14:paraId="4161FD9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VWP11</w:t>
            </w:r>
          </w:p>
        </w:tc>
        <w:tc>
          <w:tcPr>
            <w:tcW w:w="5103" w:type="dxa"/>
          </w:tcPr>
          <w:p w14:paraId="674ADEF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Mobile ‘smart’ devices</w:t>
            </w:r>
          </w:p>
        </w:tc>
        <w:tc>
          <w:tcPr>
            <w:tcW w:w="1418" w:type="dxa"/>
            <w:vAlign w:val="center"/>
          </w:tcPr>
          <w:p w14:paraId="3E5800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511BABC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A0AB2B0" w14:textId="77777777" w:rsidTr="003B5486">
        <w:tc>
          <w:tcPr>
            <w:tcW w:w="1129" w:type="dxa"/>
            <w:gridSpan w:val="2"/>
          </w:tcPr>
          <w:p w14:paraId="78F43B0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VWP12</w:t>
            </w:r>
          </w:p>
        </w:tc>
        <w:tc>
          <w:tcPr>
            <w:tcW w:w="5103" w:type="dxa"/>
          </w:tcPr>
          <w:p w14:paraId="4C88E5E3" w14:textId="7EDA54D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RFID </w:t>
            </w:r>
            <w:r w:rsidR="00337F8A" w:rsidRPr="00400193">
              <w:rPr>
                <w:rFonts w:asciiTheme="minorHAnsi" w:hAnsiTheme="minorHAnsi" w:cstheme="minorHAnsi"/>
                <w:sz w:val="18"/>
                <w:szCs w:val="18"/>
                <w:lang w:eastAsia="zh-CN" w:bidi="hi-IN"/>
              </w:rPr>
              <w:t>and</w:t>
            </w:r>
            <w:r w:rsidRPr="00400193">
              <w:rPr>
                <w:rFonts w:asciiTheme="minorHAnsi" w:hAnsiTheme="minorHAnsi" w:cstheme="minorHAnsi"/>
                <w:sz w:val="18"/>
                <w:szCs w:val="18"/>
                <w:lang w:eastAsia="zh-CN" w:bidi="hi-IN"/>
              </w:rPr>
              <w:t xml:space="preserve"> barcode readers</w:t>
            </w:r>
          </w:p>
        </w:tc>
        <w:tc>
          <w:tcPr>
            <w:tcW w:w="1418" w:type="dxa"/>
            <w:vAlign w:val="center"/>
          </w:tcPr>
          <w:p w14:paraId="3AE822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768B536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33EF855" w14:textId="77777777" w:rsidTr="003B5486">
        <w:tc>
          <w:tcPr>
            <w:tcW w:w="1129" w:type="dxa"/>
            <w:gridSpan w:val="2"/>
          </w:tcPr>
          <w:p w14:paraId="6775ECE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VWP13</w:t>
            </w:r>
          </w:p>
        </w:tc>
        <w:tc>
          <w:tcPr>
            <w:tcW w:w="5103" w:type="dxa"/>
          </w:tcPr>
          <w:p w14:paraId="320ECB3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Credit cards/debit card/payment cards/‘e-wallet’</w:t>
            </w:r>
          </w:p>
        </w:tc>
        <w:tc>
          <w:tcPr>
            <w:tcW w:w="1418" w:type="dxa"/>
            <w:vAlign w:val="center"/>
          </w:tcPr>
          <w:p w14:paraId="7C95C5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18D15F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745ACA8" w14:textId="77777777" w:rsidTr="003B5486">
        <w:tc>
          <w:tcPr>
            <w:tcW w:w="1129" w:type="dxa"/>
            <w:gridSpan w:val="2"/>
          </w:tcPr>
          <w:p w14:paraId="11C99A9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VWP14</w:t>
            </w:r>
          </w:p>
        </w:tc>
        <w:tc>
          <w:tcPr>
            <w:tcW w:w="5103" w:type="dxa"/>
          </w:tcPr>
          <w:p w14:paraId="7E3B5D4D" w14:textId="25E9F896"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Scanners </w:t>
            </w:r>
            <w:r w:rsidR="00337F8A" w:rsidRPr="00400193">
              <w:rPr>
                <w:rFonts w:asciiTheme="minorHAnsi" w:hAnsiTheme="minorHAnsi" w:cstheme="minorHAnsi"/>
                <w:sz w:val="18"/>
                <w:szCs w:val="18"/>
                <w:lang w:eastAsia="zh-CN" w:bidi="hi-IN"/>
              </w:rPr>
              <w:t>and</w:t>
            </w:r>
            <w:r w:rsidRPr="00400193">
              <w:rPr>
                <w:rFonts w:asciiTheme="minorHAnsi" w:hAnsiTheme="minorHAnsi" w:cstheme="minorHAnsi"/>
                <w:sz w:val="18"/>
                <w:szCs w:val="18"/>
                <w:lang w:eastAsia="zh-CN" w:bidi="hi-IN"/>
              </w:rPr>
              <w:t xml:space="preserve"> detectors </w:t>
            </w:r>
          </w:p>
        </w:tc>
        <w:tc>
          <w:tcPr>
            <w:tcW w:w="1418" w:type="dxa"/>
            <w:vAlign w:val="center"/>
          </w:tcPr>
          <w:p w14:paraId="46774EC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0.926</w:t>
            </w:r>
          </w:p>
        </w:tc>
        <w:tc>
          <w:tcPr>
            <w:tcW w:w="1366" w:type="dxa"/>
            <w:vAlign w:val="center"/>
          </w:tcPr>
          <w:p w14:paraId="6A151E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bl>
    <w:p w14:paraId="56FD8784" w14:textId="2887E452" w:rsidR="006E3616" w:rsidRPr="00400193" w:rsidRDefault="006E3616" w:rsidP="006E3616">
      <w:pPr>
        <w:pStyle w:val="Caption"/>
        <w:spacing w:after="240"/>
      </w:pPr>
      <w:bookmarkStart w:id="986" w:name="_Ref43168494"/>
      <w:bookmarkStart w:id="987" w:name="_Toc52901664"/>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4</w:t>
      </w:r>
      <w:r w:rsidRPr="00400193">
        <w:rPr>
          <w:noProof/>
        </w:rPr>
        <w:fldChar w:fldCharType="end"/>
      </w:r>
      <w:bookmarkEnd w:id="986"/>
      <w:r w:rsidRPr="00400193">
        <w:t>: Codes for Vulnerabilities and Weaknesses and Cronbach’s Alpha for the study measures using the primary data</w:t>
      </w:r>
      <w:bookmarkEnd w:id="987"/>
    </w:p>
    <w:tbl>
      <w:tblPr>
        <w:tblStyle w:val="TableGrid"/>
        <w:tblW w:w="0" w:type="auto"/>
        <w:tblLook w:val="04A0" w:firstRow="1" w:lastRow="0" w:firstColumn="1" w:lastColumn="0" w:noHBand="0" w:noVBand="1"/>
      </w:tblPr>
      <w:tblGrid>
        <w:gridCol w:w="1129"/>
        <w:gridCol w:w="5103"/>
        <w:gridCol w:w="1418"/>
        <w:gridCol w:w="1366"/>
      </w:tblGrid>
      <w:tr w:rsidR="00A0618E" w:rsidRPr="00400193" w14:paraId="2D80211E" w14:textId="77777777" w:rsidTr="003B5486">
        <w:trPr>
          <w:cantSplit/>
          <w:tblHeader/>
        </w:trPr>
        <w:tc>
          <w:tcPr>
            <w:tcW w:w="1129" w:type="dxa"/>
          </w:tcPr>
          <w:p w14:paraId="5744AEAA"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Factor code</w:t>
            </w:r>
          </w:p>
        </w:tc>
        <w:tc>
          <w:tcPr>
            <w:tcW w:w="5103" w:type="dxa"/>
          </w:tcPr>
          <w:p w14:paraId="00ED9630"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Item</w:t>
            </w:r>
          </w:p>
        </w:tc>
        <w:tc>
          <w:tcPr>
            <w:tcW w:w="1418" w:type="dxa"/>
            <w:vAlign w:val="center"/>
          </w:tcPr>
          <w:p w14:paraId="35A76E87"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Alpha if deleted</w:t>
            </w:r>
          </w:p>
        </w:tc>
        <w:tc>
          <w:tcPr>
            <w:tcW w:w="1366" w:type="dxa"/>
            <w:vAlign w:val="center"/>
          </w:tcPr>
          <w:p w14:paraId="734808A2"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Cronbach Alpha (α)</w:t>
            </w:r>
          </w:p>
        </w:tc>
      </w:tr>
      <w:tr w:rsidR="00A0618E" w:rsidRPr="00400193" w14:paraId="7482C512" w14:textId="77777777" w:rsidTr="003B5486">
        <w:tc>
          <w:tcPr>
            <w:tcW w:w="9016" w:type="dxa"/>
            <w:gridSpan w:val="4"/>
            <w:shd w:val="clear" w:color="auto" w:fill="D9D9D9" w:themeFill="background1" w:themeFillShade="D9"/>
            <w:vAlign w:val="center"/>
          </w:tcPr>
          <w:p w14:paraId="278355E4"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Responses in Place</w:t>
            </w:r>
          </w:p>
        </w:tc>
      </w:tr>
      <w:tr w:rsidR="00A0618E" w:rsidRPr="00400193" w14:paraId="5DF6C836" w14:textId="77777777" w:rsidTr="003B5486">
        <w:tc>
          <w:tcPr>
            <w:tcW w:w="1129" w:type="dxa"/>
          </w:tcPr>
          <w:p w14:paraId="57CF3B0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w:t>
            </w:r>
          </w:p>
        </w:tc>
        <w:tc>
          <w:tcPr>
            <w:tcW w:w="5103" w:type="dxa"/>
          </w:tcPr>
          <w:p w14:paraId="441930C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Take systems off-line</w:t>
            </w:r>
          </w:p>
        </w:tc>
        <w:tc>
          <w:tcPr>
            <w:tcW w:w="1418" w:type="dxa"/>
            <w:vAlign w:val="center"/>
          </w:tcPr>
          <w:p w14:paraId="1570E7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0.921</w:t>
            </w:r>
          </w:p>
        </w:tc>
        <w:tc>
          <w:tcPr>
            <w:tcW w:w="1366" w:type="dxa"/>
            <w:vAlign w:val="center"/>
          </w:tcPr>
          <w:p w14:paraId="277210A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0.914</w:t>
            </w:r>
          </w:p>
        </w:tc>
      </w:tr>
      <w:tr w:rsidR="00A0618E" w:rsidRPr="00400193" w14:paraId="7CF97719" w14:textId="77777777" w:rsidTr="003B5486">
        <w:tc>
          <w:tcPr>
            <w:tcW w:w="1129" w:type="dxa"/>
          </w:tcPr>
          <w:p w14:paraId="5F6BBA2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RP2</w:t>
            </w:r>
          </w:p>
        </w:tc>
        <w:tc>
          <w:tcPr>
            <w:tcW w:w="5103" w:type="dxa"/>
          </w:tcPr>
          <w:p w14:paraId="42D036C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Change passwords</w:t>
            </w:r>
          </w:p>
        </w:tc>
        <w:tc>
          <w:tcPr>
            <w:tcW w:w="1418" w:type="dxa"/>
            <w:vAlign w:val="center"/>
          </w:tcPr>
          <w:p w14:paraId="48D2C31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0.916</w:t>
            </w:r>
          </w:p>
        </w:tc>
        <w:tc>
          <w:tcPr>
            <w:tcW w:w="1366" w:type="dxa"/>
            <w:vAlign w:val="center"/>
          </w:tcPr>
          <w:p w14:paraId="58923B4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E835A3A" w14:textId="77777777" w:rsidTr="003B5486">
        <w:tc>
          <w:tcPr>
            <w:tcW w:w="1129" w:type="dxa"/>
          </w:tcPr>
          <w:p w14:paraId="095AE58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RP3</w:t>
            </w:r>
          </w:p>
        </w:tc>
        <w:tc>
          <w:tcPr>
            <w:tcW w:w="5103" w:type="dxa"/>
          </w:tcPr>
          <w:p w14:paraId="7F24582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Investigate incidents</w:t>
            </w:r>
          </w:p>
        </w:tc>
        <w:tc>
          <w:tcPr>
            <w:tcW w:w="1418" w:type="dxa"/>
            <w:vAlign w:val="center"/>
          </w:tcPr>
          <w:p w14:paraId="305721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0.919</w:t>
            </w:r>
          </w:p>
        </w:tc>
        <w:tc>
          <w:tcPr>
            <w:tcW w:w="1366" w:type="dxa"/>
            <w:vAlign w:val="center"/>
          </w:tcPr>
          <w:p w14:paraId="19A232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A643EBD" w14:textId="77777777" w:rsidTr="003B5486">
        <w:tc>
          <w:tcPr>
            <w:tcW w:w="1129" w:type="dxa"/>
          </w:tcPr>
          <w:p w14:paraId="1029640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RP4</w:t>
            </w:r>
          </w:p>
        </w:tc>
        <w:tc>
          <w:tcPr>
            <w:tcW w:w="5103" w:type="dxa"/>
          </w:tcPr>
          <w:p w14:paraId="1EEF04E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Check firewalls and security procedures</w:t>
            </w:r>
          </w:p>
        </w:tc>
        <w:tc>
          <w:tcPr>
            <w:tcW w:w="1418" w:type="dxa"/>
            <w:vAlign w:val="center"/>
          </w:tcPr>
          <w:p w14:paraId="529B2F9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0.916</w:t>
            </w:r>
          </w:p>
        </w:tc>
        <w:tc>
          <w:tcPr>
            <w:tcW w:w="1366" w:type="dxa"/>
            <w:vAlign w:val="center"/>
          </w:tcPr>
          <w:p w14:paraId="267E67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2BA4068" w14:textId="77777777" w:rsidTr="003B5486">
        <w:tc>
          <w:tcPr>
            <w:tcW w:w="1129" w:type="dxa"/>
          </w:tcPr>
          <w:p w14:paraId="52C7B93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RP5</w:t>
            </w:r>
          </w:p>
        </w:tc>
        <w:tc>
          <w:tcPr>
            <w:tcW w:w="5103" w:type="dxa"/>
          </w:tcPr>
          <w:p w14:paraId="531A5E8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Identify information-sharing risks and publish these to all departments</w:t>
            </w:r>
          </w:p>
        </w:tc>
        <w:tc>
          <w:tcPr>
            <w:tcW w:w="1418" w:type="dxa"/>
            <w:vAlign w:val="center"/>
          </w:tcPr>
          <w:p w14:paraId="35A96D8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0.908</w:t>
            </w:r>
          </w:p>
        </w:tc>
        <w:tc>
          <w:tcPr>
            <w:tcW w:w="1366" w:type="dxa"/>
            <w:vAlign w:val="center"/>
          </w:tcPr>
          <w:p w14:paraId="3FDBEA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0A8C9DB" w14:textId="77777777" w:rsidTr="003B5486">
        <w:tc>
          <w:tcPr>
            <w:tcW w:w="1129" w:type="dxa"/>
          </w:tcPr>
          <w:p w14:paraId="6E45BB1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RP6</w:t>
            </w:r>
          </w:p>
        </w:tc>
        <w:tc>
          <w:tcPr>
            <w:tcW w:w="5103" w:type="dxa"/>
          </w:tcPr>
          <w:p w14:paraId="042704A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Identify external dependency risks and publish to all departments</w:t>
            </w:r>
          </w:p>
        </w:tc>
        <w:tc>
          <w:tcPr>
            <w:tcW w:w="1418" w:type="dxa"/>
            <w:vAlign w:val="center"/>
          </w:tcPr>
          <w:p w14:paraId="67EA1D0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0.910</w:t>
            </w:r>
          </w:p>
        </w:tc>
        <w:tc>
          <w:tcPr>
            <w:tcW w:w="1366" w:type="dxa"/>
            <w:vAlign w:val="center"/>
          </w:tcPr>
          <w:p w14:paraId="1B69B0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9ED5EF9" w14:textId="77777777" w:rsidTr="003B5486">
        <w:tc>
          <w:tcPr>
            <w:tcW w:w="1129" w:type="dxa"/>
          </w:tcPr>
          <w:p w14:paraId="26549C1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RP7</w:t>
            </w:r>
          </w:p>
        </w:tc>
        <w:tc>
          <w:tcPr>
            <w:tcW w:w="5103" w:type="dxa"/>
          </w:tcPr>
          <w:p w14:paraId="16F50DC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Monitor user access logs </w:t>
            </w:r>
          </w:p>
        </w:tc>
        <w:tc>
          <w:tcPr>
            <w:tcW w:w="1418" w:type="dxa"/>
            <w:vAlign w:val="center"/>
          </w:tcPr>
          <w:p w14:paraId="521E42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6DED76A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F6991A5" w14:textId="77777777" w:rsidTr="003B5486">
        <w:tc>
          <w:tcPr>
            <w:tcW w:w="1129" w:type="dxa"/>
          </w:tcPr>
          <w:p w14:paraId="326157C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RP8</w:t>
            </w:r>
          </w:p>
        </w:tc>
        <w:tc>
          <w:tcPr>
            <w:tcW w:w="5103" w:type="dxa"/>
          </w:tcPr>
          <w:p w14:paraId="5B71B85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Remove or change all default passwords and unnecessary accounts</w:t>
            </w:r>
          </w:p>
        </w:tc>
        <w:tc>
          <w:tcPr>
            <w:tcW w:w="1418" w:type="dxa"/>
            <w:vAlign w:val="center"/>
          </w:tcPr>
          <w:p w14:paraId="34BA11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6142815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96F8954" w14:textId="77777777" w:rsidTr="003B5486">
        <w:tc>
          <w:tcPr>
            <w:tcW w:w="1129" w:type="dxa"/>
          </w:tcPr>
          <w:p w14:paraId="20053E0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RP9</w:t>
            </w:r>
          </w:p>
        </w:tc>
        <w:tc>
          <w:tcPr>
            <w:tcW w:w="5103" w:type="dxa"/>
          </w:tcPr>
          <w:p w14:paraId="0428AF1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Encrypt data transactions across public or untrusted networks</w:t>
            </w:r>
          </w:p>
        </w:tc>
        <w:tc>
          <w:tcPr>
            <w:tcW w:w="1418" w:type="dxa"/>
            <w:vAlign w:val="center"/>
          </w:tcPr>
          <w:p w14:paraId="27D2C3F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0.908</w:t>
            </w:r>
          </w:p>
        </w:tc>
        <w:tc>
          <w:tcPr>
            <w:tcW w:w="1366" w:type="dxa"/>
            <w:vAlign w:val="center"/>
          </w:tcPr>
          <w:p w14:paraId="5BB428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6F928BE" w14:textId="77777777" w:rsidTr="003B5486">
        <w:tc>
          <w:tcPr>
            <w:tcW w:w="1129" w:type="dxa"/>
          </w:tcPr>
          <w:p w14:paraId="36F422A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RP10</w:t>
            </w:r>
          </w:p>
        </w:tc>
        <w:tc>
          <w:tcPr>
            <w:tcW w:w="5103" w:type="dxa"/>
          </w:tcPr>
          <w:p w14:paraId="4EE1161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encrypted connections and multifactor authentication</w:t>
            </w:r>
          </w:p>
        </w:tc>
        <w:tc>
          <w:tcPr>
            <w:tcW w:w="1418" w:type="dxa"/>
            <w:vAlign w:val="center"/>
          </w:tcPr>
          <w:p w14:paraId="2C1837A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381C0BB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0937B00" w14:textId="77777777" w:rsidTr="003B5486">
        <w:tc>
          <w:tcPr>
            <w:tcW w:w="1129" w:type="dxa"/>
          </w:tcPr>
          <w:p w14:paraId="3F9CD7A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RP11</w:t>
            </w:r>
          </w:p>
        </w:tc>
        <w:tc>
          <w:tcPr>
            <w:tcW w:w="5103" w:type="dxa"/>
          </w:tcPr>
          <w:p w14:paraId="7F098784" w14:textId="2B8962C9"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Uninstall 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software</w:t>
            </w:r>
          </w:p>
        </w:tc>
        <w:tc>
          <w:tcPr>
            <w:tcW w:w="1418" w:type="dxa"/>
            <w:vAlign w:val="center"/>
          </w:tcPr>
          <w:p w14:paraId="2BA0C4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518FB15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2287253" w14:textId="77777777" w:rsidTr="003B5486">
        <w:tc>
          <w:tcPr>
            <w:tcW w:w="1129" w:type="dxa"/>
          </w:tcPr>
          <w:p w14:paraId="04E2766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RP12</w:t>
            </w:r>
          </w:p>
        </w:tc>
        <w:tc>
          <w:tcPr>
            <w:tcW w:w="5103" w:type="dxa"/>
          </w:tcPr>
          <w:p w14:paraId="7EE5519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Activate procedures for authentication</w:t>
            </w:r>
          </w:p>
        </w:tc>
        <w:tc>
          <w:tcPr>
            <w:tcW w:w="1418" w:type="dxa"/>
            <w:vAlign w:val="center"/>
          </w:tcPr>
          <w:p w14:paraId="3E77F79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1B61CDF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95610DB" w14:textId="77777777" w:rsidTr="003B5486">
        <w:tc>
          <w:tcPr>
            <w:tcW w:w="1129" w:type="dxa"/>
          </w:tcPr>
          <w:p w14:paraId="34B6A6F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RP13</w:t>
            </w:r>
          </w:p>
        </w:tc>
        <w:tc>
          <w:tcPr>
            <w:tcW w:w="5103" w:type="dxa"/>
          </w:tcPr>
          <w:p w14:paraId="5E2FBF7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Audit the deployment of data disposal procedures</w:t>
            </w:r>
          </w:p>
        </w:tc>
        <w:tc>
          <w:tcPr>
            <w:tcW w:w="1418" w:type="dxa"/>
            <w:vAlign w:val="center"/>
          </w:tcPr>
          <w:p w14:paraId="68D06C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1ED8AC4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D7E76DE" w14:textId="77777777" w:rsidTr="003B5486">
        <w:tc>
          <w:tcPr>
            <w:tcW w:w="1129" w:type="dxa"/>
          </w:tcPr>
          <w:p w14:paraId="75D1A56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RP14</w:t>
            </w:r>
          </w:p>
        </w:tc>
        <w:tc>
          <w:tcPr>
            <w:tcW w:w="5103" w:type="dxa"/>
          </w:tcPr>
          <w:p w14:paraId="06C4612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Check external access by firewalls regularly </w:t>
            </w:r>
          </w:p>
        </w:tc>
        <w:tc>
          <w:tcPr>
            <w:tcW w:w="1418" w:type="dxa"/>
            <w:vAlign w:val="center"/>
          </w:tcPr>
          <w:p w14:paraId="36D0CAB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0.908</w:t>
            </w:r>
          </w:p>
        </w:tc>
        <w:tc>
          <w:tcPr>
            <w:tcW w:w="1366" w:type="dxa"/>
            <w:vAlign w:val="center"/>
          </w:tcPr>
          <w:p w14:paraId="02FCF6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ACD175B" w14:textId="77777777" w:rsidTr="003B5486">
        <w:tc>
          <w:tcPr>
            <w:tcW w:w="1129" w:type="dxa"/>
          </w:tcPr>
          <w:p w14:paraId="37A3092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RP15</w:t>
            </w:r>
          </w:p>
        </w:tc>
        <w:tc>
          <w:tcPr>
            <w:tcW w:w="5103" w:type="dxa"/>
          </w:tcPr>
          <w:p w14:paraId="04A2FA3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Check network connections regularly</w:t>
            </w:r>
          </w:p>
        </w:tc>
        <w:tc>
          <w:tcPr>
            <w:tcW w:w="1418" w:type="dxa"/>
            <w:vAlign w:val="center"/>
          </w:tcPr>
          <w:p w14:paraId="7B6673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0.910</w:t>
            </w:r>
          </w:p>
        </w:tc>
        <w:tc>
          <w:tcPr>
            <w:tcW w:w="1366" w:type="dxa"/>
            <w:vAlign w:val="center"/>
          </w:tcPr>
          <w:p w14:paraId="2476C0B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4D70666" w14:textId="77777777" w:rsidTr="003B5486">
        <w:tc>
          <w:tcPr>
            <w:tcW w:w="1129" w:type="dxa"/>
          </w:tcPr>
          <w:p w14:paraId="2905F23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RP16</w:t>
            </w:r>
          </w:p>
        </w:tc>
        <w:tc>
          <w:tcPr>
            <w:tcW w:w="5103" w:type="dxa"/>
          </w:tcPr>
          <w:p w14:paraId="642956FB" w14:textId="14929671"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Classify, log, and track incidents to prevent further 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access</w:t>
            </w:r>
          </w:p>
        </w:tc>
        <w:tc>
          <w:tcPr>
            <w:tcW w:w="1418" w:type="dxa"/>
            <w:vAlign w:val="center"/>
          </w:tcPr>
          <w:p w14:paraId="20FACDD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0.906</w:t>
            </w:r>
          </w:p>
        </w:tc>
        <w:tc>
          <w:tcPr>
            <w:tcW w:w="1366" w:type="dxa"/>
            <w:vAlign w:val="center"/>
          </w:tcPr>
          <w:p w14:paraId="50B6EE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2A27671" w14:textId="77777777" w:rsidTr="003B5486">
        <w:tc>
          <w:tcPr>
            <w:tcW w:w="1129" w:type="dxa"/>
          </w:tcPr>
          <w:p w14:paraId="181D27D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RP17</w:t>
            </w:r>
          </w:p>
        </w:tc>
        <w:tc>
          <w:tcPr>
            <w:tcW w:w="5103" w:type="dxa"/>
          </w:tcPr>
          <w:p w14:paraId="318DF9B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Provide network with strong encryption for authentication and transmission</w:t>
            </w:r>
          </w:p>
        </w:tc>
        <w:tc>
          <w:tcPr>
            <w:tcW w:w="1418" w:type="dxa"/>
            <w:vAlign w:val="center"/>
          </w:tcPr>
          <w:p w14:paraId="2EB2759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0F5608F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324B85F" w14:textId="77777777" w:rsidTr="003B5486">
        <w:tc>
          <w:tcPr>
            <w:tcW w:w="1129" w:type="dxa"/>
          </w:tcPr>
          <w:p w14:paraId="5DA6CC4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RP18</w:t>
            </w:r>
          </w:p>
        </w:tc>
        <w:tc>
          <w:tcPr>
            <w:tcW w:w="5103" w:type="dxa"/>
          </w:tcPr>
          <w:p w14:paraId="62F7AA1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real-time day-to-day monitoring</w:t>
            </w:r>
          </w:p>
        </w:tc>
        <w:tc>
          <w:tcPr>
            <w:tcW w:w="1418" w:type="dxa"/>
            <w:vAlign w:val="center"/>
          </w:tcPr>
          <w:p w14:paraId="5246111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0.908</w:t>
            </w:r>
          </w:p>
        </w:tc>
        <w:tc>
          <w:tcPr>
            <w:tcW w:w="1366" w:type="dxa"/>
            <w:vAlign w:val="center"/>
          </w:tcPr>
          <w:p w14:paraId="6509C703"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p>
        </w:tc>
      </w:tr>
    </w:tbl>
    <w:p w14:paraId="72C1FF22" w14:textId="7BF3AA38" w:rsidR="006E3616" w:rsidRPr="00400193" w:rsidRDefault="006E3616" w:rsidP="006E3616">
      <w:pPr>
        <w:pStyle w:val="Caption"/>
        <w:spacing w:after="240"/>
      </w:pPr>
      <w:bookmarkStart w:id="988" w:name="_Ref43168680"/>
      <w:bookmarkStart w:id="989" w:name="_Toc52901665"/>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5</w:t>
      </w:r>
      <w:r w:rsidRPr="00400193">
        <w:rPr>
          <w:noProof/>
        </w:rPr>
        <w:fldChar w:fldCharType="end"/>
      </w:r>
      <w:bookmarkEnd w:id="988"/>
      <w:r w:rsidRPr="00400193">
        <w:t>: Codes for Responses in Place and Cronbach’s Alpha for the study measures using the primary data</w:t>
      </w:r>
      <w:bookmarkEnd w:id="989"/>
    </w:p>
    <w:tbl>
      <w:tblPr>
        <w:tblStyle w:val="TableGrid"/>
        <w:tblW w:w="0" w:type="auto"/>
        <w:tblLook w:val="04A0" w:firstRow="1" w:lastRow="0" w:firstColumn="1" w:lastColumn="0" w:noHBand="0" w:noVBand="1"/>
      </w:tblPr>
      <w:tblGrid>
        <w:gridCol w:w="1129"/>
        <w:gridCol w:w="5103"/>
        <w:gridCol w:w="1418"/>
        <w:gridCol w:w="1366"/>
      </w:tblGrid>
      <w:tr w:rsidR="00A0618E" w:rsidRPr="00400193" w14:paraId="412EE1C6" w14:textId="77777777" w:rsidTr="003B5486">
        <w:trPr>
          <w:cantSplit/>
          <w:tblHeader/>
        </w:trPr>
        <w:tc>
          <w:tcPr>
            <w:tcW w:w="1129" w:type="dxa"/>
          </w:tcPr>
          <w:p w14:paraId="1765A767"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Factor code</w:t>
            </w:r>
          </w:p>
        </w:tc>
        <w:tc>
          <w:tcPr>
            <w:tcW w:w="5103" w:type="dxa"/>
          </w:tcPr>
          <w:p w14:paraId="31D3CB33" w14:textId="77777777" w:rsidR="006E3616" w:rsidRPr="00400193" w:rsidRDefault="006E3616" w:rsidP="003B5486">
            <w:pPr>
              <w:suppressAutoHyphens/>
              <w:spacing w:line="240" w:lineRule="auto"/>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Item</w:t>
            </w:r>
          </w:p>
        </w:tc>
        <w:tc>
          <w:tcPr>
            <w:tcW w:w="1418" w:type="dxa"/>
            <w:vAlign w:val="center"/>
          </w:tcPr>
          <w:p w14:paraId="25272085"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Alpha if deleted</w:t>
            </w:r>
          </w:p>
        </w:tc>
        <w:tc>
          <w:tcPr>
            <w:tcW w:w="1366" w:type="dxa"/>
            <w:vAlign w:val="center"/>
          </w:tcPr>
          <w:p w14:paraId="6917629C"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Cronbach Alpha (α)</w:t>
            </w:r>
          </w:p>
        </w:tc>
      </w:tr>
      <w:tr w:rsidR="00A0618E" w:rsidRPr="00400193" w14:paraId="71EA5560" w14:textId="77777777" w:rsidTr="003B5486">
        <w:tc>
          <w:tcPr>
            <w:tcW w:w="9016" w:type="dxa"/>
            <w:gridSpan w:val="4"/>
            <w:shd w:val="clear" w:color="auto" w:fill="D9D9D9" w:themeFill="background1" w:themeFillShade="D9"/>
            <w:vAlign w:val="center"/>
          </w:tcPr>
          <w:p w14:paraId="3E98405F" w14:textId="77777777" w:rsidR="006E3616" w:rsidRPr="00400193" w:rsidRDefault="006E3616" w:rsidP="003B5486">
            <w:pPr>
              <w:suppressAutoHyphens/>
              <w:spacing w:line="240" w:lineRule="auto"/>
              <w:jc w:val="center"/>
              <w:rPr>
                <w:rFonts w:asciiTheme="minorHAnsi" w:hAnsiTheme="minorHAnsi" w:cstheme="minorHAnsi"/>
                <w:b/>
                <w:bCs/>
                <w:sz w:val="18"/>
                <w:szCs w:val="18"/>
                <w:lang w:eastAsia="zh-CN" w:bidi="hi-IN"/>
              </w:rPr>
            </w:pPr>
            <w:r w:rsidRPr="00400193">
              <w:rPr>
                <w:rFonts w:asciiTheme="minorHAnsi" w:hAnsiTheme="minorHAnsi" w:cstheme="minorHAnsi"/>
                <w:b/>
                <w:bCs/>
                <w:sz w:val="18"/>
                <w:szCs w:val="18"/>
                <w:lang w:eastAsia="zh-CN" w:bidi="hi-IN"/>
              </w:rPr>
              <w:t>Organisation Resilience</w:t>
            </w:r>
          </w:p>
        </w:tc>
      </w:tr>
      <w:tr w:rsidR="00A0618E" w:rsidRPr="00400193" w14:paraId="4BFEE8BE" w14:textId="77777777" w:rsidTr="003B5486">
        <w:tc>
          <w:tcPr>
            <w:tcW w:w="1129" w:type="dxa"/>
          </w:tcPr>
          <w:p w14:paraId="45DA2E0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w:t>
            </w:r>
          </w:p>
        </w:tc>
        <w:tc>
          <w:tcPr>
            <w:tcW w:w="5103" w:type="dxa"/>
          </w:tcPr>
          <w:p w14:paraId="5E256B0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Cyber-attacks are detected and contained immediately</w:t>
            </w:r>
          </w:p>
        </w:tc>
        <w:tc>
          <w:tcPr>
            <w:tcW w:w="1418" w:type="dxa"/>
            <w:vAlign w:val="center"/>
          </w:tcPr>
          <w:p w14:paraId="5C8808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69BE7E4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0.963</w:t>
            </w:r>
          </w:p>
        </w:tc>
      </w:tr>
      <w:tr w:rsidR="00A0618E" w:rsidRPr="00400193" w14:paraId="3BE9849E" w14:textId="77777777" w:rsidTr="003B5486">
        <w:tc>
          <w:tcPr>
            <w:tcW w:w="1129" w:type="dxa"/>
          </w:tcPr>
          <w:p w14:paraId="0D33AC6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w:t>
            </w:r>
          </w:p>
        </w:tc>
        <w:tc>
          <w:tcPr>
            <w:tcW w:w="5103" w:type="dxa"/>
          </w:tcPr>
          <w:p w14:paraId="126983B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A business continuity risk plan is implemented </w:t>
            </w:r>
          </w:p>
        </w:tc>
        <w:tc>
          <w:tcPr>
            <w:tcW w:w="1418" w:type="dxa"/>
            <w:vAlign w:val="center"/>
          </w:tcPr>
          <w:p w14:paraId="74EE17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6D14395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4D96F04" w14:textId="77777777" w:rsidTr="003B5486">
        <w:tc>
          <w:tcPr>
            <w:tcW w:w="1129" w:type="dxa"/>
          </w:tcPr>
          <w:p w14:paraId="0891878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OR3</w:t>
            </w:r>
          </w:p>
        </w:tc>
        <w:tc>
          <w:tcPr>
            <w:tcW w:w="5103" w:type="dxa"/>
          </w:tcPr>
          <w:p w14:paraId="52090F9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Anomalous activities are detected by our monitoring procedures </w:t>
            </w:r>
          </w:p>
        </w:tc>
        <w:tc>
          <w:tcPr>
            <w:tcW w:w="1418" w:type="dxa"/>
            <w:vAlign w:val="center"/>
          </w:tcPr>
          <w:p w14:paraId="40A92E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3576AD0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581B782" w14:textId="77777777" w:rsidTr="003B5486">
        <w:tc>
          <w:tcPr>
            <w:tcW w:w="1129" w:type="dxa"/>
          </w:tcPr>
          <w:p w14:paraId="4484B52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OR4</w:t>
            </w:r>
          </w:p>
        </w:tc>
        <w:tc>
          <w:tcPr>
            <w:tcW w:w="5103" w:type="dxa"/>
          </w:tcPr>
          <w:p w14:paraId="3225BA8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Logs of physical and/or logical access are reviewed daily</w:t>
            </w:r>
          </w:p>
        </w:tc>
        <w:tc>
          <w:tcPr>
            <w:tcW w:w="1418" w:type="dxa"/>
            <w:vAlign w:val="center"/>
          </w:tcPr>
          <w:p w14:paraId="6C71E3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683CF4A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DF10969" w14:textId="77777777" w:rsidTr="003B5486">
        <w:tc>
          <w:tcPr>
            <w:tcW w:w="1129" w:type="dxa"/>
          </w:tcPr>
          <w:p w14:paraId="5C69A2B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OR5</w:t>
            </w:r>
          </w:p>
        </w:tc>
        <w:tc>
          <w:tcPr>
            <w:tcW w:w="5103" w:type="dxa"/>
          </w:tcPr>
          <w:p w14:paraId="5B94DC17" w14:textId="26CC1570"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Access to critical systems is monitored to detect any 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or unusual activity</w:t>
            </w:r>
          </w:p>
        </w:tc>
        <w:tc>
          <w:tcPr>
            <w:tcW w:w="1418" w:type="dxa"/>
            <w:vAlign w:val="center"/>
          </w:tcPr>
          <w:p w14:paraId="78CC37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4D7509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1C20C55" w14:textId="77777777" w:rsidTr="003B5486">
        <w:tc>
          <w:tcPr>
            <w:tcW w:w="1129" w:type="dxa"/>
          </w:tcPr>
          <w:p w14:paraId="4302D23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OR6</w:t>
            </w:r>
          </w:p>
        </w:tc>
        <w:tc>
          <w:tcPr>
            <w:tcW w:w="5103" w:type="dxa"/>
          </w:tcPr>
          <w:p w14:paraId="5E47765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Elevated privileges are regularly monitored</w:t>
            </w:r>
          </w:p>
        </w:tc>
        <w:tc>
          <w:tcPr>
            <w:tcW w:w="1418" w:type="dxa"/>
            <w:vAlign w:val="center"/>
          </w:tcPr>
          <w:p w14:paraId="7694238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2C23BAC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5E75169" w14:textId="77777777" w:rsidTr="003B5486">
        <w:tc>
          <w:tcPr>
            <w:tcW w:w="1129" w:type="dxa"/>
          </w:tcPr>
          <w:p w14:paraId="3C600C1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OR7</w:t>
            </w:r>
          </w:p>
        </w:tc>
        <w:tc>
          <w:tcPr>
            <w:tcW w:w="5103" w:type="dxa"/>
          </w:tcPr>
          <w:p w14:paraId="4BBDC2D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 normal network activity baseline is established</w:t>
            </w:r>
          </w:p>
        </w:tc>
        <w:tc>
          <w:tcPr>
            <w:tcW w:w="1418" w:type="dxa"/>
            <w:vAlign w:val="center"/>
          </w:tcPr>
          <w:p w14:paraId="49E7F00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61EFC1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DC6A948" w14:textId="77777777" w:rsidTr="003B5486">
        <w:tc>
          <w:tcPr>
            <w:tcW w:w="1129" w:type="dxa"/>
          </w:tcPr>
          <w:p w14:paraId="562B115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OR8</w:t>
            </w:r>
          </w:p>
        </w:tc>
        <w:tc>
          <w:tcPr>
            <w:tcW w:w="5103" w:type="dxa"/>
          </w:tcPr>
          <w:p w14:paraId="4D463663" w14:textId="25AEBABD"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users, devices, connections, and software are monitored</w:t>
            </w:r>
          </w:p>
        </w:tc>
        <w:tc>
          <w:tcPr>
            <w:tcW w:w="1418" w:type="dxa"/>
            <w:vAlign w:val="center"/>
          </w:tcPr>
          <w:p w14:paraId="19A15BB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5E4951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991C501" w14:textId="77777777" w:rsidTr="003B5486">
        <w:tc>
          <w:tcPr>
            <w:tcW w:w="1129" w:type="dxa"/>
          </w:tcPr>
          <w:p w14:paraId="0958F65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OR9</w:t>
            </w:r>
          </w:p>
        </w:tc>
        <w:tc>
          <w:tcPr>
            <w:tcW w:w="5103" w:type="dxa"/>
          </w:tcPr>
          <w:p w14:paraId="34EF308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Monitoring and reporting suspicious systems activity is assigned to experts</w:t>
            </w:r>
          </w:p>
        </w:tc>
        <w:tc>
          <w:tcPr>
            <w:tcW w:w="1418" w:type="dxa"/>
            <w:vAlign w:val="center"/>
          </w:tcPr>
          <w:p w14:paraId="5724E1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3CE49E1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45A3EF6" w14:textId="77777777" w:rsidTr="003B5486">
        <w:tc>
          <w:tcPr>
            <w:tcW w:w="1129" w:type="dxa"/>
          </w:tcPr>
          <w:p w14:paraId="583F796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OR10</w:t>
            </w:r>
          </w:p>
        </w:tc>
        <w:tc>
          <w:tcPr>
            <w:tcW w:w="5103" w:type="dxa"/>
          </w:tcPr>
          <w:p w14:paraId="162032B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 physical environment is monitored to detect potential unauthorised access</w:t>
            </w:r>
          </w:p>
        </w:tc>
        <w:tc>
          <w:tcPr>
            <w:tcW w:w="1418" w:type="dxa"/>
            <w:vAlign w:val="center"/>
          </w:tcPr>
          <w:p w14:paraId="6C4569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3DEC11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15FA1C6" w14:textId="77777777" w:rsidTr="003B5486">
        <w:tc>
          <w:tcPr>
            <w:tcW w:w="1129" w:type="dxa"/>
          </w:tcPr>
          <w:p w14:paraId="352E35A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OR11</w:t>
            </w:r>
          </w:p>
        </w:tc>
        <w:tc>
          <w:tcPr>
            <w:tcW w:w="5103" w:type="dxa"/>
          </w:tcPr>
          <w:p w14:paraId="48CC98F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There are documented response procedures for cyber-incidents</w:t>
            </w:r>
          </w:p>
        </w:tc>
        <w:tc>
          <w:tcPr>
            <w:tcW w:w="1418" w:type="dxa"/>
            <w:vAlign w:val="center"/>
          </w:tcPr>
          <w:p w14:paraId="6C15F58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2179312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2BF4686" w14:textId="77777777" w:rsidTr="003B5486">
        <w:tc>
          <w:tcPr>
            <w:tcW w:w="1129" w:type="dxa"/>
          </w:tcPr>
          <w:p w14:paraId="0CCE056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OR12</w:t>
            </w:r>
          </w:p>
        </w:tc>
        <w:tc>
          <w:tcPr>
            <w:tcW w:w="5103" w:type="dxa"/>
          </w:tcPr>
          <w:p w14:paraId="56B1ACB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Response team members’ roles and responsibilities are clearly defined</w:t>
            </w:r>
          </w:p>
        </w:tc>
        <w:tc>
          <w:tcPr>
            <w:tcW w:w="1418" w:type="dxa"/>
            <w:vAlign w:val="center"/>
          </w:tcPr>
          <w:p w14:paraId="793BA4B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002B28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3026BA2" w14:textId="77777777" w:rsidTr="003B5486">
        <w:tc>
          <w:tcPr>
            <w:tcW w:w="1129" w:type="dxa"/>
          </w:tcPr>
          <w:p w14:paraId="4F0136F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OR13</w:t>
            </w:r>
          </w:p>
        </w:tc>
        <w:tc>
          <w:tcPr>
            <w:tcW w:w="5103" w:type="dxa"/>
          </w:tcPr>
          <w:p w14:paraId="7CA71B2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Our response team includes representatives from different departments. e.g., management, legal, public relations, and information technology</w:t>
            </w:r>
          </w:p>
        </w:tc>
        <w:tc>
          <w:tcPr>
            <w:tcW w:w="1418" w:type="dxa"/>
            <w:vAlign w:val="center"/>
          </w:tcPr>
          <w:p w14:paraId="31C956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140085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EC72A93" w14:textId="77777777" w:rsidTr="003B5486">
        <w:tc>
          <w:tcPr>
            <w:tcW w:w="1129" w:type="dxa"/>
          </w:tcPr>
          <w:p w14:paraId="3EE826F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OR14</w:t>
            </w:r>
          </w:p>
        </w:tc>
        <w:tc>
          <w:tcPr>
            <w:tcW w:w="5103" w:type="dxa"/>
          </w:tcPr>
          <w:p w14:paraId="6B2B374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Security breaches are reported in a timely manner in line with best practice </w:t>
            </w:r>
          </w:p>
        </w:tc>
        <w:tc>
          <w:tcPr>
            <w:tcW w:w="1418" w:type="dxa"/>
            <w:vAlign w:val="center"/>
          </w:tcPr>
          <w:p w14:paraId="73F49A6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09D516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C65784F" w14:textId="77777777" w:rsidTr="003B5486">
        <w:tc>
          <w:tcPr>
            <w:tcW w:w="1129" w:type="dxa"/>
          </w:tcPr>
          <w:p w14:paraId="49B925D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OR15</w:t>
            </w:r>
          </w:p>
        </w:tc>
        <w:tc>
          <w:tcPr>
            <w:tcW w:w="5103" w:type="dxa"/>
          </w:tcPr>
          <w:p w14:paraId="5EEE6EA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 formal backup and recovery plan exists for all critical business communications in our organisation</w:t>
            </w:r>
          </w:p>
        </w:tc>
        <w:tc>
          <w:tcPr>
            <w:tcW w:w="1418" w:type="dxa"/>
            <w:vAlign w:val="center"/>
          </w:tcPr>
          <w:p w14:paraId="7C1878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51DC52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A0E9180" w14:textId="77777777" w:rsidTr="003B5486">
        <w:tc>
          <w:tcPr>
            <w:tcW w:w="1129" w:type="dxa"/>
          </w:tcPr>
          <w:p w14:paraId="2BC5230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OR16</w:t>
            </w:r>
          </w:p>
        </w:tc>
        <w:tc>
          <w:tcPr>
            <w:tcW w:w="5103" w:type="dxa"/>
          </w:tcPr>
          <w:p w14:paraId="44DC889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All internal or external audits and testing are formally tracked and resolved to mitigate risk</w:t>
            </w:r>
          </w:p>
        </w:tc>
        <w:tc>
          <w:tcPr>
            <w:tcW w:w="1418" w:type="dxa"/>
            <w:vAlign w:val="center"/>
          </w:tcPr>
          <w:p w14:paraId="5B7128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1F1880B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2CB85E1" w14:textId="77777777" w:rsidTr="003B5486">
        <w:tc>
          <w:tcPr>
            <w:tcW w:w="1129" w:type="dxa"/>
          </w:tcPr>
          <w:p w14:paraId="6BF084A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OR17</w:t>
            </w:r>
          </w:p>
        </w:tc>
        <w:tc>
          <w:tcPr>
            <w:tcW w:w="5103" w:type="dxa"/>
          </w:tcPr>
          <w:p w14:paraId="051D305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 people responsible for analysing and responding to an incident are easily reachable</w:t>
            </w:r>
          </w:p>
        </w:tc>
        <w:tc>
          <w:tcPr>
            <w:tcW w:w="1418" w:type="dxa"/>
            <w:vAlign w:val="center"/>
          </w:tcPr>
          <w:p w14:paraId="4BD44C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2A7E1A8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D3A5B23" w14:textId="77777777" w:rsidTr="003B5486">
        <w:tc>
          <w:tcPr>
            <w:tcW w:w="1129" w:type="dxa"/>
          </w:tcPr>
          <w:p w14:paraId="14DBD95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OR18</w:t>
            </w:r>
          </w:p>
        </w:tc>
        <w:tc>
          <w:tcPr>
            <w:tcW w:w="5103" w:type="dxa"/>
          </w:tcPr>
          <w:p w14:paraId="512E8958"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Issues identified in assessments are prioritised and resolved based on risk levels</w:t>
            </w:r>
          </w:p>
        </w:tc>
        <w:tc>
          <w:tcPr>
            <w:tcW w:w="1418" w:type="dxa"/>
            <w:vAlign w:val="center"/>
          </w:tcPr>
          <w:p w14:paraId="0157D6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0.963</w:t>
            </w:r>
          </w:p>
        </w:tc>
        <w:tc>
          <w:tcPr>
            <w:tcW w:w="1366" w:type="dxa"/>
            <w:vAlign w:val="center"/>
          </w:tcPr>
          <w:p w14:paraId="21CDBF8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D6E9DF3" w14:textId="77777777" w:rsidTr="003B5486">
        <w:tc>
          <w:tcPr>
            <w:tcW w:w="1129" w:type="dxa"/>
          </w:tcPr>
          <w:p w14:paraId="72C74E0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OR19</w:t>
            </w:r>
          </w:p>
        </w:tc>
        <w:tc>
          <w:tcPr>
            <w:tcW w:w="5103" w:type="dxa"/>
          </w:tcPr>
          <w:p w14:paraId="630951F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Systems, applications, and data recovery are each tested at least yearly</w:t>
            </w:r>
          </w:p>
        </w:tc>
        <w:tc>
          <w:tcPr>
            <w:tcW w:w="1418" w:type="dxa"/>
            <w:vAlign w:val="center"/>
          </w:tcPr>
          <w:p w14:paraId="779A281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7001503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C2A4E24" w14:textId="77777777" w:rsidTr="003B5486">
        <w:tc>
          <w:tcPr>
            <w:tcW w:w="1129" w:type="dxa"/>
          </w:tcPr>
          <w:p w14:paraId="17AE630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OR20</w:t>
            </w:r>
          </w:p>
        </w:tc>
        <w:tc>
          <w:tcPr>
            <w:tcW w:w="5103" w:type="dxa"/>
          </w:tcPr>
          <w:p w14:paraId="1818A3E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Controls are in place to restrict the use of removable media to authorised personnel only</w:t>
            </w:r>
          </w:p>
        </w:tc>
        <w:tc>
          <w:tcPr>
            <w:tcW w:w="1418" w:type="dxa"/>
            <w:vAlign w:val="center"/>
          </w:tcPr>
          <w:p w14:paraId="0453E76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0.962</w:t>
            </w:r>
          </w:p>
        </w:tc>
        <w:tc>
          <w:tcPr>
            <w:tcW w:w="1366" w:type="dxa"/>
            <w:vAlign w:val="center"/>
          </w:tcPr>
          <w:p w14:paraId="21E0124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C6CC0B9" w14:textId="77777777" w:rsidTr="003B5486">
        <w:tc>
          <w:tcPr>
            <w:tcW w:w="1129" w:type="dxa"/>
          </w:tcPr>
          <w:p w14:paraId="6E0489D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OR21</w:t>
            </w:r>
          </w:p>
        </w:tc>
        <w:tc>
          <w:tcPr>
            <w:tcW w:w="5103" w:type="dxa"/>
          </w:tcPr>
          <w:p w14:paraId="3F28602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Event logging practices are independently reviewed to ensure correct management (e.g., access controls, retention, and maintenance).</w:t>
            </w:r>
          </w:p>
        </w:tc>
        <w:tc>
          <w:tcPr>
            <w:tcW w:w="1418" w:type="dxa"/>
            <w:vAlign w:val="center"/>
          </w:tcPr>
          <w:p w14:paraId="0AFEC0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0.961</w:t>
            </w:r>
          </w:p>
        </w:tc>
        <w:tc>
          <w:tcPr>
            <w:tcW w:w="1366" w:type="dxa"/>
            <w:vAlign w:val="center"/>
          </w:tcPr>
          <w:p w14:paraId="6A341DEB" w14:textId="77777777" w:rsidR="006E3616" w:rsidRPr="00400193" w:rsidRDefault="006E3616" w:rsidP="003B5486">
            <w:pPr>
              <w:keepNext/>
              <w:suppressAutoHyphens/>
              <w:spacing w:line="240" w:lineRule="auto"/>
              <w:jc w:val="center"/>
              <w:rPr>
                <w:rFonts w:asciiTheme="minorHAnsi" w:hAnsiTheme="minorHAnsi" w:cstheme="minorHAnsi"/>
                <w:sz w:val="18"/>
                <w:szCs w:val="18"/>
                <w:lang w:eastAsia="zh-CN" w:bidi="hi-IN"/>
              </w:rPr>
            </w:pPr>
          </w:p>
        </w:tc>
      </w:tr>
    </w:tbl>
    <w:p w14:paraId="232A58D1" w14:textId="0097E49E" w:rsidR="006E3616" w:rsidRPr="00400193" w:rsidRDefault="006E3616" w:rsidP="006E3616">
      <w:pPr>
        <w:pStyle w:val="Caption"/>
        <w:spacing w:after="240"/>
      </w:pPr>
      <w:bookmarkStart w:id="990" w:name="_Ref43168779"/>
      <w:bookmarkStart w:id="991" w:name="_Toc52901666"/>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6</w:t>
      </w:r>
      <w:r w:rsidRPr="00400193">
        <w:rPr>
          <w:noProof/>
        </w:rPr>
        <w:fldChar w:fldCharType="end"/>
      </w:r>
      <w:bookmarkEnd w:id="990"/>
      <w:r w:rsidRPr="00400193">
        <w:t>: Codes for Organisational Resilience and Cronbach’s Alpha for the study measures using the primary data</w:t>
      </w:r>
      <w:bookmarkEnd w:id="991"/>
    </w:p>
    <w:p w14:paraId="2A9E1B13" w14:textId="77777777" w:rsidR="006E3616" w:rsidRPr="00400193" w:rsidRDefault="006E3616" w:rsidP="006E3616">
      <w:pPr>
        <w:suppressAutoHyphens/>
        <w:spacing w:before="120" w:after="120" w:line="240" w:lineRule="auto"/>
        <w:rPr>
          <w:szCs w:val="24"/>
          <w:lang w:eastAsia="zh-CN" w:bidi="hi-IN"/>
        </w:rPr>
      </w:pPr>
      <w:r w:rsidRPr="00400193">
        <w:rPr>
          <w:szCs w:val="24"/>
          <w:lang w:eastAsia="zh-CN" w:bidi="hi-IN"/>
        </w:rPr>
        <w:tab/>
      </w:r>
    </w:p>
    <w:tbl>
      <w:tblPr>
        <w:tblStyle w:val="TableGrid"/>
        <w:tblW w:w="0" w:type="auto"/>
        <w:tblLook w:val="04A0" w:firstRow="1" w:lastRow="0" w:firstColumn="1" w:lastColumn="0" w:noHBand="0" w:noVBand="1"/>
      </w:tblPr>
      <w:tblGrid>
        <w:gridCol w:w="1129"/>
        <w:gridCol w:w="5103"/>
        <w:gridCol w:w="1418"/>
        <w:gridCol w:w="1366"/>
      </w:tblGrid>
      <w:tr w:rsidR="00A0618E" w:rsidRPr="00400193" w14:paraId="38E8B050" w14:textId="77777777" w:rsidTr="003B5486">
        <w:trPr>
          <w:cantSplit/>
          <w:tblHeader/>
        </w:trPr>
        <w:tc>
          <w:tcPr>
            <w:tcW w:w="1129" w:type="dxa"/>
            <w:vAlign w:val="center"/>
          </w:tcPr>
          <w:p w14:paraId="0E8176E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Factor code</w:t>
            </w:r>
          </w:p>
        </w:tc>
        <w:tc>
          <w:tcPr>
            <w:tcW w:w="5103" w:type="dxa"/>
            <w:vAlign w:val="center"/>
          </w:tcPr>
          <w:p w14:paraId="17BA5A7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Item</w:t>
            </w:r>
          </w:p>
        </w:tc>
        <w:tc>
          <w:tcPr>
            <w:tcW w:w="1418" w:type="dxa"/>
            <w:vAlign w:val="center"/>
          </w:tcPr>
          <w:p w14:paraId="632CB6E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Alpha if deleted</w:t>
            </w:r>
          </w:p>
        </w:tc>
        <w:tc>
          <w:tcPr>
            <w:tcW w:w="1366" w:type="dxa"/>
            <w:vAlign w:val="center"/>
          </w:tcPr>
          <w:p w14:paraId="4571C6E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Cronbach Alpha (α)</w:t>
            </w:r>
          </w:p>
        </w:tc>
      </w:tr>
      <w:tr w:rsidR="00A0618E" w:rsidRPr="00400193" w14:paraId="68D83D67" w14:textId="77777777" w:rsidTr="003B5486">
        <w:tc>
          <w:tcPr>
            <w:tcW w:w="9016" w:type="dxa"/>
            <w:gridSpan w:val="4"/>
            <w:shd w:val="clear" w:color="auto" w:fill="D9D9D9" w:themeFill="background1" w:themeFillShade="D9"/>
            <w:vAlign w:val="center"/>
          </w:tcPr>
          <w:p w14:paraId="51C0B47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Key External Threats - Cyber Attack</w:t>
            </w:r>
          </w:p>
        </w:tc>
      </w:tr>
      <w:tr w:rsidR="00A0618E" w:rsidRPr="00400193" w14:paraId="6D547ECE" w14:textId="77777777" w:rsidTr="003B5486">
        <w:tc>
          <w:tcPr>
            <w:tcW w:w="1129" w:type="dxa"/>
            <w:vAlign w:val="center"/>
          </w:tcPr>
          <w:p w14:paraId="4AB8822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w:t>
            </w:r>
          </w:p>
        </w:tc>
        <w:tc>
          <w:tcPr>
            <w:tcW w:w="5103" w:type="dxa"/>
            <w:vAlign w:val="center"/>
          </w:tcPr>
          <w:p w14:paraId="2365843C"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Breaches making computers and internet unusable.</w:t>
            </w:r>
          </w:p>
        </w:tc>
        <w:tc>
          <w:tcPr>
            <w:tcW w:w="1418" w:type="dxa"/>
            <w:vAlign w:val="center"/>
          </w:tcPr>
          <w:p w14:paraId="088EAD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64A371E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0.914</w:t>
            </w:r>
          </w:p>
        </w:tc>
      </w:tr>
      <w:tr w:rsidR="00A0618E" w:rsidRPr="00400193" w14:paraId="32F94419" w14:textId="77777777" w:rsidTr="003B5486">
        <w:tc>
          <w:tcPr>
            <w:tcW w:w="1129" w:type="dxa"/>
            <w:vAlign w:val="center"/>
          </w:tcPr>
          <w:p w14:paraId="5D919C4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KECA2</w:t>
            </w:r>
          </w:p>
        </w:tc>
        <w:tc>
          <w:tcPr>
            <w:tcW w:w="5103" w:type="dxa"/>
            <w:vAlign w:val="center"/>
          </w:tcPr>
          <w:p w14:paraId="3624F19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Security systems disconnected from each other</w:t>
            </w:r>
          </w:p>
        </w:tc>
        <w:tc>
          <w:tcPr>
            <w:tcW w:w="1418" w:type="dxa"/>
            <w:vAlign w:val="center"/>
          </w:tcPr>
          <w:p w14:paraId="4254DE4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0.912</w:t>
            </w:r>
          </w:p>
        </w:tc>
        <w:tc>
          <w:tcPr>
            <w:tcW w:w="1366" w:type="dxa"/>
            <w:vAlign w:val="center"/>
          </w:tcPr>
          <w:p w14:paraId="4CDF70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E6D3288" w14:textId="77777777" w:rsidTr="003B5486">
        <w:tc>
          <w:tcPr>
            <w:tcW w:w="1129" w:type="dxa"/>
            <w:vAlign w:val="center"/>
          </w:tcPr>
          <w:p w14:paraId="1FB631F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KECA3</w:t>
            </w:r>
          </w:p>
        </w:tc>
        <w:tc>
          <w:tcPr>
            <w:tcW w:w="5103" w:type="dxa"/>
            <w:vAlign w:val="center"/>
          </w:tcPr>
          <w:p w14:paraId="2BA6F9F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Power blackouts, accidents and compromised signals and controls.</w:t>
            </w:r>
          </w:p>
        </w:tc>
        <w:tc>
          <w:tcPr>
            <w:tcW w:w="1418" w:type="dxa"/>
            <w:vAlign w:val="center"/>
          </w:tcPr>
          <w:p w14:paraId="3FD0458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0.909</w:t>
            </w:r>
          </w:p>
        </w:tc>
        <w:tc>
          <w:tcPr>
            <w:tcW w:w="1366" w:type="dxa"/>
            <w:vAlign w:val="center"/>
          </w:tcPr>
          <w:p w14:paraId="340853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420E2A6" w14:textId="77777777" w:rsidTr="003B5486">
        <w:tc>
          <w:tcPr>
            <w:tcW w:w="1129" w:type="dxa"/>
            <w:vAlign w:val="center"/>
          </w:tcPr>
          <w:p w14:paraId="7E38652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KECA4</w:t>
            </w:r>
          </w:p>
        </w:tc>
        <w:tc>
          <w:tcPr>
            <w:tcW w:w="5103" w:type="dxa"/>
            <w:vAlign w:val="center"/>
          </w:tcPr>
          <w:p w14:paraId="548E13B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Disrupted services</w:t>
            </w:r>
          </w:p>
        </w:tc>
        <w:tc>
          <w:tcPr>
            <w:tcW w:w="1418" w:type="dxa"/>
            <w:vAlign w:val="center"/>
          </w:tcPr>
          <w:p w14:paraId="6996248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0.906</w:t>
            </w:r>
          </w:p>
        </w:tc>
        <w:tc>
          <w:tcPr>
            <w:tcW w:w="1366" w:type="dxa"/>
            <w:vAlign w:val="center"/>
          </w:tcPr>
          <w:p w14:paraId="4003FD8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986AD4A" w14:textId="77777777" w:rsidTr="003B5486">
        <w:tc>
          <w:tcPr>
            <w:tcW w:w="1129" w:type="dxa"/>
            <w:vAlign w:val="center"/>
          </w:tcPr>
          <w:p w14:paraId="2CA401A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KECA5</w:t>
            </w:r>
          </w:p>
        </w:tc>
        <w:tc>
          <w:tcPr>
            <w:tcW w:w="5103" w:type="dxa"/>
            <w:vAlign w:val="center"/>
          </w:tcPr>
          <w:p w14:paraId="2ADF32C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Control taken of vital systems</w:t>
            </w:r>
          </w:p>
        </w:tc>
        <w:tc>
          <w:tcPr>
            <w:tcW w:w="1418" w:type="dxa"/>
            <w:vAlign w:val="center"/>
          </w:tcPr>
          <w:p w14:paraId="4FAB424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0.906</w:t>
            </w:r>
          </w:p>
        </w:tc>
        <w:tc>
          <w:tcPr>
            <w:tcW w:w="1366" w:type="dxa"/>
            <w:vAlign w:val="center"/>
          </w:tcPr>
          <w:p w14:paraId="781B472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D4D82E9" w14:textId="77777777" w:rsidTr="003B5486">
        <w:tc>
          <w:tcPr>
            <w:tcW w:w="1129" w:type="dxa"/>
            <w:vAlign w:val="center"/>
          </w:tcPr>
          <w:p w14:paraId="4EB2DA3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KECA6</w:t>
            </w:r>
          </w:p>
        </w:tc>
        <w:tc>
          <w:tcPr>
            <w:tcW w:w="5103" w:type="dxa"/>
            <w:vAlign w:val="center"/>
          </w:tcPr>
          <w:p w14:paraId="3E69F36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Rogue and feral mobile apps</w:t>
            </w:r>
          </w:p>
        </w:tc>
        <w:tc>
          <w:tcPr>
            <w:tcW w:w="1418" w:type="dxa"/>
            <w:vAlign w:val="center"/>
          </w:tcPr>
          <w:p w14:paraId="01AC841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5253A0D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0F5FB15" w14:textId="77777777" w:rsidTr="003B5486">
        <w:tc>
          <w:tcPr>
            <w:tcW w:w="1129" w:type="dxa"/>
            <w:vAlign w:val="center"/>
          </w:tcPr>
          <w:p w14:paraId="51A427B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KECA7</w:t>
            </w:r>
          </w:p>
        </w:tc>
        <w:tc>
          <w:tcPr>
            <w:tcW w:w="5103" w:type="dxa"/>
            <w:vAlign w:val="center"/>
          </w:tcPr>
          <w:p w14:paraId="2193A5A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File sharing/peer-to-peer</w:t>
            </w:r>
          </w:p>
        </w:tc>
        <w:tc>
          <w:tcPr>
            <w:tcW w:w="1418" w:type="dxa"/>
            <w:vAlign w:val="center"/>
          </w:tcPr>
          <w:p w14:paraId="384747F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21A0CD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5356A7F" w14:textId="77777777" w:rsidTr="003B5486">
        <w:tc>
          <w:tcPr>
            <w:tcW w:w="1129" w:type="dxa"/>
            <w:vAlign w:val="center"/>
          </w:tcPr>
          <w:p w14:paraId="67AE33B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KECA8</w:t>
            </w:r>
          </w:p>
        </w:tc>
        <w:tc>
          <w:tcPr>
            <w:tcW w:w="5103" w:type="dxa"/>
            <w:vAlign w:val="center"/>
          </w:tcPr>
          <w:p w14:paraId="2102BA3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Social networking</w:t>
            </w:r>
          </w:p>
        </w:tc>
        <w:tc>
          <w:tcPr>
            <w:tcW w:w="1418" w:type="dxa"/>
            <w:vAlign w:val="center"/>
          </w:tcPr>
          <w:p w14:paraId="00AE95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0.909</w:t>
            </w:r>
          </w:p>
        </w:tc>
        <w:tc>
          <w:tcPr>
            <w:tcW w:w="1366" w:type="dxa"/>
            <w:vAlign w:val="center"/>
          </w:tcPr>
          <w:p w14:paraId="44A7D22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2713649" w14:textId="77777777" w:rsidTr="003B5486">
        <w:tc>
          <w:tcPr>
            <w:tcW w:w="1129" w:type="dxa"/>
            <w:vAlign w:val="center"/>
          </w:tcPr>
          <w:p w14:paraId="1D43710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KECA9</w:t>
            </w:r>
          </w:p>
        </w:tc>
        <w:tc>
          <w:tcPr>
            <w:tcW w:w="5103" w:type="dxa"/>
            <w:vAlign w:val="center"/>
          </w:tcPr>
          <w:p w14:paraId="3F53691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Personal email/webmail</w:t>
            </w:r>
          </w:p>
        </w:tc>
        <w:tc>
          <w:tcPr>
            <w:tcW w:w="1418" w:type="dxa"/>
            <w:vAlign w:val="center"/>
          </w:tcPr>
          <w:p w14:paraId="7DF2770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59CC6C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CC8B92C" w14:textId="77777777" w:rsidTr="003B5486">
        <w:tc>
          <w:tcPr>
            <w:tcW w:w="1129" w:type="dxa"/>
            <w:vAlign w:val="center"/>
          </w:tcPr>
          <w:p w14:paraId="1C3C4C6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KECA10</w:t>
            </w:r>
          </w:p>
        </w:tc>
        <w:tc>
          <w:tcPr>
            <w:tcW w:w="5103" w:type="dxa"/>
            <w:vAlign w:val="center"/>
          </w:tcPr>
          <w:p w14:paraId="504C335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Online games</w:t>
            </w:r>
          </w:p>
        </w:tc>
        <w:tc>
          <w:tcPr>
            <w:tcW w:w="1418" w:type="dxa"/>
            <w:vAlign w:val="center"/>
          </w:tcPr>
          <w:p w14:paraId="165A1FE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0.911</w:t>
            </w:r>
          </w:p>
        </w:tc>
        <w:tc>
          <w:tcPr>
            <w:tcW w:w="1366" w:type="dxa"/>
            <w:vAlign w:val="center"/>
          </w:tcPr>
          <w:p w14:paraId="1A8649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346FC45" w14:textId="77777777" w:rsidTr="003B5486">
        <w:tc>
          <w:tcPr>
            <w:tcW w:w="1129" w:type="dxa"/>
            <w:vAlign w:val="center"/>
          </w:tcPr>
          <w:p w14:paraId="2B74A61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KECA11</w:t>
            </w:r>
          </w:p>
        </w:tc>
        <w:tc>
          <w:tcPr>
            <w:tcW w:w="5103" w:type="dxa"/>
            <w:vAlign w:val="center"/>
          </w:tcPr>
          <w:p w14:paraId="3513FF9E"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Calls over internet (VoIP)</w:t>
            </w:r>
          </w:p>
        </w:tc>
        <w:tc>
          <w:tcPr>
            <w:tcW w:w="1418" w:type="dxa"/>
            <w:vAlign w:val="center"/>
          </w:tcPr>
          <w:p w14:paraId="5B422C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0.910</w:t>
            </w:r>
          </w:p>
        </w:tc>
        <w:tc>
          <w:tcPr>
            <w:tcW w:w="1366" w:type="dxa"/>
            <w:vAlign w:val="center"/>
          </w:tcPr>
          <w:p w14:paraId="14B733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6DC14F4" w14:textId="77777777" w:rsidTr="003B5486">
        <w:tc>
          <w:tcPr>
            <w:tcW w:w="1129" w:type="dxa"/>
            <w:vAlign w:val="center"/>
          </w:tcPr>
          <w:p w14:paraId="6548BD4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KECA12</w:t>
            </w:r>
          </w:p>
        </w:tc>
        <w:tc>
          <w:tcPr>
            <w:tcW w:w="5103" w:type="dxa"/>
            <w:vAlign w:val="center"/>
          </w:tcPr>
          <w:p w14:paraId="3292414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Unfriendly user interface(s) of device(s)</w:t>
            </w:r>
          </w:p>
        </w:tc>
        <w:tc>
          <w:tcPr>
            <w:tcW w:w="1418" w:type="dxa"/>
            <w:vAlign w:val="center"/>
          </w:tcPr>
          <w:p w14:paraId="2FE0387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0.905</w:t>
            </w:r>
          </w:p>
        </w:tc>
        <w:tc>
          <w:tcPr>
            <w:tcW w:w="1366" w:type="dxa"/>
            <w:vAlign w:val="center"/>
          </w:tcPr>
          <w:p w14:paraId="47E3BD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A0F5055" w14:textId="77777777" w:rsidTr="003B5486">
        <w:tc>
          <w:tcPr>
            <w:tcW w:w="1129" w:type="dxa"/>
            <w:vAlign w:val="center"/>
          </w:tcPr>
          <w:p w14:paraId="441C865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KECA13</w:t>
            </w:r>
          </w:p>
        </w:tc>
        <w:tc>
          <w:tcPr>
            <w:tcW w:w="5103" w:type="dxa"/>
            <w:vAlign w:val="center"/>
          </w:tcPr>
          <w:p w14:paraId="1559BBA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Insufficient design of systems</w:t>
            </w:r>
          </w:p>
        </w:tc>
        <w:tc>
          <w:tcPr>
            <w:tcW w:w="1418" w:type="dxa"/>
            <w:vAlign w:val="center"/>
          </w:tcPr>
          <w:p w14:paraId="2E81A50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0.907</w:t>
            </w:r>
          </w:p>
        </w:tc>
        <w:tc>
          <w:tcPr>
            <w:tcW w:w="1366" w:type="dxa"/>
            <w:vAlign w:val="center"/>
          </w:tcPr>
          <w:p w14:paraId="3EA5CF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8A61052" w14:textId="77777777" w:rsidTr="003B5486">
        <w:tc>
          <w:tcPr>
            <w:tcW w:w="1129" w:type="dxa"/>
            <w:vAlign w:val="center"/>
          </w:tcPr>
          <w:p w14:paraId="3889BB0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KECA14</w:t>
            </w:r>
          </w:p>
        </w:tc>
        <w:tc>
          <w:tcPr>
            <w:tcW w:w="5103" w:type="dxa"/>
            <w:vAlign w:val="center"/>
          </w:tcPr>
          <w:p w14:paraId="16D8AF9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Inadequate credential management</w:t>
            </w:r>
          </w:p>
        </w:tc>
        <w:tc>
          <w:tcPr>
            <w:tcW w:w="1418" w:type="dxa"/>
            <w:vAlign w:val="center"/>
          </w:tcPr>
          <w:p w14:paraId="11D6237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0.910</w:t>
            </w:r>
          </w:p>
        </w:tc>
        <w:tc>
          <w:tcPr>
            <w:tcW w:w="1366" w:type="dxa"/>
            <w:vAlign w:val="center"/>
          </w:tcPr>
          <w:p w14:paraId="5F1AF7E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215BFE3" w14:textId="77777777" w:rsidTr="003B5486">
        <w:tc>
          <w:tcPr>
            <w:tcW w:w="9016" w:type="dxa"/>
            <w:gridSpan w:val="4"/>
            <w:shd w:val="clear" w:color="auto" w:fill="D9D9D9" w:themeFill="background1" w:themeFillShade="D9"/>
            <w:vAlign w:val="center"/>
          </w:tcPr>
          <w:p w14:paraId="05CCEFB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Key External Threats - Hacktivism</w:t>
            </w:r>
          </w:p>
        </w:tc>
      </w:tr>
      <w:tr w:rsidR="00A0618E" w:rsidRPr="00400193" w14:paraId="21379AF0" w14:textId="77777777" w:rsidTr="003B5486">
        <w:tc>
          <w:tcPr>
            <w:tcW w:w="1129" w:type="dxa"/>
          </w:tcPr>
          <w:p w14:paraId="376F30F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w:t>
            </w:r>
          </w:p>
        </w:tc>
        <w:tc>
          <w:tcPr>
            <w:tcW w:w="5103" w:type="dxa"/>
          </w:tcPr>
          <w:p w14:paraId="3FB67B3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Hacktivism which targets only personal computers</w:t>
            </w:r>
          </w:p>
        </w:tc>
        <w:tc>
          <w:tcPr>
            <w:tcW w:w="1418" w:type="dxa"/>
            <w:vAlign w:val="center"/>
          </w:tcPr>
          <w:p w14:paraId="56A13C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0.941</w:t>
            </w:r>
          </w:p>
        </w:tc>
        <w:tc>
          <w:tcPr>
            <w:tcW w:w="1366" w:type="dxa"/>
            <w:vAlign w:val="center"/>
          </w:tcPr>
          <w:p w14:paraId="02AC25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0.940</w:t>
            </w:r>
          </w:p>
        </w:tc>
      </w:tr>
      <w:tr w:rsidR="00A0618E" w:rsidRPr="00400193" w14:paraId="3CF66A4E" w14:textId="77777777" w:rsidTr="003B5486">
        <w:tc>
          <w:tcPr>
            <w:tcW w:w="1129" w:type="dxa"/>
          </w:tcPr>
          <w:p w14:paraId="6D3FB89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KEH2</w:t>
            </w:r>
          </w:p>
        </w:tc>
        <w:tc>
          <w:tcPr>
            <w:tcW w:w="5103" w:type="dxa"/>
          </w:tcPr>
          <w:p w14:paraId="409A3E3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Traffic: overloading system with traffic is harmful</w:t>
            </w:r>
          </w:p>
        </w:tc>
        <w:tc>
          <w:tcPr>
            <w:tcW w:w="1418" w:type="dxa"/>
            <w:vAlign w:val="center"/>
          </w:tcPr>
          <w:p w14:paraId="7850D20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4F95B2B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D95249A" w14:textId="77777777" w:rsidTr="003B5486">
        <w:tc>
          <w:tcPr>
            <w:tcW w:w="1129" w:type="dxa"/>
          </w:tcPr>
          <w:p w14:paraId="5458F8E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KEH3</w:t>
            </w:r>
          </w:p>
        </w:tc>
        <w:tc>
          <w:tcPr>
            <w:tcW w:w="5103" w:type="dxa"/>
          </w:tcPr>
          <w:p w14:paraId="74522D4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Online blackmail leading to employee vulnerabilities</w:t>
            </w:r>
          </w:p>
        </w:tc>
        <w:tc>
          <w:tcPr>
            <w:tcW w:w="1418" w:type="dxa"/>
            <w:vAlign w:val="center"/>
          </w:tcPr>
          <w:p w14:paraId="0F9F074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0.934</w:t>
            </w:r>
          </w:p>
        </w:tc>
        <w:tc>
          <w:tcPr>
            <w:tcW w:w="1366" w:type="dxa"/>
            <w:vAlign w:val="center"/>
          </w:tcPr>
          <w:p w14:paraId="62E81C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D2708AB" w14:textId="77777777" w:rsidTr="003B5486">
        <w:tc>
          <w:tcPr>
            <w:tcW w:w="1129" w:type="dxa"/>
          </w:tcPr>
          <w:p w14:paraId="5DAA1BB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KEH4</w:t>
            </w:r>
          </w:p>
        </w:tc>
        <w:tc>
          <w:tcPr>
            <w:tcW w:w="5103" w:type="dxa"/>
          </w:tcPr>
          <w:p w14:paraId="61F5E105" w14:textId="4E2375AC"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w:t>
            </w:r>
            <w:r w:rsidR="00FC6AB4" w:rsidRPr="00400193">
              <w:rPr>
                <w:rFonts w:asciiTheme="minorHAnsi" w:hAnsiTheme="minorHAnsi" w:cstheme="minorHAnsi"/>
                <w:sz w:val="18"/>
                <w:szCs w:val="18"/>
                <w:lang w:eastAsia="zh-CN" w:bidi="hi-IN"/>
              </w:rPr>
              <w:t>m</w:t>
            </w:r>
            <w:r w:rsidRPr="00400193">
              <w:rPr>
                <w:rFonts w:asciiTheme="minorHAnsi" w:hAnsiTheme="minorHAnsi" w:cstheme="minorHAnsi"/>
                <w:sz w:val="18"/>
                <w:szCs w:val="18"/>
                <w:lang w:eastAsia="zh-CN" w:bidi="hi-IN"/>
              </w:rPr>
              <w:t>proper software integration can be used as a cyber-attacking backdoor</w:t>
            </w:r>
          </w:p>
        </w:tc>
        <w:tc>
          <w:tcPr>
            <w:tcW w:w="1418" w:type="dxa"/>
            <w:vAlign w:val="center"/>
          </w:tcPr>
          <w:p w14:paraId="30C656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43FA1C9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94F1E51" w14:textId="77777777" w:rsidTr="003B5486">
        <w:tc>
          <w:tcPr>
            <w:tcW w:w="1129" w:type="dxa"/>
          </w:tcPr>
          <w:p w14:paraId="0D847D1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KEH5</w:t>
            </w:r>
          </w:p>
        </w:tc>
        <w:tc>
          <w:tcPr>
            <w:tcW w:w="5103" w:type="dxa"/>
          </w:tcPr>
          <w:p w14:paraId="2EBF7D4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 lack of smart access point controls</w:t>
            </w:r>
          </w:p>
        </w:tc>
        <w:tc>
          <w:tcPr>
            <w:tcW w:w="1418" w:type="dxa"/>
            <w:vAlign w:val="center"/>
          </w:tcPr>
          <w:p w14:paraId="0336B15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643D28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60C89F9" w14:textId="77777777" w:rsidTr="003B5486">
        <w:tc>
          <w:tcPr>
            <w:tcW w:w="1129" w:type="dxa"/>
          </w:tcPr>
          <w:p w14:paraId="0B4AD84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KEH6</w:t>
            </w:r>
          </w:p>
        </w:tc>
        <w:tc>
          <w:tcPr>
            <w:tcW w:w="5103" w:type="dxa"/>
          </w:tcPr>
          <w:p w14:paraId="5156EC6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Spam attacks</w:t>
            </w:r>
          </w:p>
        </w:tc>
        <w:tc>
          <w:tcPr>
            <w:tcW w:w="1418" w:type="dxa"/>
            <w:vAlign w:val="center"/>
          </w:tcPr>
          <w:p w14:paraId="0EB7635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2C6ABE2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8E216C6" w14:textId="77777777" w:rsidTr="003B5486">
        <w:tc>
          <w:tcPr>
            <w:tcW w:w="1129" w:type="dxa"/>
          </w:tcPr>
          <w:p w14:paraId="7A15DFB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KEH7</w:t>
            </w:r>
          </w:p>
        </w:tc>
        <w:tc>
          <w:tcPr>
            <w:tcW w:w="5103" w:type="dxa"/>
          </w:tcPr>
          <w:p w14:paraId="3434232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Organisation network hacking </w:t>
            </w:r>
          </w:p>
        </w:tc>
        <w:tc>
          <w:tcPr>
            <w:tcW w:w="1418" w:type="dxa"/>
            <w:vAlign w:val="center"/>
          </w:tcPr>
          <w:p w14:paraId="4F36827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0.934</w:t>
            </w:r>
          </w:p>
        </w:tc>
        <w:tc>
          <w:tcPr>
            <w:tcW w:w="1366" w:type="dxa"/>
            <w:vAlign w:val="center"/>
          </w:tcPr>
          <w:p w14:paraId="7936DDA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8575B43" w14:textId="77777777" w:rsidTr="003B5486">
        <w:tc>
          <w:tcPr>
            <w:tcW w:w="1129" w:type="dxa"/>
          </w:tcPr>
          <w:p w14:paraId="2490924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KEH8</w:t>
            </w:r>
          </w:p>
        </w:tc>
        <w:tc>
          <w:tcPr>
            <w:tcW w:w="5103" w:type="dxa"/>
          </w:tcPr>
          <w:p w14:paraId="5949952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Denial of service/distributed denial of service (DoS/DDoS) attacks</w:t>
            </w:r>
          </w:p>
        </w:tc>
        <w:tc>
          <w:tcPr>
            <w:tcW w:w="1418" w:type="dxa"/>
            <w:vAlign w:val="center"/>
          </w:tcPr>
          <w:p w14:paraId="76EBB2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0.934</w:t>
            </w:r>
          </w:p>
        </w:tc>
        <w:tc>
          <w:tcPr>
            <w:tcW w:w="1366" w:type="dxa"/>
            <w:vAlign w:val="center"/>
          </w:tcPr>
          <w:p w14:paraId="4B257DC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518BE50" w14:textId="77777777" w:rsidTr="003B5486">
        <w:tc>
          <w:tcPr>
            <w:tcW w:w="1129" w:type="dxa"/>
          </w:tcPr>
          <w:p w14:paraId="4A5511F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KEH9</w:t>
            </w:r>
          </w:p>
        </w:tc>
        <w:tc>
          <w:tcPr>
            <w:tcW w:w="5103" w:type="dxa"/>
          </w:tcPr>
          <w:p w14:paraId="3C9F686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Targeted organisation/brand attacks </w:t>
            </w:r>
          </w:p>
        </w:tc>
        <w:tc>
          <w:tcPr>
            <w:tcW w:w="1418" w:type="dxa"/>
            <w:vAlign w:val="center"/>
          </w:tcPr>
          <w:p w14:paraId="4A7432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0.938</w:t>
            </w:r>
          </w:p>
        </w:tc>
        <w:tc>
          <w:tcPr>
            <w:tcW w:w="1366" w:type="dxa"/>
            <w:vAlign w:val="center"/>
          </w:tcPr>
          <w:p w14:paraId="66CD829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35DC554" w14:textId="77777777" w:rsidTr="003B5486">
        <w:tc>
          <w:tcPr>
            <w:tcW w:w="1129" w:type="dxa"/>
          </w:tcPr>
          <w:p w14:paraId="5149F7E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KEH10</w:t>
            </w:r>
          </w:p>
        </w:tc>
        <w:tc>
          <w:tcPr>
            <w:tcW w:w="5103" w:type="dxa"/>
          </w:tcPr>
          <w:p w14:paraId="1DB72D1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or inadequate access points (identification, authentication, and authorisation) and smart access controls</w:t>
            </w:r>
          </w:p>
        </w:tc>
        <w:tc>
          <w:tcPr>
            <w:tcW w:w="1418" w:type="dxa"/>
            <w:vAlign w:val="center"/>
          </w:tcPr>
          <w:p w14:paraId="174A51C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192F37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6869E32" w14:textId="77777777" w:rsidTr="003B5486">
        <w:tc>
          <w:tcPr>
            <w:tcW w:w="1129" w:type="dxa"/>
          </w:tcPr>
          <w:p w14:paraId="7F68088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KEH11</w:t>
            </w:r>
          </w:p>
        </w:tc>
        <w:tc>
          <w:tcPr>
            <w:tcW w:w="5103" w:type="dxa"/>
          </w:tcPr>
          <w:p w14:paraId="551CC55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Dependency on a single power system</w:t>
            </w:r>
          </w:p>
        </w:tc>
        <w:tc>
          <w:tcPr>
            <w:tcW w:w="1418" w:type="dxa"/>
            <w:vAlign w:val="center"/>
          </w:tcPr>
          <w:p w14:paraId="4BCA81F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0.939</w:t>
            </w:r>
          </w:p>
        </w:tc>
        <w:tc>
          <w:tcPr>
            <w:tcW w:w="1366" w:type="dxa"/>
            <w:vAlign w:val="center"/>
          </w:tcPr>
          <w:p w14:paraId="32E92D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36A0D99" w14:textId="77777777" w:rsidTr="003B5486">
        <w:tc>
          <w:tcPr>
            <w:tcW w:w="1129" w:type="dxa"/>
          </w:tcPr>
          <w:p w14:paraId="656FC1A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KEH12</w:t>
            </w:r>
          </w:p>
        </w:tc>
        <w:tc>
          <w:tcPr>
            <w:tcW w:w="5103" w:type="dxa"/>
          </w:tcPr>
          <w:p w14:paraId="0B65D7B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data back-up</w:t>
            </w:r>
          </w:p>
        </w:tc>
        <w:tc>
          <w:tcPr>
            <w:tcW w:w="1418" w:type="dxa"/>
            <w:vAlign w:val="center"/>
          </w:tcPr>
          <w:p w14:paraId="5D10BD4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0.938</w:t>
            </w:r>
          </w:p>
        </w:tc>
        <w:tc>
          <w:tcPr>
            <w:tcW w:w="1366" w:type="dxa"/>
            <w:vAlign w:val="center"/>
          </w:tcPr>
          <w:p w14:paraId="663B138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F5EB654" w14:textId="77777777" w:rsidTr="003B5486">
        <w:tc>
          <w:tcPr>
            <w:tcW w:w="1129" w:type="dxa"/>
          </w:tcPr>
          <w:p w14:paraId="1698665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KEH13</w:t>
            </w:r>
          </w:p>
        </w:tc>
        <w:tc>
          <w:tcPr>
            <w:tcW w:w="5103" w:type="dxa"/>
          </w:tcPr>
          <w:p w14:paraId="6F9B2DE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Excessive dependency on external IT infrastructure </w:t>
            </w:r>
          </w:p>
        </w:tc>
        <w:tc>
          <w:tcPr>
            <w:tcW w:w="1418" w:type="dxa"/>
            <w:vAlign w:val="center"/>
          </w:tcPr>
          <w:p w14:paraId="2F3D2BB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58C31738"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D50C7E7" w14:textId="77777777" w:rsidTr="003B5486">
        <w:tc>
          <w:tcPr>
            <w:tcW w:w="1129" w:type="dxa"/>
          </w:tcPr>
          <w:p w14:paraId="7F859F6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KEH14</w:t>
            </w:r>
          </w:p>
        </w:tc>
        <w:tc>
          <w:tcPr>
            <w:tcW w:w="5103" w:type="dxa"/>
          </w:tcPr>
          <w:p w14:paraId="44426D3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sufficiently skilled IT staff and security tools</w:t>
            </w:r>
          </w:p>
        </w:tc>
        <w:tc>
          <w:tcPr>
            <w:tcW w:w="1418" w:type="dxa"/>
            <w:vAlign w:val="center"/>
          </w:tcPr>
          <w:p w14:paraId="4365D08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33FE49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9E55559" w14:textId="77777777" w:rsidTr="003B5486">
        <w:tc>
          <w:tcPr>
            <w:tcW w:w="1129" w:type="dxa"/>
          </w:tcPr>
          <w:p w14:paraId="5F11CA5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KEH15</w:t>
            </w:r>
          </w:p>
        </w:tc>
        <w:tc>
          <w:tcPr>
            <w:tcW w:w="5103" w:type="dxa"/>
          </w:tcPr>
          <w:p w14:paraId="488BB11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Insufficient protection against reverse engineering</w:t>
            </w:r>
          </w:p>
        </w:tc>
        <w:tc>
          <w:tcPr>
            <w:tcW w:w="1418" w:type="dxa"/>
            <w:vAlign w:val="center"/>
          </w:tcPr>
          <w:p w14:paraId="3215782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0.937</w:t>
            </w:r>
          </w:p>
        </w:tc>
        <w:tc>
          <w:tcPr>
            <w:tcW w:w="1366" w:type="dxa"/>
            <w:vAlign w:val="center"/>
          </w:tcPr>
          <w:p w14:paraId="7CAF3DD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8C67CCB" w14:textId="77777777" w:rsidTr="003B5486">
        <w:tc>
          <w:tcPr>
            <w:tcW w:w="9016" w:type="dxa"/>
            <w:gridSpan w:val="4"/>
            <w:shd w:val="clear" w:color="auto" w:fill="D9D9D9" w:themeFill="background1" w:themeFillShade="D9"/>
            <w:vAlign w:val="center"/>
          </w:tcPr>
          <w:p w14:paraId="1E082029"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Key External Threats - Phishing</w:t>
            </w:r>
          </w:p>
        </w:tc>
      </w:tr>
      <w:tr w:rsidR="00A0618E" w:rsidRPr="00400193" w14:paraId="4CA29495" w14:textId="77777777" w:rsidTr="003B5486">
        <w:tc>
          <w:tcPr>
            <w:tcW w:w="1129" w:type="dxa"/>
            <w:vAlign w:val="center"/>
          </w:tcPr>
          <w:p w14:paraId="31AE3E8E"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KEP1</w:t>
            </w:r>
          </w:p>
        </w:tc>
        <w:tc>
          <w:tcPr>
            <w:tcW w:w="5103" w:type="dxa"/>
            <w:vAlign w:val="center"/>
          </w:tcPr>
          <w:p w14:paraId="04A29A04"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Phishing emails at any staff level</w:t>
            </w:r>
          </w:p>
        </w:tc>
        <w:tc>
          <w:tcPr>
            <w:tcW w:w="1418" w:type="dxa"/>
            <w:vAlign w:val="center"/>
          </w:tcPr>
          <w:p w14:paraId="6CFB496B"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0.934</w:t>
            </w:r>
          </w:p>
        </w:tc>
        <w:tc>
          <w:tcPr>
            <w:tcW w:w="1366" w:type="dxa"/>
            <w:vAlign w:val="center"/>
          </w:tcPr>
          <w:p w14:paraId="7F3C7006"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0.941</w:t>
            </w:r>
          </w:p>
        </w:tc>
      </w:tr>
      <w:tr w:rsidR="00A0618E" w:rsidRPr="00400193" w14:paraId="0BF7B759" w14:textId="77777777" w:rsidTr="003B5486">
        <w:tc>
          <w:tcPr>
            <w:tcW w:w="1129" w:type="dxa"/>
            <w:vAlign w:val="center"/>
          </w:tcPr>
          <w:p w14:paraId="142B0275"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KEP2</w:t>
            </w:r>
          </w:p>
        </w:tc>
        <w:tc>
          <w:tcPr>
            <w:tcW w:w="5103" w:type="dxa"/>
            <w:vAlign w:val="center"/>
          </w:tcPr>
          <w:p w14:paraId="5109EC50"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Stolen business data</w:t>
            </w:r>
          </w:p>
        </w:tc>
        <w:tc>
          <w:tcPr>
            <w:tcW w:w="1418" w:type="dxa"/>
            <w:vAlign w:val="center"/>
          </w:tcPr>
          <w:p w14:paraId="04BBA08B"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0.931</w:t>
            </w:r>
          </w:p>
        </w:tc>
        <w:tc>
          <w:tcPr>
            <w:tcW w:w="1366" w:type="dxa"/>
            <w:vAlign w:val="center"/>
          </w:tcPr>
          <w:p w14:paraId="2D0AA20E"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6F4D736F" w14:textId="77777777" w:rsidTr="003B5486">
        <w:tc>
          <w:tcPr>
            <w:tcW w:w="1129" w:type="dxa"/>
            <w:vAlign w:val="center"/>
          </w:tcPr>
          <w:p w14:paraId="39419704"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KEP3</w:t>
            </w:r>
          </w:p>
        </w:tc>
        <w:tc>
          <w:tcPr>
            <w:tcW w:w="5103" w:type="dxa"/>
            <w:vAlign w:val="center"/>
          </w:tcPr>
          <w:p w14:paraId="244B4B72"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Stolen personal identities</w:t>
            </w:r>
          </w:p>
        </w:tc>
        <w:tc>
          <w:tcPr>
            <w:tcW w:w="1418" w:type="dxa"/>
            <w:vAlign w:val="center"/>
          </w:tcPr>
          <w:p w14:paraId="779A29D4"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0.930</w:t>
            </w:r>
          </w:p>
        </w:tc>
        <w:tc>
          <w:tcPr>
            <w:tcW w:w="1366" w:type="dxa"/>
            <w:vAlign w:val="center"/>
          </w:tcPr>
          <w:p w14:paraId="7043ACEA"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4D1297C1" w14:textId="77777777" w:rsidTr="003B5486">
        <w:tc>
          <w:tcPr>
            <w:tcW w:w="1129" w:type="dxa"/>
            <w:vAlign w:val="center"/>
          </w:tcPr>
          <w:p w14:paraId="09524EDB"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KEP4</w:t>
            </w:r>
          </w:p>
        </w:tc>
        <w:tc>
          <w:tcPr>
            <w:tcW w:w="5103" w:type="dxa"/>
            <w:vAlign w:val="center"/>
          </w:tcPr>
          <w:p w14:paraId="35A7DFD5"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Loss of confidential information for fraudulent purposes (whaling scams)</w:t>
            </w:r>
          </w:p>
        </w:tc>
        <w:tc>
          <w:tcPr>
            <w:tcW w:w="1418" w:type="dxa"/>
            <w:vAlign w:val="center"/>
          </w:tcPr>
          <w:p w14:paraId="0442B1AB"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0.935</w:t>
            </w:r>
          </w:p>
        </w:tc>
        <w:tc>
          <w:tcPr>
            <w:tcW w:w="1366" w:type="dxa"/>
            <w:vAlign w:val="center"/>
          </w:tcPr>
          <w:p w14:paraId="0DA6A4F2"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21C59026" w14:textId="77777777" w:rsidTr="003B5486">
        <w:tc>
          <w:tcPr>
            <w:tcW w:w="1129" w:type="dxa"/>
            <w:vAlign w:val="center"/>
          </w:tcPr>
          <w:p w14:paraId="5D5497A9"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KEP5</w:t>
            </w:r>
          </w:p>
        </w:tc>
        <w:tc>
          <w:tcPr>
            <w:tcW w:w="5103" w:type="dxa"/>
            <w:vAlign w:val="center"/>
          </w:tcPr>
          <w:p w14:paraId="114B125A"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Phishing attacks</w:t>
            </w:r>
          </w:p>
        </w:tc>
        <w:tc>
          <w:tcPr>
            <w:tcW w:w="1418" w:type="dxa"/>
            <w:vAlign w:val="center"/>
          </w:tcPr>
          <w:p w14:paraId="080BC603"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0.932</w:t>
            </w:r>
          </w:p>
        </w:tc>
        <w:tc>
          <w:tcPr>
            <w:tcW w:w="1366" w:type="dxa"/>
            <w:vAlign w:val="center"/>
          </w:tcPr>
          <w:p w14:paraId="46B82739"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1706C0DE" w14:textId="77777777" w:rsidTr="003B5486">
        <w:tc>
          <w:tcPr>
            <w:tcW w:w="1129" w:type="dxa"/>
            <w:vAlign w:val="center"/>
          </w:tcPr>
          <w:p w14:paraId="3337BE7F"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KEP6</w:t>
            </w:r>
          </w:p>
        </w:tc>
        <w:tc>
          <w:tcPr>
            <w:tcW w:w="5103" w:type="dxa"/>
            <w:vAlign w:val="center"/>
          </w:tcPr>
          <w:p w14:paraId="7C93ECEB"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Copying credentials and smart access cards</w:t>
            </w:r>
          </w:p>
        </w:tc>
        <w:tc>
          <w:tcPr>
            <w:tcW w:w="1418" w:type="dxa"/>
            <w:vAlign w:val="center"/>
          </w:tcPr>
          <w:p w14:paraId="51F4EAF5"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0.936</w:t>
            </w:r>
          </w:p>
        </w:tc>
        <w:tc>
          <w:tcPr>
            <w:tcW w:w="1366" w:type="dxa"/>
            <w:vAlign w:val="center"/>
          </w:tcPr>
          <w:p w14:paraId="3BE68EF2"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46A7D775" w14:textId="77777777" w:rsidTr="003B5486">
        <w:tc>
          <w:tcPr>
            <w:tcW w:w="1129" w:type="dxa"/>
            <w:vAlign w:val="center"/>
          </w:tcPr>
          <w:p w14:paraId="7921CE26"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KEP7</w:t>
            </w:r>
          </w:p>
        </w:tc>
        <w:tc>
          <w:tcPr>
            <w:tcW w:w="5103" w:type="dxa"/>
            <w:vAlign w:val="center"/>
          </w:tcPr>
          <w:p w14:paraId="20EE8F47"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Intentional interference in networks (jamming)</w:t>
            </w:r>
          </w:p>
        </w:tc>
        <w:tc>
          <w:tcPr>
            <w:tcW w:w="1418" w:type="dxa"/>
            <w:vAlign w:val="center"/>
          </w:tcPr>
          <w:p w14:paraId="7AFB59DA"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0.933</w:t>
            </w:r>
          </w:p>
        </w:tc>
        <w:tc>
          <w:tcPr>
            <w:tcW w:w="1366" w:type="dxa"/>
            <w:vAlign w:val="center"/>
          </w:tcPr>
          <w:p w14:paraId="17B2EFD7"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398195E3" w14:textId="77777777" w:rsidTr="003B5486">
        <w:tc>
          <w:tcPr>
            <w:tcW w:w="1129" w:type="dxa"/>
            <w:vAlign w:val="center"/>
          </w:tcPr>
          <w:p w14:paraId="300180DE"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KEP8</w:t>
            </w:r>
          </w:p>
        </w:tc>
        <w:tc>
          <w:tcPr>
            <w:tcW w:w="5103" w:type="dxa"/>
            <w:vAlign w:val="center"/>
          </w:tcPr>
          <w:p w14:paraId="44B98490" w14:textId="77777777" w:rsidR="006E3616" w:rsidRPr="00400193" w:rsidRDefault="006E3616" w:rsidP="003B5486">
            <w:pPr>
              <w:suppressAutoHyphens/>
              <w:spacing w:line="240" w:lineRule="auto"/>
              <w:jc w:val="left"/>
              <w:rPr>
                <w:sz w:val="18"/>
                <w:szCs w:val="18"/>
                <w:lang w:eastAsia="zh-CN" w:bidi="hi-IN"/>
              </w:rPr>
            </w:pPr>
            <w:r w:rsidRPr="00400193">
              <w:rPr>
                <w:sz w:val="18"/>
                <w:szCs w:val="18"/>
                <w:lang w:eastAsia="zh-CN" w:bidi="hi-IN"/>
              </w:rPr>
              <w:t>Malicious code and malware</w:t>
            </w:r>
          </w:p>
        </w:tc>
        <w:tc>
          <w:tcPr>
            <w:tcW w:w="1418" w:type="dxa"/>
            <w:vAlign w:val="center"/>
          </w:tcPr>
          <w:p w14:paraId="1C1F5FD5" w14:textId="77777777" w:rsidR="006E3616" w:rsidRPr="00400193" w:rsidRDefault="006E3616" w:rsidP="003B5486">
            <w:pPr>
              <w:suppressAutoHyphens/>
              <w:spacing w:line="240" w:lineRule="auto"/>
              <w:jc w:val="center"/>
              <w:rPr>
                <w:sz w:val="18"/>
                <w:szCs w:val="18"/>
                <w:lang w:eastAsia="zh-CN" w:bidi="hi-IN"/>
              </w:rPr>
            </w:pPr>
            <w:r w:rsidRPr="00400193">
              <w:rPr>
                <w:sz w:val="18"/>
                <w:szCs w:val="18"/>
                <w:lang w:eastAsia="zh-CN" w:bidi="hi-IN"/>
              </w:rPr>
              <w:t>0.938</w:t>
            </w:r>
          </w:p>
        </w:tc>
        <w:tc>
          <w:tcPr>
            <w:tcW w:w="1366" w:type="dxa"/>
            <w:vAlign w:val="center"/>
          </w:tcPr>
          <w:p w14:paraId="7AAC27D8" w14:textId="77777777" w:rsidR="006E3616" w:rsidRPr="00400193" w:rsidRDefault="006E3616" w:rsidP="003B5486">
            <w:pPr>
              <w:suppressAutoHyphens/>
              <w:spacing w:line="240" w:lineRule="auto"/>
              <w:jc w:val="center"/>
              <w:rPr>
                <w:sz w:val="18"/>
                <w:szCs w:val="18"/>
                <w:lang w:eastAsia="zh-CN" w:bidi="hi-IN"/>
              </w:rPr>
            </w:pPr>
          </w:p>
        </w:tc>
      </w:tr>
      <w:tr w:rsidR="00A0618E" w:rsidRPr="00400193" w14:paraId="695CCCD7" w14:textId="77777777" w:rsidTr="003B5486">
        <w:tc>
          <w:tcPr>
            <w:tcW w:w="9016" w:type="dxa"/>
            <w:gridSpan w:val="4"/>
            <w:shd w:val="clear" w:color="auto" w:fill="D9D9D9" w:themeFill="background1" w:themeFillShade="D9"/>
            <w:vAlign w:val="center"/>
          </w:tcPr>
          <w:p w14:paraId="3B5FE8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Key External Threats - Financial Fraud</w:t>
            </w:r>
          </w:p>
        </w:tc>
      </w:tr>
      <w:tr w:rsidR="00A0618E" w:rsidRPr="00400193" w14:paraId="2E31274B" w14:textId="77777777" w:rsidTr="003B5486">
        <w:tc>
          <w:tcPr>
            <w:tcW w:w="1129" w:type="dxa"/>
            <w:vAlign w:val="center"/>
          </w:tcPr>
          <w:p w14:paraId="282B30C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w:t>
            </w:r>
          </w:p>
        </w:tc>
        <w:tc>
          <w:tcPr>
            <w:tcW w:w="5103" w:type="dxa"/>
            <w:vAlign w:val="center"/>
          </w:tcPr>
          <w:p w14:paraId="1BFBA9AD" w14:textId="77485409"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Manipulated unsecured organ</w:t>
            </w:r>
            <w:r w:rsidR="00D75A7B" w:rsidRPr="00400193">
              <w:rPr>
                <w:rFonts w:asciiTheme="minorHAnsi" w:hAnsiTheme="minorHAnsi" w:cstheme="minorHAnsi"/>
                <w:sz w:val="18"/>
                <w:szCs w:val="18"/>
                <w:lang w:eastAsia="zh-CN" w:bidi="hi-IN"/>
              </w:rPr>
              <w:t>isa</w:t>
            </w:r>
            <w:r w:rsidRPr="00400193">
              <w:rPr>
                <w:rFonts w:asciiTheme="minorHAnsi" w:hAnsiTheme="minorHAnsi" w:cstheme="minorHAnsi"/>
                <w:sz w:val="18"/>
                <w:szCs w:val="18"/>
                <w:lang w:eastAsia="zh-CN" w:bidi="hi-IN"/>
              </w:rPr>
              <w:t>tional financial transactions</w:t>
            </w:r>
          </w:p>
        </w:tc>
        <w:tc>
          <w:tcPr>
            <w:tcW w:w="1418" w:type="dxa"/>
            <w:vAlign w:val="center"/>
          </w:tcPr>
          <w:p w14:paraId="20A901B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0.939</w:t>
            </w:r>
          </w:p>
        </w:tc>
        <w:tc>
          <w:tcPr>
            <w:tcW w:w="1366" w:type="dxa"/>
            <w:vAlign w:val="center"/>
          </w:tcPr>
          <w:p w14:paraId="0EB4190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0.943</w:t>
            </w:r>
          </w:p>
        </w:tc>
      </w:tr>
      <w:tr w:rsidR="00A0618E" w:rsidRPr="00400193" w14:paraId="1201CDE9" w14:textId="77777777" w:rsidTr="003B5486">
        <w:tc>
          <w:tcPr>
            <w:tcW w:w="1129" w:type="dxa"/>
            <w:vAlign w:val="center"/>
          </w:tcPr>
          <w:p w14:paraId="2EBD247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KEFF2</w:t>
            </w:r>
          </w:p>
        </w:tc>
        <w:tc>
          <w:tcPr>
            <w:tcW w:w="5103" w:type="dxa"/>
            <w:vAlign w:val="center"/>
          </w:tcPr>
          <w:p w14:paraId="292DAAC0"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Asset misappropriation (stealing information)</w:t>
            </w:r>
          </w:p>
        </w:tc>
        <w:tc>
          <w:tcPr>
            <w:tcW w:w="1418" w:type="dxa"/>
            <w:vAlign w:val="center"/>
          </w:tcPr>
          <w:p w14:paraId="57FC4B5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0.944</w:t>
            </w:r>
          </w:p>
        </w:tc>
        <w:tc>
          <w:tcPr>
            <w:tcW w:w="1366" w:type="dxa"/>
            <w:vAlign w:val="center"/>
          </w:tcPr>
          <w:p w14:paraId="04E2F5F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9150980" w14:textId="77777777" w:rsidTr="003B5486">
        <w:tc>
          <w:tcPr>
            <w:tcW w:w="1129" w:type="dxa"/>
            <w:vAlign w:val="center"/>
          </w:tcPr>
          <w:p w14:paraId="6A450F53"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KEFF3</w:t>
            </w:r>
          </w:p>
        </w:tc>
        <w:tc>
          <w:tcPr>
            <w:tcW w:w="5103" w:type="dxa"/>
            <w:vAlign w:val="center"/>
          </w:tcPr>
          <w:p w14:paraId="7669DF6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Human errors and trust issues</w:t>
            </w:r>
          </w:p>
        </w:tc>
        <w:tc>
          <w:tcPr>
            <w:tcW w:w="1418" w:type="dxa"/>
            <w:vAlign w:val="center"/>
          </w:tcPr>
          <w:p w14:paraId="56AB92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0.942</w:t>
            </w:r>
          </w:p>
        </w:tc>
        <w:tc>
          <w:tcPr>
            <w:tcW w:w="1366" w:type="dxa"/>
            <w:vAlign w:val="center"/>
          </w:tcPr>
          <w:p w14:paraId="0F23523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DF3B586" w14:textId="77777777" w:rsidTr="003B5486">
        <w:tc>
          <w:tcPr>
            <w:tcW w:w="1129" w:type="dxa"/>
            <w:vAlign w:val="center"/>
          </w:tcPr>
          <w:p w14:paraId="171A5C5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KEFF4</w:t>
            </w:r>
          </w:p>
        </w:tc>
        <w:tc>
          <w:tcPr>
            <w:tcW w:w="5103" w:type="dxa"/>
            <w:vAlign w:val="center"/>
          </w:tcPr>
          <w:p w14:paraId="6954BA69"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Behaviour of customers or suppliers</w:t>
            </w:r>
          </w:p>
        </w:tc>
        <w:tc>
          <w:tcPr>
            <w:tcW w:w="1418" w:type="dxa"/>
            <w:vAlign w:val="center"/>
          </w:tcPr>
          <w:p w14:paraId="72803B5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3C705ED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A967F3D" w14:textId="77777777" w:rsidTr="003B5486">
        <w:tc>
          <w:tcPr>
            <w:tcW w:w="1129" w:type="dxa"/>
            <w:vAlign w:val="center"/>
          </w:tcPr>
          <w:p w14:paraId="4987B7D6"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KEFF5</w:t>
            </w:r>
          </w:p>
        </w:tc>
        <w:tc>
          <w:tcPr>
            <w:tcW w:w="5103" w:type="dxa"/>
            <w:vAlign w:val="center"/>
          </w:tcPr>
          <w:p w14:paraId="76A464A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Financial fraud (e.g. brand theft)</w:t>
            </w:r>
          </w:p>
        </w:tc>
        <w:tc>
          <w:tcPr>
            <w:tcW w:w="1418" w:type="dxa"/>
            <w:vAlign w:val="center"/>
          </w:tcPr>
          <w:p w14:paraId="1BB5772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1BA957B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D5AA962" w14:textId="77777777" w:rsidTr="003B5486">
        <w:tc>
          <w:tcPr>
            <w:tcW w:w="1129" w:type="dxa"/>
            <w:vAlign w:val="center"/>
          </w:tcPr>
          <w:p w14:paraId="0A9C21C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KEFF6</w:t>
            </w:r>
          </w:p>
        </w:tc>
        <w:tc>
          <w:tcPr>
            <w:tcW w:w="5103" w:type="dxa"/>
            <w:vAlign w:val="center"/>
          </w:tcPr>
          <w:p w14:paraId="22C78D61" w14:textId="470C22BA"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Damage to organ</w:t>
            </w:r>
            <w:r w:rsidR="00D75A7B" w:rsidRPr="00400193">
              <w:rPr>
                <w:rFonts w:asciiTheme="minorHAnsi" w:hAnsiTheme="minorHAnsi" w:cstheme="minorHAnsi"/>
                <w:sz w:val="18"/>
                <w:szCs w:val="18"/>
                <w:lang w:eastAsia="zh-CN" w:bidi="hi-IN"/>
              </w:rPr>
              <w:t>isa</w:t>
            </w:r>
            <w:r w:rsidRPr="00400193">
              <w:rPr>
                <w:rFonts w:asciiTheme="minorHAnsi" w:hAnsiTheme="minorHAnsi" w:cstheme="minorHAnsi"/>
                <w:sz w:val="18"/>
                <w:szCs w:val="18"/>
                <w:lang w:eastAsia="zh-CN" w:bidi="hi-IN"/>
              </w:rPr>
              <w:t>tion’s financial reputation</w:t>
            </w:r>
          </w:p>
        </w:tc>
        <w:tc>
          <w:tcPr>
            <w:tcW w:w="1418" w:type="dxa"/>
            <w:vAlign w:val="center"/>
          </w:tcPr>
          <w:p w14:paraId="5C8798C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0.937</w:t>
            </w:r>
          </w:p>
        </w:tc>
        <w:tc>
          <w:tcPr>
            <w:tcW w:w="1366" w:type="dxa"/>
            <w:vAlign w:val="center"/>
          </w:tcPr>
          <w:p w14:paraId="58FD02A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1886E6F" w14:textId="77777777" w:rsidTr="003B5486">
        <w:tc>
          <w:tcPr>
            <w:tcW w:w="1129" w:type="dxa"/>
            <w:vAlign w:val="center"/>
          </w:tcPr>
          <w:p w14:paraId="1A211F12"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KEFF7</w:t>
            </w:r>
          </w:p>
        </w:tc>
        <w:tc>
          <w:tcPr>
            <w:tcW w:w="5103" w:type="dxa"/>
            <w:vAlign w:val="center"/>
          </w:tcPr>
          <w:p w14:paraId="03B1C2CB"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mechanism for detecting fraudulent transactions</w:t>
            </w:r>
          </w:p>
        </w:tc>
        <w:tc>
          <w:tcPr>
            <w:tcW w:w="1418" w:type="dxa"/>
            <w:vAlign w:val="center"/>
          </w:tcPr>
          <w:p w14:paraId="558AA3A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42B47F6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29D1A44" w14:textId="77777777" w:rsidTr="003B5486">
        <w:tc>
          <w:tcPr>
            <w:tcW w:w="1129" w:type="dxa"/>
            <w:vAlign w:val="center"/>
          </w:tcPr>
          <w:p w14:paraId="0A014DE7"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KEFF8</w:t>
            </w:r>
          </w:p>
        </w:tc>
        <w:tc>
          <w:tcPr>
            <w:tcW w:w="5103" w:type="dxa"/>
            <w:vAlign w:val="center"/>
          </w:tcPr>
          <w:p w14:paraId="6F16458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Fraudulent invoice payments</w:t>
            </w:r>
          </w:p>
        </w:tc>
        <w:tc>
          <w:tcPr>
            <w:tcW w:w="1418" w:type="dxa"/>
            <w:vAlign w:val="center"/>
          </w:tcPr>
          <w:p w14:paraId="4475FEC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0.937</w:t>
            </w:r>
          </w:p>
        </w:tc>
        <w:tc>
          <w:tcPr>
            <w:tcW w:w="1366" w:type="dxa"/>
            <w:vAlign w:val="center"/>
          </w:tcPr>
          <w:p w14:paraId="7DBBA45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7F83F550" w14:textId="77777777" w:rsidTr="003B5486">
        <w:tc>
          <w:tcPr>
            <w:tcW w:w="1129" w:type="dxa"/>
            <w:vAlign w:val="center"/>
          </w:tcPr>
          <w:p w14:paraId="00056911"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KEFF9</w:t>
            </w:r>
          </w:p>
        </w:tc>
        <w:tc>
          <w:tcPr>
            <w:tcW w:w="5103" w:type="dxa"/>
            <w:vAlign w:val="center"/>
          </w:tcPr>
          <w:p w14:paraId="6A9C53C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Inadequate legitimacy of transaction processing, e.g. consent</w:t>
            </w:r>
          </w:p>
        </w:tc>
        <w:tc>
          <w:tcPr>
            <w:tcW w:w="1418" w:type="dxa"/>
            <w:vAlign w:val="center"/>
          </w:tcPr>
          <w:p w14:paraId="0A47697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0.936</w:t>
            </w:r>
          </w:p>
        </w:tc>
        <w:tc>
          <w:tcPr>
            <w:tcW w:w="1366" w:type="dxa"/>
            <w:vAlign w:val="center"/>
          </w:tcPr>
          <w:p w14:paraId="70A4DB7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20CED76" w14:textId="77777777" w:rsidTr="003B5486">
        <w:tc>
          <w:tcPr>
            <w:tcW w:w="1129" w:type="dxa"/>
            <w:vAlign w:val="center"/>
          </w:tcPr>
          <w:p w14:paraId="0466E7C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KEFF10</w:t>
            </w:r>
          </w:p>
        </w:tc>
        <w:tc>
          <w:tcPr>
            <w:tcW w:w="5103" w:type="dxa"/>
            <w:vAlign w:val="center"/>
          </w:tcPr>
          <w:p w14:paraId="7AD6EF3F"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Insufficient protection of wireless networks and communication (weak or no encryption etc.)</w:t>
            </w:r>
          </w:p>
        </w:tc>
        <w:tc>
          <w:tcPr>
            <w:tcW w:w="1418" w:type="dxa"/>
            <w:vAlign w:val="center"/>
          </w:tcPr>
          <w:p w14:paraId="22A52CF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0.938</w:t>
            </w:r>
          </w:p>
        </w:tc>
        <w:tc>
          <w:tcPr>
            <w:tcW w:w="1366" w:type="dxa"/>
            <w:vAlign w:val="center"/>
          </w:tcPr>
          <w:p w14:paraId="35B9C02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83FA35D" w14:textId="77777777" w:rsidTr="003B5486">
        <w:tc>
          <w:tcPr>
            <w:tcW w:w="1129" w:type="dxa"/>
            <w:vAlign w:val="center"/>
          </w:tcPr>
          <w:p w14:paraId="34FE8D2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KEFF11</w:t>
            </w:r>
          </w:p>
        </w:tc>
        <w:tc>
          <w:tcPr>
            <w:tcW w:w="5103" w:type="dxa"/>
            <w:vAlign w:val="center"/>
          </w:tcPr>
          <w:p w14:paraId="247AD1DD"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Failure of biometric access points </w:t>
            </w:r>
          </w:p>
        </w:tc>
        <w:tc>
          <w:tcPr>
            <w:tcW w:w="1418" w:type="dxa"/>
            <w:vAlign w:val="center"/>
          </w:tcPr>
          <w:p w14:paraId="16D1CEF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0.935</w:t>
            </w:r>
          </w:p>
        </w:tc>
        <w:tc>
          <w:tcPr>
            <w:tcW w:w="1366" w:type="dxa"/>
            <w:vAlign w:val="center"/>
          </w:tcPr>
          <w:p w14:paraId="09FCF4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4BCE7CA" w14:textId="77777777" w:rsidTr="003B5486">
        <w:tc>
          <w:tcPr>
            <w:tcW w:w="1129" w:type="dxa"/>
            <w:vAlign w:val="center"/>
          </w:tcPr>
          <w:p w14:paraId="4C6AF935"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KEFF12</w:t>
            </w:r>
          </w:p>
        </w:tc>
        <w:tc>
          <w:tcPr>
            <w:tcW w:w="5103" w:type="dxa"/>
            <w:vAlign w:val="center"/>
          </w:tcPr>
          <w:p w14:paraId="3EE7389A"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Inadequate transaction encryption measures</w:t>
            </w:r>
          </w:p>
        </w:tc>
        <w:tc>
          <w:tcPr>
            <w:tcW w:w="1418" w:type="dxa"/>
            <w:vAlign w:val="center"/>
          </w:tcPr>
          <w:p w14:paraId="4773375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0.939</w:t>
            </w:r>
          </w:p>
        </w:tc>
        <w:tc>
          <w:tcPr>
            <w:tcW w:w="1366" w:type="dxa"/>
            <w:vAlign w:val="center"/>
          </w:tcPr>
          <w:p w14:paraId="2A1E3A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79C8FBC" w14:textId="77777777" w:rsidTr="003B5486">
        <w:tc>
          <w:tcPr>
            <w:tcW w:w="1129" w:type="dxa"/>
            <w:vAlign w:val="center"/>
          </w:tcPr>
          <w:p w14:paraId="3E15296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KEFF13</w:t>
            </w:r>
          </w:p>
        </w:tc>
        <w:tc>
          <w:tcPr>
            <w:tcW w:w="5103" w:type="dxa"/>
            <w:vAlign w:val="center"/>
          </w:tcPr>
          <w:p w14:paraId="4CE1C894" w14:textId="77777777" w:rsidR="006E3616" w:rsidRPr="00400193" w:rsidRDefault="006E3616" w:rsidP="003B5486">
            <w:pPr>
              <w:suppressAutoHyphens/>
              <w:spacing w:line="240" w:lineRule="auto"/>
              <w:jc w:val="left"/>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 xml:space="preserve">Problems with third party integration </w:t>
            </w:r>
          </w:p>
        </w:tc>
        <w:tc>
          <w:tcPr>
            <w:tcW w:w="1418" w:type="dxa"/>
            <w:vAlign w:val="center"/>
          </w:tcPr>
          <w:p w14:paraId="0CD8BB2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0.940</w:t>
            </w:r>
          </w:p>
        </w:tc>
        <w:tc>
          <w:tcPr>
            <w:tcW w:w="1366" w:type="dxa"/>
            <w:vAlign w:val="center"/>
          </w:tcPr>
          <w:p w14:paraId="71904B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18777F1" w14:textId="77777777" w:rsidTr="003B5486">
        <w:tc>
          <w:tcPr>
            <w:tcW w:w="9016" w:type="dxa"/>
            <w:gridSpan w:val="4"/>
            <w:shd w:val="clear" w:color="auto" w:fill="D9D9D9" w:themeFill="background1" w:themeFillShade="D9"/>
            <w:vAlign w:val="center"/>
          </w:tcPr>
          <w:p w14:paraId="5C4300E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Key External Threats - Criminal Acts</w:t>
            </w:r>
          </w:p>
        </w:tc>
      </w:tr>
      <w:tr w:rsidR="00A0618E" w:rsidRPr="00400193" w14:paraId="6C66DCBA" w14:textId="77777777" w:rsidTr="003B5486">
        <w:tc>
          <w:tcPr>
            <w:tcW w:w="1129" w:type="dxa"/>
          </w:tcPr>
          <w:p w14:paraId="151104F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w:t>
            </w:r>
          </w:p>
        </w:tc>
        <w:tc>
          <w:tcPr>
            <w:tcW w:w="5103" w:type="dxa"/>
          </w:tcPr>
          <w:p w14:paraId="48F9065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of pornography and/or unethical material</w:t>
            </w:r>
          </w:p>
        </w:tc>
        <w:tc>
          <w:tcPr>
            <w:tcW w:w="1418" w:type="dxa"/>
            <w:vAlign w:val="center"/>
          </w:tcPr>
          <w:p w14:paraId="147647A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0.957</w:t>
            </w:r>
          </w:p>
        </w:tc>
        <w:tc>
          <w:tcPr>
            <w:tcW w:w="1366" w:type="dxa"/>
            <w:vAlign w:val="center"/>
          </w:tcPr>
          <w:p w14:paraId="18A77CA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r>
      <w:tr w:rsidR="00A0618E" w:rsidRPr="00400193" w14:paraId="046D4769" w14:textId="77777777" w:rsidTr="003B5486">
        <w:tc>
          <w:tcPr>
            <w:tcW w:w="1129" w:type="dxa"/>
          </w:tcPr>
          <w:p w14:paraId="412EAA4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w:t>
            </w:r>
          </w:p>
        </w:tc>
        <w:tc>
          <w:tcPr>
            <w:tcW w:w="5103" w:type="dxa"/>
          </w:tcPr>
          <w:p w14:paraId="3647566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Illegal access to IT assets</w:t>
            </w:r>
          </w:p>
        </w:tc>
        <w:tc>
          <w:tcPr>
            <w:tcW w:w="1418" w:type="dxa"/>
            <w:vAlign w:val="center"/>
          </w:tcPr>
          <w:p w14:paraId="69CAD43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0.957</w:t>
            </w:r>
          </w:p>
        </w:tc>
        <w:tc>
          <w:tcPr>
            <w:tcW w:w="1366" w:type="dxa"/>
            <w:vAlign w:val="center"/>
          </w:tcPr>
          <w:p w14:paraId="253BDBD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6BA2FA1" w14:textId="77777777" w:rsidTr="003B5486">
        <w:tc>
          <w:tcPr>
            <w:tcW w:w="1129" w:type="dxa"/>
          </w:tcPr>
          <w:p w14:paraId="6F59302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ETCA3</w:t>
            </w:r>
          </w:p>
        </w:tc>
        <w:tc>
          <w:tcPr>
            <w:tcW w:w="5103" w:type="dxa"/>
          </w:tcPr>
          <w:p w14:paraId="4B98498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Lack of non-disclosure agreements</w:t>
            </w:r>
          </w:p>
        </w:tc>
        <w:tc>
          <w:tcPr>
            <w:tcW w:w="1418" w:type="dxa"/>
            <w:vAlign w:val="center"/>
          </w:tcPr>
          <w:p w14:paraId="2C4A0E2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300E7C1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484A357" w14:textId="77777777" w:rsidTr="003B5486">
        <w:tc>
          <w:tcPr>
            <w:tcW w:w="1129" w:type="dxa"/>
          </w:tcPr>
          <w:p w14:paraId="1FC207B6"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ETCA4</w:t>
            </w:r>
          </w:p>
        </w:tc>
        <w:tc>
          <w:tcPr>
            <w:tcW w:w="5103" w:type="dxa"/>
          </w:tcPr>
          <w:p w14:paraId="71AE8AE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Using third party contacts for data theft</w:t>
            </w:r>
          </w:p>
        </w:tc>
        <w:tc>
          <w:tcPr>
            <w:tcW w:w="1418" w:type="dxa"/>
            <w:vAlign w:val="center"/>
          </w:tcPr>
          <w:p w14:paraId="5013020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0.957</w:t>
            </w:r>
          </w:p>
        </w:tc>
        <w:tc>
          <w:tcPr>
            <w:tcW w:w="1366" w:type="dxa"/>
            <w:vAlign w:val="center"/>
          </w:tcPr>
          <w:p w14:paraId="04419F3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2294F59" w14:textId="77777777" w:rsidTr="003B5486">
        <w:tc>
          <w:tcPr>
            <w:tcW w:w="1129" w:type="dxa"/>
          </w:tcPr>
          <w:p w14:paraId="4F7B359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ETCA5</w:t>
            </w:r>
          </w:p>
        </w:tc>
        <w:tc>
          <w:tcPr>
            <w:tcW w:w="5103" w:type="dxa"/>
          </w:tcPr>
          <w:p w14:paraId="44C2EA4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Using third party contacts to review and validate security controls</w:t>
            </w:r>
          </w:p>
        </w:tc>
        <w:tc>
          <w:tcPr>
            <w:tcW w:w="1418" w:type="dxa"/>
            <w:vAlign w:val="center"/>
          </w:tcPr>
          <w:p w14:paraId="04A236C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5E1D393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4231284" w14:textId="77777777" w:rsidTr="003B5486">
        <w:tc>
          <w:tcPr>
            <w:tcW w:w="1129" w:type="dxa"/>
          </w:tcPr>
          <w:p w14:paraId="25D5C4A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ETCA6</w:t>
            </w:r>
          </w:p>
        </w:tc>
        <w:tc>
          <w:tcPr>
            <w:tcW w:w="5103" w:type="dxa"/>
          </w:tcPr>
          <w:p w14:paraId="14E6F54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Using third party contractors to set your security requirements</w:t>
            </w:r>
          </w:p>
        </w:tc>
        <w:tc>
          <w:tcPr>
            <w:tcW w:w="1418" w:type="dxa"/>
            <w:vAlign w:val="center"/>
          </w:tcPr>
          <w:p w14:paraId="7B5D0CE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3BC588EF"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A91D856" w14:textId="77777777" w:rsidTr="003B5486">
        <w:tc>
          <w:tcPr>
            <w:tcW w:w="1129" w:type="dxa"/>
          </w:tcPr>
          <w:p w14:paraId="708A15B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ETCA7</w:t>
            </w:r>
          </w:p>
        </w:tc>
        <w:tc>
          <w:tcPr>
            <w:tcW w:w="5103" w:type="dxa"/>
          </w:tcPr>
          <w:p w14:paraId="7C6EE29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Faking signature and identity</w:t>
            </w:r>
          </w:p>
        </w:tc>
        <w:tc>
          <w:tcPr>
            <w:tcW w:w="1418" w:type="dxa"/>
            <w:vAlign w:val="center"/>
          </w:tcPr>
          <w:p w14:paraId="44F6C89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4A7A22B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C6B0BC8" w14:textId="77777777" w:rsidTr="003B5486">
        <w:tc>
          <w:tcPr>
            <w:tcW w:w="1129" w:type="dxa"/>
          </w:tcPr>
          <w:p w14:paraId="582534A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ETCA8</w:t>
            </w:r>
          </w:p>
        </w:tc>
        <w:tc>
          <w:tcPr>
            <w:tcW w:w="5103" w:type="dxa"/>
          </w:tcPr>
          <w:p w14:paraId="2660F91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Theft of hardware from premises</w:t>
            </w:r>
          </w:p>
        </w:tc>
        <w:tc>
          <w:tcPr>
            <w:tcW w:w="1418" w:type="dxa"/>
            <w:vAlign w:val="center"/>
          </w:tcPr>
          <w:p w14:paraId="71404004"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48E4CBC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18CEB30" w14:textId="77777777" w:rsidTr="003B5486">
        <w:tc>
          <w:tcPr>
            <w:tcW w:w="1129" w:type="dxa"/>
          </w:tcPr>
          <w:p w14:paraId="01AFB3C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ETCA9</w:t>
            </w:r>
          </w:p>
        </w:tc>
        <w:tc>
          <w:tcPr>
            <w:tcW w:w="5103" w:type="dxa"/>
          </w:tcPr>
          <w:p w14:paraId="4C8F9A27"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Corporate espionage</w:t>
            </w:r>
          </w:p>
        </w:tc>
        <w:tc>
          <w:tcPr>
            <w:tcW w:w="1418" w:type="dxa"/>
            <w:vAlign w:val="center"/>
          </w:tcPr>
          <w:p w14:paraId="3C19960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3C9C419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A165E5E" w14:textId="77777777" w:rsidTr="003B5486">
        <w:tc>
          <w:tcPr>
            <w:tcW w:w="1129" w:type="dxa"/>
          </w:tcPr>
          <w:p w14:paraId="26276628"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ETCA10</w:t>
            </w:r>
          </w:p>
        </w:tc>
        <w:tc>
          <w:tcPr>
            <w:tcW w:w="5103" w:type="dxa"/>
          </w:tcPr>
          <w:p w14:paraId="5086DE94"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Criminal damage (including fire/arson)</w:t>
            </w:r>
          </w:p>
        </w:tc>
        <w:tc>
          <w:tcPr>
            <w:tcW w:w="1418" w:type="dxa"/>
            <w:vAlign w:val="center"/>
          </w:tcPr>
          <w:p w14:paraId="6115A9A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17198BD6"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78B7333" w14:textId="77777777" w:rsidTr="003B5486">
        <w:tc>
          <w:tcPr>
            <w:tcW w:w="1129" w:type="dxa"/>
          </w:tcPr>
          <w:p w14:paraId="572F1CE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ETCA11</w:t>
            </w:r>
          </w:p>
        </w:tc>
        <w:tc>
          <w:tcPr>
            <w:tcW w:w="5103" w:type="dxa"/>
          </w:tcPr>
          <w:p w14:paraId="4573D0AF"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Theft of hardware off-site</w:t>
            </w:r>
          </w:p>
        </w:tc>
        <w:tc>
          <w:tcPr>
            <w:tcW w:w="1418" w:type="dxa"/>
            <w:vAlign w:val="center"/>
          </w:tcPr>
          <w:p w14:paraId="0719A77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7E3A243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3679C51" w14:textId="77777777" w:rsidTr="003B5486">
        <w:tc>
          <w:tcPr>
            <w:tcW w:w="1129" w:type="dxa"/>
          </w:tcPr>
          <w:p w14:paraId="5BCF27B2"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ETCA12</w:t>
            </w:r>
          </w:p>
        </w:tc>
        <w:tc>
          <w:tcPr>
            <w:tcW w:w="5103" w:type="dxa"/>
          </w:tcPr>
          <w:p w14:paraId="3532AC09"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of removable media (e.g. USB sticks)</w:t>
            </w:r>
          </w:p>
        </w:tc>
        <w:tc>
          <w:tcPr>
            <w:tcW w:w="1418" w:type="dxa"/>
            <w:vAlign w:val="center"/>
          </w:tcPr>
          <w:p w14:paraId="73FE9CF9"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09D8F62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B0CB764" w14:textId="77777777" w:rsidTr="003B5486">
        <w:tc>
          <w:tcPr>
            <w:tcW w:w="1129" w:type="dxa"/>
          </w:tcPr>
          <w:p w14:paraId="18E4B61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ETCA13</w:t>
            </w:r>
          </w:p>
        </w:tc>
        <w:tc>
          <w:tcPr>
            <w:tcW w:w="5103" w:type="dxa"/>
          </w:tcPr>
          <w:p w14:paraId="1929F14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Loss or misuse (of cards, devices etc.)</w:t>
            </w:r>
          </w:p>
        </w:tc>
        <w:tc>
          <w:tcPr>
            <w:tcW w:w="1418" w:type="dxa"/>
            <w:vAlign w:val="center"/>
          </w:tcPr>
          <w:p w14:paraId="7919629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5DE73C9A"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36DBAB61" w14:textId="77777777" w:rsidTr="003B5486">
        <w:tc>
          <w:tcPr>
            <w:tcW w:w="1129" w:type="dxa"/>
          </w:tcPr>
          <w:p w14:paraId="01E429D5"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ETCA14</w:t>
            </w:r>
          </w:p>
        </w:tc>
        <w:tc>
          <w:tcPr>
            <w:tcW w:w="5103" w:type="dxa"/>
          </w:tcPr>
          <w:p w14:paraId="29259431"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Use of erroneous and/or unreliable data</w:t>
            </w:r>
          </w:p>
        </w:tc>
        <w:tc>
          <w:tcPr>
            <w:tcW w:w="1418" w:type="dxa"/>
            <w:vAlign w:val="center"/>
          </w:tcPr>
          <w:p w14:paraId="21B2DE0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65FD05F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2B049894" w14:textId="77777777" w:rsidTr="003B5486">
        <w:tc>
          <w:tcPr>
            <w:tcW w:w="1129" w:type="dxa"/>
          </w:tcPr>
          <w:p w14:paraId="244A745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ETCA15</w:t>
            </w:r>
          </w:p>
        </w:tc>
        <w:tc>
          <w:tcPr>
            <w:tcW w:w="5103" w:type="dxa"/>
          </w:tcPr>
          <w:p w14:paraId="575F029A"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Procedures/instructions not followed</w:t>
            </w:r>
          </w:p>
        </w:tc>
        <w:tc>
          <w:tcPr>
            <w:tcW w:w="1418" w:type="dxa"/>
            <w:vAlign w:val="center"/>
          </w:tcPr>
          <w:p w14:paraId="72F3C095"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0C3010E3"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3DED06C" w14:textId="77777777" w:rsidTr="003B5486">
        <w:tc>
          <w:tcPr>
            <w:tcW w:w="1129" w:type="dxa"/>
          </w:tcPr>
          <w:p w14:paraId="6A5E1D8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ETCA16</w:t>
            </w:r>
          </w:p>
        </w:tc>
        <w:tc>
          <w:tcPr>
            <w:tcW w:w="5103" w:type="dxa"/>
          </w:tcPr>
          <w:p w14:paraId="379F09D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Spoofing of credentials/bypass authentication</w:t>
            </w:r>
          </w:p>
        </w:tc>
        <w:tc>
          <w:tcPr>
            <w:tcW w:w="1418" w:type="dxa"/>
            <w:vAlign w:val="center"/>
          </w:tcPr>
          <w:p w14:paraId="6B48B85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5FD4055E"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01D4ABD9" w14:textId="77777777" w:rsidTr="003B5486">
        <w:tc>
          <w:tcPr>
            <w:tcW w:w="1129" w:type="dxa"/>
          </w:tcPr>
          <w:p w14:paraId="75EEA0F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ETCA17</w:t>
            </w:r>
          </w:p>
        </w:tc>
        <w:tc>
          <w:tcPr>
            <w:tcW w:w="5103" w:type="dxa"/>
          </w:tcPr>
          <w:p w14:paraId="5EA111FE"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Large-scale and/or inappropriate data mining and/or surveillance</w:t>
            </w:r>
          </w:p>
        </w:tc>
        <w:tc>
          <w:tcPr>
            <w:tcW w:w="1418" w:type="dxa"/>
            <w:vAlign w:val="center"/>
          </w:tcPr>
          <w:p w14:paraId="643C3262"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0.960</w:t>
            </w:r>
          </w:p>
        </w:tc>
        <w:tc>
          <w:tcPr>
            <w:tcW w:w="1366" w:type="dxa"/>
            <w:vAlign w:val="center"/>
          </w:tcPr>
          <w:p w14:paraId="7465D62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50DBB999" w14:textId="77777777" w:rsidTr="003B5486">
        <w:tc>
          <w:tcPr>
            <w:tcW w:w="1129" w:type="dxa"/>
          </w:tcPr>
          <w:p w14:paraId="56D1610C"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ETCA18</w:t>
            </w:r>
          </w:p>
        </w:tc>
        <w:tc>
          <w:tcPr>
            <w:tcW w:w="5103" w:type="dxa"/>
          </w:tcPr>
          <w:p w14:paraId="3984F29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Traffic analysis/scan/probe</w:t>
            </w:r>
          </w:p>
        </w:tc>
        <w:tc>
          <w:tcPr>
            <w:tcW w:w="1418" w:type="dxa"/>
            <w:vAlign w:val="center"/>
          </w:tcPr>
          <w:p w14:paraId="3C5A49B1"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6EC9DACC"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6A3C1EE8" w14:textId="77777777" w:rsidTr="003B5486">
        <w:tc>
          <w:tcPr>
            <w:tcW w:w="1129" w:type="dxa"/>
          </w:tcPr>
          <w:p w14:paraId="186BF53B"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ETCA19</w:t>
            </w:r>
          </w:p>
        </w:tc>
        <w:tc>
          <w:tcPr>
            <w:tcW w:w="5103" w:type="dxa"/>
          </w:tcPr>
          <w:p w14:paraId="00AB9953"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Social engineering attack</w:t>
            </w:r>
          </w:p>
        </w:tc>
        <w:tc>
          <w:tcPr>
            <w:tcW w:w="1418" w:type="dxa"/>
            <w:vAlign w:val="center"/>
          </w:tcPr>
          <w:p w14:paraId="5225C42B"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0.959</w:t>
            </w:r>
          </w:p>
        </w:tc>
        <w:tc>
          <w:tcPr>
            <w:tcW w:w="1366" w:type="dxa"/>
            <w:vAlign w:val="center"/>
          </w:tcPr>
          <w:p w14:paraId="0DE37640"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410E0475" w14:textId="77777777" w:rsidTr="003B5486">
        <w:tc>
          <w:tcPr>
            <w:tcW w:w="1129" w:type="dxa"/>
          </w:tcPr>
          <w:p w14:paraId="1F7AAA30"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ETCA20</w:t>
            </w:r>
          </w:p>
        </w:tc>
        <w:tc>
          <w:tcPr>
            <w:tcW w:w="5103" w:type="dxa"/>
          </w:tcPr>
          <w:p w14:paraId="3FDFA93D" w14:textId="77777777" w:rsidR="006E3616" w:rsidRPr="00400193" w:rsidRDefault="006E3616" w:rsidP="003B5486">
            <w:pPr>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Theft (of cards, devices etc.)</w:t>
            </w:r>
          </w:p>
        </w:tc>
        <w:tc>
          <w:tcPr>
            <w:tcW w:w="1418" w:type="dxa"/>
            <w:vAlign w:val="center"/>
          </w:tcPr>
          <w:p w14:paraId="026C4CAD"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0.958</w:t>
            </w:r>
          </w:p>
        </w:tc>
        <w:tc>
          <w:tcPr>
            <w:tcW w:w="1366" w:type="dxa"/>
            <w:vAlign w:val="center"/>
          </w:tcPr>
          <w:p w14:paraId="0FC62F37" w14:textId="77777777" w:rsidR="006E3616" w:rsidRPr="00400193" w:rsidRDefault="006E3616" w:rsidP="003B5486">
            <w:pPr>
              <w:suppressAutoHyphens/>
              <w:spacing w:line="240" w:lineRule="auto"/>
              <w:jc w:val="center"/>
              <w:rPr>
                <w:rFonts w:asciiTheme="minorHAnsi" w:hAnsiTheme="minorHAnsi" w:cstheme="minorHAnsi"/>
                <w:sz w:val="18"/>
                <w:szCs w:val="18"/>
                <w:lang w:eastAsia="zh-CN" w:bidi="hi-IN"/>
              </w:rPr>
            </w:pPr>
          </w:p>
        </w:tc>
      </w:tr>
      <w:tr w:rsidR="00A0618E" w:rsidRPr="00400193" w14:paraId="120447C1" w14:textId="77777777" w:rsidTr="003B5486">
        <w:tc>
          <w:tcPr>
            <w:tcW w:w="1129" w:type="dxa"/>
          </w:tcPr>
          <w:p w14:paraId="51CDE52E" w14:textId="77777777" w:rsidR="006E3616" w:rsidRPr="00400193" w:rsidRDefault="006E3616" w:rsidP="003B5486">
            <w:pPr>
              <w:keepNext/>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lastRenderedPageBreak/>
              <w:t>ETCA21</w:t>
            </w:r>
          </w:p>
        </w:tc>
        <w:tc>
          <w:tcPr>
            <w:tcW w:w="5103" w:type="dxa"/>
          </w:tcPr>
          <w:p w14:paraId="62DDE608" w14:textId="6C004124" w:rsidR="006E3616" w:rsidRPr="00400193" w:rsidRDefault="006E3616" w:rsidP="003B5486">
            <w:pPr>
              <w:keepNext/>
              <w:suppressAutoHyphens/>
              <w:spacing w:line="240" w:lineRule="auto"/>
              <w:rPr>
                <w:rFonts w:asciiTheme="minorHAnsi" w:hAnsiTheme="minorHAnsi" w:cstheme="minorHAnsi"/>
                <w:sz w:val="18"/>
                <w:szCs w:val="18"/>
                <w:lang w:eastAsia="zh-CN" w:bidi="hi-IN"/>
              </w:rPr>
            </w:pPr>
            <w:r w:rsidRPr="00400193">
              <w:rPr>
                <w:rFonts w:asciiTheme="minorHAnsi" w:hAnsiTheme="minorHAnsi" w:cstheme="minorHAnsi"/>
                <w:sz w:val="18"/>
                <w:szCs w:val="18"/>
                <w:lang w:eastAsia="zh-CN" w:bidi="hi-IN"/>
              </w:rPr>
              <w:t>Unauthor</w:t>
            </w:r>
            <w:r w:rsidR="00D75A7B" w:rsidRPr="00400193">
              <w:rPr>
                <w:rFonts w:asciiTheme="minorHAnsi" w:hAnsiTheme="minorHAnsi" w:cstheme="minorHAnsi"/>
                <w:sz w:val="18"/>
                <w:szCs w:val="18"/>
                <w:lang w:eastAsia="zh-CN" w:bidi="hi-IN"/>
              </w:rPr>
              <w:t>ise</w:t>
            </w:r>
            <w:r w:rsidRPr="00400193">
              <w:rPr>
                <w:rFonts w:asciiTheme="minorHAnsi" w:hAnsiTheme="minorHAnsi" w:cstheme="minorHAnsi"/>
                <w:sz w:val="18"/>
                <w:szCs w:val="18"/>
                <w:lang w:eastAsia="zh-CN" w:bidi="hi-IN"/>
              </w:rPr>
              <w:t>d access to/deletion/modification of devices/data etc.</w:t>
            </w:r>
          </w:p>
        </w:tc>
        <w:tc>
          <w:tcPr>
            <w:tcW w:w="1418" w:type="dxa"/>
            <w:vAlign w:val="center"/>
          </w:tcPr>
          <w:p w14:paraId="75CEB651"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r w:rsidRPr="00400193">
              <w:rPr>
                <w:rFonts w:asciiTheme="minorHAnsi" w:hAnsiTheme="minorHAnsi" w:cstheme="minorHAnsi"/>
                <w:sz w:val="18"/>
                <w:szCs w:val="18"/>
                <w:lang w:eastAsia="zh-CN" w:bidi="hi-IN"/>
              </w:rPr>
              <w:t>0.958</w:t>
            </w:r>
          </w:p>
        </w:tc>
        <w:tc>
          <w:tcPr>
            <w:tcW w:w="1366" w:type="dxa"/>
            <w:vAlign w:val="center"/>
          </w:tcPr>
          <w:p w14:paraId="16353378" w14:textId="77777777" w:rsidR="006E3616" w:rsidRPr="00400193" w:rsidRDefault="006E3616" w:rsidP="003B5486">
            <w:pPr>
              <w:keepNext/>
              <w:suppressAutoHyphens/>
              <w:spacing w:line="240" w:lineRule="auto"/>
              <w:jc w:val="center"/>
              <w:rPr>
                <w:rFonts w:asciiTheme="minorHAnsi" w:hAnsiTheme="minorHAnsi" w:cstheme="minorHAnsi"/>
                <w:sz w:val="18"/>
                <w:szCs w:val="18"/>
              </w:rPr>
            </w:pPr>
          </w:p>
        </w:tc>
      </w:tr>
    </w:tbl>
    <w:p w14:paraId="494183B1" w14:textId="05BCC2F4" w:rsidR="006E3616" w:rsidRPr="00400193" w:rsidRDefault="006E3616" w:rsidP="006E3616">
      <w:pPr>
        <w:pStyle w:val="Caption"/>
        <w:rPr>
          <w:szCs w:val="24"/>
          <w:lang w:eastAsia="zh-CN" w:bidi="hi-IN"/>
        </w:rPr>
      </w:pPr>
      <w:bookmarkStart w:id="992" w:name="_Ref43165065"/>
      <w:bookmarkStart w:id="993" w:name="_Toc52901667"/>
      <w:r w:rsidRPr="00400193">
        <w:t xml:space="preserve">Table </w:t>
      </w:r>
      <w:r w:rsidRPr="00400193">
        <w:fldChar w:fldCharType="begin"/>
      </w:r>
      <w:r w:rsidRPr="00400193">
        <w:instrText xml:space="preserve"> STYLEREF 1 \s </w:instrText>
      </w:r>
      <w:r w:rsidRPr="00400193">
        <w:fldChar w:fldCharType="separate"/>
      </w:r>
      <w:r w:rsidR="00BB7C18">
        <w:rPr>
          <w:noProof/>
          <w:cs/>
        </w:rPr>
        <w:t>‎</w:t>
      </w:r>
      <w:r w:rsidR="00BB7C18">
        <w:rPr>
          <w:noProof/>
        </w:rPr>
        <w:t>0</w:t>
      </w:r>
      <w:r w:rsidRPr="00400193">
        <w:rPr>
          <w:noProof/>
        </w:rPr>
        <w:fldChar w:fldCharType="end"/>
      </w:r>
      <w:r w:rsidRPr="00400193">
        <w:noBreakHyphen/>
      </w:r>
      <w:r w:rsidRPr="00400193">
        <w:fldChar w:fldCharType="begin"/>
      </w:r>
      <w:r w:rsidRPr="00400193">
        <w:instrText xml:space="preserve"> SEQ Table \* ARABIC \s 1 </w:instrText>
      </w:r>
      <w:r w:rsidRPr="00400193">
        <w:fldChar w:fldCharType="separate"/>
      </w:r>
      <w:r w:rsidR="00BB7C18">
        <w:rPr>
          <w:noProof/>
        </w:rPr>
        <w:t>7</w:t>
      </w:r>
      <w:r w:rsidRPr="00400193">
        <w:rPr>
          <w:noProof/>
        </w:rPr>
        <w:fldChar w:fldCharType="end"/>
      </w:r>
      <w:bookmarkEnd w:id="992"/>
      <w:r w:rsidRPr="00400193">
        <w:t>: Codes for Key External Threats and Cronbach’s Alpha for the study measures using the primary data</w:t>
      </w:r>
      <w:bookmarkEnd w:id="993"/>
    </w:p>
    <w:p w14:paraId="7165E933" w14:textId="77777777" w:rsidR="006E3616" w:rsidRPr="00400193" w:rsidRDefault="006E3616" w:rsidP="006E3616">
      <w:pPr>
        <w:suppressAutoHyphens/>
        <w:spacing w:after="0" w:line="240" w:lineRule="auto"/>
        <w:rPr>
          <w:b/>
          <w:i/>
          <w:szCs w:val="24"/>
          <w:lang w:eastAsia="zh-CN" w:bidi="hi-IN"/>
        </w:rPr>
      </w:pPr>
      <w:bookmarkStart w:id="994" w:name="_3xzr3ei"/>
      <w:bookmarkEnd w:id="994"/>
    </w:p>
    <w:p w14:paraId="6DB049CD" w14:textId="77777777" w:rsidR="006E3616" w:rsidRPr="00400193" w:rsidRDefault="006E3616" w:rsidP="006E3616"/>
    <w:p w14:paraId="1F0C3C7A" w14:textId="77777777" w:rsidR="006E3616" w:rsidRPr="00400193" w:rsidRDefault="006E3616" w:rsidP="006E3616"/>
    <w:p w14:paraId="3378E9AA" w14:textId="77777777" w:rsidR="006E3616" w:rsidRPr="00400193" w:rsidRDefault="006E3616" w:rsidP="006E3616"/>
    <w:p w14:paraId="40A8F454" w14:textId="77777777" w:rsidR="006E3616" w:rsidRPr="00400193" w:rsidRDefault="006E3616" w:rsidP="006E3616"/>
    <w:p w14:paraId="2CB1FEA0" w14:textId="77777777" w:rsidR="006E3616" w:rsidRPr="00400193" w:rsidRDefault="006E3616" w:rsidP="006E3616"/>
    <w:p w14:paraId="43821E3C" w14:textId="77777777" w:rsidR="006E3616" w:rsidRPr="00400193" w:rsidRDefault="006E3616" w:rsidP="006E3616"/>
    <w:p w14:paraId="71CEC307" w14:textId="77777777" w:rsidR="006E3616" w:rsidRPr="00400193" w:rsidRDefault="006E3616" w:rsidP="006E3616"/>
    <w:p w14:paraId="241CDE94" w14:textId="77777777" w:rsidR="006E3616" w:rsidRPr="00400193" w:rsidRDefault="006E3616" w:rsidP="006E3616">
      <w:r w:rsidRPr="00400193">
        <w:rPr>
          <w:noProof/>
          <w:lang w:val="en-US"/>
        </w:rPr>
        <w:lastRenderedPageBreak/>
        <mc:AlternateContent>
          <mc:Choice Requires="wpg">
            <w:drawing>
              <wp:inline distT="0" distB="0" distL="0" distR="0" wp14:anchorId="5D7495A6" wp14:editId="5C9DE93B">
                <wp:extent cx="5560695" cy="862965"/>
                <wp:effectExtent l="0" t="0" r="-769800991" b="546634035"/>
                <wp:docPr id="5"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0695" cy="862965"/>
                          <a:chOff x="0" y="0"/>
                          <a:chExt cx="0" cy="0"/>
                        </a:xfrm>
                      </wpg:grpSpPr>
                      <wpg:grpSp>
                        <wpg:cNvPr id="6" name="Group 40"/>
                        <wpg:cNvGrpSpPr>
                          <a:grpSpLocks/>
                        </wpg:cNvGrpSpPr>
                        <wpg:grpSpPr bwMode="auto">
                          <a:xfrm>
                            <a:off x="0" y="0"/>
                            <a:ext cx="5560200" cy="862200"/>
                            <a:chOff x="0" y="0"/>
                            <a:chExt cx="0" cy="0"/>
                          </a:xfrm>
                        </wpg:grpSpPr>
                        <wps:wsp>
                          <wps:cNvPr id="11" name="Rectangle 41"/>
                          <wps:cNvSpPr>
                            <a:spLocks noChangeArrowheads="1"/>
                          </wps:cNvSpPr>
                          <wps:spPr bwMode="auto">
                            <a:xfrm>
                              <a:off x="0" y="0"/>
                              <a:ext cx="5560200" cy="86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4" name="Shape 40"/>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560200" cy="862200"/>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E584E01" id="Group 13" o:spid="_x0000_s1026" style="width:437.85pt;height:67.95pt;mso-position-horizontal-relative:char;mso-position-vertical-relative:line" coordsize="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">
                <v:group id="Group 40" o:spid="_x0000_s1027" style="position:absolute;width:5560200;height:86220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41" o:spid="_x0000_s1028" style="position:absolute;width:5560200;height:862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" filled="f" stroked="f"/>
                  <v:shape id="Shape 40" o:spid="_x0000_s1029" type="#_x0000_t75" style="position:absolute;width:5560200;height:862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">
                    <v:imagedata r:id="rId120" o:title=""/>
                  </v:shape>
                </v:group>
                <w10:anchorlock/>
              </v:group>
            </w:pict>
          </mc:Fallback>
        </mc:AlternateContent>
      </w:r>
    </w:p>
    <w:p w14:paraId="02939123" w14:textId="77777777" w:rsidR="006E3616" w:rsidRPr="00400193" w:rsidRDefault="006E3616" w:rsidP="006E3616">
      <w:pPr>
        <w:rPr>
          <w:b/>
          <w:i/>
        </w:rPr>
      </w:pPr>
      <w:bookmarkStart w:id="995" w:name="_32hioqz"/>
      <w:bookmarkEnd w:id="995"/>
      <w:r w:rsidRPr="00400193">
        <w:rPr>
          <w:b/>
          <w:i/>
        </w:rPr>
        <w:t>Figure 2-4: GCHQ's Simplified Process. Source: Adapted from (GCHQ, 2015)</w:t>
      </w:r>
    </w:p>
    <w:p w14:paraId="7233961F" w14:textId="77777777" w:rsidR="006E3616" w:rsidRPr="00400193" w:rsidRDefault="006E3616" w:rsidP="006E3616">
      <w:pPr>
        <w:numPr>
          <w:ilvl w:val="2"/>
          <w:numId w:val="4"/>
        </w:numPr>
        <w:rPr>
          <w:b/>
        </w:rPr>
      </w:pPr>
      <w:bookmarkStart w:id="996" w:name="_1hmsyys"/>
      <w:bookmarkEnd w:id="996"/>
      <w:r w:rsidRPr="00400193">
        <w:rPr>
          <w:b/>
        </w:rPr>
        <w:t>The GCHQ Simplified Process</w:t>
      </w:r>
    </w:p>
    <w:p w14:paraId="40131C20" w14:textId="77777777" w:rsidR="006E3616" w:rsidRPr="00400193" w:rsidRDefault="006E3616" w:rsidP="006E3616">
      <w:pPr>
        <w:numPr>
          <w:ilvl w:val="3"/>
          <w:numId w:val="4"/>
        </w:numPr>
        <w:rPr>
          <w:b/>
          <w:i/>
        </w:rPr>
      </w:pPr>
      <w:bookmarkStart w:id="997" w:name="_41mghml"/>
      <w:bookmarkEnd w:id="997"/>
      <w:r w:rsidRPr="00400193">
        <w:rPr>
          <w:b/>
          <w:i/>
        </w:rPr>
        <w:t>Survey</w:t>
      </w:r>
    </w:p>
    <w:p w14:paraId="382AC194" w14:textId="77777777" w:rsidR="006E3616" w:rsidRPr="00400193" w:rsidRDefault="006E3616" w:rsidP="006E3616">
      <w:r w:rsidRPr="00400193">
        <w:t>According to GCHQ (2015) this phase always precedes a cyber-attack. Although it is the perfect time to find out about a future attack, it is also the hardest time to detect unusual behaviour. The initial enquiries made during the survey phase will seem perfectly innocuous – company office hours, staff numbers, means of contacting the company electronically – items which would not usually be concealed or considered secret. Unfortunately, sometimes the electronic response to the request may unintentionally reveal system weaknesses;</w:t>
      </w:r>
    </w:p>
    <w:p w14:paraId="5B512F51" w14:textId="77777777" w:rsidR="006E3616" w:rsidRPr="00400193" w:rsidRDefault="006E3616" w:rsidP="006E3616">
      <w:pPr>
        <w:rPr>
          <w:i/>
        </w:rPr>
      </w:pPr>
      <w:r w:rsidRPr="00400193">
        <w:rPr>
          <w:i/>
        </w:rPr>
        <w:t>“Any information which is published for open consumption should be systematically filtered before it is released to ensure that anything of value to an attacker (such as software and configuration details, the names/roles/titles of individuals and any hidden data) is removed” (GCHQ, 2015, p. 11)</w:t>
      </w:r>
    </w:p>
    <w:p w14:paraId="54912D7C" w14:textId="77777777" w:rsidR="006E3616" w:rsidRPr="00400193" w:rsidRDefault="006E3616" w:rsidP="006E3616">
      <w:pPr>
        <w:numPr>
          <w:ilvl w:val="3"/>
          <w:numId w:val="4"/>
        </w:numPr>
        <w:rPr>
          <w:b/>
          <w:i/>
        </w:rPr>
      </w:pPr>
      <w:bookmarkStart w:id="998" w:name="_2grqrue"/>
      <w:bookmarkEnd w:id="998"/>
      <w:r w:rsidRPr="00400193">
        <w:rPr>
          <w:b/>
          <w:i/>
        </w:rPr>
        <w:t>Delivery</w:t>
      </w:r>
    </w:p>
    <w:p w14:paraId="608ADFF0" w14:textId="77777777" w:rsidR="006E3616" w:rsidRPr="00400193" w:rsidRDefault="006E3616" w:rsidP="006E3616">
      <w:r w:rsidRPr="00400193">
        <w:t>Prevention of delivery is one area where the IT department can and does have a bearing on cyber-security. The enforcement of password protocols, and control over configuration and access all reduce the opportunity for an attacker to find a way to exploit their knowledge of the system. The GCHQ (2015) document suggests several ways of mitigation of the delivery, but in addition this is an area where an active watch must be kept on the behaviour of external websites, even when these are trusted. If unusual behaviour is detected in this phase, an attack can probably be prevented.</w:t>
      </w:r>
    </w:p>
    <w:p w14:paraId="4ABDD79F" w14:textId="77777777" w:rsidR="006E3616" w:rsidRPr="00400193" w:rsidRDefault="006E3616" w:rsidP="006E3616">
      <w:pPr>
        <w:numPr>
          <w:ilvl w:val="3"/>
          <w:numId w:val="4"/>
        </w:numPr>
        <w:rPr>
          <w:b/>
          <w:i/>
        </w:rPr>
      </w:pPr>
      <w:bookmarkStart w:id="999" w:name="_vx1227"/>
      <w:bookmarkEnd w:id="999"/>
      <w:r w:rsidRPr="00400193">
        <w:rPr>
          <w:b/>
          <w:i/>
        </w:rPr>
        <w:t>Breach</w:t>
      </w:r>
    </w:p>
    <w:p w14:paraId="7005DC01" w14:textId="77777777" w:rsidR="006E3616" w:rsidRPr="00400193" w:rsidRDefault="006E3616" w:rsidP="006E3616">
      <w:r w:rsidRPr="00400193">
        <w:t>This is the ‘normal’ detection point of a cyber-attack. Existing frameworks tend to accept that this is where action must be taken, and their aim is to prevent it getting any worse. Again, this concentration on mitigation (GCHQ, 2015) is good, and has been well tried and tested, but the aim of a new framework must be to shift this detection point to an earlier phase, either delivery or survey.</w:t>
      </w:r>
    </w:p>
    <w:p w14:paraId="2BD60C20" w14:textId="77777777" w:rsidR="006E3616" w:rsidRPr="00400193" w:rsidRDefault="006E3616" w:rsidP="006E3616">
      <w:pPr>
        <w:numPr>
          <w:ilvl w:val="3"/>
          <w:numId w:val="4"/>
        </w:numPr>
        <w:rPr>
          <w:b/>
          <w:i/>
        </w:rPr>
      </w:pPr>
      <w:bookmarkStart w:id="1000" w:name="_3fwokq0"/>
      <w:bookmarkEnd w:id="1000"/>
      <w:r w:rsidRPr="00400193">
        <w:rPr>
          <w:b/>
          <w:i/>
        </w:rPr>
        <w:t>Affect</w:t>
      </w:r>
    </w:p>
    <w:p w14:paraId="4D9BE18B" w14:textId="77777777" w:rsidR="006E3616" w:rsidRPr="00400193" w:rsidRDefault="006E3616" w:rsidP="006E3616">
      <w:r w:rsidRPr="00400193">
        <w:t>If the attack is not detected before this phase, then it is only the resilience of the company that will make recovery possible. Although</w:t>
      </w:r>
    </w:p>
    <w:p w14:paraId="70287AFE" w14:textId="77777777" w:rsidR="006E3616" w:rsidRPr="00400193" w:rsidRDefault="006E3616" w:rsidP="006E3616">
      <w:pPr>
        <w:rPr>
          <w:i/>
        </w:rPr>
      </w:pPr>
      <w:r w:rsidRPr="00400193">
        <w:rPr>
          <w:i/>
        </w:rPr>
        <w:t>“If all the measures for the survey, delivery and breach stages are consistently in place, the majority of attacks using commodity capability are likely to be unsuccessful” (GCHQ, 2015, p. 12)</w:t>
      </w:r>
    </w:p>
    <w:p w14:paraId="5C0358E2" w14:textId="77777777" w:rsidR="006E3616" w:rsidRPr="00400193" w:rsidRDefault="006E3616" w:rsidP="006E3616">
      <w:r w:rsidRPr="00400193">
        <w:t xml:space="preserve">The possibility still remains that this will be the detection or intervention point. The recommendation of existing frameworks is that, if this point is reached, </w:t>
      </w:r>
      <w:r w:rsidRPr="00400193">
        <w:rPr>
          <w:i/>
        </w:rPr>
        <w:t>“a full defence-in-depth strategy”</w:t>
      </w:r>
      <w:r w:rsidRPr="00400193">
        <w:t xml:space="preserve"> (GCHQ, 2015, p. 12) should be employed – the point of the resilience framework is that this point must simply never be reached.</w:t>
      </w:r>
    </w:p>
    <w:p w14:paraId="0775C4A0" w14:textId="77777777" w:rsidR="006E3616" w:rsidRPr="00400193" w:rsidRDefault="006E3616" w:rsidP="006E3616">
      <w:pPr>
        <w:numPr>
          <w:ilvl w:val="1"/>
          <w:numId w:val="4"/>
        </w:numPr>
        <w:rPr>
          <w:b/>
        </w:rPr>
      </w:pPr>
      <w:bookmarkStart w:id="1001" w:name="_1v1yuxt"/>
      <w:bookmarkEnd w:id="1001"/>
      <w:r w:rsidRPr="00400193">
        <w:rPr>
          <w:b/>
        </w:rPr>
        <w:t>Trends</w:t>
      </w:r>
    </w:p>
    <w:p w14:paraId="4C04DE87" w14:textId="77777777" w:rsidR="006E3616" w:rsidRPr="00400193" w:rsidRDefault="006E3616" w:rsidP="006E3616">
      <w:r w:rsidRPr="00400193">
        <w:t>As the IoT grows it is increasingly subject to attacks, and cloud computing faces similar challenges, as Figure  2 -5 demonstrates. Meanwhile, the attacks by sector in Figure   2 -6 show the importance of the issue to companies and government departments within the UAE.</w:t>
      </w:r>
    </w:p>
    <w:p w14:paraId="71D9C7EB" w14:textId="77777777" w:rsidR="006E3616" w:rsidRPr="00400193" w:rsidRDefault="006E3616" w:rsidP="006E3616">
      <w:r w:rsidRPr="00400193">
        <w:rPr>
          <w:noProof/>
          <w:lang w:val="en-US"/>
        </w:rPr>
        <mc:AlternateContent>
          <mc:Choice Requires="wps">
            <w:drawing>
              <wp:inline distT="0" distB="0" distL="0" distR="0" wp14:anchorId="310953CD" wp14:editId="4DE0B15E">
                <wp:extent cx="5687060" cy="2753995"/>
                <wp:effectExtent l="0" t="0" r="0" b="0"/>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7060" cy="2753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49B41D" w14:textId="77777777" w:rsidR="007401F4" w:rsidRDefault="007401F4" w:rsidP="006E3616">
                            <w:pPr>
                              <w:spacing w:after="0" w:line="240" w:lineRule="exact"/>
                              <w:jc w:val="left"/>
                            </w:pPr>
                          </w:p>
                        </w:txbxContent>
                      </wps:txbx>
                      <wps:bodyPr rot="0" vert="horz" wrap="square" lIns="91440" tIns="91440" rIns="91440" bIns="91440" anchor="ctr" anchorCtr="0" upright="1">
                        <a:noAutofit/>
                      </wps:bodyPr>
                    </wps:wsp>
                  </a:graphicData>
                </a:graphic>
              </wp:inline>
            </w:drawing>
          </mc:Choice>
          <mc:Fallback>
            <w:pict>
              <v:rect w14:anchorId="310953CD" id="Rectangle 9" o:spid="_x0000_s1221" style="width:447.8pt;height:21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" filled="f" stroked="f">
                <v:textbox inset=",7.2pt,,7.2pt">
                  <w:txbxContent>
                    <w:p w14:paraId="7849B41D" w14:textId="77777777" w:rsidR="007401F4" w:rsidRDefault="007401F4" w:rsidP="006E3616">
                      <w:pPr>
                        <w:spacing w:after="0" w:line="240" w:lineRule="exact"/>
                        <w:jc w:val="left"/>
                      </w:pPr>
                    </w:p>
                  </w:txbxContent>
                </v:textbox>
                <w10:anchorlock/>
              </v:rect>
            </w:pict>
          </mc:Fallback>
        </mc:AlternateContent>
      </w:r>
    </w:p>
    <w:p w14:paraId="4AD76B45" w14:textId="77777777" w:rsidR="006E3616" w:rsidRPr="00400193" w:rsidRDefault="006E3616" w:rsidP="006E3616">
      <w:pPr>
        <w:rPr>
          <w:b/>
          <w:i/>
        </w:rPr>
      </w:pPr>
      <w:bookmarkStart w:id="1002" w:name="_4f1mdlm"/>
      <w:bookmarkEnd w:id="1002"/>
      <w:r w:rsidRPr="00400193">
        <w:rPr>
          <w:b/>
          <w:i/>
        </w:rPr>
        <w:t>Figure 2-5: Frequency of successful cyber-attacks. Source: adapted from (Imperva, 2019)</w:t>
      </w:r>
    </w:p>
    <w:p w14:paraId="453B1B4B" w14:textId="77777777" w:rsidR="006E3616" w:rsidRPr="00400193" w:rsidRDefault="006E3616" w:rsidP="006E3616"/>
    <w:p w14:paraId="0792F54D" w14:textId="77777777" w:rsidR="006E3616" w:rsidRPr="00400193" w:rsidRDefault="006E3616" w:rsidP="006E3616">
      <w:pPr>
        <w:rPr>
          <w:b/>
          <w:i/>
        </w:rPr>
      </w:pPr>
      <w:r w:rsidRPr="00400193">
        <w:rPr>
          <w:noProof/>
          <w:lang w:val="en-US"/>
        </w:rPr>
        <w:drawing>
          <wp:inline distT="0" distB="0" distL="0" distR="0" wp14:anchorId="40015171" wp14:editId="0D9E4448">
            <wp:extent cx="5676265" cy="3053715"/>
            <wp:effectExtent l="0" t="0" r="0" b="0"/>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1">
                      <a:extLst>
                        <a:ext uri="{28A0092B-C50C-407E-A947-70E740481C1C}">
                          <a14:useLocalDpi xmlns:a14="http://schemas.microsoft.com/office/drawing/2010/main" val="0"/>
                        </a:ext>
                      </a:extLst>
                    </a:blip>
                    <a:srcRect l="-14" t="-26" r="-14" b="-26"/>
                    <a:stretch>
                      <a:fillRect/>
                    </a:stretch>
                  </pic:blipFill>
                  <pic:spPr bwMode="auto">
                    <a:xfrm>
                      <a:off x="0" y="0"/>
                      <a:ext cx="5676265" cy="3053715"/>
                    </a:xfrm>
                    <a:prstGeom prst="rect">
                      <a:avLst/>
                    </a:prstGeom>
                    <a:noFill/>
                    <a:ln>
                      <a:noFill/>
                    </a:ln>
                  </pic:spPr>
                </pic:pic>
              </a:graphicData>
            </a:graphic>
          </wp:inline>
        </w:drawing>
      </w:r>
      <w:r w:rsidRPr="00400193">
        <w:rPr>
          <w:b/>
          <w:i/>
        </w:rPr>
        <w:t xml:space="preserve"> </w:t>
      </w:r>
    </w:p>
    <w:p w14:paraId="2BD9316A" w14:textId="77777777" w:rsidR="006E3616" w:rsidRPr="00400193" w:rsidRDefault="006E3616" w:rsidP="006E3616">
      <w:pPr>
        <w:rPr>
          <w:b/>
          <w:i/>
        </w:rPr>
      </w:pPr>
      <w:bookmarkStart w:id="1003" w:name="_2u6wntf"/>
      <w:bookmarkEnd w:id="1003"/>
      <w:r w:rsidRPr="00400193">
        <w:rPr>
          <w:b/>
          <w:i/>
        </w:rPr>
        <w:t>Figure 2-6: Cyber-attacks by sector, 2016. Source: (Control Risks, 2016)</w:t>
      </w:r>
    </w:p>
    <w:p w14:paraId="464969F4" w14:textId="77777777" w:rsidR="006E3616" w:rsidRPr="00400193" w:rsidRDefault="006E3616" w:rsidP="006E3616">
      <w:r w:rsidRPr="00400193">
        <w:t>This growth of attacks against the government infrastructure is also borne out by the increase in cyber-terrorism, discussed below. The difficulty that also may arise here is one of ‘gullibility’ – a hacker or cyber-attacker may have been convinced by his/her backers that (s)he is actually ‘doing the right thing’ by sabotaging government infrastructure. This combined with the popular growth of ‘conspiracy theory’ (Wood, 2015) may be the reason for this trend, but the fact that it is a trend is more important than discovering the reason that it has occurred. There is not room, here, to discuss the moral aspects of activism and terrorism in any context, but acceptance of the idea that they are growing can influence the way in which individual companies or governments deal with cyber-security.</w:t>
      </w:r>
    </w:p>
    <w:p w14:paraId="09728332" w14:textId="77777777" w:rsidR="006E3616" w:rsidRPr="00400193" w:rsidRDefault="006E3616" w:rsidP="006E3616">
      <w:pPr>
        <w:numPr>
          <w:ilvl w:val="1"/>
          <w:numId w:val="4"/>
        </w:numPr>
        <w:rPr>
          <w:b/>
        </w:rPr>
      </w:pPr>
      <w:bookmarkStart w:id="1004" w:name="_19c6y18"/>
      <w:bookmarkEnd w:id="1004"/>
      <w:r w:rsidRPr="00400193">
        <w:rPr>
          <w:b/>
        </w:rPr>
        <w:t>Terrorism and cyber-attacks</w:t>
      </w:r>
    </w:p>
    <w:p w14:paraId="091FC892" w14:textId="77777777" w:rsidR="006E3616" w:rsidRPr="00400193" w:rsidRDefault="006E3616" w:rsidP="006E3616">
      <w:r w:rsidRPr="00400193">
        <w:t>This is another growth area for the future; governments around the world are increasingly online, and causing disruption to a government to which you are opposed is one of the aims of terrorism (Weimann, 2004). Cyber-terrorism is the same as any other form of terrorism except for its delivery (Zubrzycki, 2016), and like most other forms of terrorism needs funding which often comes from other criminal sources (Clarke, 2016a; Clarke, 2016b). However, from the point of view of cyber-attacks;</w:t>
      </w:r>
    </w:p>
    <w:p w14:paraId="235E2D62" w14:textId="77777777" w:rsidR="006E3616" w:rsidRPr="00400193" w:rsidRDefault="006E3616" w:rsidP="006E3616">
      <w:pPr>
        <w:rPr>
          <w:i/>
        </w:rPr>
      </w:pPr>
      <w:r w:rsidRPr="00400193">
        <w:rPr>
          <w:i/>
        </w:rPr>
        <w:t>“Whether or not a cyber-attack against vital information infrastructure is viewed as an act of terrorism depends on the intent” (Heickerö, 2014, p. 555)</w:t>
      </w:r>
    </w:p>
    <w:p w14:paraId="6EFFBFBF" w14:textId="77777777" w:rsidR="006E3616" w:rsidRPr="00400193" w:rsidRDefault="006E3616" w:rsidP="006E3616">
      <w:r w:rsidRPr="00400193">
        <w:t>Although this is an emerging threat, it is more likely to be aimed at ‘establishment’ websites and information hubs than ordinary commercial companies. This does not mean that ordinary companies can be complacent about the risk, however. An awareness that it may occur should be built-in to any framework that is created.</w:t>
      </w:r>
    </w:p>
    <w:p w14:paraId="646BF699" w14:textId="77777777" w:rsidR="006E3616" w:rsidRPr="00400193" w:rsidRDefault="006E3616" w:rsidP="006E3616">
      <w:pPr>
        <w:numPr>
          <w:ilvl w:val="1"/>
          <w:numId w:val="4"/>
        </w:numPr>
        <w:rPr>
          <w:b/>
        </w:rPr>
      </w:pPr>
      <w:bookmarkStart w:id="1005" w:name="_3tbugp1"/>
      <w:bookmarkEnd w:id="1005"/>
      <w:r w:rsidRPr="00400193">
        <w:rPr>
          <w:b/>
        </w:rPr>
        <w:t>The Development of Cyber Risk Management Frameworks</w:t>
      </w:r>
    </w:p>
    <w:p w14:paraId="1CE0414C" w14:textId="77777777" w:rsidR="006E3616" w:rsidRPr="00400193" w:rsidRDefault="006E3616" w:rsidP="006E3616">
      <w:r w:rsidRPr="00400193">
        <w:t>When cyber-risks began to be seen as something that applied to ‘ordinary’ companies as well as ‘high tech’ companies, the idea of the Critical Infrastructure (CI) became common;</w:t>
      </w:r>
    </w:p>
    <w:p w14:paraId="6235C1CC" w14:textId="3BF1048C" w:rsidR="006E3616" w:rsidRPr="00400193" w:rsidRDefault="006E3616" w:rsidP="006E3616">
      <w:pPr>
        <w:rPr>
          <w:i/>
        </w:rPr>
      </w:pPr>
      <w:r w:rsidRPr="00400193">
        <w:rPr>
          <w:i/>
        </w:rPr>
        <w:t xml:space="preserve">“physical and cyber-based systems that are essential for day-to-day operation of the economy and government. [E.G. Banking,] Electric power production and distribution, water treatment and supply, gas and oil production and distribution, and telecommunications” (Ralston, Graham, </w:t>
      </w:r>
      <w:r w:rsidR="00337F8A" w:rsidRPr="00400193">
        <w:rPr>
          <w:i/>
        </w:rPr>
        <w:t>and</w:t>
      </w:r>
      <w:r w:rsidRPr="00400193">
        <w:rPr>
          <w:i/>
        </w:rPr>
        <w:t xml:space="preserve"> Hieb, 2007, p. 583)</w:t>
      </w:r>
    </w:p>
    <w:p w14:paraId="435889FF" w14:textId="75AFC880" w:rsidR="006E3616" w:rsidRPr="00400193" w:rsidRDefault="006E3616" w:rsidP="006E3616">
      <w:r w:rsidRPr="00400193">
        <w:t xml:space="preserve">In addition to the CI, it must also be remembered that these are also suppliers and clients of other companies, and the greater the connectedness, the greater the risk. Additionally, in a globalised business world (Held </w:t>
      </w:r>
      <w:r w:rsidR="00337F8A" w:rsidRPr="00400193">
        <w:t>and</w:t>
      </w:r>
      <w:r w:rsidRPr="00400193">
        <w:t xml:space="preserve"> McGrew, 2003), cyber-security is no longer a matter simply of national importance; cyber-crime is truly international, as proved by the recent banking attacks (Sky News, 2016).</w:t>
      </w:r>
    </w:p>
    <w:p w14:paraId="36B2E224" w14:textId="22D423A7" w:rsidR="006E3616" w:rsidRPr="00400193" w:rsidRDefault="006E3616" w:rsidP="006E3616">
      <w:r w:rsidRPr="00400193">
        <w:t xml:space="preserve">Another emerging risk which has a major effect on connectivity and therefore on security is the concept of Platform as a Service (PaaS) (Li, Wang, Wang, Yu, </w:t>
      </w:r>
      <w:r w:rsidR="00337F8A" w:rsidRPr="00400193">
        <w:t>and</w:t>
      </w:r>
      <w:r w:rsidRPr="00400193">
        <w:t xml:space="preserve"> Qian, 2019). This approach, suggested for ‘smart cities’ increases the level of access to company data as can be seen in Figure   2 -7, below. This also brings into the balance the Internet of Things (IoT) Infrastructure as a Service (IaaS), which is a far less secure system (currently) than can be offered by the internet itself and could severely impact systems that have not considered attack from that direction. </w:t>
      </w:r>
    </w:p>
    <w:p w14:paraId="079A4524" w14:textId="77777777" w:rsidR="006E3616" w:rsidRPr="00400193" w:rsidRDefault="006E3616" w:rsidP="006E3616"/>
    <w:p w14:paraId="445B232F" w14:textId="77777777" w:rsidR="006E3616" w:rsidRPr="00400193" w:rsidRDefault="006E3616" w:rsidP="006E3616"/>
    <w:p w14:paraId="7761A93F" w14:textId="77777777" w:rsidR="006E3616" w:rsidRPr="00400193" w:rsidRDefault="006E3616" w:rsidP="006E3616"/>
    <w:p w14:paraId="78A6DAA8" w14:textId="77777777" w:rsidR="006E3616" w:rsidRPr="00400193" w:rsidRDefault="006E3616" w:rsidP="006E3616"/>
    <w:p w14:paraId="76E48F59" w14:textId="77777777" w:rsidR="006E3616" w:rsidRPr="00400193" w:rsidRDefault="006E3616"/>
    <w:sectPr w:rsidR="006E3616" w:rsidRPr="00400193" w:rsidSect="003B5486">
      <w:footerReference w:type="default" r:id="rId122"/>
      <w:headerReference w:type="first" r:id="rId123"/>
      <w:footerReference w:type="first" r:id="rId124"/>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C0D438" w14:textId="77777777" w:rsidR="002B3EEC" w:rsidRDefault="002B3EEC" w:rsidP="006E3616">
      <w:pPr>
        <w:spacing w:after="0" w:line="240" w:lineRule="auto"/>
      </w:pPr>
      <w:r>
        <w:separator/>
      </w:r>
    </w:p>
  </w:endnote>
  <w:endnote w:type="continuationSeparator" w:id="0">
    <w:p w14:paraId="43AD7976" w14:textId="77777777" w:rsidR="002B3EEC" w:rsidRDefault="002B3EEC" w:rsidP="006E3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oto Sans SC Regular">
    <w:panose1 w:val="00000000000000000000"/>
    <w:charset w:val="00"/>
    <w:family w:val="roman"/>
    <w:notTrueType/>
    <w:pitch w:val="default"/>
  </w:font>
  <w:font w:name="Droid Sans Devanagari">
    <w:altName w:val="Segoe UI"/>
    <w:panose1 w:val="00000000000000000000"/>
    <w:charset w:val="00"/>
    <w:family w:val="roman"/>
    <w:notTrueType/>
    <w:pitch w:val="default"/>
  </w:font>
  <w:font w:name="Liberation Sans">
    <w:altName w:val="Arial"/>
    <w:charset w:val="01"/>
    <w:family w:val="roman"/>
    <w:pitch w:val="variable"/>
  </w:font>
  <w:font w:name="Georgia">
    <w:altName w:val="﷽﷽﷽﷽﷽﷽﷽﷽"/>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g Vesta">
    <w:altName w:val="Times New Roman"/>
    <w:charset w:val="00"/>
    <w:family w:val="auto"/>
    <w:pitch w:val="variable"/>
    <w:sig w:usb0="A00000EF" w:usb1="4000204A" w:usb2="00000000" w:usb3="00000000" w:csb0="0000009B" w:csb1="00000000"/>
  </w:font>
  <w:font w:name="Palatino">
    <w:charset w:val="00"/>
    <w:family w:val="auto"/>
    <w:pitch w:val="variable"/>
    <w:sig w:usb0="A00002FF" w:usb1="7800205A" w:usb2="14600000" w:usb3="00000000" w:csb0="00000193"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19BE6" w14:textId="77777777" w:rsidR="007401F4" w:rsidRDefault="007401F4">
    <w:pPr>
      <w:pStyle w:val="Footer"/>
      <w:jc w:val="center"/>
    </w:pPr>
  </w:p>
  <w:p w14:paraId="48868FFC" w14:textId="77777777" w:rsidR="007401F4" w:rsidRPr="008E2C6C" w:rsidRDefault="007401F4" w:rsidP="003B548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315A6" w14:textId="77777777" w:rsidR="007401F4" w:rsidRPr="008E2C6C" w:rsidRDefault="007401F4" w:rsidP="003B5486">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2326604"/>
      <w:docPartObj>
        <w:docPartGallery w:val="Page Numbers (Bottom of Page)"/>
        <w:docPartUnique/>
      </w:docPartObj>
    </w:sdtPr>
    <w:sdtEndPr>
      <w:rPr>
        <w:noProof/>
      </w:rPr>
    </w:sdtEndPr>
    <w:sdtContent>
      <w:p w14:paraId="54E50D92" w14:textId="47EBDCBF" w:rsidR="00070C91" w:rsidRDefault="00070C91">
        <w:pPr>
          <w:pStyle w:val="Footer"/>
          <w:jc w:val="center"/>
        </w:pPr>
        <w:r>
          <w:fldChar w:fldCharType="begin"/>
        </w:r>
        <w:r>
          <w:instrText xml:space="preserve"> PAGE   \* MERGEFORMAT </w:instrText>
        </w:r>
        <w:r>
          <w:fldChar w:fldCharType="separate"/>
        </w:r>
        <w:r w:rsidR="00724BEE">
          <w:rPr>
            <w:noProof/>
          </w:rPr>
          <w:t>xiv</w:t>
        </w:r>
        <w:r>
          <w:rPr>
            <w:noProof/>
          </w:rPr>
          <w:fldChar w:fldCharType="end"/>
        </w:r>
      </w:p>
    </w:sdtContent>
  </w:sdt>
  <w:p w14:paraId="76115EF6" w14:textId="77777777" w:rsidR="00070C91" w:rsidRPr="008E2C6C" w:rsidRDefault="00070C91" w:rsidP="003B5486">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F918D" w14:textId="35865FB6" w:rsidR="007401F4" w:rsidRDefault="007401F4">
    <w:pPr>
      <w:pStyle w:val="Footer"/>
      <w:jc w:val="center"/>
    </w:pPr>
    <w:r>
      <w:fldChar w:fldCharType="begin"/>
    </w:r>
    <w:r>
      <w:instrText xml:space="preserve"> PAGE   \* MERGEFORMAT </w:instrText>
    </w:r>
    <w:r>
      <w:fldChar w:fldCharType="separate"/>
    </w:r>
    <w:r w:rsidR="00724BEE">
      <w:rPr>
        <w:noProof/>
      </w:rPr>
      <w:t>269</w:t>
    </w:r>
    <w:r>
      <w:rPr>
        <w:noProof/>
      </w:rPr>
      <w:fldChar w:fldCharType="end"/>
    </w:r>
  </w:p>
  <w:p w14:paraId="601F8345" w14:textId="77777777" w:rsidR="007401F4" w:rsidRDefault="007401F4">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4DE196" w14:textId="66227E91" w:rsidR="007401F4" w:rsidRPr="00277A00" w:rsidRDefault="007401F4">
    <w:pPr>
      <w:pStyle w:val="Footer"/>
      <w:jc w:val="center"/>
      <w:rPr>
        <w:color w:val="000000"/>
      </w:rPr>
    </w:pPr>
    <w:r w:rsidRPr="00277A00">
      <w:rPr>
        <w:color w:val="000000"/>
      </w:rPr>
      <w:fldChar w:fldCharType="begin"/>
    </w:r>
    <w:r w:rsidRPr="00277A00">
      <w:rPr>
        <w:color w:val="000000"/>
      </w:rPr>
      <w:instrText xml:space="preserve"> PAGE   \* MERGEFORMAT </w:instrText>
    </w:r>
    <w:r w:rsidRPr="00277A00">
      <w:rPr>
        <w:color w:val="000000"/>
      </w:rPr>
      <w:fldChar w:fldCharType="separate"/>
    </w:r>
    <w:r w:rsidR="00724BEE">
      <w:rPr>
        <w:noProof/>
        <w:color w:val="000000"/>
      </w:rPr>
      <w:t>1</w:t>
    </w:r>
    <w:r w:rsidRPr="00277A00">
      <w:rPr>
        <w:noProof/>
        <w:color w:val="000000"/>
      </w:rPr>
      <w:fldChar w:fldCharType="end"/>
    </w:r>
  </w:p>
  <w:p w14:paraId="08D3F8C2" w14:textId="77777777" w:rsidR="007401F4" w:rsidRDefault="007401F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F89295" w14:textId="77777777" w:rsidR="002B3EEC" w:rsidRDefault="002B3EEC" w:rsidP="006E3616">
      <w:pPr>
        <w:spacing w:after="0" w:line="240" w:lineRule="auto"/>
      </w:pPr>
      <w:r>
        <w:separator/>
      </w:r>
    </w:p>
  </w:footnote>
  <w:footnote w:type="continuationSeparator" w:id="0">
    <w:p w14:paraId="7E54F38C" w14:textId="77777777" w:rsidR="002B3EEC" w:rsidRDefault="002B3EEC" w:rsidP="006E36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1771E" w14:textId="77777777" w:rsidR="007401F4" w:rsidRDefault="007401F4">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5C196" w14:textId="77777777" w:rsidR="00070C91" w:rsidRDefault="00070C91">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6391E" w14:textId="77777777" w:rsidR="007401F4" w:rsidRDefault="007401F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05A8DD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D3E28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566D41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BB6405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B9A285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9806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D46293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92CAF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382B64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E50FE9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160AA0"/>
    <w:multiLevelType w:val="hybridMultilevel"/>
    <w:tmpl w:val="8DE62E86"/>
    <w:lvl w:ilvl="0" w:tplc="EFDC77A2">
      <w:start w:val="1"/>
      <w:numFmt w:val="ordinalText"/>
      <w:lvlText w:val="%1."/>
      <w:lvlJc w:val="left"/>
      <w:pPr>
        <w:ind w:left="720" w:hanging="360"/>
      </w:pPr>
      <w:rPr>
        <w:rFonts w:ascii="Arial" w:hAnsi="Arial" w:hint="default"/>
        <w:b w:val="0"/>
        <w:i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3F75BE7"/>
    <w:multiLevelType w:val="hybridMultilevel"/>
    <w:tmpl w:val="B6B24844"/>
    <w:lvl w:ilvl="0" w:tplc="4B682940">
      <w:start w:val="1"/>
      <w:numFmt w:val="decimal"/>
      <w:pStyle w:val="QuestionParagraphs"/>
      <w:lvlText w:val="RQ %1."/>
      <w:lvlJc w:val="left"/>
      <w:pPr>
        <w:ind w:left="1440" w:hanging="360"/>
      </w:pPr>
      <w:rPr>
        <w:rFonts w:ascii="Arial" w:hAnsi="Arial" w:hint="default"/>
        <w:b/>
        <w:i w:val="0"/>
        <w:sz w:val="24"/>
      </w:rPr>
    </w:lvl>
    <w:lvl w:ilvl="1" w:tplc="8412441E">
      <w:start w:val="1"/>
      <w:numFmt w:val="lowerRoman"/>
      <w:lvlText w:val="%2."/>
      <w:lvlJc w:val="left"/>
      <w:pPr>
        <w:ind w:left="2160" w:hanging="360"/>
      </w:pPr>
      <w:rPr>
        <w:rFonts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05B0562E"/>
    <w:multiLevelType w:val="hybridMultilevel"/>
    <w:tmpl w:val="BD0E3304"/>
    <w:lvl w:ilvl="0" w:tplc="74CC3602">
      <w:start w:val="1"/>
      <w:numFmt w:val="cardinalText"/>
      <w:lvlText w:val="%1."/>
      <w:lvlJc w:val="left"/>
      <w:pPr>
        <w:ind w:left="1800" w:hanging="360"/>
      </w:pPr>
      <w:rPr>
        <w:rFonts w:hint="default"/>
        <w:u w:val="none"/>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08A42393"/>
    <w:multiLevelType w:val="multilevel"/>
    <w:tmpl w:val="F81CF200"/>
    <w:lvl w:ilvl="0">
      <w:start w:val="1"/>
      <w:numFmt w:val="bullet"/>
      <w:lvlText w:val="l"/>
      <w:lvlJc w:val="left"/>
      <w:pPr>
        <w:ind w:left="720" w:hanging="360"/>
      </w:pPr>
      <w:rPr>
        <w:rFonts w:ascii="Wingdings" w:hAnsi="Wingdings" w:cs="Wingdings" w:hint="default"/>
      </w:rPr>
    </w:lvl>
    <w:lvl w:ilvl="1">
      <w:start w:val="1"/>
      <w:numFmt w:val="bullet"/>
      <w:lvlText w:val="o"/>
      <w:lvlJc w:val="left"/>
      <w:pPr>
        <w:ind w:left="1440" w:hanging="360"/>
      </w:pPr>
      <w:rPr>
        <w:rFonts w:ascii="OpenSymbol" w:hAnsi="OpenSymbol" w:cs="OpenSymbol" w:hint="default"/>
      </w:rPr>
    </w:lvl>
    <w:lvl w:ilvl="2">
      <w:start w:val="1"/>
      <w:numFmt w:val="bullet"/>
      <w:lvlText w:val="l"/>
      <w:lvlJc w:val="left"/>
      <w:pPr>
        <w:ind w:left="2160" w:hanging="360"/>
      </w:pPr>
      <w:rPr>
        <w:rFonts w:ascii="Wingdings" w:hAnsi="Wingdings" w:cs="Wingdings" w:hint="default"/>
      </w:rPr>
    </w:lvl>
    <w:lvl w:ilvl="3">
      <w:start w:val="1"/>
      <w:numFmt w:val="bullet"/>
      <w:lvlText w:val="l"/>
      <w:lvlJc w:val="left"/>
      <w:pPr>
        <w:ind w:left="2880" w:hanging="360"/>
      </w:pPr>
      <w:rPr>
        <w:rFonts w:ascii="Wingdings" w:hAnsi="Wingdings" w:cs="Wingdings" w:hint="default"/>
      </w:rPr>
    </w:lvl>
    <w:lvl w:ilvl="4">
      <w:start w:val="1"/>
      <w:numFmt w:val="bullet"/>
      <w:lvlText w:val="o"/>
      <w:lvlJc w:val="left"/>
      <w:pPr>
        <w:ind w:left="3600" w:hanging="360"/>
      </w:pPr>
      <w:rPr>
        <w:rFonts w:ascii="OpenSymbol" w:hAnsi="OpenSymbol" w:cs="OpenSymbol" w:hint="default"/>
      </w:rPr>
    </w:lvl>
    <w:lvl w:ilvl="5">
      <w:start w:val="1"/>
      <w:numFmt w:val="bullet"/>
      <w:lvlText w:val="l"/>
      <w:lvlJc w:val="left"/>
      <w:pPr>
        <w:ind w:left="4320" w:hanging="360"/>
      </w:pPr>
      <w:rPr>
        <w:rFonts w:ascii="Wingdings" w:hAnsi="Wingdings" w:cs="Wingdings" w:hint="default"/>
      </w:rPr>
    </w:lvl>
    <w:lvl w:ilvl="6">
      <w:start w:val="1"/>
      <w:numFmt w:val="bullet"/>
      <w:lvlText w:val="l"/>
      <w:lvlJc w:val="left"/>
      <w:pPr>
        <w:ind w:left="5040" w:hanging="360"/>
      </w:pPr>
      <w:rPr>
        <w:rFonts w:ascii="Wingdings" w:hAnsi="Wingdings" w:cs="Wingdings" w:hint="default"/>
      </w:rPr>
    </w:lvl>
    <w:lvl w:ilvl="7">
      <w:start w:val="1"/>
      <w:numFmt w:val="bullet"/>
      <w:lvlText w:val="o"/>
      <w:lvlJc w:val="left"/>
      <w:pPr>
        <w:ind w:left="5760" w:hanging="360"/>
      </w:pPr>
      <w:rPr>
        <w:rFonts w:ascii="OpenSymbol" w:hAnsi="OpenSymbol" w:cs="OpenSymbol" w:hint="default"/>
      </w:rPr>
    </w:lvl>
    <w:lvl w:ilvl="8">
      <w:start w:val="1"/>
      <w:numFmt w:val="bullet"/>
      <w:lvlText w:val="l"/>
      <w:lvlJc w:val="left"/>
      <w:pPr>
        <w:ind w:left="6480" w:hanging="360"/>
      </w:pPr>
      <w:rPr>
        <w:rFonts w:ascii="Wingdings" w:hAnsi="Wingdings" w:cs="Wingdings" w:hint="default"/>
      </w:rPr>
    </w:lvl>
  </w:abstractNum>
  <w:abstractNum w:abstractNumId="14" w15:restartNumberingAfterBreak="0">
    <w:nsid w:val="0D4F3BD6"/>
    <w:multiLevelType w:val="multilevel"/>
    <w:tmpl w:val="9B14D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0EC6BB7"/>
    <w:multiLevelType w:val="hybridMultilevel"/>
    <w:tmpl w:val="26DAC1EC"/>
    <w:lvl w:ilvl="0" w:tplc="207A37A0">
      <w:start w:val="1"/>
      <w:numFmt w:val="bullet"/>
      <w:lvlText w:val="•"/>
      <w:lvlJc w:val="left"/>
      <w:pPr>
        <w:tabs>
          <w:tab w:val="num" w:pos="720"/>
        </w:tabs>
        <w:ind w:left="720" w:hanging="360"/>
      </w:pPr>
      <w:rPr>
        <w:rFonts w:ascii="Times New Roman" w:hAnsi="Times New Roman" w:hint="default"/>
      </w:rPr>
    </w:lvl>
    <w:lvl w:ilvl="1" w:tplc="871CD202" w:tentative="1">
      <w:start w:val="1"/>
      <w:numFmt w:val="bullet"/>
      <w:lvlText w:val="•"/>
      <w:lvlJc w:val="left"/>
      <w:pPr>
        <w:tabs>
          <w:tab w:val="num" w:pos="1440"/>
        </w:tabs>
        <w:ind w:left="1440" w:hanging="360"/>
      </w:pPr>
      <w:rPr>
        <w:rFonts w:ascii="Times New Roman" w:hAnsi="Times New Roman" w:hint="default"/>
      </w:rPr>
    </w:lvl>
    <w:lvl w:ilvl="2" w:tplc="3A367198" w:tentative="1">
      <w:start w:val="1"/>
      <w:numFmt w:val="bullet"/>
      <w:lvlText w:val="•"/>
      <w:lvlJc w:val="left"/>
      <w:pPr>
        <w:tabs>
          <w:tab w:val="num" w:pos="2160"/>
        </w:tabs>
        <w:ind w:left="2160" w:hanging="360"/>
      </w:pPr>
      <w:rPr>
        <w:rFonts w:ascii="Times New Roman" w:hAnsi="Times New Roman" w:hint="default"/>
      </w:rPr>
    </w:lvl>
    <w:lvl w:ilvl="3" w:tplc="3E20B74C" w:tentative="1">
      <w:start w:val="1"/>
      <w:numFmt w:val="bullet"/>
      <w:lvlText w:val="•"/>
      <w:lvlJc w:val="left"/>
      <w:pPr>
        <w:tabs>
          <w:tab w:val="num" w:pos="2880"/>
        </w:tabs>
        <w:ind w:left="2880" w:hanging="360"/>
      </w:pPr>
      <w:rPr>
        <w:rFonts w:ascii="Times New Roman" w:hAnsi="Times New Roman" w:hint="default"/>
      </w:rPr>
    </w:lvl>
    <w:lvl w:ilvl="4" w:tplc="7BB8AE6C" w:tentative="1">
      <w:start w:val="1"/>
      <w:numFmt w:val="bullet"/>
      <w:lvlText w:val="•"/>
      <w:lvlJc w:val="left"/>
      <w:pPr>
        <w:tabs>
          <w:tab w:val="num" w:pos="3600"/>
        </w:tabs>
        <w:ind w:left="3600" w:hanging="360"/>
      </w:pPr>
      <w:rPr>
        <w:rFonts w:ascii="Times New Roman" w:hAnsi="Times New Roman" w:hint="default"/>
      </w:rPr>
    </w:lvl>
    <w:lvl w:ilvl="5" w:tplc="D5F25BD2" w:tentative="1">
      <w:start w:val="1"/>
      <w:numFmt w:val="bullet"/>
      <w:lvlText w:val="•"/>
      <w:lvlJc w:val="left"/>
      <w:pPr>
        <w:tabs>
          <w:tab w:val="num" w:pos="4320"/>
        </w:tabs>
        <w:ind w:left="4320" w:hanging="360"/>
      </w:pPr>
      <w:rPr>
        <w:rFonts w:ascii="Times New Roman" w:hAnsi="Times New Roman" w:hint="default"/>
      </w:rPr>
    </w:lvl>
    <w:lvl w:ilvl="6" w:tplc="F10CFFF0" w:tentative="1">
      <w:start w:val="1"/>
      <w:numFmt w:val="bullet"/>
      <w:lvlText w:val="•"/>
      <w:lvlJc w:val="left"/>
      <w:pPr>
        <w:tabs>
          <w:tab w:val="num" w:pos="5040"/>
        </w:tabs>
        <w:ind w:left="5040" w:hanging="360"/>
      </w:pPr>
      <w:rPr>
        <w:rFonts w:ascii="Times New Roman" w:hAnsi="Times New Roman" w:hint="default"/>
      </w:rPr>
    </w:lvl>
    <w:lvl w:ilvl="7" w:tplc="5A7E14AA" w:tentative="1">
      <w:start w:val="1"/>
      <w:numFmt w:val="bullet"/>
      <w:lvlText w:val="•"/>
      <w:lvlJc w:val="left"/>
      <w:pPr>
        <w:tabs>
          <w:tab w:val="num" w:pos="5760"/>
        </w:tabs>
        <w:ind w:left="5760" w:hanging="360"/>
      </w:pPr>
      <w:rPr>
        <w:rFonts w:ascii="Times New Roman" w:hAnsi="Times New Roman" w:hint="default"/>
      </w:rPr>
    </w:lvl>
    <w:lvl w:ilvl="8" w:tplc="1FDCA468"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131305C0"/>
    <w:multiLevelType w:val="multilevel"/>
    <w:tmpl w:val="5CD49578"/>
    <w:lvl w:ilvl="0">
      <w:start w:val="1"/>
      <w:numFmt w:val="decimal"/>
      <w:lvlText w:val="Chapter %1"/>
      <w:lvlJc w:val="left"/>
      <w:pPr>
        <w:ind w:left="0" w:firstLine="0"/>
      </w:pPr>
      <w:rPr>
        <w:rFonts w:hint="default"/>
      </w:rPr>
    </w:lvl>
    <w:lvl w:ilvl="1">
      <w:start w:val="1"/>
      <w:numFmt w:val="decimal"/>
      <w:suff w:val="space"/>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15:restartNumberingAfterBreak="0">
    <w:nsid w:val="1AD17074"/>
    <w:multiLevelType w:val="hybridMultilevel"/>
    <w:tmpl w:val="A7924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04405B0"/>
    <w:multiLevelType w:val="hybridMultilevel"/>
    <w:tmpl w:val="CA547468"/>
    <w:lvl w:ilvl="0" w:tplc="D9C022F6">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7077303"/>
    <w:multiLevelType w:val="hybridMultilevel"/>
    <w:tmpl w:val="3BC2088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BA52543"/>
    <w:multiLevelType w:val="hybridMultilevel"/>
    <w:tmpl w:val="5F6874D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1026FE"/>
    <w:multiLevelType w:val="hybridMultilevel"/>
    <w:tmpl w:val="27763B56"/>
    <w:lvl w:ilvl="0" w:tplc="B14C554C">
      <w:start w:val="1"/>
      <w:numFmt w:val="bullet"/>
      <w:lvlText w:val="•"/>
      <w:lvlJc w:val="left"/>
      <w:pPr>
        <w:tabs>
          <w:tab w:val="num" w:pos="720"/>
        </w:tabs>
        <w:ind w:left="720" w:hanging="360"/>
      </w:pPr>
      <w:rPr>
        <w:rFonts w:ascii="Times New Roman" w:hAnsi="Times New Roman" w:hint="default"/>
      </w:rPr>
    </w:lvl>
    <w:lvl w:ilvl="1" w:tplc="BA969F96" w:tentative="1">
      <w:start w:val="1"/>
      <w:numFmt w:val="bullet"/>
      <w:lvlText w:val="•"/>
      <w:lvlJc w:val="left"/>
      <w:pPr>
        <w:tabs>
          <w:tab w:val="num" w:pos="1440"/>
        </w:tabs>
        <w:ind w:left="1440" w:hanging="360"/>
      </w:pPr>
      <w:rPr>
        <w:rFonts w:ascii="Times New Roman" w:hAnsi="Times New Roman" w:hint="default"/>
      </w:rPr>
    </w:lvl>
    <w:lvl w:ilvl="2" w:tplc="B944D71E" w:tentative="1">
      <w:start w:val="1"/>
      <w:numFmt w:val="bullet"/>
      <w:lvlText w:val="•"/>
      <w:lvlJc w:val="left"/>
      <w:pPr>
        <w:tabs>
          <w:tab w:val="num" w:pos="2160"/>
        </w:tabs>
        <w:ind w:left="2160" w:hanging="360"/>
      </w:pPr>
      <w:rPr>
        <w:rFonts w:ascii="Times New Roman" w:hAnsi="Times New Roman" w:hint="default"/>
      </w:rPr>
    </w:lvl>
    <w:lvl w:ilvl="3" w:tplc="5482787E" w:tentative="1">
      <w:start w:val="1"/>
      <w:numFmt w:val="bullet"/>
      <w:lvlText w:val="•"/>
      <w:lvlJc w:val="left"/>
      <w:pPr>
        <w:tabs>
          <w:tab w:val="num" w:pos="2880"/>
        </w:tabs>
        <w:ind w:left="2880" w:hanging="360"/>
      </w:pPr>
      <w:rPr>
        <w:rFonts w:ascii="Times New Roman" w:hAnsi="Times New Roman" w:hint="default"/>
      </w:rPr>
    </w:lvl>
    <w:lvl w:ilvl="4" w:tplc="05DE88DC" w:tentative="1">
      <w:start w:val="1"/>
      <w:numFmt w:val="bullet"/>
      <w:lvlText w:val="•"/>
      <w:lvlJc w:val="left"/>
      <w:pPr>
        <w:tabs>
          <w:tab w:val="num" w:pos="3600"/>
        </w:tabs>
        <w:ind w:left="3600" w:hanging="360"/>
      </w:pPr>
      <w:rPr>
        <w:rFonts w:ascii="Times New Roman" w:hAnsi="Times New Roman" w:hint="default"/>
      </w:rPr>
    </w:lvl>
    <w:lvl w:ilvl="5" w:tplc="FC40E590" w:tentative="1">
      <w:start w:val="1"/>
      <w:numFmt w:val="bullet"/>
      <w:lvlText w:val="•"/>
      <w:lvlJc w:val="left"/>
      <w:pPr>
        <w:tabs>
          <w:tab w:val="num" w:pos="4320"/>
        </w:tabs>
        <w:ind w:left="4320" w:hanging="360"/>
      </w:pPr>
      <w:rPr>
        <w:rFonts w:ascii="Times New Roman" w:hAnsi="Times New Roman" w:hint="default"/>
      </w:rPr>
    </w:lvl>
    <w:lvl w:ilvl="6" w:tplc="8392E6B8" w:tentative="1">
      <w:start w:val="1"/>
      <w:numFmt w:val="bullet"/>
      <w:lvlText w:val="•"/>
      <w:lvlJc w:val="left"/>
      <w:pPr>
        <w:tabs>
          <w:tab w:val="num" w:pos="5040"/>
        </w:tabs>
        <w:ind w:left="5040" w:hanging="360"/>
      </w:pPr>
      <w:rPr>
        <w:rFonts w:ascii="Times New Roman" w:hAnsi="Times New Roman" w:hint="default"/>
      </w:rPr>
    </w:lvl>
    <w:lvl w:ilvl="7" w:tplc="B28AD2D6" w:tentative="1">
      <w:start w:val="1"/>
      <w:numFmt w:val="bullet"/>
      <w:lvlText w:val="•"/>
      <w:lvlJc w:val="left"/>
      <w:pPr>
        <w:tabs>
          <w:tab w:val="num" w:pos="5760"/>
        </w:tabs>
        <w:ind w:left="5760" w:hanging="360"/>
      </w:pPr>
      <w:rPr>
        <w:rFonts w:ascii="Times New Roman" w:hAnsi="Times New Roman" w:hint="default"/>
      </w:rPr>
    </w:lvl>
    <w:lvl w:ilvl="8" w:tplc="E83A8B9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3EF510AA"/>
    <w:multiLevelType w:val="hybridMultilevel"/>
    <w:tmpl w:val="DDE63C46"/>
    <w:lvl w:ilvl="0" w:tplc="9B5EFC84">
      <w:start w:val="1"/>
      <w:numFmt w:val="bullet"/>
      <w:lvlText w:val="•"/>
      <w:lvlJc w:val="left"/>
      <w:pPr>
        <w:tabs>
          <w:tab w:val="num" w:pos="720"/>
        </w:tabs>
        <w:ind w:left="720" w:hanging="360"/>
      </w:pPr>
      <w:rPr>
        <w:rFonts w:ascii="Times New Roman" w:hAnsi="Times New Roman" w:hint="default"/>
      </w:rPr>
    </w:lvl>
    <w:lvl w:ilvl="1" w:tplc="E660752C" w:tentative="1">
      <w:start w:val="1"/>
      <w:numFmt w:val="bullet"/>
      <w:lvlText w:val="•"/>
      <w:lvlJc w:val="left"/>
      <w:pPr>
        <w:tabs>
          <w:tab w:val="num" w:pos="1440"/>
        </w:tabs>
        <w:ind w:left="1440" w:hanging="360"/>
      </w:pPr>
      <w:rPr>
        <w:rFonts w:ascii="Times New Roman" w:hAnsi="Times New Roman" w:hint="default"/>
      </w:rPr>
    </w:lvl>
    <w:lvl w:ilvl="2" w:tplc="9D22AD64" w:tentative="1">
      <w:start w:val="1"/>
      <w:numFmt w:val="bullet"/>
      <w:lvlText w:val="•"/>
      <w:lvlJc w:val="left"/>
      <w:pPr>
        <w:tabs>
          <w:tab w:val="num" w:pos="2160"/>
        </w:tabs>
        <w:ind w:left="2160" w:hanging="360"/>
      </w:pPr>
      <w:rPr>
        <w:rFonts w:ascii="Times New Roman" w:hAnsi="Times New Roman" w:hint="default"/>
      </w:rPr>
    </w:lvl>
    <w:lvl w:ilvl="3" w:tplc="6A46A15E" w:tentative="1">
      <w:start w:val="1"/>
      <w:numFmt w:val="bullet"/>
      <w:lvlText w:val="•"/>
      <w:lvlJc w:val="left"/>
      <w:pPr>
        <w:tabs>
          <w:tab w:val="num" w:pos="2880"/>
        </w:tabs>
        <w:ind w:left="2880" w:hanging="360"/>
      </w:pPr>
      <w:rPr>
        <w:rFonts w:ascii="Times New Roman" w:hAnsi="Times New Roman" w:hint="default"/>
      </w:rPr>
    </w:lvl>
    <w:lvl w:ilvl="4" w:tplc="444A2BB0" w:tentative="1">
      <w:start w:val="1"/>
      <w:numFmt w:val="bullet"/>
      <w:lvlText w:val="•"/>
      <w:lvlJc w:val="left"/>
      <w:pPr>
        <w:tabs>
          <w:tab w:val="num" w:pos="3600"/>
        </w:tabs>
        <w:ind w:left="3600" w:hanging="360"/>
      </w:pPr>
      <w:rPr>
        <w:rFonts w:ascii="Times New Roman" w:hAnsi="Times New Roman" w:hint="default"/>
      </w:rPr>
    </w:lvl>
    <w:lvl w:ilvl="5" w:tplc="6AE40836" w:tentative="1">
      <w:start w:val="1"/>
      <w:numFmt w:val="bullet"/>
      <w:lvlText w:val="•"/>
      <w:lvlJc w:val="left"/>
      <w:pPr>
        <w:tabs>
          <w:tab w:val="num" w:pos="4320"/>
        </w:tabs>
        <w:ind w:left="4320" w:hanging="360"/>
      </w:pPr>
      <w:rPr>
        <w:rFonts w:ascii="Times New Roman" w:hAnsi="Times New Roman" w:hint="default"/>
      </w:rPr>
    </w:lvl>
    <w:lvl w:ilvl="6" w:tplc="818C3AA4" w:tentative="1">
      <w:start w:val="1"/>
      <w:numFmt w:val="bullet"/>
      <w:lvlText w:val="•"/>
      <w:lvlJc w:val="left"/>
      <w:pPr>
        <w:tabs>
          <w:tab w:val="num" w:pos="5040"/>
        </w:tabs>
        <w:ind w:left="5040" w:hanging="360"/>
      </w:pPr>
      <w:rPr>
        <w:rFonts w:ascii="Times New Roman" w:hAnsi="Times New Roman" w:hint="default"/>
      </w:rPr>
    </w:lvl>
    <w:lvl w:ilvl="7" w:tplc="F64ED7DA" w:tentative="1">
      <w:start w:val="1"/>
      <w:numFmt w:val="bullet"/>
      <w:lvlText w:val="•"/>
      <w:lvlJc w:val="left"/>
      <w:pPr>
        <w:tabs>
          <w:tab w:val="num" w:pos="5760"/>
        </w:tabs>
        <w:ind w:left="5760" w:hanging="360"/>
      </w:pPr>
      <w:rPr>
        <w:rFonts w:ascii="Times New Roman" w:hAnsi="Times New Roman" w:hint="default"/>
      </w:rPr>
    </w:lvl>
    <w:lvl w:ilvl="8" w:tplc="510A4B20"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3F2B1A8C"/>
    <w:multiLevelType w:val="hybridMultilevel"/>
    <w:tmpl w:val="9FECC906"/>
    <w:lvl w:ilvl="0" w:tplc="20F23330">
      <w:start w:val="1"/>
      <w:numFmt w:val="decimal"/>
      <w:pStyle w:val="Normal9pt"/>
      <w:lvlText w:val="%1."/>
      <w:lvlJc w:val="left"/>
      <w:pPr>
        <w:tabs>
          <w:tab w:val="num" w:pos="360"/>
        </w:tabs>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3140A29"/>
    <w:multiLevelType w:val="hybridMultilevel"/>
    <w:tmpl w:val="A4725BC4"/>
    <w:lvl w:ilvl="0" w:tplc="0809000F">
      <w:start w:val="1"/>
      <w:numFmt w:val="decimal"/>
      <w:lvlText w:val="%1."/>
      <w:lvlJc w:val="left"/>
      <w:pPr>
        <w:ind w:left="360" w:hanging="360"/>
      </w:pPr>
      <w:rPr>
        <w:rFonts w:hint="default"/>
        <w:b/>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68519BE"/>
    <w:multiLevelType w:val="hybridMultilevel"/>
    <w:tmpl w:val="6B0AC810"/>
    <w:lvl w:ilvl="0" w:tplc="8BCCAD5C">
      <w:start w:val="1"/>
      <w:numFmt w:val="bullet"/>
      <w:lvlText w:val="•"/>
      <w:lvlJc w:val="left"/>
      <w:pPr>
        <w:tabs>
          <w:tab w:val="num" w:pos="720"/>
        </w:tabs>
        <w:ind w:left="720" w:hanging="360"/>
      </w:pPr>
      <w:rPr>
        <w:rFonts w:ascii="Times New Roman" w:hAnsi="Times New Roman" w:hint="default"/>
      </w:rPr>
    </w:lvl>
    <w:lvl w:ilvl="1" w:tplc="0CD8374E" w:tentative="1">
      <w:start w:val="1"/>
      <w:numFmt w:val="bullet"/>
      <w:lvlText w:val="•"/>
      <w:lvlJc w:val="left"/>
      <w:pPr>
        <w:tabs>
          <w:tab w:val="num" w:pos="1440"/>
        </w:tabs>
        <w:ind w:left="1440" w:hanging="360"/>
      </w:pPr>
      <w:rPr>
        <w:rFonts w:ascii="Times New Roman" w:hAnsi="Times New Roman" w:hint="default"/>
      </w:rPr>
    </w:lvl>
    <w:lvl w:ilvl="2" w:tplc="30881E4A" w:tentative="1">
      <w:start w:val="1"/>
      <w:numFmt w:val="bullet"/>
      <w:lvlText w:val="•"/>
      <w:lvlJc w:val="left"/>
      <w:pPr>
        <w:tabs>
          <w:tab w:val="num" w:pos="2160"/>
        </w:tabs>
        <w:ind w:left="2160" w:hanging="360"/>
      </w:pPr>
      <w:rPr>
        <w:rFonts w:ascii="Times New Roman" w:hAnsi="Times New Roman" w:hint="default"/>
      </w:rPr>
    </w:lvl>
    <w:lvl w:ilvl="3" w:tplc="7604D230" w:tentative="1">
      <w:start w:val="1"/>
      <w:numFmt w:val="bullet"/>
      <w:lvlText w:val="•"/>
      <w:lvlJc w:val="left"/>
      <w:pPr>
        <w:tabs>
          <w:tab w:val="num" w:pos="2880"/>
        </w:tabs>
        <w:ind w:left="2880" w:hanging="360"/>
      </w:pPr>
      <w:rPr>
        <w:rFonts w:ascii="Times New Roman" w:hAnsi="Times New Roman" w:hint="default"/>
      </w:rPr>
    </w:lvl>
    <w:lvl w:ilvl="4" w:tplc="115AFDBE" w:tentative="1">
      <w:start w:val="1"/>
      <w:numFmt w:val="bullet"/>
      <w:lvlText w:val="•"/>
      <w:lvlJc w:val="left"/>
      <w:pPr>
        <w:tabs>
          <w:tab w:val="num" w:pos="3600"/>
        </w:tabs>
        <w:ind w:left="3600" w:hanging="360"/>
      </w:pPr>
      <w:rPr>
        <w:rFonts w:ascii="Times New Roman" w:hAnsi="Times New Roman" w:hint="default"/>
      </w:rPr>
    </w:lvl>
    <w:lvl w:ilvl="5" w:tplc="11881280" w:tentative="1">
      <w:start w:val="1"/>
      <w:numFmt w:val="bullet"/>
      <w:lvlText w:val="•"/>
      <w:lvlJc w:val="left"/>
      <w:pPr>
        <w:tabs>
          <w:tab w:val="num" w:pos="4320"/>
        </w:tabs>
        <w:ind w:left="4320" w:hanging="360"/>
      </w:pPr>
      <w:rPr>
        <w:rFonts w:ascii="Times New Roman" w:hAnsi="Times New Roman" w:hint="default"/>
      </w:rPr>
    </w:lvl>
    <w:lvl w:ilvl="6" w:tplc="32FC6D8C" w:tentative="1">
      <w:start w:val="1"/>
      <w:numFmt w:val="bullet"/>
      <w:lvlText w:val="•"/>
      <w:lvlJc w:val="left"/>
      <w:pPr>
        <w:tabs>
          <w:tab w:val="num" w:pos="5040"/>
        </w:tabs>
        <w:ind w:left="5040" w:hanging="360"/>
      </w:pPr>
      <w:rPr>
        <w:rFonts w:ascii="Times New Roman" w:hAnsi="Times New Roman" w:hint="default"/>
      </w:rPr>
    </w:lvl>
    <w:lvl w:ilvl="7" w:tplc="EB96A2A0" w:tentative="1">
      <w:start w:val="1"/>
      <w:numFmt w:val="bullet"/>
      <w:lvlText w:val="•"/>
      <w:lvlJc w:val="left"/>
      <w:pPr>
        <w:tabs>
          <w:tab w:val="num" w:pos="5760"/>
        </w:tabs>
        <w:ind w:left="5760" w:hanging="360"/>
      </w:pPr>
      <w:rPr>
        <w:rFonts w:ascii="Times New Roman" w:hAnsi="Times New Roman" w:hint="default"/>
      </w:rPr>
    </w:lvl>
    <w:lvl w:ilvl="8" w:tplc="7D06C290"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3790FD3"/>
    <w:multiLevelType w:val="hybridMultilevel"/>
    <w:tmpl w:val="9AF4F0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4CD7723"/>
    <w:multiLevelType w:val="hybridMultilevel"/>
    <w:tmpl w:val="A37C7652"/>
    <w:lvl w:ilvl="0" w:tplc="5D6A45F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pStyle w:val="subquestio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9434F2"/>
    <w:multiLevelType w:val="multilevel"/>
    <w:tmpl w:val="DE981F66"/>
    <w:lvl w:ilvl="0">
      <w:start w:val="1"/>
      <w:numFmt w:val="decimal"/>
      <w:lvlText w:val="Chapter %1"/>
      <w:lvlJc w:val="left"/>
      <w:pPr>
        <w:ind w:left="0" w:firstLine="0"/>
      </w:pPr>
    </w:lvl>
    <w:lvl w:ilvl="1">
      <w:start w:val="1"/>
      <w:numFmt w:val="decimal"/>
      <w:lvlText w:val="%1.%2"/>
      <w:lvlJc w:val="left"/>
      <w:pPr>
        <w:ind w:left="0" w:firstLine="0"/>
      </w:pPr>
      <w:rPr>
        <w:b/>
        <w:sz w:val="26"/>
        <w:szCs w:val="26"/>
      </w:r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9" w15:restartNumberingAfterBreak="0">
    <w:nsid w:val="619022A3"/>
    <w:multiLevelType w:val="hybridMultilevel"/>
    <w:tmpl w:val="060083A4"/>
    <w:lvl w:ilvl="0" w:tplc="A89AAA68">
      <w:start w:val="1"/>
      <w:numFmt w:val="bullet"/>
      <w:lvlText w:val="•"/>
      <w:lvlJc w:val="left"/>
      <w:pPr>
        <w:tabs>
          <w:tab w:val="num" w:pos="720"/>
        </w:tabs>
        <w:ind w:left="720" w:hanging="360"/>
      </w:pPr>
      <w:rPr>
        <w:rFonts w:ascii="Times New Roman" w:hAnsi="Times New Roman" w:hint="default"/>
      </w:rPr>
    </w:lvl>
    <w:lvl w:ilvl="1" w:tplc="CD54BCCA" w:tentative="1">
      <w:start w:val="1"/>
      <w:numFmt w:val="bullet"/>
      <w:lvlText w:val="•"/>
      <w:lvlJc w:val="left"/>
      <w:pPr>
        <w:tabs>
          <w:tab w:val="num" w:pos="1440"/>
        </w:tabs>
        <w:ind w:left="1440" w:hanging="360"/>
      </w:pPr>
      <w:rPr>
        <w:rFonts w:ascii="Times New Roman" w:hAnsi="Times New Roman" w:hint="default"/>
      </w:rPr>
    </w:lvl>
    <w:lvl w:ilvl="2" w:tplc="4412CADE" w:tentative="1">
      <w:start w:val="1"/>
      <w:numFmt w:val="bullet"/>
      <w:lvlText w:val="•"/>
      <w:lvlJc w:val="left"/>
      <w:pPr>
        <w:tabs>
          <w:tab w:val="num" w:pos="2160"/>
        </w:tabs>
        <w:ind w:left="2160" w:hanging="360"/>
      </w:pPr>
      <w:rPr>
        <w:rFonts w:ascii="Times New Roman" w:hAnsi="Times New Roman" w:hint="default"/>
      </w:rPr>
    </w:lvl>
    <w:lvl w:ilvl="3" w:tplc="46488CE8" w:tentative="1">
      <w:start w:val="1"/>
      <w:numFmt w:val="bullet"/>
      <w:lvlText w:val="•"/>
      <w:lvlJc w:val="left"/>
      <w:pPr>
        <w:tabs>
          <w:tab w:val="num" w:pos="2880"/>
        </w:tabs>
        <w:ind w:left="2880" w:hanging="360"/>
      </w:pPr>
      <w:rPr>
        <w:rFonts w:ascii="Times New Roman" w:hAnsi="Times New Roman" w:hint="default"/>
      </w:rPr>
    </w:lvl>
    <w:lvl w:ilvl="4" w:tplc="30CC8E74" w:tentative="1">
      <w:start w:val="1"/>
      <w:numFmt w:val="bullet"/>
      <w:lvlText w:val="•"/>
      <w:lvlJc w:val="left"/>
      <w:pPr>
        <w:tabs>
          <w:tab w:val="num" w:pos="3600"/>
        </w:tabs>
        <w:ind w:left="3600" w:hanging="360"/>
      </w:pPr>
      <w:rPr>
        <w:rFonts w:ascii="Times New Roman" w:hAnsi="Times New Roman" w:hint="default"/>
      </w:rPr>
    </w:lvl>
    <w:lvl w:ilvl="5" w:tplc="9FB2FFC6" w:tentative="1">
      <w:start w:val="1"/>
      <w:numFmt w:val="bullet"/>
      <w:lvlText w:val="•"/>
      <w:lvlJc w:val="left"/>
      <w:pPr>
        <w:tabs>
          <w:tab w:val="num" w:pos="4320"/>
        </w:tabs>
        <w:ind w:left="4320" w:hanging="360"/>
      </w:pPr>
      <w:rPr>
        <w:rFonts w:ascii="Times New Roman" w:hAnsi="Times New Roman" w:hint="default"/>
      </w:rPr>
    </w:lvl>
    <w:lvl w:ilvl="6" w:tplc="DFDCA44A" w:tentative="1">
      <w:start w:val="1"/>
      <w:numFmt w:val="bullet"/>
      <w:lvlText w:val="•"/>
      <w:lvlJc w:val="left"/>
      <w:pPr>
        <w:tabs>
          <w:tab w:val="num" w:pos="5040"/>
        </w:tabs>
        <w:ind w:left="5040" w:hanging="360"/>
      </w:pPr>
      <w:rPr>
        <w:rFonts w:ascii="Times New Roman" w:hAnsi="Times New Roman" w:hint="default"/>
      </w:rPr>
    </w:lvl>
    <w:lvl w:ilvl="7" w:tplc="22160758" w:tentative="1">
      <w:start w:val="1"/>
      <w:numFmt w:val="bullet"/>
      <w:lvlText w:val="•"/>
      <w:lvlJc w:val="left"/>
      <w:pPr>
        <w:tabs>
          <w:tab w:val="num" w:pos="5760"/>
        </w:tabs>
        <w:ind w:left="5760" w:hanging="360"/>
      </w:pPr>
      <w:rPr>
        <w:rFonts w:ascii="Times New Roman" w:hAnsi="Times New Roman" w:hint="default"/>
      </w:rPr>
    </w:lvl>
    <w:lvl w:ilvl="8" w:tplc="FE2EB3E0"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6AFC098E"/>
    <w:multiLevelType w:val="hybridMultilevel"/>
    <w:tmpl w:val="5970AFB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C7C28D7"/>
    <w:multiLevelType w:val="hybridMultilevel"/>
    <w:tmpl w:val="D16A6784"/>
    <w:lvl w:ilvl="0" w:tplc="B0985CF4">
      <w:start w:val="1"/>
      <w:numFmt w:val="bullet"/>
      <w:lvlText w:val="•"/>
      <w:lvlJc w:val="left"/>
      <w:pPr>
        <w:tabs>
          <w:tab w:val="num" w:pos="720"/>
        </w:tabs>
        <w:ind w:left="720" w:hanging="360"/>
      </w:pPr>
      <w:rPr>
        <w:rFonts w:ascii="Times New Roman" w:hAnsi="Times New Roman" w:hint="default"/>
      </w:rPr>
    </w:lvl>
    <w:lvl w:ilvl="1" w:tplc="78BE7A38" w:tentative="1">
      <w:start w:val="1"/>
      <w:numFmt w:val="bullet"/>
      <w:lvlText w:val="•"/>
      <w:lvlJc w:val="left"/>
      <w:pPr>
        <w:tabs>
          <w:tab w:val="num" w:pos="1440"/>
        </w:tabs>
        <w:ind w:left="1440" w:hanging="360"/>
      </w:pPr>
      <w:rPr>
        <w:rFonts w:ascii="Times New Roman" w:hAnsi="Times New Roman" w:hint="default"/>
      </w:rPr>
    </w:lvl>
    <w:lvl w:ilvl="2" w:tplc="3CA4DC98" w:tentative="1">
      <w:start w:val="1"/>
      <w:numFmt w:val="bullet"/>
      <w:lvlText w:val="•"/>
      <w:lvlJc w:val="left"/>
      <w:pPr>
        <w:tabs>
          <w:tab w:val="num" w:pos="2160"/>
        </w:tabs>
        <w:ind w:left="2160" w:hanging="360"/>
      </w:pPr>
      <w:rPr>
        <w:rFonts w:ascii="Times New Roman" w:hAnsi="Times New Roman" w:hint="default"/>
      </w:rPr>
    </w:lvl>
    <w:lvl w:ilvl="3" w:tplc="30548BB4" w:tentative="1">
      <w:start w:val="1"/>
      <w:numFmt w:val="bullet"/>
      <w:lvlText w:val="•"/>
      <w:lvlJc w:val="left"/>
      <w:pPr>
        <w:tabs>
          <w:tab w:val="num" w:pos="2880"/>
        </w:tabs>
        <w:ind w:left="2880" w:hanging="360"/>
      </w:pPr>
      <w:rPr>
        <w:rFonts w:ascii="Times New Roman" w:hAnsi="Times New Roman" w:hint="default"/>
      </w:rPr>
    </w:lvl>
    <w:lvl w:ilvl="4" w:tplc="0F5A5A38" w:tentative="1">
      <w:start w:val="1"/>
      <w:numFmt w:val="bullet"/>
      <w:lvlText w:val="•"/>
      <w:lvlJc w:val="left"/>
      <w:pPr>
        <w:tabs>
          <w:tab w:val="num" w:pos="3600"/>
        </w:tabs>
        <w:ind w:left="3600" w:hanging="360"/>
      </w:pPr>
      <w:rPr>
        <w:rFonts w:ascii="Times New Roman" w:hAnsi="Times New Roman" w:hint="default"/>
      </w:rPr>
    </w:lvl>
    <w:lvl w:ilvl="5" w:tplc="7FBCE7A0" w:tentative="1">
      <w:start w:val="1"/>
      <w:numFmt w:val="bullet"/>
      <w:lvlText w:val="•"/>
      <w:lvlJc w:val="left"/>
      <w:pPr>
        <w:tabs>
          <w:tab w:val="num" w:pos="4320"/>
        </w:tabs>
        <w:ind w:left="4320" w:hanging="360"/>
      </w:pPr>
      <w:rPr>
        <w:rFonts w:ascii="Times New Roman" w:hAnsi="Times New Roman" w:hint="default"/>
      </w:rPr>
    </w:lvl>
    <w:lvl w:ilvl="6" w:tplc="7110E1E4" w:tentative="1">
      <w:start w:val="1"/>
      <w:numFmt w:val="bullet"/>
      <w:lvlText w:val="•"/>
      <w:lvlJc w:val="left"/>
      <w:pPr>
        <w:tabs>
          <w:tab w:val="num" w:pos="5040"/>
        </w:tabs>
        <w:ind w:left="5040" w:hanging="360"/>
      </w:pPr>
      <w:rPr>
        <w:rFonts w:ascii="Times New Roman" w:hAnsi="Times New Roman" w:hint="default"/>
      </w:rPr>
    </w:lvl>
    <w:lvl w:ilvl="7" w:tplc="8CDE9E5A" w:tentative="1">
      <w:start w:val="1"/>
      <w:numFmt w:val="bullet"/>
      <w:lvlText w:val="•"/>
      <w:lvlJc w:val="left"/>
      <w:pPr>
        <w:tabs>
          <w:tab w:val="num" w:pos="5760"/>
        </w:tabs>
        <w:ind w:left="5760" w:hanging="360"/>
      </w:pPr>
      <w:rPr>
        <w:rFonts w:ascii="Times New Roman" w:hAnsi="Times New Roman" w:hint="default"/>
      </w:rPr>
    </w:lvl>
    <w:lvl w:ilvl="8" w:tplc="6510A524"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6F531AA1"/>
    <w:multiLevelType w:val="multilevel"/>
    <w:tmpl w:val="AABEDC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0FF4441"/>
    <w:multiLevelType w:val="multilevel"/>
    <w:tmpl w:val="3A2AE68C"/>
    <w:lvl w:ilvl="0">
      <w:start w:val="1"/>
      <w:numFmt w:val="cardinalText"/>
      <w:suff w:val="nothing"/>
      <w:lvlText w:val="Research Objective %1: "/>
      <w:lvlJc w:val="left"/>
      <w:pPr>
        <w:ind w:left="360" w:hanging="360"/>
      </w:pPr>
      <w:rPr>
        <w:rFonts w:hint="default"/>
        <w:b/>
        <w:i w:val="0"/>
        <w:lang w:val="en-GB"/>
      </w:rPr>
    </w:lvl>
    <w:lvl w:ilvl="1">
      <w:start w:val="1"/>
      <w:numFmt w:val="upperLetter"/>
      <w:lvlText w:val="%2."/>
      <w:lvlJc w:val="left"/>
      <w:pPr>
        <w:ind w:left="1021" w:hanging="454"/>
      </w:pPr>
      <w:rPr>
        <w:rFonts w:hint="default"/>
        <w:b/>
        <w:i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9D37979"/>
    <w:multiLevelType w:val="hybridMultilevel"/>
    <w:tmpl w:val="E8A0CCE4"/>
    <w:lvl w:ilvl="0" w:tplc="C30C3390">
      <w:start w:val="1"/>
      <w:numFmt w:val="bullet"/>
      <w:lvlText w:val=""/>
      <w:lvlJc w:val="left"/>
      <w:pPr>
        <w:tabs>
          <w:tab w:val="num" w:pos="720"/>
        </w:tabs>
        <w:ind w:left="720" w:hanging="360"/>
      </w:pPr>
      <w:rPr>
        <w:rFonts w:ascii="Symbol" w:hAnsi="Symbol" w:hint="default"/>
      </w:rPr>
    </w:lvl>
    <w:lvl w:ilvl="1" w:tplc="A04611A8" w:tentative="1">
      <w:start w:val="1"/>
      <w:numFmt w:val="bullet"/>
      <w:lvlText w:val=""/>
      <w:lvlJc w:val="left"/>
      <w:pPr>
        <w:tabs>
          <w:tab w:val="num" w:pos="1440"/>
        </w:tabs>
        <w:ind w:left="1440" w:hanging="360"/>
      </w:pPr>
      <w:rPr>
        <w:rFonts w:ascii="Symbol" w:hAnsi="Symbol" w:hint="default"/>
      </w:rPr>
    </w:lvl>
    <w:lvl w:ilvl="2" w:tplc="DE44758C" w:tentative="1">
      <w:start w:val="1"/>
      <w:numFmt w:val="bullet"/>
      <w:lvlText w:val=""/>
      <w:lvlJc w:val="left"/>
      <w:pPr>
        <w:tabs>
          <w:tab w:val="num" w:pos="2160"/>
        </w:tabs>
        <w:ind w:left="2160" w:hanging="360"/>
      </w:pPr>
      <w:rPr>
        <w:rFonts w:ascii="Symbol" w:hAnsi="Symbol" w:hint="default"/>
      </w:rPr>
    </w:lvl>
    <w:lvl w:ilvl="3" w:tplc="17CC3886" w:tentative="1">
      <w:start w:val="1"/>
      <w:numFmt w:val="bullet"/>
      <w:lvlText w:val=""/>
      <w:lvlJc w:val="left"/>
      <w:pPr>
        <w:tabs>
          <w:tab w:val="num" w:pos="2880"/>
        </w:tabs>
        <w:ind w:left="2880" w:hanging="360"/>
      </w:pPr>
      <w:rPr>
        <w:rFonts w:ascii="Symbol" w:hAnsi="Symbol" w:hint="default"/>
      </w:rPr>
    </w:lvl>
    <w:lvl w:ilvl="4" w:tplc="B89A5A2E" w:tentative="1">
      <w:start w:val="1"/>
      <w:numFmt w:val="bullet"/>
      <w:lvlText w:val=""/>
      <w:lvlJc w:val="left"/>
      <w:pPr>
        <w:tabs>
          <w:tab w:val="num" w:pos="3600"/>
        </w:tabs>
        <w:ind w:left="3600" w:hanging="360"/>
      </w:pPr>
      <w:rPr>
        <w:rFonts w:ascii="Symbol" w:hAnsi="Symbol" w:hint="default"/>
      </w:rPr>
    </w:lvl>
    <w:lvl w:ilvl="5" w:tplc="117C2B4A" w:tentative="1">
      <w:start w:val="1"/>
      <w:numFmt w:val="bullet"/>
      <w:lvlText w:val=""/>
      <w:lvlJc w:val="left"/>
      <w:pPr>
        <w:tabs>
          <w:tab w:val="num" w:pos="4320"/>
        </w:tabs>
        <w:ind w:left="4320" w:hanging="360"/>
      </w:pPr>
      <w:rPr>
        <w:rFonts w:ascii="Symbol" w:hAnsi="Symbol" w:hint="default"/>
      </w:rPr>
    </w:lvl>
    <w:lvl w:ilvl="6" w:tplc="35E64B76" w:tentative="1">
      <w:start w:val="1"/>
      <w:numFmt w:val="bullet"/>
      <w:lvlText w:val=""/>
      <w:lvlJc w:val="left"/>
      <w:pPr>
        <w:tabs>
          <w:tab w:val="num" w:pos="5040"/>
        </w:tabs>
        <w:ind w:left="5040" w:hanging="360"/>
      </w:pPr>
      <w:rPr>
        <w:rFonts w:ascii="Symbol" w:hAnsi="Symbol" w:hint="default"/>
      </w:rPr>
    </w:lvl>
    <w:lvl w:ilvl="7" w:tplc="54908B80" w:tentative="1">
      <w:start w:val="1"/>
      <w:numFmt w:val="bullet"/>
      <w:lvlText w:val=""/>
      <w:lvlJc w:val="left"/>
      <w:pPr>
        <w:tabs>
          <w:tab w:val="num" w:pos="5760"/>
        </w:tabs>
        <w:ind w:left="5760" w:hanging="360"/>
      </w:pPr>
      <w:rPr>
        <w:rFonts w:ascii="Symbol" w:hAnsi="Symbol" w:hint="default"/>
      </w:rPr>
    </w:lvl>
    <w:lvl w:ilvl="8" w:tplc="33FC9D32"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7A2B24AF"/>
    <w:multiLevelType w:val="multilevel"/>
    <w:tmpl w:val="F628F0FC"/>
    <w:lvl w:ilvl="0">
      <w:start w:val="1"/>
      <w:numFmt w:val="decimal"/>
      <w:pStyle w:val="Heading1"/>
      <w:suff w:val="space"/>
      <w:lvlText w:val="Chapter %1"/>
      <w:lvlJc w:val="left"/>
      <w:pPr>
        <w:ind w:left="1135" w:firstLine="0"/>
      </w:pPr>
      <w:rPr>
        <w:rFonts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suff w:val="space"/>
      <w:lvlText w:val="%1.%2"/>
      <w:lvlJc w:val="left"/>
      <w:pPr>
        <w:ind w:left="141" w:firstLine="0"/>
      </w:pPr>
      <w:rPr>
        <w:rFonts w:hint="default"/>
        <w:sz w:val="26"/>
        <w:szCs w:val="26"/>
      </w:rPr>
    </w:lvl>
    <w:lvl w:ilvl="2">
      <w:start w:val="1"/>
      <w:numFmt w:val="decimal"/>
      <w:pStyle w:val="Heading3"/>
      <w:suff w:val="space"/>
      <w:lvlText w:val="%1.%2.%3"/>
      <w:lvlJc w:val="left"/>
      <w:pPr>
        <w:ind w:left="90" w:firstLine="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7796" w:firstLine="0"/>
      </w:pPr>
      <w:rPr>
        <w:rFonts w:hint="default"/>
        <w:b/>
        <w:bCs/>
        <w:i/>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suff w:val="space"/>
      <w:lvlText w:val="%1.%2.%3.%4.%5"/>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36" w15:restartNumberingAfterBreak="0">
    <w:nsid w:val="7C466486"/>
    <w:multiLevelType w:val="hybridMultilevel"/>
    <w:tmpl w:val="3858E8E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C866AB7"/>
    <w:multiLevelType w:val="multilevel"/>
    <w:tmpl w:val="6D8C2E26"/>
    <w:lvl w:ilvl="0">
      <w:start w:val="1"/>
      <w:numFmt w:val="bullet"/>
      <w:lvlText w:val="l"/>
      <w:lvlJc w:val="left"/>
      <w:pPr>
        <w:ind w:left="720" w:hanging="360"/>
      </w:pPr>
      <w:rPr>
        <w:rFonts w:ascii="Wingdings" w:hAnsi="Wingdings" w:cs="Wingdings" w:hint="default"/>
      </w:rPr>
    </w:lvl>
    <w:lvl w:ilvl="1">
      <w:start w:val="1"/>
      <w:numFmt w:val="bullet"/>
      <w:lvlText w:val="o"/>
      <w:lvlJc w:val="left"/>
      <w:pPr>
        <w:ind w:left="1440" w:hanging="360"/>
      </w:pPr>
      <w:rPr>
        <w:rFonts w:ascii="OpenSymbol" w:hAnsi="OpenSymbol" w:cs="OpenSymbol" w:hint="default"/>
      </w:rPr>
    </w:lvl>
    <w:lvl w:ilvl="2">
      <w:start w:val="1"/>
      <w:numFmt w:val="bullet"/>
      <w:lvlText w:val="l"/>
      <w:lvlJc w:val="left"/>
      <w:pPr>
        <w:ind w:left="2160" w:hanging="360"/>
      </w:pPr>
      <w:rPr>
        <w:rFonts w:ascii="Wingdings" w:hAnsi="Wingdings" w:cs="Wingdings" w:hint="default"/>
      </w:rPr>
    </w:lvl>
    <w:lvl w:ilvl="3">
      <w:start w:val="1"/>
      <w:numFmt w:val="bullet"/>
      <w:lvlText w:val="l"/>
      <w:lvlJc w:val="left"/>
      <w:pPr>
        <w:ind w:left="2880" w:hanging="360"/>
      </w:pPr>
      <w:rPr>
        <w:rFonts w:ascii="Wingdings" w:hAnsi="Wingdings" w:cs="Wingdings" w:hint="default"/>
      </w:rPr>
    </w:lvl>
    <w:lvl w:ilvl="4">
      <w:start w:val="1"/>
      <w:numFmt w:val="bullet"/>
      <w:lvlText w:val="o"/>
      <w:lvlJc w:val="left"/>
      <w:pPr>
        <w:ind w:left="3600" w:hanging="360"/>
      </w:pPr>
      <w:rPr>
        <w:rFonts w:ascii="OpenSymbol" w:hAnsi="OpenSymbol" w:cs="OpenSymbol" w:hint="default"/>
      </w:rPr>
    </w:lvl>
    <w:lvl w:ilvl="5">
      <w:start w:val="1"/>
      <w:numFmt w:val="bullet"/>
      <w:lvlText w:val="l"/>
      <w:lvlJc w:val="left"/>
      <w:pPr>
        <w:ind w:left="4320" w:hanging="360"/>
      </w:pPr>
      <w:rPr>
        <w:rFonts w:ascii="Wingdings" w:hAnsi="Wingdings" w:cs="Wingdings" w:hint="default"/>
      </w:rPr>
    </w:lvl>
    <w:lvl w:ilvl="6">
      <w:start w:val="1"/>
      <w:numFmt w:val="bullet"/>
      <w:lvlText w:val="l"/>
      <w:lvlJc w:val="left"/>
      <w:pPr>
        <w:ind w:left="5040" w:hanging="360"/>
      </w:pPr>
      <w:rPr>
        <w:rFonts w:ascii="Wingdings" w:hAnsi="Wingdings" w:cs="Wingdings" w:hint="default"/>
      </w:rPr>
    </w:lvl>
    <w:lvl w:ilvl="7">
      <w:start w:val="1"/>
      <w:numFmt w:val="bullet"/>
      <w:lvlText w:val="o"/>
      <w:lvlJc w:val="left"/>
      <w:pPr>
        <w:ind w:left="5760" w:hanging="360"/>
      </w:pPr>
      <w:rPr>
        <w:rFonts w:ascii="OpenSymbol" w:hAnsi="OpenSymbol" w:cs="OpenSymbol" w:hint="default"/>
      </w:rPr>
    </w:lvl>
    <w:lvl w:ilvl="8">
      <w:start w:val="1"/>
      <w:numFmt w:val="bullet"/>
      <w:lvlText w:val="l"/>
      <w:lvlJc w:val="left"/>
      <w:pPr>
        <w:ind w:left="6480" w:hanging="360"/>
      </w:pPr>
      <w:rPr>
        <w:rFonts w:ascii="Wingdings" w:hAnsi="Wingdings" w:cs="Wingdings" w:hint="default"/>
      </w:rPr>
    </w:lvl>
  </w:abstractNum>
  <w:num w:numId="1">
    <w:abstractNumId w:val="35"/>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13"/>
  </w:num>
  <w:num w:numId="6">
    <w:abstractNumId w:val="37"/>
  </w:num>
  <w:num w:numId="7">
    <w:abstractNumId w:val="24"/>
  </w:num>
  <w:num w:numId="8">
    <w:abstractNumId w:val="33"/>
  </w:num>
  <w:num w:numId="9">
    <w:abstractNumId w:val="18"/>
  </w:num>
  <w:num w:numId="10">
    <w:abstractNumId w:val="27"/>
  </w:num>
  <w:num w:numId="11">
    <w:abstractNumId w:val="23"/>
  </w:num>
  <w:num w:numId="12">
    <w:abstractNumId w:val="11"/>
  </w:num>
  <w:num w:numId="13">
    <w:abstractNumId w:val="36"/>
  </w:num>
  <w:num w:numId="14">
    <w:abstractNumId w:val="17"/>
  </w:num>
  <w:num w:numId="15">
    <w:abstractNumId w:val="30"/>
  </w:num>
  <w:num w:numId="16">
    <w:abstractNumId w:val="20"/>
  </w:num>
  <w:num w:numId="17">
    <w:abstractNumId w:val="9"/>
  </w:num>
  <w:num w:numId="18">
    <w:abstractNumId w:val="7"/>
  </w:num>
  <w:num w:numId="19">
    <w:abstractNumId w:val="6"/>
  </w:num>
  <w:num w:numId="20">
    <w:abstractNumId w:val="5"/>
  </w:num>
  <w:num w:numId="21">
    <w:abstractNumId w:val="4"/>
  </w:num>
  <w:num w:numId="22">
    <w:abstractNumId w:val="8"/>
  </w:num>
  <w:num w:numId="23">
    <w:abstractNumId w:val="3"/>
  </w:num>
  <w:num w:numId="24">
    <w:abstractNumId w:val="2"/>
  </w:num>
  <w:num w:numId="25">
    <w:abstractNumId w:val="1"/>
  </w:num>
  <w:num w:numId="26">
    <w:abstractNumId w:val="0"/>
  </w:num>
  <w:num w:numId="27">
    <w:abstractNumId w:val="10"/>
  </w:num>
  <w:num w:numId="28">
    <w:abstractNumId w:val="19"/>
  </w:num>
  <w:num w:numId="29">
    <w:abstractNumId w:val="12"/>
  </w:num>
  <w:num w:numId="30">
    <w:abstractNumId w:val="34"/>
  </w:num>
  <w:num w:numId="31">
    <w:abstractNumId w:val="35"/>
  </w:num>
  <w:num w:numId="32">
    <w:abstractNumId w:val="22"/>
  </w:num>
  <w:num w:numId="33">
    <w:abstractNumId w:val="21"/>
  </w:num>
  <w:num w:numId="34">
    <w:abstractNumId w:val="15"/>
  </w:num>
  <w:num w:numId="35">
    <w:abstractNumId w:val="31"/>
  </w:num>
  <w:num w:numId="36">
    <w:abstractNumId w:val="25"/>
  </w:num>
  <w:num w:numId="37">
    <w:abstractNumId w:val="29"/>
  </w:num>
  <w:num w:numId="38">
    <w:abstractNumId w:val="26"/>
  </w:num>
  <w:num w:numId="39">
    <w:abstractNumId w:val="35"/>
  </w:num>
  <w:num w:numId="40">
    <w:abstractNumId w:val="14"/>
  </w:num>
  <w:num w:numId="41">
    <w:abstractNumId w:val="35"/>
  </w:num>
  <w:num w:numId="42">
    <w:abstractNumId w:val="3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616"/>
    <w:rsid w:val="00004BE2"/>
    <w:rsid w:val="00005040"/>
    <w:rsid w:val="00007F56"/>
    <w:rsid w:val="000129C7"/>
    <w:rsid w:val="0001396B"/>
    <w:rsid w:val="00013AF7"/>
    <w:rsid w:val="00014366"/>
    <w:rsid w:val="00017B6A"/>
    <w:rsid w:val="00017F9A"/>
    <w:rsid w:val="000205C9"/>
    <w:rsid w:val="00020DF1"/>
    <w:rsid w:val="0002154C"/>
    <w:rsid w:val="0002161B"/>
    <w:rsid w:val="00023AF6"/>
    <w:rsid w:val="00025126"/>
    <w:rsid w:val="00026B4E"/>
    <w:rsid w:val="00027C68"/>
    <w:rsid w:val="0003043B"/>
    <w:rsid w:val="0003123A"/>
    <w:rsid w:val="000316A7"/>
    <w:rsid w:val="00037F29"/>
    <w:rsid w:val="00043302"/>
    <w:rsid w:val="00044E9D"/>
    <w:rsid w:val="0004536C"/>
    <w:rsid w:val="00046D6C"/>
    <w:rsid w:val="00050462"/>
    <w:rsid w:val="00055B37"/>
    <w:rsid w:val="00055F3A"/>
    <w:rsid w:val="00056969"/>
    <w:rsid w:val="000655FF"/>
    <w:rsid w:val="00067C7A"/>
    <w:rsid w:val="00070C91"/>
    <w:rsid w:val="000711EF"/>
    <w:rsid w:val="00071A6D"/>
    <w:rsid w:val="00082C35"/>
    <w:rsid w:val="000966ED"/>
    <w:rsid w:val="000968FC"/>
    <w:rsid w:val="000972BE"/>
    <w:rsid w:val="000A223A"/>
    <w:rsid w:val="000A39AE"/>
    <w:rsid w:val="000B0C83"/>
    <w:rsid w:val="000B1A87"/>
    <w:rsid w:val="000B2493"/>
    <w:rsid w:val="000B65B2"/>
    <w:rsid w:val="000B6BE9"/>
    <w:rsid w:val="000C2230"/>
    <w:rsid w:val="000C58B4"/>
    <w:rsid w:val="000C5A3C"/>
    <w:rsid w:val="000C6122"/>
    <w:rsid w:val="000C6897"/>
    <w:rsid w:val="000C746D"/>
    <w:rsid w:val="000F23D6"/>
    <w:rsid w:val="000F3E4F"/>
    <w:rsid w:val="0010161B"/>
    <w:rsid w:val="001053AC"/>
    <w:rsid w:val="00110991"/>
    <w:rsid w:val="00124177"/>
    <w:rsid w:val="001252E7"/>
    <w:rsid w:val="0012729F"/>
    <w:rsid w:val="00131708"/>
    <w:rsid w:val="001338F2"/>
    <w:rsid w:val="00133BC2"/>
    <w:rsid w:val="00134483"/>
    <w:rsid w:val="0014131E"/>
    <w:rsid w:val="00141D53"/>
    <w:rsid w:val="00143A57"/>
    <w:rsid w:val="00144734"/>
    <w:rsid w:val="00145AF7"/>
    <w:rsid w:val="0015015F"/>
    <w:rsid w:val="00153BB4"/>
    <w:rsid w:val="00153C3B"/>
    <w:rsid w:val="00161ACE"/>
    <w:rsid w:val="00162A68"/>
    <w:rsid w:val="00163579"/>
    <w:rsid w:val="00163893"/>
    <w:rsid w:val="001652F5"/>
    <w:rsid w:val="001737C5"/>
    <w:rsid w:val="001848C3"/>
    <w:rsid w:val="00191BAF"/>
    <w:rsid w:val="00194400"/>
    <w:rsid w:val="00194650"/>
    <w:rsid w:val="00194CF0"/>
    <w:rsid w:val="00194EA0"/>
    <w:rsid w:val="0019578D"/>
    <w:rsid w:val="00196F6A"/>
    <w:rsid w:val="001A0FC9"/>
    <w:rsid w:val="001A1DD1"/>
    <w:rsid w:val="001A4415"/>
    <w:rsid w:val="001A6384"/>
    <w:rsid w:val="001B1ED1"/>
    <w:rsid w:val="001B2318"/>
    <w:rsid w:val="001B6F70"/>
    <w:rsid w:val="001C5317"/>
    <w:rsid w:val="001C5BD0"/>
    <w:rsid w:val="001D12C3"/>
    <w:rsid w:val="001E04D0"/>
    <w:rsid w:val="001E2667"/>
    <w:rsid w:val="001F0C59"/>
    <w:rsid w:val="001F2BA7"/>
    <w:rsid w:val="001F36DA"/>
    <w:rsid w:val="001F542F"/>
    <w:rsid w:val="00203117"/>
    <w:rsid w:val="00207406"/>
    <w:rsid w:val="00212B98"/>
    <w:rsid w:val="0021573F"/>
    <w:rsid w:val="00215A28"/>
    <w:rsid w:val="00216DA8"/>
    <w:rsid w:val="00220E47"/>
    <w:rsid w:val="002225EB"/>
    <w:rsid w:val="00222C2E"/>
    <w:rsid w:val="00224F0D"/>
    <w:rsid w:val="00225C1F"/>
    <w:rsid w:val="00230E6C"/>
    <w:rsid w:val="00232D18"/>
    <w:rsid w:val="002400FA"/>
    <w:rsid w:val="00241C24"/>
    <w:rsid w:val="0024424E"/>
    <w:rsid w:val="00244F38"/>
    <w:rsid w:val="00252B8F"/>
    <w:rsid w:val="00253BA9"/>
    <w:rsid w:val="00257378"/>
    <w:rsid w:val="0026535C"/>
    <w:rsid w:val="00270C78"/>
    <w:rsid w:val="002731E6"/>
    <w:rsid w:val="00273CE0"/>
    <w:rsid w:val="0027543C"/>
    <w:rsid w:val="002805FD"/>
    <w:rsid w:val="00283AFE"/>
    <w:rsid w:val="0028761C"/>
    <w:rsid w:val="00291EE7"/>
    <w:rsid w:val="00292BFB"/>
    <w:rsid w:val="00295136"/>
    <w:rsid w:val="00295FB2"/>
    <w:rsid w:val="002961AE"/>
    <w:rsid w:val="0029770F"/>
    <w:rsid w:val="002A1F75"/>
    <w:rsid w:val="002A2DF7"/>
    <w:rsid w:val="002A3699"/>
    <w:rsid w:val="002A5025"/>
    <w:rsid w:val="002A5EC4"/>
    <w:rsid w:val="002B3EEC"/>
    <w:rsid w:val="002B4B41"/>
    <w:rsid w:val="002C0119"/>
    <w:rsid w:val="002C07C4"/>
    <w:rsid w:val="002C171A"/>
    <w:rsid w:val="002C24C6"/>
    <w:rsid w:val="002C486D"/>
    <w:rsid w:val="002C4C1A"/>
    <w:rsid w:val="002C53F4"/>
    <w:rsid w:val="002C636F"/>
    <w:rsid w:val="002C7332"/>
    <w:rsid w:val="002C7644"/>
    <w:rsid w:val="002D0B4E"/>
    <w:rsid w:val="002E1DF8"/>
    <w:rsid w:val="002F2694"/>
    <w:rsid w:val="002F482A"/>
    <w:rsid w:val="002F7DA1"/>
    <w:rsid w:val="00300C00"/>
    <w:rsid w:val="003019D5"/>
    <w:rsid w:val="00303769"/>
    <w:rsid w:val="00310576"/>
    <w:rsid w:val="00312034"/>
    <w:rsid w:val="00312257"/>
    <w:rsid w:val="00313242"/>
    <w:rsid w:val="00314913"/>
    <w:rsid w:val="00314C88"/>
    <w:rsid w:val="00315F66"/>
    <w:rsid w:val="003239D2"/>
    <w:rsid w:val="003262F6"/>
    <w:rsid w:val="00330B9A"/>
    <w:rsid w:val="00332340"/>
    <w:rsid w:val="00337EA0"/>
    <w:rsid w:val="00337F8A"/>
    <w:rsid w:val="00343ACA"/>
    <w:rsid w:val="003448CA"/>
    <w:rsid w:val="00345E01"/>
    <w:rsid w:val="00346F1E"/>
    <w:rsid w:val="003473F4"/>
    <w:rsid w:val="003537F8"/>
    <w:rsid w:val="0036243D"/>
    <w:rsid w:val="00365BC6"/>
    <w:rsid w:val="00367035"/>
    <w:rsid w:val="00367B3A"/>
    <w:rsid w:val="003704CC"/>
    <w:rsid w:val="00373D23"/>
    <w:rsid w:val="0037685F"/>
    <w:rsid w:val="00380053"/>
    <w:rsid w:val="00382E6C"/>
    <w:rsid w:val="00385B26"/>
    <w:rsid w:val="003877EC"/>
    <w:rsid w:val="00394EAB"/>
    <w:rsid w:val="0039593D"/>
    <w:rsid w:val="003A01A2"/>
    <w:rsid w:val="003A2847"/>
    <w:rsid w:val="003A4B89"/>
    <w:rsid w:val="003A7E85"/>
    <w:rsid w:val="003A7FA3"/>
    <w:rsid w:val="003B01BA"/>
    <w:rsid w:val="003B2356"/>
    <w:rsid w:val="003B3117"/>
    <w:rsid w:val="003B5486"/>
    <w:rsid w:val="003C3496"/>
    <w:rsid w:val="003C5CE1"/>
    <w:rsid w:val="003D2CF9"/>
    <w:rsid w:val="003D33F3"/>
    <w:rsid w:val="003D7369"/>
    <w:rsid w:val="003D77E4"/>
    <w:rsid w:val="003E0106"/>
    <w:rsid w:val="003E2330"/>
    <w:rsid w:val="003F006D"/>
    <w:rsid w:val="003F5405"/>
    <w:rsid w:val="00400193"/>
    <w:rsid w:val="0040256A"/>
    <w:rsid w:val="00403ABE"/>
    <w:rsid w:val="00403BE7"/>
    <w:rsid w:val="004133DF"/>
    <w:rsid w:val="004155AD"/>
    <w:rsid w:val="00416CCA"/>
    <w:rsid w:val="004259EA"/>
    <w:rsid w:val="004268A8"/>
    <w:rsid w:val="004268F0"/>
    <w:rsid w:val="004311D3"/>
    <w:rsid w:val="00431A74"/>
    <w:rsid w:val="00433A26"/>
    <w:rsid w:val="0044107A"/>
    <w:rsid w:val="0044794E"/>
    <w:rsid w:val="00451F1E"/>
    <w:rsid w:val="0045370F"/>
    <w:rsid w:val="00455A09"/>
    <w:rsid w:val="00461093"/>
    <w:rsid w:val="00463407"/>
    <w:rsid w:val="004672C9"/>
    <w:rsid w:val="00470189"/>
    <w:rsid w:val="0047063F"/>
    <w:rsid w:val="00472E32"/>
    <w:rsid w:val="004772C9"/>
    <w:rsid w:val="0048140C"/>
    <w:rsid w:val="00492138"/>
    <w:rsid w:val="00497A66"/>
    <w:rsid w:val="004A4FBE"/>
    <w:rsid w:val="004B2ECA"/>
    <w:rsid w:val="004B4A4F"/>
    <w:rsid w:val="004B6D4A"/>
    <w:rsid w:val="004C088B"/>
    <w:rsid w:val="004C0F84"/>
    <w:rsid w:val="004C2E3F"/>
    <w:rsid w:val="004C7B0B"/>
    <w:rsid w:val="004D3745"/>
    <w:rsid w:val="004E0865"/>
    <w:rsid w:val="004E0CB0"/>
    <w:rsid w:val="004E18FD"/>
    <w:rsid w:val="004E342B"/>
    <w:rsid w:val="004E7116"/>
    <w:rsid w:val="004F314F"/>
    <w:rsid w:val="004F5F4C"/>
    <w:rsid w:val="004F67F9"/>
    <w:rsid w:val="005102E7"/>
    <w:rsid w:val="00511C8B"/>
    <w:rsid w:val="00511E7B"/>
    <w:rsid w:val="00513D91"/>
    <w:rsid w:val="00513DA6"/>
    <w:rsid w:val="00514B33"/>
    <w:rsid w:val="005158CA"/>
    <w:rsid w:val="00517C10"/>
    <w:rsid w:val="00521C4B"/>
    <w:rsid w:val="00523FFF"/>
    <w:rsid w:val="005278B8"/>
    <w:rsid w:val="00530C82"/>
    <w:rsid w:val="00532776"/>
    <w:rsid w:val="00536D5F"/>
    <w:rsid w:val="0054003F"/>
    <w:rsid w:val="00561304"/>
    <w:rsid w:val="00564A79"/>
    <w:rsid w:val="00565466"/>
    <w:rsid w:val="005673B3"/>
    <w:rsid w:val="005749A4"/>
    <w:rsid w:val="00576B1B"/>
    <w:rsid w:val="00577CB4"/>
    <w:rsid w:val="00580083"/>
    <w:rsid w:val="00582AA4"/>
    <w:rsid w:val="005830EF"/>
    <w:rsid w:val="0058620E"/>
    <w:rsid w:val="005875CD"/>
    <w:rsid w:val="00592D37"/>
    <w:rsid w:val="0059305F"/>
    <w:rsid w:val="00595B09"/>
    <w:rsid w:val="005A32BF"/>
    <w:rsid w:val="005B16D1"/>
    <w:rsid w:val="005B1A0A"/>
    <w:rsid w:val="005B3085"/>
    <w:rsid w:val="005B425C"/>
    <w:rsid w:val="005B4EB7"/>
    <w:rsid w:val="005B6422"/>
    <w:rsid w:val="005B6DB1"/>
    <w:rsid w:val="005B6E33"/>
    <w:rsid w:val="005C01D5"/>
    <w:rsid w:val="005C1B0F"/>
    <w:rsid w:val="005C2922"/>
    <w:rsid w:val="005C4F8F"/>
    <w:rsid w:val="005D277A"/>
    <w:rsid w:val="005D31E9"/>
    <w:rsid w:val="005D3F3F"/>
    <w:rsid w:val="005D568C"/>
    <w:rsid w:val="005E17CB"/>
    <w:rsid w:val="005E6259"/>
    <w:rsid w:val="005E7017"/>
    <w:rsid w:val="00607281"/>
    <w:rsid w:val="00611BA1"/>
    <w:rsid w:val="00614BE0"/>
    <w:rsid w:val="00615B70"/>
    <w:rsid w:val="00616971"/>
    <w:rsid w:val="00623BC5"/>
    <w:rsid w:val="00627708"/>
    <w:rsid w:val="00632855"/>
    <w:rsid w:val="006335BD"/>
    <w:rsid w:val="00633AF9"/>
    <w:rsid w:val="00634F4C"/>
    <w:rsid w:val="00635E8E"/>
    <w:rsid w:val="00637FC5"/>
    <w:rsid w:val="00641F89"/>
    <w:rsid w:val="00645EA1"/>
    <w:rsid w:val="00651D89"/>
    <w:rsid w:val="006539B2"/>
    <w:rsid w:val="00655885"/>
    <w:rsid w:val="00655959"/>
    <w:rsid w:val="0066193E"/>
    <w:rsid w:val="00665B1E"/>
    <w:rsid w:val="0067257F"/>
    <w:rsid w:val="00675947"/>
    <w:rsid w:val="00676F1C"/>
    <w:rsid w:val="006771C1"/>
    <w:rsid w:val="00677C86"/>
    <w:rsid w:val="0068021C"/>
    <w:rsid w:val="006805CA"/>
    <w:rsid w:val="00682E35"/>
    <w:rsid w:val="00684B0C"/>
    <w:rsid w:val="0068572F"/>
    <w:rsid w:val="006905BB"/>
    <w:rsid w:val="006908C0"/>
    <w:rsid w:val="006977BA"/>
    <w:rsid w:val="006A2036"/>
    <w:rsid w:val="006A63CD"/>
    <w:rsid w:val="006A7C35"/>
    <w:rsid w:val="006B007F"/>
    <w:rsid w:val="006B15A0"/>
    <w:rsid w:val="006B1C23"/>
    <w:rsid w:val="006B5736"/>
    <w:rsid w:val="006B65A0"/>
    <w:rsid w:val="006C3977"/>
    <w:rsid w:val="006C61DD"/>
    <w:rsid w:val="006C6320"/>
    <w:rsid w:val="006C6F42"/>
    <w:rsid w:val="006C70D8"/>
    <w:rsid w:val="006D14E8"/>
    <w:rsid w:val="006D34D6"/>
    <w:rsid w:val="006D4B79"/>
    <w:rsid w:val="006D5109"/>
    <w:rsid w:val="006D60F2"/>
    <w:rsid w:val="006D7DB3"/>
    <w:rsid w:val="006E05D2"/>
    <w:rsid w:val="006E3616"/>
    <w:rsid w:val="006E5833"/>
    <w:rsid w:val="006E7BA9"/>
    <w:rsid w:val="00701D63"/>
    <w:rsid w:val="00701D7E"/>
    <w:rsid w:val="00702440"/>
    <w:rsid w:val="00704A6D"/>
    <w:rsid w:val="007054ED"/>
    <w:rsid w:val="00705AEB"/>
    <w:rsid w:val="00711699"/>
    <w:rsid w:val="0071526E"/>
    <w:rsid w:val="0071574D"/>
    <w:rsid w:val="007205A5"/>
    <w:rsid w:val="00724BEE"/>
    <w:rsid w:val="007333D3"/>
    <w:rsid w:val="00733D9D"/>
    <w:rsid w:val="007401E9"/>
    <w:rsid w:val="007401F4"/>
    <w:rsid w:val="00744CAD"/>
    <w:rsid w:val="007663C7"/>
    <w:rsid w:val="00767263"/>
    <w:rsid w:val="0077127F"/>
    <w:rsid w:val="0077263B"/>
    <w:rsid w:val="007738BC"/>
    <w:rsid w:val="00777038"/>
    <w:rsid w:val="0078028D"/>
    <w:rsid w:val="00787987"/>
    <w:rsid w:val="00796035"/>
    <w:rsid w:val="007A006B"/>
    <w:rsid w:val="007A10B0"/>
    <w:rsid w:val="007A3DBB"/>
    <w:rsid w:val="007A5A7D"/>
    <w:rsid w:val="007A6AD6"/>
    <w:rsid w:val="007B4418"/>
    <w:rsid w:val="007B75CF"/>
    <w:rsid w:val="007C2300"/>
    <w:rsid w:val="007C2BF5"/>
    <w:rsid w:val="007C5821"/>
    <w:rsid w:val="007C645E"/>
    <w:rsid w:val="007D108F"/>
    <w:rsid w:val="007D4F77"/>
    <w:rsid w:val="007D4FAD"/>
    <w:rsid w:val="007D639D"/>
    <w:rsid w:val="007E0485"/>
    <w:rsid w:val="007E4160"/>
    <w:rsid w:val="007E4B0F"/>
    <w:rsid w:val="007F07DA"/>
    <w:rsid w:val="007F2393"/>
    <w:rsid w:val="007F6606"/>
    <w:rsid w:val="007F7401"/>
    <w:rsid w:val="007F7D22"/>
    <w:rsid w:val="008023BC"/>
    <w:rsid w:val="00803462"/>
    <w:rsid w:val="0080374F"/>
    <w:rsid w:val="00803D7E"/>
    <w:rsid w:val="008047D4"/>
    <w:rsid w:val="00811360"/>
    <w:rsid w:val="00817E92"/>
    <w:rsid w:val="008228D5"/>
    <w:rsid w:val="00825ADA"/>
    <w:rsid w:val="00834122"/>
    <w:rsid w:val="00835478"/>
    <w:rsid w:val="00841260"/>
    <w:rsid w:val="008429A9"/>
    <w:rsid w:val="00846978"/>
    <w:rsid w:val="00846E75"/>
    <w:rsid w:val="00851189"/>
    <w:rsid w:val="00851C95"/>
    <w:rsid w:val="00851EBB"/>
    <w:rsid w:val="00852149"/>
    <w:rsid w:val="008571AF"/>
    <w:rsid w:val="008608D4"/>
    <w:rsid w:val="0086686D"/>
    <w:rsid w:val="0086788A"/>
    <w:rsid w:val="008724B4"/>
    <w:rsid w:val="0087450A"/>
    <w:rsid w:val="008822B7"/>
    <w:rsid w:val="00886310"/>
    <w:rsid w:val="0089161E"/>
    <w:rsid w:val="00893F75"/>
    <w:rsid w:val="00894905"/>
    <w:rsid w:val="0089694C"/>
    <w:rsid w:val="00896CBE"/>
    <w:rsid w:val="008976CE"/>
    <w:rsid w:val="00897A44"/>
    <w:rsid w:val="008A13E6"/>
    <w:rsid w:val="008A288E"/>
    <w:rsid w:val="008A2C2E"/>
    <w:rsid w:val="008A35AD"/>
    <w:rsid w:val="008A37A3"/>
    <w:rsid w:val="008A3920"/>
    <w:rsid w:val="008A6554"/>
    <w:rsid w:val="008A71B7"/>
    <w:rsid w:val="008B14A9"/>
    <w:rsid w:val="008B3B8B"/>
    <w:rsid w:val="008B4BD4"/>
    <w:rsid w:val="008B693A"/>
    <w:rsid w:val="008C4317"/>
    <w:rsid w:val="008C6D7D"/>
    <w:rsid w:val="008C750E"/>
    <w:rsid w:val="008D0AC9"/>
    <w:rsid w:val="008D0F8E"/>
    <w:rsid w:val="008E676D"/>
    <w:rsid w:val="008E7EDC"/>
    <w:rsid w:val="008F2086"/>
    <w:rsid w:val="00904912"/>
    <w:rsid w:val="009049B3"/>
    <w:rsid w:val="00907912"/>
    <w:rsid w:val="0091171F"/>
    <w:rsid w:val="00911A3F"/>
    <w:rsid w:val="009200AC"/>
    <w:rsid w:val="00930D68"/>
    <w:rsid w:val="009361D5"/>
    <w:rsid w:val="00936625"/>
    <w:rsid w:val="009367F2"/>
    <w:rsid w:val="00942760"/>
    <w:rsid w:val="009512C9"/>
    <w:rsid w:val="00954C19"/>
    <w:rsid w:val="00956A7D"/>
    <w:rsid w:val="00960797"/>
    <w:rsid w:val="0096353B"/>
    <w:rsid w:val="00963D6B"/>
    <w:rsid w:val="00965AA6"/>
    <w:rsid w:val="00965B24"/>
    <w:rsid w:val="00965E53"/>
    <w:rsid w:val="00972615"/>
    <w:rsid w:val="00972F6F"/>
    <w:rsid w:val="009749B2"/>
    <w:rsid w:val="009773C5"/>
    <w:rsid w:val="00981CF4"/>
    <w:rsid w:val="00985065"/>
    <w:rsid w:val="009925EB"/>
    <w:rsid w:val="00993174"/>
    <w:rsid w:val="009942CB"/>
    <w:rsid w:val="009965F1"/>
    <w:rsid w:val="00997C5E"/>
    <w:rsid w:val="009A0C19"/>
    <w:rsid w:val="009A1012"/>
    <w:rsid w:val="009A11E7"/>
    <w:rsid w:val="009B134A"/>
    <w:rsid w:val="009B3A2B"/>
    <w:rsid w:val="009D118F"/>
    <w:rsid w:val="009D1AFA"/>
    <w:rsid w:val="009D20DF"/>
    <w:rsid w:val="009D2F0A"/>
    <w:rsid w:val="009E1B59"/>
    <w:rsid w:val="009E45E9"/>
    <w:rsid w:val="009E7D07"/>
    <w:rsid w:val="009F0BD6"/>
    <w:rsid w:val="009F5679"/>
    <w:rsid w:val="009F6207"/>
    <w:rsid w:val="00A01EF3"/>
    <w:rsid w:val="00A02359"/>
    <w:rsid w:val="00A038B1"/>
    <w:rsid w:val="00A0618E"/>
    <w:rsid w:val="00A10807"/>
    <w:rsid w:val="00A1235E"/>
    <w:rsid w:val="00A14198"/>
    <w:rsid w:val="00A174B4"/>
    <w:rsid w:val="00A22083"/>
    <w:rsid w:val="00A2349E"/>
    <w:rsid w:val="00A26072"/>
    <w:rsid w:val="00A32284"/>
    <w:rsid w:val="00A420B9"/>
    <w:rsid w:val="00A45F81"/>
    <w:rsid w:val="00A5344E"/>
    <w:rsid w:val="00A53A69"/>
    <w:rsid w:val="00A558D8"/>
    <w:rsid w:val="00A55B81"/>
    <w:rsid w:val="00A63BB5"/>
    <w:rsid w:val="00A63C74"/>
    <w:rsid w:val="00A700D2"/>
    <w:rsid w:val="00A71722"/>
    <w:rsid w:val="00A775D6"/>
    <w:rsid w:val="00A81BC1"/>
    <w:rsid w:val="00A829EF"/>
    <w:rsid w:val="00A86681"/>
    <w:rsid w:val="00A92D29"/>
    <w:rsid w:val="00A95F46"/>
    <w:rsid w:val="00A96438"/>
    <w:rsid w:val="00AA325E"/>
    <w:rsid w:val="00AC21F6"/>
    <w:rsid w:val="00AC51CF"/>
    <w:rsid w:val="00AD09EC"/>
    <w:rsid w:val="00AD4606"/>
    <w:rsid w:val="00AE48D6"/>
    <w:rsid w:val="00AE6586"/>
    <w:rsid w:val="00AF0766"/>
    <w:rsid w:val="00AF1660"/>
    <w:rsid w:val="00AF20EE"/>
    <w:rsid w:val="00AF403A"/>
    <w:rsid w:val="00B004F0"/>
    <w:rsid w:val="00B029C7"/>
    <w:rsid w:val="00B03725"/>
    <w:rsid w:val="00B11D44"/>
    <w:rsid w:val="00B11F3B"/>
    <w:rsid w:val="00B1692E"/>
    <w:rsid w:val="00B169B8"/>
    <w:rsid w:val="00B17429"/>
    <w:rsid w:val="00B17510"/>
    <w:rsid w:val="00B17F65"/>
    <w:rsid w:val="00B20AC7"/>
    <w:rsid w:val="00B239C9"/>
    <w:rsid w:val="00B258A8"/>
    <w:rsid w:val="00B260B5"/>
    <w:rsid w:val="00B27ED9"/>
    <w:rsid w:val="00B3119E"/>
    <w:rsid w:val="00B31CAC"/>
    <w:rsid w:val="00B336E7"/>
    <w:rsid w:val="00B347F7"/>
    <w:rsid w:val="00B34B6C"/>
    <w:rsid w:val="00B34ED6"/>
    <w:rsid w:val="00B41331"/>
    <w:rsid w:val="00B416D0"/>
    <w:rsid w:val="00B43664"/>
    <w:rsid w:val="00B4676D"/>
    <w:rsid w:val="00B615BA"/>
    <w:rsid w:val="00B74EE8"/>
    <w:rsid w:val="00B76172"/>
    <w:rsid w:val="00B82F75"/>
    <w:rsid w:val="00B83E0A"/>
    <w:rsid w:val="00B87B75"/>
    <w:rsid w:val="00B9037B"/>
    <w:rsid w:val="00B92249"/>
    <w:rsid w:val="00B92B24"/>
    <w:rsid w:val="00B94822"/>
    <w:rsid w:val="00B976C6"/>
    <w:rsid w:val="00BA0B7A"/>
    <w:rsid w:val="00BA2D58"/>
    <w:rsid w:val="00BA2F8F"/>
    <w:rsid w:val="00BA4765"/>
    <w:rsid w:val="00BA4982"/>
    <w:rsid w:val="00BA752A"/>
    <w:rsid w:val="00BB075F"/>
    <w:rsid w:val="00BB148A"/>
    <w:rsid w:val="00BB2D33"/>
    <w:rsid w:val="00BB31FB"/>
    <w:rsid w:val="00BB73A9"/>
    <w:rsid w:val="00BB7C18"/>
    <w:rsid w:val="00BC0C03"/>
    <w:rsid w:val="00BC33B8"/>
    <w:rsid w:val="00BC5829"/>
    <w:rsid w:val="00BD0E61"/>
    <w:rsid w:val="00BE3459"/>
    <w:rsid w:val="00BF2246"/>
    <w:rsid w:val="00BF26CB"/>
    <w:rsid w:val="00BF454B"/>
    <w:rsid w:val="00BF4C8F"/>
    <w:rsid w:val="00BF590D"/>
    <w:rsid w:val="00C01C10"/>
    <w:rsid w:val="00C06866"/>
    <w:rsid w:val="00C10243"/>
    <w:rsid w:val="00C12F3C"/>
    <w:rsid w:val="00C13DEB"/>
    <w:rsid w:val="00C16011"/>
    <w:rsid w:val="00C21596"/>
    <w:rsid w:val="00C24EA3"/>
    <w:rsid w:val="00C269DF"/>
    <w:rsid w:val="00C318DE"/>
    <w:rsid w:val="00C33CCD"/>
    <w:rsid w:val="00C350D3"/>
    <w:rsid w:val="00C3651A"/>
    <w:rsid w:val="00C4001D"/>
    <w:rsid w:val="00C425C2"/>
    <w:rsid w:val="00C44D9E"/>
    <w:rsid w:val="00C507C9"/>
    <w:rsid w:val="00C512F3"/>
    <w:rsid w:val="00C53451"/>
    <w:rsid w:val="00C562AD"/>
    <w:rsid w:val="00C56E5E"/>
    <w:rsid w:val="00C570A7"/>
    <w:rsid w:val="00C60181"/>
    <w:rsid w:val="00C63522"/>
    <w:rsid w:val="00C65B4C"/>
    <w:rsid w:val="00C679CD"/>
    <w:rsid w:val="00C76818"/>
    <w:rsid w:val="00C82323"/>
    <w:rsid w:val="00C8278F"/>
    <w:rsid w:val="00C84C2F"/>
    <w:rsid w:val="00C9238D"/>
    <w:rsid w:val="00C96175"/>
    <w:rsid w:val="00CA3079"/>
    <w:rsid w:val="00CA3222"/>
    <w:rsid w:val="00CA391F"/>
    <w:rsid w:val="00CA4755"/>
    <w:rsid w:val="00CA6E56"/>
    <w:rsid w:val="00CA72F4"/>
    <w:rsid w:val="00CB15AF"/>
    <w:rsid w:val="00CB7F59"/>
    <w:rsid w:val="00CC33C2"/>
    <w:rsid w:val="00CC357C"/>
    <w:rsid w:val="00CC363C"/>
    <w:rsid w:val="00CC4225"/>
    <w:rsid w:val="00CC5DEF"/>
    <w:rsid w:val="00CC65ED"/>
    <w:rsid w:val="00CC7EF5"/>
    <w:rsid w:val="00CD01A0"/>
    <w:rsid w:val="00CE093E"/>
    <w:rsid w:val="00CE25A1"/>
    <w:rsid w:val="00CE3F8E"/>
    <w:rsid w:val="00CF01D6"/>
    <w:rsid w:val="00CF1A67"/>
    <w:rsid w:val="00CF2510"/>
    <w:rsid w:val="00CF25B9"/>
    <w:rsid w:val="00CF4FF9"/>
    <w:rsid w:val="00CF7A85"/>
    <w:rsid w:val="00D01CD4"/>
    <w:rsid w:val="00D01E51"/>
    <w:rsid w:val="00D03F49"/>
    <w:rsid w:val="00D04CF3"/>
    <w:rsid w:val="00D07BAA"/>
    <w:rsid w:val="00D07E8B"/>
    <w:rsid w:val="00D12722"/>
    <w:rsid w:val="00D12730"/>
    <w:rsid w:val="00D140BD"/>
    <w:rsid w:val="00D1531A"/>
    <w:rsid w:val="00D16B42"/>
    <w:rsid w:val="00D2056F"/>
    <w:rsid w:val="00D207E3"/>
    <w:rsid w:val="00D247AF"/>
    <w:rsid w:val="00D25CD1"/>
    <w:rsid w:val="00D260A3"/>
    <w:rsid w:val="00D2671F"/>
    <w:rsid w:val="00D3556D"/>
    <w:rsid w:val="00D35CDF"/>
    <w:rsid w:val="00D37CEF"/>
    <w:rsid w:val="00D40C55"/>
    <w:rsid w:val="00D45A82"/>
    <w:rsid w:val="00D45ED1"/>
    <w:rsid w:val="00D46621"/>
    <w:rsid w:val="00D552F1"/>
    <w:rsid w:val="00D55B35"/>
    <w:rsid w:val="00D572B5"/>
    <w:rsid w:val="00D617E9"/>
    <w:rsid w:val="00D724AF"/>
    <w:rsid w:val="00D726EA"/>
    <w:rsid w:val="00D7291E"/>
    <w:rsid w:val="00D72CBB"/>
    <w:rsid w:val="00D74AAE"/>
    <w:rsid w:val="00D75A7B"/>
    <w:rsid w:val="00D8449C"/>
    <w:rsid w:val="00D861D7"/>
    <w:rsid w:val="00D86D62"/>
    <w:rsid w:val="00D872FE"/>
    <w:rsid w:val="00D91457"/>
    <w:rsid w:val="00D97AFD"/>
    <w:rsid w:val="00DA454C"/>
    <w:rsid w:val="00DA49D6"/>
    <w:rsid w:val="00DA666B"/>
    <w:rsid w:val="00DB3173"/>
    <w:rsid w:val="00DC08A1"/>
    <w:rsid w:val="00DC1775"/>
    <w:rsid w:val="00DC249C"/>
    <w:rsid w:val="00DC3A1B"/>
    <w:rsid w:val="00DC5A4C"/>
    <w:rsid w:val="00DC6062"/>
    <w:rsid w:val="00DC6994"/>
    <w:rsid w:val="00DC7E3A"/>
    <w:rsid w:val="00DD07A5"/>
    <w:rsid w:val="00DD0FD9"/>
    <w:rsid w:val="00DD4261"/>
    <w:rsid w:val="00DD695E"/>
    <w:rsid w:val="00DD78A6"/>
    <w:rsid w:val="00DD7EF9"/>
    <w:rsid w:val="00DE2E50"/>
    <w:rsid w:val="00DE4CB6"/>
    <w:rsid w:val="00DE52FD"/>
    <w:rsid w:val="00DF2E08"/>
    <w:rsid w:val="00DF5E56"/>
    <w:rsid w:val="00E01F0A"/>
    <w:rsid w:val="00E054B0"/>
    <w:rsid w:val="00E10C60"/>
    <w:rsid w:val="00E14B69"/>
    <w:rsid w:val="00E16304"/>
    <w:rsid w:val="00E16931"/>
    <w:rsid w:val="00E17A96"/>
    <w:rsid w:val="00E17D07"/>
    <w:rsid w:val="00E2063B"/>
    <w:rsid w:val="00E20BC9"/>
    <w:rsid w:val="00E21BE9"/>
    <w:rsid w:val="00E22650"/>
    <w:rsid w:val="00E23A66"/>
    <w:rsid w:val="00E26939"/>
    <w:rsid w:val="00E35A9B"/>
    <w:rsid w:val="00E35E8C"/>
    <w:rsid w:val="00E378DE"/>
    <w:rsid w:val="00E40A4A"/>
    <w:rsid w:val="00E4310A"/>
    <w:rsid w:val="00E43D5C"/>
    <w:rsid w:val="00E46E85"/>
    <w:rsid w:val="00E53598"/>
    <w:rsid w:val="00E5515B"/>
    <w:rsid w:val="00E60DC2"/>
    <w:rsid w:val="00E62357"/>
    <w:rsid w:val="00E6720E"/>
    <w:rsid w:val="00E67B4E"/>
    <w:rsid w:val="00E67F45"/>
    <w:rsid w:val="00E71718"/>
    <w:rsid w:val="00E724BF"/>
    <w:rsid w:val="00E75244"/>
    <w:rsid w:val="00E820A0"/>
    <w:rsid w:val="00E87101"/>
    <w:rsid w:val="00E90E0D"/>
    <w:rsid w:val="00E92FC4"/>
    <w:rsid w:val="00E93EE0"/>
    <w:rsid w:val="00EA167E"/>
    <w:rsid w:val="00EA3CB5"/>
    <w:rsid w:val="00EA419F"/>
    <w:rsid w:val="00EA74E8"/>
    <w:rsid w:val="00EB37E7"/>
    <w:rsid w:val="00EB3BC0"/>
    <w:rsid w:val="00EC1634"/>
    <w:rsid w:val="00EC23C0"/>
    <w:rsid w:val="00EC3AD0"/>
    <w:rsid w:val="00EC4F26"/>
    <w:rsid w:val="00EC71F3"/>
    <w:rsid w:val="00ED49F2"/>
    <w:rsid w:val="00ED5128"/>
    <w:rsid w:val="00ED5D22"/>
    <w:rsid w:val="00EE265A"/>
    <w:rsid w:val="00EF06EC"/>
    <w:rsid w:val="00EF0F65"/>
    <w:rsid w:val="00EF2516"/>
    <w:rsid w:val="00EF366F"/>
    <w:rsid w:val="00F01851"/>
    <w:rsid w:val="00F057C4"/>
    <w:rsid w:val="00F074B9"/>
    <w:rsid w:val="00F130D8"/>
    <w:rsid w:val="00F20133"/>
    <w:rsid w:val="00F2237C"/>
    <w:rsid w:val="00F26FE2"/>
    <w:rsid w:val="00F27663"/>
    <w:rsid w:val="00F319CB"/>
    <w:rsid w:val="00F330E7"/>
    <w:rsid w:val="00F34278"/>
    <w:rsid w:val="00F35B00"/>
    <w:rsid w:val="00F373F0"/>
    <w:rsid w:val="00F4150F"/>
    <w:rsid w:val="00F50615"/>
    <w:rsid w:val="00F52DC8"/>
    <w:rsid w:val="00F5345C"/>
    <w:rsid w:val="00F575CF"/>
    <w:rsid w:val="00F617A9"/>
    <w:rsid w:val="00F62852"/>
    <w:rsid w:val="00F66216"/>
    <w:rsid w:val="00F703E5"/>
    <w:rsid w:val="00F7144C"/>
    <w:rsid w:val="00F84034"/>
    <w:rsid w:val="00F90DDF"/>
    <w:rsid w:val="00F911F1"/>
    <w:rsid w:val="00F93E2A"/>
    <w:rsid w:val="00F973D2"/>
    <w:rsid w:val="00FA4434"/>
    <w:rsid w:val="00FA6811"/>
    <w:rsid w:val="00FB4907"/>
    <w:rsid w:val="00FC15BA"/>
    <w:rsid w:val="00FC3EFA"/>
    <w:rsid w:val="00FC5DA3"/>
    <w:rsid w:val="00FC6AB4"/>
    <w:rsid w:val="00FC6F23"/>
    <w:rsid w:val="00FD2311"/>
    <w:rsid w:val="00FD2576"/>
    <w:rsid w:val="00FD2D26"/>
    <w:rsid w:val="00FD3E15"/>
    <w:rsid w:val="00FD446F"/>
    <w:rsid w:val="00FD5C48"/>
    <w:rsid w:val="00FD732F"/>
    <w:rsid w:val="00FE6668"/>
    <w:rsid w:val="00FE755B"/>
    <w:rsid w:val="00FF5122"/>
    <w:rsid w:val="00FF76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3D72605"/>
  <w15:chartTrackingRefBased/>
  <w15:docId w15:val="{371E28B4-B22E-45DA-8656-6C8C01C34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B4C"/>
    <w:pPr>
      <w:spacing w:line="360" w:lineRule="auto"/>
      <w:jc w:val="both"/>
    </w:pPr>
    <w:rPr>
      <w:rFonts w:ascii="Arial" w:eastAsia="Arial" w:hAnsi="Arial" w:cs="Arial"/>
      <w:sz w:val="24"/>
      <w:lang w:val="en-GB"/>
    </w:rPr>
  </w:style>
  <w:style w:type="paragraph" w:styleId="Heading1">
    <w:name w:val="heading 1"/>
    <w:aliases w:val="RP Heading 1,SMJ Heading 1,Heading 1-Chapters"/>
    <w:basedOn w:val="Normal"/>
    <w:next w:val="Normal"/>
    <w:link w:val="Heading1Char"/>
    <w:uiPriority w:val="9"/>
    <w:qFormat/>
    <w:rsid w:val="002C636F"/>
    <w:pPr>
      <w:keepNext/>
      <w:keepLines/>
      <w:numPr>
        <w:numId w:val="1"/>
      </w:numPr>
      <w:spacing w:before="240" w:after="0" w:line="480" w:lineRule="auto"/>
      <w:jc w:val="center"/>
      <w:outlineLvl w:val="0"/>
    </w:pPr>
    <w:rPr>
      <w:rFonts w:eastAsia="Times New Roman"/>
      <w:b/>
      <w:sz w:val="32"/>
      <w:szCs w:val="32"/>
    </w:rPr>
  </w:style>
  <w:style w:type="paragraph" w:styleId="Heading2">
    <w:name w:val="heading 2"/>
    <w:aliases w:val="RP Heading 2,SMJ Heading 2"/>
    <w:basedOn w:val="Normal"/>
    <w:next w:val="Normal"/>
    <w:link w:val="Heading2Char"/>
    <w:uiPriority w:val="99"/>
    <w:unhideWhenUsed/>
    <w:qFormat/>
    <w:rsid w:val="006E3616"/>
    <w:pPr>
      <w:keepNext/>
      <w:keepLines/>
      <w:numPr>
        <w:ilvl w:val="1"/>
        <w:numId w:val="1"/>
      </w:numPr>
      <w:spacing w:before="160" w:after="120"/>
      <w:ind w:left="0"/>
      <w:outlineLvl w:val="1"/>
    </w:pPr>
    <w:rPr>
      <w:rFonts w:eastAsia="Times New Roman"/>
      <w:b/>
      <w:sz w:val="26"/>
      <w:szCs w:val="26"/>
    </w:rPr>
  </w:style>
  <w:style w:type="paragraph" w:styleId="Heading3">
    <w:name w:val="heading 3"/>
    <w:aliases w:val="RP Heading 3,SMJ Heading 3"/>
    <w:basedOn w:val="Normal"/>
    <w:next w:val="Normal"/>
    <w:link w:val="Heading3Char"/>
    <w:uiPriority w:val="9"/>
    <w:unhideWhenUsed/>
    <w:qFormat/>
    <w:rsid w:val="006E3616"/>
    <w:pPr>
      <w:keepNext/>
      <w:keepLines/>
      <w:numPr>
        <w:ilvl w:val="2"/>
        <w:numId w:val="1"/>
      </w:numPr>
      <w:spacing w:before="40" w:after="0"/>
      <w:outlineLvl w:val="2"/>
    </w:pPr>
    <w:rPr>
      <w:rFonts w:eastAsia="Times New Roman"/>
      <w:b/>
      <w:szCs w:val="24"/>
    </w:rPr>
  </w:style>
  <w:style w:type="paragraph" w:styleId="Heading4">
    <w:name w:val="heading 4"/>
    <w:basedOn w:val="Normal"/>
    <w:next w:val="Normal"/>
    <w:link w:val="Heading4Char"/>
    <w:uiPriority w:val="9"/>
    <w:unhideWhenUsed/>
    <w:qFormat/>
    <w:rsid w:val="00C3651A"/>
    <w:pPr>
      <w:keepNext/>
      <w:keepLines/>
      <w:numPr>
        <w:ilvl w:val="3"/>
        <w:numId w:val="1"/>
      </w:numPr>
      <w:spacing w:before="40" w:after="0"/>
      <w:ind w:left="0"/>
      <w:jc w:val="left"/>
      <w:outlineLvl w:val="3"/>
    </w:pPr>
    <w:rPr>
      <w:rFonts w:eastAsia="Times New Roman"/>
      <w:b/>
      <w:i/>
      <w:iCs/>
    </w:rPr>
  </w:style>
  <w:style w:type="paragraph" w:styleId="Heading5">
    <w:name w:val="heading 5"/>
    <w:basedOn w:val="Normal"/>
    <w:next w:val="Normal"/>
    <w:link w:val="Heading5Char"/>
    <w:uiPriority w:val="9"/>
    <w:unhideWhenUsed/>
    <w:qFormat/>
    <w:rsid w:val="00C3651A"/>
    <w:pPr>
      <w:keepNext/>
      <w:keepLines/>
      <w:numPr>
        <w:ilvl w:val="4"/>
        <w:numId w:val="1"/>
      </w:numPr>
      <w:spacing w:before="40" w:after="0"/>
      <w:outlineLvl w:val="4"/>
    </w:pPr>
    <w:rPr>
      <w:rFonts w:eastAsia="Times New Roman"/>
      <w:b/>
    </w:rPr>
  </w:style>
  <w:style w:type="paragraph" w:styleId="Heading6">
    <w:name w:val="heading 6"/>
    <w:basedOn w:val="Normal"/>
    <w:next w:val="Normal"/>
    <w:link w:val="Heading6Char"/>
    <w:uiPriority w:val="9"/>
    <w:semiHidden/>
    <w:unhideWhenUsed/>
    <w:qFormat/>
    <w:rsid w:val="006E3616"/>
    <w:pPr>
      <w:keepNext/>
      <w:keepLines/>
      <w:numPr>
        <w:ilvl w:val="5"/>
        <w:numId w:val="1"/>
      </w:numPr>
      <w:spacing w:before="40" w:after="0"/>
      <w:outlineLvl w:val="5"/>
    </w:pPr>
    <w:rPr>
      <w:rFonts w:eastAsia="Times New Roman"/>
      <w:color w:val="1F3763"/>
    </w:rPr>
  </w:style>
  <w:style w:type="paragraph" w:styleId="Heading7">
    <w:name w:val="heading 7"/>
    <w:basedOn w:val="Normal"/>
    <w:next w:val="Normal"/>
    <w:link w:val="Heading7Char"/>
    <w:uiPriority w:val="9"/>
    <w:semiHidden/>
    <w:unhideWhenUsed/>
    <w:qFormat/>
    <w:rsid w:val="006E3616"/>
    <w:pPr>
      <w:keepNext/>
      <w:keepLines/>
      <w:numPr>
        <w:ilvl w:val="6"/>
        <w:numId w:val="1"/>
      </w:numPr>
      <w:spacing w:before="40" w:after="0"/>
      <w:outlineLvl w:val="6"/>
    </w:pPr>
    <w:rPr>
      <w:rFonts w:eastAsia="Times New Roman"/>
      <w:i/>
      <w:iCs/>
      <w:color w:val="1F3763"/>
    </w:rPr>
  </w:style>
  <w:style w:type="paragraph" w:styleId="Heading8">
    <w:name w:val="heading 8"/>
    <w:basedOn w:val="Normal"/>
    <w:next w:val="Normal"/>
    <w:link w:val="Heading8Char"/>
    <w:uiPriority w:val="9"/>
    <w:semiHidden/>
    <w:unhideWhenUsed/>
    <w:qFormat/>
    <w:rsid w:val="006E3616"/>
    <w:pPr>
      <w:keepNext/>
      <w:keepLines/>
      <w:numPr>
        <w:ilvl w:val="7"/>
        <w:numId w:val="1"/>
      </w:numPr>
      <w:spacing w:before="40" w:after="0"/>
      <w:outlineLvl w:val="7"/>
    </w:pPr>
    <w:rPr>
      <w:rFonts w:eastAsia="Times New Roman"/>
      <w:color w:val="272727"/>
      <w:sz w:val="21"/>
      <w:szCs w:val="21"/>
    </w:rPr>
  </w:style>
  <w:style w:type="paragraph" w:styleId="Heading9">
    <w:name w:val="heading 9"/>
    <w:basedOn w:val="Normal"/>
    <w:next w:val="Normal"/>
    <w:link w:val="Heading9Char"/>
    <w:uiPriority w:val="9"/>
    <w:semiHidden/>
    <w:unhideWhenUsed/>
    <w:qFormat/>
    <w:rsid w:val="006E3616"/>
    <w:pPr>
      <w:keepNext/>
      <w:keepLines/>
      <w:numPr>
        <w:ilvl w:val="8"/>
        <w:numId w:val="1"/>
      </w:numPr>
      <w:spacing w:before="40" w:after="0"/>
      <w:outlineLvl w:val="8"/>
    </w:pPr>
    <w:rPr>
      <w:rFonts w:eastAsia="Times New Roma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RP Heading 1 Char,SMJ Heading 1 Char,Heading 1-Chapters Char"/>
    <w:basedOn w:val="DefaultParagraphFont"/>
    <w:link w:val="Heading1"/>
    <w:uiPriority w:val="9"/>
    <w:rsid w:val="002C636F"/>
    <w:rPr>
      <w:rFonts w:ascii="Arial" w:eastAsia="Times New Roman" w:hAnsi="Arial" w:cs="Arial"/>
      <w:b/>
      <w:sz w:val="32"/>
      <w:szCs w:val="32"/>
      <w:lang w:val="en-GB"/>
    </w:rPr>
  </w:style>
  <w:style w:type="character" w:customStyle="1" w:styleId="Heading2Char">
    <w:name w:val="Heading 2 Char"/>
    <w:aliases w:val="RP Heading 2 Char,SMJ Heading 2 Char"/>
    <w:basedOn w:val="DefaultParagraphFont"/>
    <w:link w:val="Heading2"/>
    <w:uiPriority w:val="99"/>
    <w:rsid w:val="006E3616"/>
    <w:rPr>
      <w:rFonts w:ascii="Arial" w:eastAsia="Times New Roman" w:hAnsi="Arial" w:cs="Arial"/>
      <w:b/>
      <w:sz w:val="26"/>
      <w:szCs w:val="26"/>
      <w:lang w:val="en-GB"/>
    </w:rPr>
  </w:style>
  <w:style w:type="character" w:customStyle="1" w:styleId="Heading3Char">
    <w:name w:val="Heading 3 Char"/>
    <w:aliases w:val="RP Heading 3 Char,SMJ Heading 3 Char"/>
    <w:basedOn w:val="DefaultParagraphFont"/>
    <w:link w:val="Heading3"/>
    <w:uiPriority w:val="9"/>
    <w:rsid w:val="006E3616"/>
    <w:rPr>
      <w:rFonts w:ascii="Arial" w:eastAsia="Times New Roman" w:hAnsi="Arial" w:cs="Arial"/>
      <w:b/>
      <w:sz w:val="24"/>
      <w:szCs w:val="24"/>
      <w:lang w:val="en-GB"/>
    </w:rPr>
  </w:style>
  <w:style w:type="character" w:customStyle="1" w:styleId="Heading4Char">
    <w:name w:val="Heading 4 Char"/>
    <w:basedOn w:val="DefaultParagraphFont"/>
    <w:link w:val="Heading4"/>
    <w:uiPriority w:val="9"/>
    <w:rsid w:val="00C3651A"/>
    <w:rPr>
      <w:rFonts w:ascii="Arial" w:eastAsia="Times New Roman" w:hAnsi="Arial" w:cs="Arial"/>
      <w:b/>
      <w:i/>
      <w:iCs/>
      <w:sz w:val="24"/>
      <w:lang w:val="en-GB"/>
    </w:rPr>
  </w:style>
  <w:style w:type="character" w:customStyle="1" w:styleId="Heading5Char">
    <w:name w:val="Heading 5 Char"/>
    <w:basedOn w:val="DefaultParagraphFont"/>
    <w:link w:val="Heading5"/>
    <w:uiPriority w:val="9"/>
    <w:rsid w:val="00C3651A"/>
    <w:rPr>
      <w:rFonts w:ascii="Arial" w:eastAsia="Times New Roman" w:hAnsi="Arial" w:cs="Arial"/>
      <w:b/>
      <w:sz w:val="24"/>
      <w:lang w:val="en-GB"/>
    </w:rPr>
  </w:style>
  <w:style w:type="character" w:customStyle="1" w:styleId="Heading6Char">
    <w:name w:val="Heading 6 Char"/>
    <w:basedOn w:val="DefaultParagraphFont"/>
    <w:link w:val="Heading6"/>
    <w:uiPriority w:val="9"/>
    <w:semiHidden/>
    <w:rsid w:val="006E3616"/>
    <w:rPr>
      <w:rFonts w:ascii="Arial" w:eastAsia="Times New Roman" w:hAnsi="Arial" w:cs="Arial"/>
      <w:color w:val="1F3763"/>
      <w:sz w:val="24"/>
      <w:lang w:val="en-GB"/>
    </w:rPr>
  </w:style>
  <w:style w:type="character" w:customStyle="1" w:styleId="Heading7Char">
    <w:name w:val="Heading 7 Char"/>
    <w:basedOn w:val="DefaultParagraphFont"/>
    <w:link w:val="Heading7"/>
    <w:uiPriority w:val="9"/>
    <w:semiHidden/>
    <w:rsid w:val="006E3616"/>
    <w:rPr>
      <w:rFonts w:ascii="Arial" w:eastAsia="Times New Roman" w:hAnsi="Arial" w:cs="Arial"/>
      <w:i/>
      <w:iCs/>
      <w:color w:val="1F3763"/>
      <w:sz w:val="24"/>
      <w:lang w:val="en-GB"/>
    </w:rPr>
  </w:style>
  <w:style w:type="character" w:customStyle="1" w:styleId="Heading8Char">
    <w:name w:val="Heading 8 Char"/>
    <w:basedOn w:val="DefaultParagraphFont"/>
    <w:link w:val="Heading8"/>
    <w:uiPriority w:val="9"/>
    <w:semiHidden/>
    <w:rsid w:val="006E3616"/>
    <w:rPr>
      <w:rFonts w:ascii="Arial" w:eastAsia="Times New Roman" w:hAnsi="Arial" w:cs="Arial"/>
      <w:color w:val="272727"/>
      <w:sz w:val="21"/>
      <w:szCs w:val="21"/>
      <w:lang w:val="en-GB"/>
    </w:rPr>
  </w:style>
  <w:style w:type="character" w:customStyle="1" w:styleId="Heading9Char">
    <w:name w:val="Heading 9 Char"/>
    <w:basedOn w:val="DefaultParagraphFont"/>
    <w:link w:val="Heading9"/>
    <w:uiPriority w:val="9"/>
    <w:semiHidden/>
    <w:rsid w:val="006E3616"/>
    <w:rPr>
      <w:rFonts w:ascii="Arial" w:eastAsia="Times New Roman" w:hAnsi="Arial" w:cs="Arial"/>
      <w:i/>
      <w:iCs/>
      <w:color w:val="272727"/>
      <w:sz w:val="21"/>
      <w:szCs w:val="21"/>
      <w:lang w:val="en-GB"/>
    </w:rPr>
  </w:style>
  <w:style w:type="paragraph" w:styleId="Caption">
    <w:name w:val="caption"/>
    <w:basedOn w:val="Normal"/>
    <w:next w:val="Normal"/>
    <w:uiPriority w:val="35"/>
    <w:unhideWhenUsed/>
    <w:qFormat/>
    <w:rsid w:val="006E3616"/>
    <w:pPr>
      <w:spacing w:after="0" w:line="240" w:lineRule="auto"/>
    </w:pPr>
    <w:rPr>
      <w:b/>
      <w:i/>
      <w:iCs/>
      <w:szCs w:val="18"/>
    </w:rPr>
  </w:style>
  <w:style w:type="paragraph" w:styleId="Header">
    <w:name w:val="header"/>
    <w:basedOn w:val="Normal"/>
    <w:link w:val="HeaderChar"/>
    <w:uiPriority w:val="99"/>
    <w:unhideWhenUsed/>
    <w:rsid w:val="006E36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3616"/>
    <w:rPr>
      <w:rFonts w:ascii="Arial" w:eastAsia="Arial" w:hAnsi="Arial" w:cs="Arial"/>
      <w:sz w:val="24"/>
      <w:lang w:val="en-GB"/>
    </w:rPr>
  </w:style>
  <w:style w:type="paragraph" w:styleId="Footer">
    <w:name w:val="footer"/>
    <w:basedOn w:val="Normal"/>
    <w:link w:val="FooterChar"/>
    <w:uiPriority w:val="99"/>
    <w:unhideWhenUsed/>
    <w:rsid w:val="006E36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3616"/>
    <w:rPr>
      <w:rFonts w:ascii="Arial" w:eastAsia="Arial" w:hAnsi="Arial" w:cs="Arial"/>
      <w:sz w:val="24"/>
      <w:lang w:val="en-GB"/>
    </w:rPr>
  </w:style>
  <w:style w:type="paragraph" w:styleId="NoSpacing">
    <w:name w:val="No Spacing"/>
    <w:link w:val="NoSpacingChar"/>
    <w:uiPriority w:val="1"/>
    <w:qFormat/>
    <w:rsid w:val="006E3616"/>
    <w:pPr>
      <w:spacing w:after="0" w:line="240" w:lineRule="auto"/>
    </w:pPr>
    <w:rPr>
      <w:rFonts w:ascii="Arial" w:eastAsia="Times New Roman" w:hAnsi="Arial" w:cs="Arial"/>
      <w:lang w:val="en-GB"/>
    </w:rPr>
  </w:style>
  <w:style w:type="character" w:customStyle="1" w:styleId="NoSpacingChar">
    <w:name w:val="No Spacing Char"/>
    <w:link w:val="NoSpacing"/>
    <w:uiPriority w:val="1"/>
    <w:rsid w:val="006E3616"/>
    <w:rPr>
      <w:rFonts w:ascii="Arial" w:eastAsia="Times New Roman" w:hAnsi="Arial" w:cs="Arial"/>
      <w:lang w:val="en-GB"/>
    </w:rPr>
  </w:style>
  <w:style w:type="paragraph" w:styleId="TOCHeading">
    <w:name w:val="TOC Heading"/>
    <w:basedOn w:val="Heading1"/>
    <w:next w:val="Normal"/>
    <w:uiPriority w:val="39"/>
    <w:unhideWhenUsed/>
    <w:qFormat/>
    <w:rsid w:val="006E3616"/>
    <w:pPr>
      <w:numPr>
        <w:numId w:val="0"/>
      </w:numPr>
      <w:spacing w:line="259" w:lineRule="auto"/>
      <w:jc w:val="left"/>
      <w:outlineLvl w:val="9"/>
    </w:pPr>
    <w:rPr>
      <w:b w:val="0"/>
      <w:color w:val="2F5496"/>
      <w:lang w:val="en-US"/>
    </w:rPr>
  </w:style>
  <w:style w:type="paragraph" w:styleId="TOC1">
    <w:name w:val="toc 1"/>
    <w:basedOn w:val="Normal"/>
    <w:next w:val="Normal"/>
    <w:autoRedefine/>
    <w:uiPriority w:val="39"/>
    <w:unhideWhenUsed/>
    <w:rsid w:val="006E3616"/>
    <w:pPr>
      <w:tabs>
        <w:tab w:val="right" w:leader="dot" w:pos="9016"/>
      </w:tabs>
      <w:spacing w:after="120" w:line="240" w:lineRule="auto"/>
    </w:pPr>
  </w:style>
  <w:style w:type="character" w:styleId="Hyperlink">
    <w:name w:val="Hyperlink"/>
    <w:uiPriority w:val="99"/>
    <w:unhideWhenUsed/>
    <w:rsid w:val="006E3616"/>
    <w:rPr>
      <w:color w:val="0563C1"/>
      <w:u w:val="single"/>
    </w:rPr>
  </w:style>
  <w:style w:type="paragraph" w:styleId="ListParagraph">
    <w:name w:val="List Paragraph"/>
    <w:basedOn w:val="Normal"/>
    <w:uiPriority w:val="34"/>
    <w:qFormat/>
    <w:rsid w:val="006E3616"/>
    <w:pPr>
      <w:spacing w:before="120" w:after="120"/>
      <w:ind w:left="720"/>
      <w:contextualSpacing/>
    </w:pPr>
  </w:style>
  <w:style w:type="paragraph" w:styleId="TableofFigures">
    <w:name w:val="table of figures"/>
    <w:basedOn w:val="Normal"/>
    <w:next w:val="Normal"/>
    <w:link w:val="TableofFiguresChar"/>
    <w:uiPriority w:val="99"/>
    <w:unhideWhenUsed/>
    <w:rsid w:val="006E3616"/>
    <w:pPr>
      <w:spacing w:before="120" w:after="120" w:line="240" w:lineRule="auto"/>
    </w:pPr>
  </w:style>
  <w:style w:type="paragraph" w:styleId="TOC2">
    <w:name w:val="toc 2"/>
    <w:basedOn w:val="Normal"/>
    <w:next w:val="Normal"/>
    <w:autoRedefine/>
    <w:uiPriority w:val="39"/>
    <w:unhideWhenUsed/>
    <w:rsid w:val="006E3616"/>
    <w:pPr>
      <w:spacing w:after="120" w:line="240" w:lineRule="auto"/>
      <w:ind w:left="238"/>
    </w:pPr>
  </w:style>
  <w:style w:type="paragraph" w:styleId="TOC3">
    <w:name w:val="toc 3"/>
    <w:basedOn w:val="Normal"/>
    <w:next w:val="Normal"/>
    <w:autoRedefine/>
    <w:uiPriority w:val="39"/>
    <w:unhideWhenUsed/>
    <w:rsid w:val="006E3616"/>
    <w:pPr>
      <w:spacing w:after="120" w:line="240" w:lineRule="auto"/>
      <w:ind w:left="482"/>
    </w:pPr>
  </w:style>
  <w:style w:type="paragraph" w:styleId="TOC4">
    <w:name w:val="toc 4"/>
    <w:basedOn w:val="Normal"/>
    <w:next w:val="Normal"/>
    <w:autoRedefine/>
    <w:uiPriority w:val="39"/>
    <w:unhideWhenUsed/>
    <w:rsid w:val="006E3616"/>
    <w:pPr>
      <w:spacing w:after="120" w:line="240" w:lineRule="auto"/>
      <w:ind w:left="720"/>
    </w:pPr>
  </w:style>
  <w:style w:type="paragraph" w:styleId="TOC5">
    <w:name w:val="toc 5"/>
    <w:basedOn w:val="Normal"/>
    <w:next w:val="Normal"/>
    <w:autoRedefine/>
    <w:uiPriority w:val="39"/>
    <w:unhideWhenUsed/>
    <w:rsid w:val="006E3616"/>
    <w:pPr>
      <w:spacing w:after="120" w:line="240" w:lineRule="auto"/>
      <w:ind w:left="958"/>
    </w:pPr>
  </w:style>
  <w:style w:type="paragraph" w:styleId="Bibliography">
    <w:name w:val="Bibliography"/>
    <w:basedOn w:val="Normal"/>
    <w:next w:val="Normal"/>
    <w:link w:val="BibliographyChar"/>
    <w:uiPriority w:val="37"/>
    <w:unhideWhenUsed/>
    <w:rsid w:val="006E3616"/>
    <w:pPr>
      <w:spacing w:after="120" w:line="240" w:lineRule="auto"/>
    </w:pPr>
    <w:rPr>
      <w:sz w:val="20"/>
    </w:rPr>
  </w:style>
  <w:style w:type="paragraph" w:customStyle="1" w:styleId="Refs">
    <w:name w:val="Refs"/>
    <w:basedOn w:val="Bibliography"/>
    <w:link w:val="RefsChar"/>
    <w:qFormat/>
    <w:rsid w:val="006E3616"/>
    <w:pPr>
      <w:spacing w:before="120"/>
      <w:ind w:left="720" w:hanging="720"/>
      <w:jc w:val="left"/>
    </w:pPr>
    <w:rPr>
      <w:noProof/>
    </w:rPr>
  </w:style>
  <w:style w:type="character" w:customStyle="1" w:styleId="BibliographyChar">
    <w:name w:val="Bibliography Char"/>
    <w:link w:val="Bibliography"/>
    <w:uiPriority w:val="37"/>
    <w:rsid w:val="006E3616"/>
    <w:rPr>
      <w:rFonts w:ascii="Arial" w:eastAsia="Arial" w:hAnsi="Arial" w:cs="Arial"/>
      <w:sz w:val="20"/>
      <w:lang w:val="en-GB"/>
    </w:rPr>
  </w:style>
  <w:style w:type="character" w:customStyle="1" w:styleId="RefsChar">
    <w:name w:val="Refs Char"/>
    <w:link w:val="Refs"/>
    <w:rsid w:val="006E3616"/>
    <w:rPr>
      <w:rFonts w:ascii="Arial" w:eastAsia="Arial" w:hAnsi="Arial" w:cs="Arial"/>
      <w:noProof/>
      <w:sz w:val="20"/>
      <w:lang w:val="en-GB"/>
    </w:rPr>
  </w:style>
  <w:style w:type="paragraph" w:styleId="Quote">
    <w:name w:val="Quote"/>
    <w:basedOn w:val="Normal"/>
    <w:next w:val="Normal"/>
    <w:link w:val="QuoteChar"/>
    <w:uiPriority w:val="29"/>
    <w:qFormat/>
    <w:rsid w:val="006E3616"/>
    <w:pPr>
      <w:spacing w:before="120" w:after="360" w:line="240" w:lineRule="auto"/>
      <w:ind w:left="862" w:right="862"/>
    </w:pPr>
    <w:rPr>
      <w:iCs/>
    </w:rPr>
  </w:style>
  <w:style w:type="character" w:customStyle="1" w:styleId="QuoteChar">
    <w:name w:val="Quote Char"/>
    <w:basedOn w:val="DefaultParagraphFont"/>
    <w:link w:val="Quote"/>
    <w:uiPriority w:val="29"/>
    <w:rsid w:val="006E3616"/>
    <w:rPr>
      <w:rFonts w:ascii="Arial" w:eastAsia="Arial" w:hAnsi="Arial" w:cs="Arial"/>
      <w:iCs/>
      <w:sz w:val="24"/>
      <w:lang w:val="en-GB"/>
    </w:rPr>
  </w:style>
  <w:style w:type="table" w:styleId="TableGrid">
    <w:name w:val="Table Grid"/>
    <w:basedOn w:val="TableNormal"/>
    <w:uiPriority w:val="59"/>
    <w:rsid w:val="006E3616"/>
    <w:pPr>
      <w:spacing w:after="0" w:line="240" w:lineRule="auto"/>
    </w:pPr>
    <w:rPr>
      <w:rFonts w:ascii="Arial" w:eastAsia="Arial" w:hAnsi="Arial"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6E3616"/>
    <w:rPr>
      <w:color w:val="808080"/>
    </w:rPr>
  </w:style>
  <w:style w:type="table" w:styleId="GridTable2">
    <w:name w:val="Grid Table 2"/>
    <w:basedOn w:val="TableNormal"/>
    <w:uiPriority w:val="47"/>
    <w:rsid w:val="006E3616"/>
    <w:pPr>
      <w:spacing w:after="0" w:line="240" w:lineRule="auto"/>
    </w:pPr>
    <w:rPr>
      <w:rFonts w:ascii="Arial" w:eastAsia="Arial" w:hAnsi="Arial" w:cs="Arial"/>
      <w:sz w:val="20"/>
      <w:szCs w:val="20"/>
      <w:lang w:val="en-GB" w:eastAsia="en-GB"/>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BalloonText">
    <w:name w:val="Balloon Text"/>
    <w:basedOn w:val="Normal"/>
    <w:link w:val="BalloonTextChar"/>
    <w:uiPriority w:val="99"/>
    <w:semiHidden/>
    <w:unhideWhenUsed/>
    <w:rsid w:val="006E36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3616"/>
    <w:rPr>
      <w:rFonts w:ascii="Segoe UI" w:eastAsia="Arial" w:hAnsi="Segoe UI" w:cs="Segoe UI"/>
      <w:sz w:val="18"/>
      <w:szCs w:val="18"/>
      <w:lang w:val="en-GB"/>
    </w:rPr>
  </w:style>
  <w:style w:type="paragraph" w:customStyle="1" w:styleId="LO-normal">
    <w:name w:val="LO-normal"/>
    <w:qFormat/>
    <w:rsid w:val="006E3616"/>
    <w:pPr>
      <w:suppressAutoHyphens/>
      <w:spacing w:line="360" w:lineRule="auto"/>
      <w:jc w:val="both"/>
    </w:pPr>
    <w:rPr>
      <w:rFonts w:ascii="Arial" w:eastAsia="Noto Sans SC Regular" w:hAnsi="Arial" w:cs="Droid Sans Devanagari"/>
      <w:kern w:val="2"/>
      <w:sz w:val="24"/>
      <w:szCs w:val="24"/>
      <w:lang w:eastAsia="zh-CN" w:bidi="hi-IN"/>
    </w:rPr>
  </w:style>
  <w:style w:type="table" w:styleId="PlainTable4">
    <w:name w:val="Plain Table 4"/>
    <w:basedOn w:val="TableNormal"/>
    <w:uiPriority w:val="44"/>
    <w:rsid w:val="006E3616"/>
    <w:pPr>
      <w:spacing w:after="0" w:line="240" w:lineRule="auto"/>
    </w:pPr>
    <w:rPr>
      <w:rFonts w:ascii="Arial" w:eastAsia="Arial" w:hAnsi="Arial" w:cs="Arial"/>
      <w:sz w:val="20"/>
      <w:szCs w:val="20"/>
      <w:lang w:val="en-GB" w:eastAsia="en-GB"/>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NoList1">
    <w:name w:val="No List1"/>
    <w:next w:val="NoList"/>
    <w:uiPriority w:val="99"/>
    <w:semiHidden/>
    <w:unhideWhenUsed/>
    <w:rsid w:val="006E3616"/>
  </w:style>
  <w:style w:type="character" w:customStyle="1" w:styleId="FollowedHyperlink1">
    <w:name w:val="FollowedHyperlink1"/>
    <w:uiPriority w:val="99"/>
    <w:semiHidden/>
    <w:unhideWhenUsed/>
    <w:rsid w:val="006E3616"/>
    <w:rPr>
      <w:color w:val="800080"/>
      <w:u w:val="single"/>
    </w:rPr>
  </w:style>
  <w:style w:type="paragraph" w:customStyle="1" w:styleId="msonormal0">
    <w:name w:val="msonormal"/>
    <w:basedOn w:val="Normal"/>
    <w:rsid w:val="006E3616"/>
    <w:pPr>
      <w:spacing w:before="100" w:beforeAutospacing="1" w:after="100" w:afterAutospacing="1" w:line="240" w:lineRule="auto"/>
      <w:jc w:val="left"/>
    </w:pPr>
    <w:rPr>
      <w:rFonts w:ascii="Times New Roman" w:eastAsia="Times New Roman" w:hAnsi="Times New Roman" w:cs="Times New Roman"/>
      <w:szCs w:val="24"/>
      <w:lang w:eastAsia="en-GB"/>
    </w:rPr>
  </w:style>
  <w:style w:type="paragraph" w:styleId="BodyText">
    <w:name w:val="Body Text"/>
    <w:basedOn w:val="Normal"/>
    <w:link w:val="BodyTextChar"/>
    <w:uiPriority w:val="99"/>
    <w:unhideWhenUsed/>
    <w:rsid w:val="006E3616"/>
    <w:pPr>
      <w:suppressAutoHyphens/>
      <w:spacing w:after="140" w:line="276" w:lineRule="auto"/>
    </w:pPr>
    <w:rPr>
      <w:szCs w:val="24"/>
      <w:lang w:eastAsia="zh-CN" w:bidi="hi-IN"/>
    </w:rPr>
  </w:style>
  <w:style w:type="character" w:customStyle="1" w:styleId="BodyTextChar">
    <w:name w:val="Body Text Char"/>
    <w:basedOn w:val="DefaultParagraphFont"/>
    <w:link w:val="BodyText"/>
    <w:uiPriority w:val="99"/>
    <w:rsid w:val="006E3616"/>
    <w:rPr>
      <w:rFonts w:ascii="Arial" w:eastAsia="Arial" w:hAnsi="Arial" w:cs="Arial"/>
      <w:sz w:val="24"/>
      <w:szCs w:val="24"/>
      <w:lang w:val="en-GB" w:eastAsia="zh-CN" w:bidi="hi-IN"/>
    </w:rPr>
  </w:style>
  <w:style w:type="paragraph" w:styleId="List">
    <w:name w:val="List"/>
    <w:basedOn w:val="BodyText"/>
    <w:semiHidden/>
    <w:unhideWhenUsed/>
    <w:rsid w:val="006E3616"/>
    <w:rPr>
      <w:rFonts w:cs="Droid Sans Devanagari"/>
    </w:rPr>
  </w:style>
  <w:style w:type="paragraph" w:customStyle="1" w:styleId="Heading">
    <w:name w:val="Heading"/>
    <w:basedOn w:val="Normal"/>
    <w:next w:val="BodyText"/>
    <w:qFormat/>
    <w:rsid w:val="006E3616"/>
    <w:pPr>
      <w:keepNext/>
      <w:suppressAutoHyphens/>
      <w:spacing w:before="240" w:after="120"/>
    </w:pPr>
    <w:rPr>
      <w:rFonts w:ascii="Liberation Sans" w:eastAsia="Noto Sans SC Regular" w:hAnsi="Liberation Sans" w:cs="Droid Sans Devanagari"/>
      <w:sz w:val="28"/>
      <w:szCs w:val="28"/>
      <w:lang w:eastAsia="zh-CN" w:bidi="hi-IN"/>
    </w:rPr>
  </w:style>
  <w:style w:type="paragraph" w:customStyle="1" w:styleId="Index">
    <w:name w:val="Index"/>
    <w:basedOn w:val="Normal"/>
    <w:qFormat/>
    <w:rsid w:val="006E3616"/>
    <w:pPr>
      <w:suppressLineNumbers/>
      <w:suppressAutoHyphens/>
    </w:pPr>
    <w:rPr>
      <w:rFonts w:cs="Droid Sans Devanagari"/>
      <w:szCs w:val="24"/>
      <w:lang w:eastAsia="zh-CN" w:bidi="hi-IN"/>
    </w:rPr>
  </w:style>
  <w:style w:type="paragraph" w:customStyle="1" w:styleId="HeaderandFooter">
    <w:name w:val="Header and Footer"/>
    <w:basedOn w:val="Normal"/>
    <w:qFormat/>
    <w:rsid w:val="006E3616"/>
    <w:pPr>
      <w:suppressAutoHyphens/>
    </w:pPr>
    <w:rPr>
      <w:szCs w:val="24"/>
      <w:lang w:eastAsia="zh-CN" w:bidi="hi-IN"/>
    </w:rPr>
  </w:style>
  <w:style w:type="paragraph" w:customStyle="1" w:styleId="FrameContents">
    <w:name w:val="Frame Contents"/>
    <w:basedOn w:val="Normal"/>
    <w:qFormat/>
    <w:rsid w:val="006E3616"/>
    <w:pPr>
      <w:suppressAutoHyphens/>
    </w:pPr>
    <w:rPr>
      <w:szCs w:val="24"/>
      <w:lang w:eastAsia="zh-CN" w:bidi="hi-IN"/>
    </w:rPr>
  </w:style>
  <w:style w:type="character" w:customStyle="1" w:styleId="IndexLink">
    <w:name w:val="Index Link"/>
    <w:qFormat/>
    <w:rsid w:val="006E3616"/>
  </w:style>
  <w:style w:type="paragraph" w:styleId="Title">
    <w:name w:val="Title"/>
    <w:basedOn w:val="LO-normal"/>
    <w:next w:val="LO-normal"/>
    <w:link w:val="TitleChar"/>
    <w:uiPriority w:val="10"/>
    <w:qFormat/>
    <w:rsid w:val="006E3616"/>
    <w:pPr>
      <w:keepNext/>
      <w:spacing w:before="240" w:after="120" w:line="240" w:lineRule="auto"/>
      <w:jc w:val="center"/>
    </w:pPr>
    <w:rPr>
      <w:rFonts w:ascii="Liberation Sans" w:eastAsia="Liberation Sans" w:hAnsi="Liberation Sans" w:cs="Liberation Sans"/>
      <w:b/>
      <w:kern w:val="0"/>
      <w:sz w:val="56"/>
      <w:szCs w:val="56"/>
      <w:lang w:val="en-GB"/>
    </w:rPr>
  </w:style>
  <w:style w:type="character" w:customStyle="1" w:styleId="TitleChar">
    <w:name w:val="Title Char"/>
    <w:basedOn w:val="DefaultParagraphFont"/>
    <w:link w:val="Title"/>
    <w:uiPriority w:val="10"/>
    <w:rsid w:val="006E3616"/>
    <w:rPr>
      <w:rFonts w:ascii="Liberation Sans" w:eastAsia="Liberation Sans" w:hAnsi="Liberation Sans" w:cs="Liberation Sans"/>
      <w:b/>
      <w:sz w:val="56"/>
      <w:szCs w:val="56"/>
      <w:lang w:val="en-GB" w:eastAsia="zh-CN" w:bidi="hi-IN"/>
    </w:rPr>
  </w:style>
  <w:style w:type="paragraph" w:styleId="Subtitle">
    <w:name w:val="Subtitle"/>
    <w:basedOn w:val="LO-normal"/>
    <w:next w:val="LO-normal"/>
    <w:link w:val="SubtitleChar"/>
    <w:uiPriority w:val="11"/>
    <w:qFormat/>
    <w:rsid w:val="006E3616"/>
    <w:pPr>
      <w:keepNext/>
      <w:keepLines/>
      <w:spacing w:before="360" w:after="80" w:line="240" w:lineRule="auto"/>
    </w:pPr>
    <w:rPr>
      <w:rFonts w:ascii="Georgia" w:eastAsia="Georgia" w:hAnsi="Georgia" w:cs="Georgia"/>
      <w:i/>
      <w:color w:val="666666"/>
      <w:kern w:val="0"/>
      <w:sz w:val="48"/>
      <w:szCs w:val="48"/>
      <w:lang w:val="en-GB"/>
    </w:rPr>
  </w:style>
  <w:style w:type="character" w:customStyle="1" w:styleId="SubtitleChar">
    <w:name w:val="Subtitle Char"/>
    <w:basedOn w:val="DefaultParagraphFont"/>
    <w:link w:val="Subtitle"/>
    <w:uiPriority w:val="11"/>
    <w:rsid w:val="006E3616"/>
    <w:rPr>
      <w:rFonts w:ascii="Georgia" w:eastAsia="Georgia" w:hAnsi="Georgia" w:cs="Georgia"/>
      <w:i/>
      <w:color w:val="666666"/>
      <w:sz w:val="48"/>
      <w:szCs w:val="48"/>
      <w:lang w:val="en-GB" w:eastAsia="zh-CN" w:bidi="hi-IN"/>
    </w:rPr>
  </w:style>
  <w:style w:type="character" w:styleId="FollowedHyperlink">
    <w:name w:val="FollowedHyperlink"/>
    <w:uiPriority w:val="99"/>
    <w:semiHidden/>
    <w:unhideWhenUsed/>
    <w:rsid w:val="006E3616"/>
    <w:rPr>
      <w:color w:val="954F72"/>
      <w:u w:val="single"/>
    </w:rPr>
  </w:style>
  <w:style w:type="numbering" w:customStyle="1" w:styleId="NoList2">
    <w:name w:val="No List2"/>
    <w:next w:val="NoList"/>
    <w:uiPriority w:val="99"/>
    <w:semiHidden/>
    <w:unhideWhenUsed/>
    <w:rsid w:val="006E3616"/>
  </w:style>
  <w:style w:type="paragraph" w:styleId="FootnoteText">
    <w:name w:val="footnote text"/>
    <w:basedOn w:val="Normal"/>
    <w:link w:val="FootnoteTextChar"/>
    <w:uiPriority w:val="99"/>
    <w:unhideWhenUsed/>
    <w:rsid w:val="006E3616"/>
    <w:pPr>
      <w:spacing w:after="0" w:line="240" w:lineRule="auto"/>
    </w:pPr>
    <w:rPr>
      <w:sz w:val="20"/>
      <w:szCs w:val="20"/>
    </w:rPr>
  </w:style>
  <w:style w:type="character" w:customStyle="1" w:styleId="FootnoteTextChar">
    <w:name w:val="Footnote Text Char"/>
    <w:basedOn w:val="DefaultParagraphFont"/>
    <w:link w:val="FootnoteText"/>
    <w:uiPriority w:val="99"/>
    <w:rsid w:val="006E3616"/>
    <w:rPr>
      <w:rFonts w:ascii="Arial" w:eastAsia="Arial" w:hAnsi="Arial" w:cs="Arial"/>
      <w:sz w:val="20"/>
      <w:szCs w:val="20"/>
      <w:lang w:val="en-GB"/>
    </w:rPr>
  </w:style>
  <w:style w:type="character" w:styleId="FootnoteReference">
    <w:name w:val="footnote reference"/>
    <w:uiPriority w:val="99"/>
    <w:semiHidden/>
    <w:unhideWhenUsed/>
    <w:rsid w:val="006E3616"/>
    <w:rPr>
      <w:vertAlign w:val="superscript"/>
    </w:rPr>
  </w:style>
  <w:style w:type="character" w:styleId="CommentReference">
    <w:name w:val="annotation reference"/>
    <w:uiPriority w:val="99"/>
    <w:semiHidden/>
    <w:unhideWhenUsed/>
    <w:rsid w:val="006E3616"/>
    <w:rPr>
      <w:sz w:val="16"/>
      <w:szCs w:val="16"/>
    </w:rPr>
  </w:style>
  <w:style w:type="paragraph" w:styleId="CommentText">
    <w:name w:val="annotation text"/>
    <w:basedOn w:val="Normal"/>
    <w:link w:val="CommentTextChar"/>
    <w:uiPriority w:val="99"/>
    <w:unhideWhenUsed/>
    <w:rsid w:val="006E3616"/>
    <w:pPr>
      <w:spacing w:line="240" w:lineRule="auto"/>
    </w:pPr>
    <w:rPr>
      <w:sz w:val="20"/>
      <w:szCs w:val="20"/>
    </w:rPr>
  </w:style>
  <w:style w:type="character" w:customStyle="1" w:styleId="CommentTextChar">
    <w:name w:val="Comment Text Char"/>
    <w:basedOn w:val="DefaultParagraphFont"/>
    <w:link w:val="CommentText"/>
    <w:uiPriority w:val="99"/>
    <w:rsid w:val="006E3616"/>
    <w:rPr>
      <w:rFonts w:ascii="Arial" w:eastAsia="Arial" w:hAnsi="Arial" w:cs="Arial"/>
      <w:sz w:val="20"/>
      <w:szCs w:val="20"/>
      <w:lang w:val="en-GB"/>
    </w:rPr>
  </w:style>
  <w:style w:type="paragraph" w:styleId="CommentSubject">
    <w:name w:val="annotation subject"/>
    <w:basedOn w:val="CommentText"/>
    <w:next w:val="CommentText"/>
    <w:link w:val="CommentSubjectChar"/>
    <w:uiPriority w:val="99"/>
    <w:semiHidden/>
    <w:unhideWhenUsed/>
    <w:rsid w:val="006E3616"/>
    <w:rPr>
      <w:b/>
      <w:bCs/>
    </w:rPr>
  </w:style>
  <w:style w:type="character" w:customStyle="1" w:styleId="CommentSubjectChar">
    <w:name w:val="Comment Subject Char"/>
    <w:basedOn w:val="CommentTextChar"/>
    <w:link w:val="CommentSubject"/>
    <w:uiPriority w:val="99"/>
    <w:semiHidden/>
    <w:rsid w:val="006E3616"/>
    <w:rPr>
      <w:rFonts w:ascii="Arial" w:eastAsia="Arial" w:hAnsi="Arial" w:cs="Arial"/>
      <w:b/>
      <w:bCs/>
      <w:sz w:val="20"/>
      <w:szCs w:val="20"/>
      <w:lang w:val="en-GB"/>
    </w:rPr>
  </w:style>
  <w:style w:type="paragraph" w:styleId="TOC6">
    <w:name w:val="toc 6"/>
    <w:basedOn w:val="Normal"/>
    <w:next w:val="Normal"/>
    <w:autoRedefine/>
    <w:uiPriority w:val="39"/>
    <w:unhideWhenUsed/>
    <w:rsid w:val="006E3616"/>
    <w:pPr>
      <w:spacing w:after="100" w:line="259" w:lineRule="auto"/>
      <w:ind w:left="1100"/>
      <w:jc w:val="left"/>
    </w:pPr>
    <w:rPr>
      <w:rFonts w:eastAsia="Times New Roman"/>
      <w:sz w:val="22"/>
      <w:lang w:eastAsia="en-GB"/>
    </w:rPr>
  </w:style>
  <w:style w:type="paragraph" w:styleId="TOC7">
    <w:name w:val="toc 7"/>
    <w:basedOn w:val="Normal"/>
    <w:next w:val="Normal"/>
    <w:autoRedefine/>
    <w:uiPriority w:val="39"/>
    <w:unhideWhenUsed/>
    <w:rsid w:val="006E3616"/>
    <w:pPr>
      <w:spacing w:after="100" w:line="259" w:lineRule="auto"/>
      <w:ind w:left="1320"/>
      <w:jc w:val="left"/>
    </w:pPr>
    <w:rPr>
      <w:rFonts w:eastAsia="Times New Roman"/>
      <w:sz w:val="22"/>
      <w:lang w:eastAsia="en-GB"/>
    </w:rPr>
  </w:style>
  <w:style w:type="paragraph" w:styleId="TOC8">
    <w:name w:val="toc 8"/>
    <w:basedOn w:val="Normal"/>
    <w:next w:val="Normal"/>
    <w:autoRedefine/>
    <w:uiPriority w:val="39"/>
    <w:unhideWhenUsed/>
    <w:rsid w:val="006E3616"/>
    <w:pPr>
      <w:spacing w:after="100" w:line="259" w:lineRule="auto"/>
      <w:ind w:left="1540"/>
      <w:jc w:val="left"/>
    </w:pPr>
    <w:rPr>
      <w:rFonts w:eastAsia="Times New Roman"/>
      <w:sz w:val="22"/>
      <w:lang w:eastAsia="en-GB"/>
    </w:rPr>
  </w:style>
  <w:style w:type="paragraph" w:styleId="TOC9">
    <w:name w:val="toc 9"/>
    <w:basedOn w:val="Normal"/>
    <w:next w:val="Normal"/>
    <w:autoRedefine/>
    <w:uiPriority w:val="39"/>
    <w:unhideWhenUsed/>
    <w:rsid w:val="006E3616"/>
    <w:pPr>
      <w:spacing w:after="100" w:line="259" w:lineRule="auto"/>
      <w:ind w:left="1760"/>
      <w:jc w:val="left"/>
    </w:pPr>
    <w:rPr>
      <w:rFonts w:eastAsia="Times New Roman"/>
      <w:sz w:val="22"/>
      <w:lang w:eastAsia="en-GB"/>
    </w:rPr>
  </w:style>
  <w:style w:type="character" w:customStyle="1" w:styleId="UnresolvedMention1">
    <w:name w:val="Unresolved Mention1"/>
    <w:uiPriority w:val="99"/>
    <w:semiHidden/>
    <w:unhideWhenUsed/>
    <w:rsid w:val="006E3616"/>
    <w:rPr>
      <w:color w:val="605E5C"/>
      <w:shd w:val="clear" w:color="auto" w:fill="E1DFDD"/>
    </w:rPr>
  </w:style>
  <w:style w:type="table" w:styleId="PlainTable2">
    <w:name w:val="Plain Table 2"/>
    <w:basedOn w:val="TableNormal"/>
    <w:uiPriority w:val="42"/>
    <w:rsid w:val="006E3616"/>
    <w:pPr>
      <w:spacing w:after="0" w:line="240" w:lineRule="auto"/>
    </w:pPr>
    <w:rPr>
      <w:rFonts w:ascii="Arial" w:eastAsia="Arial" w:hAnsi="Arial" w:cs="Arial"/>
      <w:sz w:val="20"/>
      <w:szCs w:val="20"/>
      <w:lang w:val="en-GB"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6E3616"/>
    <w:pPr>
      <w:spacing w:after="0" w:line="240" w:lineRule="auto"/>
    </w:pPr>
    <w:rPr>
      <w:rFonts w:ascii="Arial" w:eastAsia="Arial" w:hAnsi="Arial" w:cs="Arial"/>
      <w:sz w:val="20"/>
      <w:szCs w:val="20"/>
      <w:lang w:val="en-GB"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QuestionStyle">
    <w:name w:val="Question Style"/>
    <w:basedOn w:val="Heading2"/>
    <w:link w:val="QuestionStyleChar"/>
    <w:qFormat/>
    <w:rsid w:val="006E3616"/>
    <w:pPr>
      <w:numPr>
        <w:ilvl w:val="0"/>
        <w:numId w:val="0"/>
      </w:numPr>
      <w:spacing w:before="200" w:after="200" w:line="276" w:lineRule="auto"/>
      <w:ind w:left="360" w:hanging="360"/>
      <w:jc w:val="left"/>
    </w:pPr>
    <w:rPr>
      <w:rFonts w:ascii="Calibri" w:eastAsia="SimSun" w:hAnsi="Calibri" w:cs="Times New Roman"/>
      <w:b w:val="0"/>
      <w:color w:val="365F91"/>
      <w:sz w:val="28"/>
      <w:lang w:val="x-none" w:eastAsia="zh-CN"/>
    </w:rPr>
  </w:style>
  <w:style w:type="character" w:customStyle="1" w:styleId="QuestionStyleChar">
    <w:name w:val="Question Style Char"/>
    <w:link w:val="QuestionStyle"/>
    <w:rsid w:val="006E3616"/>
    <w:rPr>
      <w:rFonts w:ascii="Calibri" w:eastAsia="SimSun" w:hAnsi="Calibri" w:cs="Times New Roman"/>
      <w:color w:val="365F91"/>
      <w:sz w:val="28"/>
      <w:szCs w:val="26"/>
      <w:lang w:val="x-none" w:eastAsia="zh-CN"/>
    </w:rPr>
  </w:style>
  <w:style w:type="character" w:customStyle="1" w:styleId="TableofFiguresChar">
    <w:name w:val="Table of Figures Char"/>
    <w:link w:val="TableofFigures"/>
    <w:uiPriority w:val="99"/>
    <w:rsid w:val="006E3616"/>
    <w:rPr>
      <w:rFonts w:ascii="Arial" w:eastAsia="Arial" w:hAnsi="Arial" w:cs="Arial"/>
      <w:sz w:val="24"/>
      <w:lang w:val="en-GB"/>
    </w:rPr>
  </w:style>
  <w:style w:type="paragraph" w:customStyle="1" w:styleId="subquestion">
    <w:name w:val="sub question"/>
    <w:basedOn w:val="Heading3"/>
    <w:link w:val="subquestionChar"/>
    <w:qFormat/>
    <w:rsid w:val="006E3616"/>
    <w:pPr>
      <w:numPr>
        <w:numId w:val="10"/>
      </w:numPr>
      <w:spacing w:before="200" w:line="276" w:lineRule="auto"/>
      <w:jc w:val="left"/>
    </w:pPr>
    <w:rPr>
      <w:rFonts w:ascii="Calibri" w:eastAsia="Calibri" w:hAnsi="Calibri"/>
      <w:color w:val="365F91"/>
      <w:szCs w:val="18"/>
    </w:rPr>
  </w:style>
  <w:style w:type="character" w:customStyle="1" w:styleId="subquestionChar">
    <w:name w:val="sub question Char"/>
    <w:link w:val="subquestion"/>
    <w:rsid w:val="006E3616"/>
    <w:rPr>
      <w:rFonts w:ascii="Calibri" w:eastAsia="Calibri" w:hAnsi="Calibri" w:cs="Arial"/>
      <w:b/>
      <w:color w:val="365F91"/>
      <w:sz w:val="24"/>
      <w:szCs w:val="18"/>
      <w:lang w:val="en-GB"/>
    </w:rPr>
  </w:style>
  <w:style w:type="paragraph" w:customStyle="1" w:styleId="Default">
    <w:name w:val="Default"/>
    <w:rsid w:val="006E3616"/>
    <w:pPr>
      <w:autoSpaceDE w:val="0"/>
      <w:autoSpaceDN w:val="0"/>
      <w:adjustRightInd w:val="0"/>
      <w:spacing w:after="0" w:line="240" w:lineRule="auto"/>
    </w:pPr>
    <w:rPr>
      <w:rFonts w:ascii="Calibri" w:eastAsia="Calibri" w:hAnsi="Calibri" w:cs="Calibri"/>
      <w:color w:val="000000"/>
      <w:sz w:val="24"/>
      <w:szCs w:val="24"/>
      <w:lang w:val="en-GB"/>
    </w:rPr>
  </w:style>
  <w:style w:type="paragraph" w:styleId="NormalWeb">
    <w:name w:val="Normal (Web)"/>
    <w:basedOn w:val="Normal"/>
    <w:uiPriority w:val="99"/>
    <w:unhideWhenUsed/>
    <w:rsid w:val="006E3616"/>
    <w:pPr>
      <w:spacing w:before="100" w:beforeAutospacing="1" w:after="100" w:afterAutospacing="1" w:line="240" w:lineRule="auto"/>
      <w:jc w:val="left"/>
    </w:pPr>
    <w:rPr>
      <w:rFonts w:ascii="Times New Roman" w:eastAsia="SimSun" w:hAnsi="Times New Roman" w:cs="Times New Roman"/>
      <w:szCs w:val="24"/>
      <w:lang w:eastAsia="zh-CN"/>
    </w:rPr>
  </w:style>
  <w:style w:type="paragraph" w:customStyle="1" w:styleId="yiv635041251msonormal">
    <w:name w:val="yiv635041251msonormal"/>
    <w:basedOn w:val="Normal"/>
    <w:uiPriority w:val="99"/>
    <w:rsid w:val="006E3616"/>
    <w:pPr>
      <w:spacing w:before="100" w:beforeAutospacing="1" w:after="100" w:afterAutospacing="1" w:line="240" w:lineRule="auto"/>
      <w:jc w:val="left"/>
    </w:pPr>
    <w:rPr>
      <w:rFonts w:ascii="Times New Roman" w:eastAsia="Arial Unicode MS" w:hAnsi="Times New Roman" w:cs="Times New Roman"/>
      <w:szCs w:val="24"/>
      <w:lang w:eastAsia="zh-CN"/>
    </w:rPr>
  </w:style>
  <w:style w:type="paragraph" w:customStyle="1" w:styleId="yiv635041251msolistparagraph">
    <w:name w:val="yiv635041251msolistparagraph"/>
    <w:basedOn w:val="Normal"/>
    <w:uiPriority w:val="99"/>
    <w:rsid w:val="006E3616"/>
    <w:pPr>
      <w:spacing w:before="100" w:beforeAutospacing="1" w:after="100" w:afterAutospacing="1" w:line="240" w:lineRule="auto"/>
      <w:jc w:val="left"/>
    </w:pPr>
    <w:rPr>
      <w:rFonts w:ascii="Times New Roman" w:eastAsia="Arial Unicode MS" w:hAnsi="Times New Roman" w:cs="Times New Roman"/>
      <w:szCs w:val="24"/>
      <w:lang w:eastAsia="zh-CN"/>
    </w:rPr>
  </w:style>
  <w:style w:type="character" w:styleId="Strong">
    <w:name w:val="Strong"/>
    <w:uiPriority w:val="22"/>
    <w:qFormat/>
    <w:rsid w:val="006E3616"/>
    <w:rPr>
      <w:b/>
      <w:bCs/>
    </w:rPr>
  </w:style>
  <w:style w:type="paragraph" w:customStyle="1" w:styleId="figure">
    <w:name w:val="figure"/>
    <w:basedOn w:val="TableofFigures"/>
    <w:next w:val="Normal"/>
    <w:link w:val="figureChar"/>
    <w:rsid w:val="006E3616"/>
    <w:pPr>
      <w:spacing w:before="40" w:after="0" w:line="480" w:lineRule="auto"/>
      <w:jc w:val="left"/>
    </w:pPr>
    <w:rPr>
      <w:rFonts w:ascii="Times New Roman" w:eastAsia="Times New Roman" w:hAnsi="Times New Roman" w:cs="Times New Roman"/>
      <w:szCs w:val="24"/>
      <w:lang w:val="x-none"/>
    </w:rPr>
  </w:style>
  <w:style w:type="character" w:customStyle="1" w:styleId="figureChar">
    <w:name w:val="figure Char"/>
    <w:link w:val="figure"/>
    <w:rsid w:val="006E3616"/>
    <w:rPr>
      <w:rFonts w:ascii="Times New Roman" w:eastAsia="Times New Roman" w:hAnsi="Times New Roman" w:cs="Times New Roman"/>
      <w:sz w:val="24"/>
      <w:szCs w:val="24"/>
      <w:lang w:val="x-none"/>
    </w:rPr>
  </w:style>
  <w:style w:type="paragraph" w:styleId="EndnoteText">
    <w:name w:val="endnote text"/>
    <w:basedOn w:val="Normal"/>
    <w:link w:val="EndnoteTextChar"/>
    <w:uiPriority w:val="99"/>
    <w:semiHidden/>
    <w:unhideWhenUsed/>
    <w:rsid w:val="006E3616"/>
    <w:pPr>
      <w:spacing w:after="0" w:line="240" w:lineRule="auto"/>
      <w:jc w:val="left"/>
    </w:pPr>
    <w:rPr>
      <w:rFonts w:ascii="Calibri" w:eastAsia="Times New Roman" w:hAnsi="Calibri" w:cs="Times New Roman"/>
      <w:sz w:val="20"/>
      <w:szCs w:val="20"/>
      <w:lang w:val="x-none"/>
    </w:rPr>
  </w:style>
  <w:style w:type="character" w:customStyle="1" w:styleId="EndnoteTextChar">
    <w:name w:val="Endnote Text Char"/>
    <w:basedOn w:val="DefaultParagraphFont"/>
    <w:link w:val="EndnoteText"/>
    <w:uiPriority w:val="99"/>
    <w:semiHidden/>
    <w:rsid w:val="006E3616"/>
    <w:rPr>
      <w:rFonts w:ascii="Calibri" w:eastAsia="Times New Roman" w:hAnsi="Calibri" w:cs="Times New Roman"/>
      <w:sz w:val="20"/>
      <w:szCs w:val="20"/>
      <w:lang w:val="x-none"/>
    </w:rPr>
  </w:style>
  <w:style w:type="character" w:styleId="EndnoteReference">
    <w:name w:val="endnote reference"/>
    <w:uiPriority w:val="99"/>
    <w:semiHidden/>
    <w:unhideWhenUsed/>
    <w:rsid w:val="006E3616"/>
    <w:rPr>
      <w:vertAlign w:val="superscript"/>
    </w:rPr>
  </w:style>
  <w:style w:type="paragraph" w:customStyle="1" w:styleId="yiv3229647959msonormal">
    <w:name w:val="yiv3229647959msonormal"/>
    <w:basedOn w:val="Normal"/>
    <w:uiPriority w:val="99"/>
    <w:rsid w:val="006E3616"/>
    <w:pPr>
      <w:spacing w:before="100" w:beforeAutospacing="1" w:after="100" w:afterAutospacing="1" w:line="240" w:lineRule="auto"/>
      <w:jc w:val="left"/>
    </w:pPr>
    <w:rPr>
      <w:rFonts w:ascii="Times New Roman" w:eastAsia="Arial Unicode MS" w:hAnsi="Times New Roman" w:cs="Times New Roman"/>
      <w:szCs w:val="24"/>
      <w:lang w:eastAsia="zh-CN"/>
    </w:rPr>
  </w:style>
  <w:style w:type="paragraph" w:customStyle="1" w:styleId="BodyText21">
    <w:name w:val="Body Text 21"/>
    <w:basedOn w:val="Normal"/>
    <w:uiPriority w:val="99"/>
    <w:rsid w:val="006E3616"/>
    <w:pPr>
      <w:spacing w:after="0" w:line="480" w:lineRule="auto"/>
      <w:jc w:val="left"/>
    </w:pPr>
    <w:rPr>
      <w:rFonts w:ascii="Times New Roman" w:eastAsia="Arial Unicode MS" w:hAnsi="Times New Roman" w:cs="Times New Roman"/>
      <w:b/>
      <w:szCs w:val="20"/>
      <w:lang w:val="en-US"/>
    </w:rPr>
  </w:style>
  <w:style w:type="character" w:customStyle="1" w:styleId="pagecontents1">
    <w:name w:val="pagecontents1"/>
    <w:rsid w:val="006E3616"/>
    <w:rPr>
      <w:rFonts w:ascii="Verdana" w:hAnsi="Verdana" w:hint="default"/>
      <w:color w:val="000000"/>
      <w:sz w:val="17"/>
      <w:szCs w:val="17"/>
    </w:rPr>
  </w:style>
  <w:style w:type="character" w:customStyle="1" w:styleId="st">
    <w:name w:val="st"/>
    <w:basedOn w:val="DefaultParagraphFont"/>
    <w:rsid w:val="006E3616"/>
  </w:style>
  <w:style w:type="character" w:customStyle="1" w:styleId="CommentTextChar1">
    <w:name w:val="Comment Text Char1"/>
    <w:uiPriority w:val="99"/>
    <w:rsid w:val="006E3616"/>
    <w:rPr>
      <w:rFonts w:ascii="Calibri" w:eastAsia="Times New Roman" w:hAnsi="Calibri" w:cs="Times New Roman"/>
      <w:sz w:val="20"/>
      <w:szCs w:val="20"/>
      <w:lang w:val="x-none"/>
    </w:rPr>
  </w:style>
  <w:style w:type="paragraph" w:styleId="DocumentMap">
    <w:name w:val="Document Map"/>
    <w:basedOn w:val="Normal"/>
    <w:link w:val="DocumentMapChar"/>
    <w:uiPriority w:val="99"/>
    <w:semiHidden/>
    <w:unhideWhenUsed/>
    <w:rsid w:val="006E3616"/>
    <w:pPr>
      <w:spacing w:after="0" w:line="240" w:lineRule="auto"/>
      <w:jc w:val="left"/>
    </w:pPr>
    <w:rPr>
      <w:rFonts w:ascii="Tahoma" w:eastAsia="Times New Roman" w:hAnsi="Tahoma" w:cs="Times New Roman"/>
      <w:sz w:val="16"/>
      <w:szCs w:val="16"/>
      <w:lang w:val="x-none"/>
    </w:rPr>
  </w:style>
  <w:style w:type="character" w:customStyle="1" w:styleId="DocumentMapChar">
    <w:name w:val="Document Map Char"/>
    <w:basedOn w:val="DefaultParagraphFont"/>
    <w:link w:val="DocumentMap"/>
    <w:uiPriority w:val="99"/>
    <w:semiHidden/>
    <w:rsid w:val="006E3616"/>
    <w:rPr>
      <w:rFonts w:ascii="Tahoma" w:eastAsia="Times New Roman" w:hAnsi="Tahoma" w:cs="Times New Roman"/>
      <w:sz w:val="16"/>
      <w:szCs w:val="16"/>
      <w:lang w:val="x-none"/>
    </w:rPr>
  </w:style>
  <w:style w:type="paragraph" w:customStyle="1" w:styleId="EndNoteBibliography">
    <w:name w:val="EndNote Bibliography"/>
    <w:basedOn w:val="Normal"/>
    <w:link w:val="EndNoteBibliographyChar"/>
    <w:rsid w:val="006E3616"/>
    <w:pPr>
      <w:spacing w:after="200" w:line="240" w:lineRule="auto"/>
      <w:jc w:val="left"/>
    </w:pPr>
    <w:rPr>
      <w:rFonts w:ascii="Calibri" w:eastAsia="SimSun" w:hAnsi="Calibri" w:cs="Times New Roman"/>
      <w:noProof/>
      <w:szCs w:val="20"/>
      <w:lang w:val="x-none" w:eastAsia="x-none"/>
    </w:rPr>
  </w:style>
  <w:style w:type="character" w:customStyle="1" w:styleId="EndNoteBibliographyChar">
    <w:name w:val="EndNote Bibliography Char"/>
    <w:link w:val="EndNoteBibliography"/>
    <w:rsid w:val="006E3616"/>
    <w:rPr>
      <w:rFonts w:ascii="Calibri" w:eastAsia="SimSun" w:hAnsi="Calibri" w:cs="Times New Roman"/>
      <w:noProof/>
      <w:sz w:val="24"/>
      <w:szCs w:val="20"/>
      <w:lang w:val="x-none" w:eastAsia="x-none"/>
    </w:rPr>
  </w:style>
  <w:style w:type="paragraph" w:customStyle="1" w:styleId="EndNoteBibliographyTitle">
    <w:name w:val="EndNote Bibliography Title"/>
    <w:basedOn w:val="Normal"/>
    <w:link w:val="EndNoteBibliographyTitleChar"/>
    <w:rsid w:val="006E3616"/>
    <w:pPr>
      <w:spacing w:before="40" w:after="0" w:line="480" w:lineRule="auto"/>
      <w:jc w:val="center"/>
    </w:pPr>
    <w:rPr>
      <w:rFonts w:ascii="Calibri" w:eastAsia="Arial Unicode MS" w:hAnsi="Calibri" w:cs="Times New Roman"/>
      <w:noProof/>
      <w:szCs w:val="24"/>
      <w:lang w:val="en-US"/>
    </w:rPr>
  </w:style>
  <w:style w:type="character" w:customStyle="1" w:styleId="EndNoteBibliographyTitleChar">
    <w:name w:val="EndNote Bibliography Title Char"/>
    <w:link w:val="EndNoteBibliographyTitle"/>
    <w:rsid w:val="006E3616"/>
    <w:rPr>
      <w:rFonts w:ascii="Calibri" w:eastAsia="Arial Unicode MS" w:hAnsi="Calibri" w:cs="Times New Roman"/>
      <w:noProof/>
      <w:sz w:val="24"/>
      <w:szCs w:val="24"/>
    </w:rPr>
  </w:style>
  <w:style w:type="character" w:customStyle="1" w:styleId="apple-converted-space">
    <w:name w:val="apple-converted-space"/>
    <w:rsid w:val="006E3616"/>
  </w:style>
  <w:style w:type="paragraph" w:customStyle="1" w:styleId="RPHeading4">
    <w:name w:val="RP Heading 4"/>
    <w:basedOn w:val="Normal"/>
    <w:next w:val="Normal"/>
    <w:link w:val="RPHeading4Char"/>
    <w:autoRedefine/>
    <w:qFormat/>
    <w:rsid w:val="006E3616"/>
    <w:pPr>
      <w:spacing w:before="40" w:after="40" w:line="480" w:lineRule="auto"/>
      <w:jc w:val="left"/>
    </w:pPr>
    <w:rPr>
      <w:rFonts w:ascii="Times New Roman" w:eastAsia="Arial Unicode MS" w:hAnsi="Times New Roman" w:cs="Times New Roman"/>
      <w:b/>
      <w:i/>
      <w:szCs w:val="24"/>
    </w:rPr>
  </w:style>
  <w:style w:type="character" w:customStyle="1" w:styleId="RPHeading4Char">
    <w:name w:val="RP Heading 4 Char"/>
    <w:link w:val="RPHeading4"/>
    <w:rsid w:val="006E3616"/>
    <w:rPr>
      <w:rFonts w:ascii="Times New Roman" w:eastAsia="Arial Unicode MS" w:hAnsi="Times New Roman" w:cs="Times New Roman"/>
      <w:b/>
      <w:i/>
      <w:sz w:val="24"/>
      <w:szCs w:val="24"/>
      <w:lang w:val="en-GB"/>
    </w:rPr>
  </w:style>
  <w:style w:type="paragraph" w:customStyle="1" w:styleId="Thesistitle">
    <w:name w:val="Thesis title"/>
    <w:next w:val="Normal"/>
    <w:uiPriority w:val="99"/>
    <w:rsid w:val="006E3616"/>
    <w:pPr>
      <w:overflowPunct w:val="0"/>
      <w:autoSpaceDE w:val="0"/>
      <w:autoSpaceDN w:val="0"/>
      <w:adjustRightInd w:val="0"/>
      <w:snapToGrid w:val="0"/>
      <w:spacing w:after="0" w:line="240" w:lineRule="auto"/>
      <w:textAlignment w:val="baseline"/>
    </w:pPr>
    <w:rPr>
      <w:rFonts w:ascii="Rdg Vesta" w:eastAsia="Times New Roman" w:hAnsi="Rdg Vesta" w:cs="Times New Roman"/>
      <w:sz w:val="56"/>
      <w:szCs w:val="40"/>
    </w:rPr>
  </w:style>
  <w:style w:type="paragraph" w:customStyle="1" w:styleId="Degreetitle">
    <w:name w:val="Degree title"/>
    <w:basedOn w:val="Thesistitle"/>
    <w:uiPriority w:val="99"/>
    <w:rsid w:val="006E3616"/>
    <w:pPr>
      <w:spacing w:before="120" w:line="252" w:lineRule="auto"/>
    </w:pPr>
    <w:rPr>
      <w:sz w:val="32"/>
    </w:rPr>
  </w:style>
  <w:style w:type="paragraph" w:customStyle="1" w:styleId="SchoolorDepartmentname">
    <w:name w:val="School or Department name"/>
    <w:uiPriority w:val="99"/>
    <w:rsid w:val="006E3616"/>
    <w:pPr>
      <w:spacing w:before="120" w:after="0" w:line="240" w:lineRule="auto"/>
    </w:pPr>
    <w:rPr>
      <w:rFonts w:ascii="Rdg Vesta" w:eastAsia="Times New Roman" w:hAnsi="Rdg Vesta" w:cs="Arial"/>
      <w:b/>
      <w:bCs/>
      <w:szCs w:val="26"/>
      <w:lang w:val="en-GB"/>
    </w:rPr>
  </w:style>
  <w:style w:type="paragraph" w:customStyle="1" w:styleId="Candidatename">
    <w:name w:val="Candidate name"/>
    <w:basedOn w:val="SchoolorDepartmentname"/>
    <w:uiPriority w:val="99"/>
    <w:rsid w:val="006E3616"/>
    <w:pPr>
      <w:spacing w:before="1080"/>
    </w:pPr>
    <w:rPr>
      <w:b w:val="0"/>
      <w:sz w:val="32"/>
    </w:rPr>
  </w:style>
  <w:style w:type="paragraph" w:customStyle="1" w:styleId="Dateofsubmissionmonthandyear">
    <w:name w:val="Date of submission (month and year)"/>
    <w:basedOn w:val="SchoolorDepartmentname"/>
    <w:uiPriority w:val="99"/>
    <w:rsid w:val="006E3616"/>
  </w:style>
  <w:style w:type="paragraph" w:customStyle="1" w:styleId="RPHeading11forReference-Appendix">
    <w:name w:val="RP Heading 1.1 for Reference-Appendix"/>
    <w:basedOn w:val="Heading2"/>
    <w:link w:val="RPHeading11forReference-AppendixChar"/>
    <w:rsid w:val="006E3616"/>
    <w:pPr>
      <w:numPr>
        <w:ilvl w:val="0"/>
        <w:numId w:val="0"/>
      </w:numPr>
      <w:spacing w:before="200" w:after="200" w:line="276" w:lineRule="auto"/>
      <w:jc w:val="left"/>
    </w:pPr>
    <w:rPr>
      <w:rFonts w:ascii="Times New Roman" w:eastAsia="SimSun" w:hAnsi="Times New Roman" w:cs="Times New Roman"/>
      <w:bCs/>
      <w:sz w:val="24"/>
      <w:lang w:val="x-none" w:eastAsia="zh-CN"/>
    </w:rPr>
  </w:style>
  <w:style w:type="character" w:customStyle="1" w:styleId="RPHeading11forReference-AppendixChar">
    <w:name w:val="RP Heading 1.1 for Reference-Appendix Char"/>
    <w:link w:val="RPHeading11forReference-Appendix"/>
    <w:rsid w:val="006E3616"/>
    <w:rPr>
      <w:rFonts w:ascii="Times New Roman" w:eastAsia="SimSun" w:hAnsi="Times New Roman" w:cs="Times New Roman"/>
      <w:b/>
      <w:bCs/>
      <w:sz w:val="24"/>
      <w:szCs w:val="26"/>
      <w:lang w:val="x-none" w:eastAsia="zh-CN"/>
    </w:rPr>
  </w:style>
  <w:style w:type="character" w:customStyle="1" w:styleId="A3">
    <w:name w:val="A3"/>
    <w:uiPriority w:val="99"/>
    <w:rsid w:val="006E3616"/>
    <w:rPr>
      <w:rFonts w:cs="Palatino"/>
      <w:color w:val="000000"/>
      <w:sz w:val="18"/>
      <w:szCs w:val="18"/>
    </w:rPr>
  </w:style>
  <w:style w:type="paragraph" w:customStyle="1" w:styleId="Pa3">
    <w:name w:val="Pa3"/>
    <w:basedOn w:val="Default"/>
    <w:next w:val="Default"/>
    <w:uiPriority w:val="99"/>
    <w:rsid w:val="006E3616"/>
    <w:pPr>
      <w:spacing w:line="361" w:lineRule="atLeast"/>
    </w:pPr>
    <w:rPr>
      <w:rFonts w:ascii="Palatino" w:eastAsia="SimSun" w:hAnsi="Palatino" w:cs="Times New Roman"/>
      <w:color w:val="auto"/>
      <w:lang w:eastAsia="zh-CN"/>
    </w:rPr>
  </w:style>
  <w:style w:type="character" w:customStyle="1" w:styleId="A4">
    <w:name w:val="A4"/>
    <w:uiPriority w:val="99"/>
    <w:rsid w:val="006E3616"/>
    <w:rPr>
      <w:rFonts w:cs="Palatino"/>
      <w:color w:val="000000"/>
      <w:sz w:val="9"/>
      <w:szCs w:val="9"/>
    </w:rPr>
  </w:style>
  <w:style w:type="paragraph" w:styleId="Revision">
    <w:name w:val="Revision"/>
    <w:hidden/>
    <w:uiPriority w:val="99"/>
    <w:semiHidden/>
    <w:rsid w:val="006E3616"/>
    <w:pPr>
      <w:spacing w:after="0" w:line="240" w:lineRule="auto"/>
    </w:pPr>
    <w:rPr>
      <w:rFonts w:ascii="Times New Roman" w:eastAsia="Arial Unicode MS" w:hAnsi="Times New Roman" w:cs="Times New Roman"/>
      <w:sz w:val="24"/>
      <w:szCs w:val="24"/>
      <w:lang w:val="en-GB"/>
    </w:rPr>
  </w:style>
  <w:style w:type="paragraph" w:styleId="z-TopofForm">
    <w:name w:val="HTML Top of Form"/>
    <w:basedOn w:val="Normal"/>
    <w:next w:val="Normal"/>
    <w:link w:val="z-TopofFormChar"/>
    <w:hidden/>
    <w:uiPriority w:val="99"/>
    <w:semiHidden/>
    <w:unhideWhenUsed/>
    <w:rsid w:val="006E3616"/>
    <w:pPr>
      <w:pBdr>
        <w:bottom w:val="single" w:sz="6" w:space="1" w:color="auto"/>
      </w:pBdr>
      <w:spacing w:after="0" w:line="480" w:lineRule="auto"/>
      <w:jc w:val="center"/>
    </w:pPr>
    <w:rPr>
      <w:rFonts w:eastAsia="Arial Unicode MS"/>
      <w:vanish/>
      <w:sz w:val="16"/>
      <w:szCs w:val="16"/>
    </w:rPr>
  </w:style>
  <w:style w:type="character" w:customStyle="1" w:styleId="z-TopofFormChar">
    <w:name w:val="z-Top of Form Char"/>
    <w:basedOn w:val="DefaultParagraphFont"/>
    <w:link w:val="z-TopofForm"/>
    <w:uiPriority w:val="99"/>
    <w:semiHidden/>
    <w:rsid w:val="006E3616"/>
    <w:rPr>
      <w:rFonts w:ascii="Arial" w:eastAsia="Arial Unicode MS" w:hAnsi="Arial" w:cs="Arial"/>
      <w:vanish/>
      <w:sz w:val="16"/>
      <w:szCs w:val="16"/>
      <w:lang w:val="en-GB"/>
    </w:rPr>
  </w:style>
  <w:style w:type="paragraph" w:styleId="z-BottomofForm">
    <w:name w:val="HTML Bottom of Form"/>
    <w:basedOn w:val="Normal"/>
    <w:next w:val="Normal"/>
    <w:link w:val="z-BottomofFormChar"/>
    <w:hidden/>
    <w:uiPriority w:val="99"/>
    <w:semiHidden/>
    <w:unhideWhenUsed/>
    <w:rsid w:val="006E3616"/>
    <w:pPr>
      <w:pBdr>
        <w:top w:val="single" w:sz="6" w:space="1" w:color="auto"/>
      </w:pBdr>
      <w:spacing w:after="0" w:line="480" w:lineRule="auto"/>
      <w:jc w:val="center"/>
    </w:pPr>
    <w:rPr>
      <w:rFonts w:eastAsia="Arial Unicode MS"/>
      <w:vanish/>
      <w:sz w:val="16"/>
      <w:szCs w:val="16"/>
    </w:rPr>
  </w:style>
  <w:style w:type="character" w:customStyle="1" w:styleId="z-BottomofFormChar">
    <w:name w:val="z-Bottom of Form Char"/>
    <w:basedOn w:val="DefaultParagraphFont"/>
    <w:link w:val="z-BottomofForm"/>
    <w:uiPriority w:val="99"/>
    <w:semiHidden/>
    <w:rsid w:val="006E3616"/>
    <w:rPr>
      <w:rFonts w:ascii="Arial" w:eastAsia="Arial Unicode MS" w:hAnsi="Arial" w:cs="Arial"/>
      <w:vanish/>
      <w:sz w:val="16"/>
      <w:szCs w:val="16"/>
      <w:lang w:val="en-GB"/>
    </w:rPr>
  </w:style>
  <w:style w:type="paragraph" w:customStyle="1" w:styleId="ExecSummaryReferenceHeading2">
    <w:name w:val="Exec Summary Reference Heading 2"/>
    <w:basedOn w:val="Heading2"/>
    <w:link w:val="ExecSummaryReferenceHeading2Char"/>
    <w:qFormat/>
    <w:rsid w:val="006E3616"/>
    <w:pPr>
      <w:numPr>
        <w:ilvl w:val="0"/>
        <w:numId w:val="0"/>
      </w:numPr>
      <w:spacing w:before="200" w:after="200" w:line="276" w:lineRule="auto"/>
      <w:jc w:val="left"/>
    </w:pPr>
    <w:rPr>
      <w:rFonts w:ascii="Times New Roman" w:eastAsia="SimSun" w:hAnsi="Times New Roman" w:cs="Times New Roman"/>
      <w:bCs/>
      <w:sz w:val="24"/>
      <w:lang w:val="x-none" w:eastAsia="zh-CN"/>
    </w:rPr>
  </w:style>
  <w:style w:type="character" w:customStyle="1" w:styleId="ExecSummaryReferenceHeading2Char">
    <w:name w:val="Exec Summary Reference Heading 2 Char"/>
    <w:basedOn w:val="Heading2Char"/>
    <w:link w:val="ExecSummaryReferenceHeading2"/>
    <w:rsid w:val="006E3616"/>
    <w:rPr>
      <w:rFonts w:ascii="Times New Roman" w:eastAsia="SimSun" w:hAnsi="Times New Roman" w:cs="Times New Roman"/>
      <w:b/>
      <w:bCs/>
      <w:sz w:val="24"/>
      <w:szCs w:val="26"/>
      <w:lang w:val="x-none" w:eastAsia="zh-CN"/>
    </w:rPr>
  </w:style>
  <w:style w:type="table" w:customStyle="1" w:styleId="TableGridLight1">
    <w:name w:val="Table Grid Light1"/>
    <w:basedOn w:val="TableNormal"/>
    <w:uiPriority w:val="40"/>
    <w:rsid w:val="006E3616"/>
    <w:pPr>
      <w:spacing w:after="0" w:line="240" w:lineRule="auto"/>
    </w:pPr>
    <w:rPr>
      <w:rFonts w:ascii="Calibri" w:eastAsia="Times New Roman" w:hAnsi="Calibri" w:cs="Arial"/>
      <w:lang w:val="en-GB"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SubtleEmphasis">
    <w:name w:val="Subtle Emphasis"/>
    <w:uiPriority w:val="19"/>
    <w:qFormat/>
    <w:rsid w:val="006E3616"/>
    <w:rPr>
      <w:i/>
      <w:iCs/>
      <w:color w:val="808080"/>
    </w:rPr>
  </w:style>
  <w:style w:type="character" w:styleId="Emphasis">
    <w:name w:val="Emphasis"/>
    <w:uiPriority w:val="20"/>
    <w:qFormat/>
    <w:rsid w:val="006E3616"/>
    <w:rPr>
      <w:i/>
      <w:iCs/>
    </w:rPr>
  </w:style>
  <w:style w:type="character" w:customStyle="1" w:styleId="spelle">
    <w:name w:val="spelle"/>
    <w:rsid w:val="006E3616"/>
  </w:style>
  <w:style w:type="character" w:customStyle="1" w:styleId="grame">
    <w:name w:val="grame"/>
    <w:rsid w:val="006E3616"/>
  </w:style>
  <w:style w:type="character" w:customStyle="1" w:styleId="ft">
    <w:name w:val="ft"/>
    <w:rsid w:val="006E3616"/>
  </w:style>
  <w:style w:type="paragraph" w:customStyle="1" w:styleId="bodytext0">
    <w:name w:val="body_text"/>
    <w:basedOn w:val="Normal"/>
    <w:uiPriority w:val="99"/>
    <w:rsid w:val="006E3616"/>
    <w:pPr>
      <w:spacing w:before="100" w:beforeAutospacing="1" w:after="100" w:afterAutospacing="1" w:line="240" w:lineRule="auto"/>
      <w:jc w:val="left"/>
    </w:pPr>
    <w:rPr>
      <w:rFonts w:ascii="Times New Roman" w:eastAsia="Times New Roman" w:hAnsi="Times New Roman" w:cs="Times New Roman"/>
      <w:szCs w:val="24"/>
      <w:lang w:val="en-US"/>
    </w:rPr>
  </w:style>
  <w:style w:type="paragraph" w:customStyle="1" w:styleId="1stpage12">
    <w:name w:val="1st page 12"/>
    <w:basedOn w:val="Normal"/>
    <w:uiPriority w:val="99"/>
    <w:rsid w:val="006E3616"/>
    <w:pPr>
      <w:widowControl w:val="0"/>
      <w:tabs>
        <w:tab w:val="center" w:pos="4320"/>
      </w:tabs>
      <w:spacing w:after="0" w:line="240" w:lineRule="auto"/>
      <w:jc w:val="center"/>
    </w:pPr>
    <w:rPr>
      <w:rFonts w:eastAsia="Times New Roman" w:cs="Times New Roman"/>
      <w:szCs w:val="28"/>
      <w:lang w:val="en-US" w:eastAsia="he-IL" w:bidi="he-IL"/>
    </w:rPr>
  </w:style>
  <w:style w:type="character" w:styleId="IntenseEmphasis">
    <w:name w:val="Intense Emphasis"/>
    <w:uiPriority w:val="21"/>
    <w:qFormat/>
    <w:rsid w:val="006E3616"/>
    <w:rPr>
      <w:b/>
      <w:bCs/>
      <w:i/>
      <w:iCs/>
      <w:color w:val="4F81BD"/>
    </w:rPr>
  </w:style>
  <w:style w:type="character" w:customStyle="1" w:styleId="Heading1Char1">
    <w:name w:val="Heading 1 Char1"/>
    <w:aliases w:val="Heading 1-Chapters Char1,RP Heading 1 Char1,SMJ Heading 1 Char1"/>
    <w:uiPriority w:val="99"/>
    <w:rsid w:val="006E3616"/>
    <w:rPr>
      <w:rFonts w:ascii="Calibri Light" w:eastAsia="Times New Roman" w:hAnsi="Calibri Light" w:cs="Times New Roman"/>
      <w:color w:val="2E74B5"/>
      <w:sz w:val="32"/>
      <w:szCs w:val="32"/>
    </w:rPr>
  </w:style>
  <w:style w:type="paragraph" w:customStyle="1" w:styleId="Normal0">
    <w:name w:val="[Normal]"/>
    <w:uiPriority w:val="99"/>
    <w:qFormat/>
    <w:rsid w:val="006E3616"/>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ascii="Arial" w:eastAsia="Arial" w:hAnsi="Arial" w:cs="Times New Roman"/>
      <w:sz w:val="24"/>
      <w:szCs w:val="20"/>
    </w:rPr>
  </w:style>
  <w:style w:type="character" w:customStyle="1" w:styleId="Heading2Char1">
    <w:name w:val="Heading 2 Char1"/>
    <w:aliases w:val="RP Heading 2 Char1,SMJ Heading 2 Char1"/>
    <w:uiPriority w:val="9"/>
    <w:semiHidden/>
    <w:rsid w:val="006E3616"/>
    <w:rPr>
      <w:rFonts w:ascii="Calibri Light" w:eastAsia="Times New Roman" w:hAnsi="Calibri Light" w:cs="Times New Roman"/>
      <w:b/>
      <w:bCs/>
      <w:color w:val="5B9BD5"/>
      <w:sz w:val="26"/>
      <w:szCs w:val="26"/>
      <w:lang w:val="en-GB" w:eastAsia="en-GB"/>
    </w:rPr>
  </w:style>
  <w:style w:type="character" w:customStyle="1" w:styleId="Heading3Char1">
    <w:name w:val="Heading 3 Char1"/>
    <w:aliases w:val="RP Heading 3 Char1,SMJ Heading 3 Char1"/>
    <w:uiPriority w:val="9"/>
    <w:semiHidden/>
    <w:rsid w:val="006E3616"/>
    <w:rPr>
      <w:rFonts w:ascii="Calibri Light" w:eastAsia="Times New Roman" w:hAnsi="Calibri Light" w:cs="Times New Roman"/>
      <w:b/>
      <w:bCs/>
      <w:color w:val="5B9BD5"/>
      <w:sz w:val="22"/>
      <w:szCs w:val="22"/>
      <w:lang w:val="en-GB" w:eastAsia="en-GB"/>
    </w:rPr>
  </w:style>
  <w:style w:type="character" w:customStyle="1" w:styleId="EndnoteTextChar1">
    <w:name w:val="Endnote Text Char1"/>
    <w:uiPriority w:val="99"/>
    <w:semiHidden/>
    <w:rsid w:val="006E3616"/>
    <w:rPr>
      <w:rFonts w:ascii="Times New Roman" w:eastAsia="Times New Roman" w:hAnsi="Times New Roman" w:cs="Times New Roman" w:hint="default"/>
      <w:sz w:val="20"/>
      <w:szCs w:val="20"/>
      <w:lang w:val="en-GB" w:eastAsia="en-GB"/>
    </w:rPr>
  </w:style>
  <w:style w:type="character" w:customStyle="1" w:styleId="z-TopofFormChar1">
    <w:name w:val="z-Top of Form Char1"/>
    <w:uiPriority w:val="99"/>
    <w:semiHidden/>
    <w:rsid w:val="006E3616"/>
    <w:rPr>
      <w:rFonts w:ascii="Arial" w:eastAsia="Times New Roman" w:hAnsi="Arial" w:cs="Arial" w:hint="default"/>
      <w:vanish/>
      <w:webHidden w:val="0"/>
      <w:sz w:val="16"/>
      <w:szCs w:val="16"/>
      <w:lang w:val="en-GB" w:eastAsia="en-GB"/>
      <w:specVanish w:val="0"/>
    </w:rPr>
  </w:style>
  <w:style w:type="character" w:customStyle="1" w:styleId="z-BottomofFormChar1">
    <w:name w:val="z-Bottom of Form Char1"/>
    <w:uiPriority w:val="99"/>
    <w:semiHidden/>
    <w:rsid w:val="006E3616"/>
    <w:rPr>
      <w:rFonts w:ascii="Arial" w:eastAsia="Times New Roman" w:hAnsi="Arial" w:cs="Arial" w:hint="default"/>
      <w:vanish/>
      <w:webHidden w:val="0"/>
      <w:sz w:val="16"/>
      <w:szCs w:val="16"/>
      <w:lang w:val="en-GB" w:eastAsia="en-GB"/>
      <w:specVanish w:val="0"/>
    </w:rPr>
  </w:style>
  <w:style w:type="paragraph" w:customStyle="1" w:styleId="Normal9pt">
    <w:name w:val="Normal + 9 pt"/>
    <w:aliases w:val="Line spacing:  1.5 lines"/>
    <w:basedOn w:val="Normal"/>
    <w:link w:val="Normal9ptChar"/>
    <w:rsid w:val="006E3616"/>
    <w:pPr>
      <w:numPr>
        <w:numId w:val="11"/>
      </w:numPr>
      <w:spacing w:after="0"/>
      <w:jc w:val="left"/>
    </w:pPr>
    <w:rPr>
      <w:rFonts w:ascii="Times New Roman" w:eastAsia="Times New Roman" w:hAnsi="Times New Roman" w:cs="Times New Roman"/>
      <w:bCs/>
      <w:sz w:val="18"/>
      <w:szCs w:val="18"/>
      <w:lang w:eastAsia="en-GB"/>
    </w:rPr>
  </w:style>
  <w:style w:type="character" w:customStyle="1" w:styleId="Normal9ptChar">
    <w:name w:val="Normal + 9 pt Char"/>
    <w:aliases w:val="Line spacing:  1.5 lines Char"/>
    <w:link w:val="Normal9pt"/>
    <w:rsid w:val="006E3616"/>
    <w:rPr>
      <w:rFonts w:ascii="Times New Roman" w:eastAsia="Times New Roman" w:hAnsi="Times New Roman" w:cs="Times New Roman"/>
      <w:bCs/>
      <w:sz w:val="18"/>
      <w:szCs w:val="18"/>
      <w:lang w:val="en-GB" w:eastAsia="en-GB"/>
    </w:rPr>
  </w:style>
  <w:style w:type="paragraph" w:styleId="HTMLPreformatted">
    <w:name w:val="HTML Preformatted"/>
    <w:basedOn w:val="Normal"/>
    <w:link w:val="HTMLPreformattedChar"/>
    <w:uiPriority w:val="99"/>
    <w:semiHidden/>
    <w:unhideWhenUsed/>
    <w:rsid w:val="006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6E3616"/>
    <w:rPr>
      <w:rFonts w:ascii="Courier New" w:eastAsia="Times New Roman" w:hAnsi="Courier New" w:cs="Courier New"/>
      <w:sz w:val="20"/>
      <w:szCs w:val="20"/>
      <w:lang w:val="en-GB" w:eastAsia="en-GB"/>
    </w:rPr>
  </w:style>
  <w:style w:type="paragraph" w:customStyle="1" w:styleId="hanging-indent">
    <w:name w:val="hanging-indent"/>
    <w:basedOn w:val="Normal"/>
    <w:rsid w:val="006E3616"/>
    <w:pPr>
      <w:spacing w:before="100" w:beforeAutospacing="1" w:after="100" w:afterAutospacing="1" w:line="240" w:lineRule="auto"/>
      <w:jc w:val="left"/>
    </w:pPr>
    <w:rPr>
      <w:rFonts w:ascii="Times New Roman" w:eastAsia="Times New Roman" w:hAnsi="Times New Roman" w:cs="Times New Roman"/>
      <w:szCs w:val="24"/>
      <w:lang w:eastAsia="en-GB"/>
    </w:rPr>
  </w:style>
  <w:style w:type="character" w:customStyle="1" w:styleId="poptip">
    <w:name w:val="poptip"/>
    <w:rsid w:val="006E3616"/>
  </w:style>
  <w:style w:type="character" w:customStyle="1" w:styleId="nlmstring-name">
    <w:name w:val="nlm_string-name"/>
    <w:rsid w:val="006E3616"/>
  </w:style>
  <w:style w:type="character" w:customStyle="1" w:styleId="nlmyear">
    <w:name w:val="nlm_year"/>
    <w:rsid w:val="006E3616"/>
  </w:style>
  <w:style w:type="character" w:customStyle="1" w:styleId="nlmarticle-title">
    <w:name w:val="nlm_article-title"/>
    <w:rsid w:val="006E3616"/>
  </w:style>
  <w:style w:type="character" w:customStyle="1" w:styleId="nlmfpage">
    <w:name w:val="nlm_fpage"/>
    <w:rsid w:val="006E3616"/>
  </w:style>
  <w:style w:type="character" w:customStyle="1" w:styleId="nlmlpage">
    <w:name w:val="nlm_lpage"/>
    <w:rsid w:val="006E3616"/>
  </w:style>
  <w:style w:type="character" w:customStyle="1" w:styleId="nlmpublisher-loc">
    <w:name w:val="nlm_publisher-loc"/>
    <w:rsid w:val="006E3616"/>
  </w:style>
  <w:style w:type="character" w:customStyle="1" w:styleId="nlmpublisher-name">
    <w:name w:val="nlm_publisher-name"/>
    <w:rsid w:val="006E3616"/>
  </w:style>
  <w:style w:type="paragraph" w:customStyle="1" w:styleId="References">
    <w:name w:val="References"/>
    <w:basedOn w:val="Bibliography"/>
    <w:link w:val="ReferencesChar"/>
    <w:qFormat/>
    <w:rsid w:val="006E3616"/>
    <w:pPr>
      <w:spacing w:before="120"/>
      <w:jc w:val="left"/>
    </w:pPr>
    <w:rPr>
      <w:rFonts w:eastAsia="Calibri"/>
    </w:rPr>
  </w:style>
  <w:style w:type="character" w:customStyle="1" w:styleId="ReferencesChar">
    <w:name w:val="References Char"/>
    <w:link w:val="References"/>
    <w:rsid w:val="006E3616"/>
    <w:rPr>
      <w:rFonts w:ascii="Arial" w:eastAsia="Calibri" w:hAnsi="Arial" w:cs="Arial"/>
      <w:sz w:val="20"/>
      <w:lang w:val="en-GB"/>
    </w:rPr>
  </w:style>
  <w:style w:type="table" w:styleId="GridTable4-Accent4">
    <w:name w:val="Grid Table 4 Accent 4"/>
    <w:basedOn w:val="TableNormal"/>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paragraph" w:customStyle="1" w:styleId="QuestionParagraphs">
    <w:name w:val="Question Paragraphs"/>
    <w:basedOn w:val="Normal"/>
    <w:qFormat/>
    <w:rsid w:val="006E3616"/>
    <w:pPr>
      <w:numPr>
        <w:numId w:val="12"/>
      </w:numPr>
      <w:spacing w:after="120" w:line="480" w:lineRule="auto"/>
      <w:ind w:left="720"/>
    </w:pPr>
    <w:rPr>
      <w:rFonts w:eastAsia="Calibri"/>
    </w:rPr>
  </w:style>
  <w:style w:type="paragraph" w:customStyle="1" w:styleId="hypoth">
    <w:name w:val="hypoth"/>
    <w:basedOn w:val="Normal"/>
    <w:link w:val="hypothChar"/>
    <w:qFormat/>
    <w:rsid w:val="006E3616"/>
    <w:pPr>
      <w:spacing w:after="120"/>
      <w:ind w:left="794" w:right="794"/>
      <w:mirrorIndents/>
    </w:pPr>
    <w:rPr>
      <w:rFonts w:eastAsia="Calibri"/>
      <w:i/>
    </w:rPr>
  </w:style>
  <w:style w:type="character" w:customStyle="1" w:styleId="hypothChar">
    <w:name w:val="hypoth Char"/>
    <w:link w:val="hypoth"/>
    <w:rsid w:val="006E3616"/>
    <w:rPr>
      <w:rFonts w:ascii="Arial" w:eastAsia="Calibri" w:hAnsi="Arial" w:cs="Arial"/>
      <w:i/>
      <w:sz w:val="24"/>
      <w:lang w:val="en-GB"/>
    </w:rPr>
  </w:style>
  <w:style w:type="table" w:styleId="GridTable4-Accent2">
    <w:name w:val="Grid Table 4 Accent 2"/>
    <w:basedOn w:val="TableNormal"/>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11">
    <w:name w:val="Grid Table 4 - Accent 11"/>
    <w:basedOn w:val="TableNormal"/>
    <w:next w:val="GridTable4-Accent1"/>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4-Accent1">
    <w:name w:val="Grid Table 4 Accent 1"/>
    <w:basedOn w:val="TableNormal"/>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GridTable2-Accent5">
    <w:name w:val="Grid Table 2 Accent 5"/>
    <w:basedOn w:val="TableNormal"/>
    <w:uiPriority w:val="47"/>
    <w:rsid w:val="006E3616"/>
    <w:pPr>
      <w:spacing w:after="0" w:line="240" w:lineRule="auto"/>
    </w:pPr>
    <w:rPr>
      <w:rFonts w:ascii="Calibri" w:eastAsia="Calibri" w:hAnsi="Calibri" w:cs="Arial"/>
      <w:lang w:val="en-GB"/>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5Dark-Accent11">
    <w:name w:val="Grid Table 5 Dark - Accent 11"/>
    <w:basedOn w:val="TableNormal"/>
    <w:next w:val="GridTable5Dark-Accent1"/>
    <w:uiPriority w:val="50"/>
    <w:rsid w:val="006E3616"/>
    <w:pPr>
      <w:spacing w:after="0" w:line="240" w:lineRule="auto"/>
    </w:pPr>
    <w:rPr>
      <w:rFonts w:ascii="Calibri" w:eastAsia="Calibri" w:hAnsi="Calibri" w:cs="Arial"/>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GridTable5Dark-Accent1">
    <w:name w:val="Grid Table 5 Dark Accent 1"/>
    <w:basedOn w:val="TableNormal"/>
    <w:uiPriority w:val="50"/>
    <w:rsid w:val="006E3616"/>
    <w:pPr>
      <w:spacing w:after="0" w:line="240" w:lineRule="auto"/>
    </w:pPr>
    <w:rPr>
      <w:rFonts w:ascii="Calibri" w:eastAsia="Calibri" w:hAnsi="Calibri" w:cs="Arial"/>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character" w:customStyle="1" w:styleId="Mention1">
    <w:name w:val="Mention1"/>
    <w:uiPriority w:val="99"/>
    <w:semiHidden/>
    <w:unhideWhenUsed/>
    <w:rsid w:val="006E3616"/>
    <w:rPr>
      <w:color w:val="2B579A"/>
      <w:shd w:val="clear" w:color="auto" w:fill="E6E6E6"/>
    </w:rPr>
  </w:style>
  <w:style w:type="table" w:styleId="GridTable4-Accent5">
    <w:name w:val="Grid Table 4 Accent 5"/>
    <w:basedOn w:val="TableNormal"/>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font5">
    <w:name w:val="font5"/>
    <w:basedOn w:val="Normal"/>
    <w:rsid w:val="006E3616"/>
    <w:pPr>
      <w:spacing w:before="100" w:beforeAutospacing="1" w:after="100" w:afterAutospacing="1" w:line="240" w:lineRule="auto"/>
      <w:jc w:val="left"/>
    </w:pPr>
    <w:rPr>
      <w:rFonts w:ascii="Times New Roman" w:eastAsia="Times New Roman" w:hAnsi="Times New Roman" w:cs="Times New Roman"/>
      <w:color w:val="000000"/>
      <w:sz w:val="20"/>
      <w:szCs w:val="20"/>
    </w:rPr>
  </w:style>
  <w:style w:type="paragraph" w:customStyle="1" w:styleId="font6">
    <w:name w:val="font6"/>
    <w:basedOn w:val="Normal"/>
    <w:rsid w:val="006E3616"/>
    <w:pPr>
      <w:spacing w:before="100" w:beforeAutospacing="1" w:after="100" w:afterAutospacing="1" w:line="240" w:lineRule="auto"/>
      <w:jc w:val="left"/>
    </w:pPr>
    <w:rPr>
      <w:rFonts w:ascii="Times New Roman" w:eastAsia="Times New Roman" w:hAnsi="Times New Roman" w:cs="Times New Roman"/>
      <w:b/>
      <w:bCs/>
      <w:color w:val="000000"/>
      <w:sz w:val="20"/>
      <w:szCs w:val="20"/>
    </w:rPr>
  </w:style>
  <w:style w:type="paragraph" w:customStyle="1" w:styleId="xl69">
    <w:name w:val="xl69"/>
    <w:basedOn w:val="Normal"/>
    <w:rsid w:val="006E3616"/>
    <w:pPr>
      <w:pBdr>
        <w:top w:val="single" w:sz="4" w:space="0" w:color="auto"/>
        <w:left w:val="single" w:sz="4" w:space="0" w:color="auto"/>
        <w:bottom w:val="single" w:sz="4" w:space="0" w:color="auto"/>
        <w:right w:val="single" w:sz="4" w:space="0" w:color="auto"/>
      </w:pBdr>
      <w:shd w:val="clear" w:color="000000" w:fill="FFE599"/>
      <w:spacing w:before="100" w:beforeAutospacing="1" w:after="100" w:afterAutospacing="1" w:line="240" w:lineRule="auto"/>
      <w:jc w:val="left"/>
      <w:textAlignment w:val="center"/>
    </w:pPr>
    <w:rPr>
      <w:rFonts w:ascii="Times New Roman" w:eastAsia="Times New Roman" w:hAnsi="Times New Roman" w:cs="Times New Roman"/>
      <w:b/>
      <w:bCs/>
      <w:sz w:val="20"/>
      <w:szCs w:val="20"/>
    </w:rPr>
  </w:style>
  <w:style w:type="paragraph" w:customStyle="1" w:styleId="xl70">
    <w:name w:val="xl70"/>
    <w:basedOn w:val="Normal"/>
    <w:rsid w:val="006E3616"/>
    <w:pPr>
      <w:pBdr>
        <w:top w:val="single" w:sz="4" w:space="0" w:color="auto"/>
        <w:left w:val="single" w:sz="4" w:space="0" w:color="auto"/>
        <w:bottom w:val="single" w:sz="4" w:space="0" w:color="auto"/>
        <w:right w:val="single" w:sz="4" w:space="0" w:color="auto"/>
      </w:pBdr>
      <w:shd w:val="clear" w:color="000000" w:fill="FFE599"/>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1">
    <w:name w:val="xl71"/>
    <w:basedOn w:val="Normal"/>
    <w:rsid w:val="006E3616"/>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left"/>
      <w:textAlignment w:val="center"/>
    </w:pPr>
    <w:rPr>
      <w:rFonts w:ascii="Times New Roman" w:eastAsia="Times New Roman" w:hAnsi="Times New Roman" w:cs="Times New Roman"/>
      <w:b/>
      <w:bCs/>
      <w:sz w:val="20"/>
      <w:szCs w:val="20"/>
    </w:rPr>
  </w:style>
  <w:style w:type="paragraph" w:customStyle="1" w:styleId="xl72">
    <w:name w:val="xl72"/>
    <w:basedOn w:val="Normal"/>
    <w:rsid w:val="006E3616"/>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3">
    <w:name w:val="xl73"/>
    <w:basedOn w:val="Normal"/>
    <w:rsid w:val="006E36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b/>
      <w:bCs/>
      <w:sz w:val="20"/>
      <w:szCs w:val="20"/>
    </w:rPr>
  </w:style>
  <w:style w:type="paragraph" w:customStyle="1" w:styleId="xl74">
    <w:name w:val="xl74"/>
    <w:basedOn w:val="Normal"/>
    <w:rsid w:val="006E36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75">
    <w:name w:val="xl75"/>
    <w:basedOn w:val="Normal"/>
    <w:rsid w:val="006E3616"/>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76">
    <w:name w:val="xl76"/>
    <w:basedOn w:val="Normal"/>
    <w:rsid w:val="006E3616"/>
    <w:pPr>
      <w:pBdr>
        <w:top w:val="single" w:sz="4" w:space="0" w:color="auto"/>
        <w:left w:val="single" w:sz="4" w:space="31" w:color="auto"/>
        <w:bottom w:val="single" w:sz="4" w:space="0" w:color="auto"/>
        <w:right w:val="single" w:sz="4" w:space="0" w:color="auto"/>
      </w:pBdr>
      <w:spacing w:before="100" w:beforeAutospacing="1" w:after="100" w:afterAutospacing="1" w:line="240" w:lineRule="auto"/>
      <w:ind w:firstLineChars="400" w:firstLine="400"/>
      <w:jc w:val="left"/>
      <w:textAlignment w:val="center"/>
    </w:pPr>
    <w:rPr>
      <w:rFonts w:ascii="Times New Roman" w:eastAsia="Times New Roman" w:hAnsi="Times New Roman" w:cs="Times New Roman"/>
      <w:sz w:val="20"/>
      <w:szCs w:val="20"/>
    </w:rPr>
  </w:style>
  <w:style w:type="paragraph" w:customStyle="1" w:styleId="xl77">
    <w:name w:val="xl77"/>
    <w:basedOn w:val="Normal"/>
    <w:rsid w:val="006E3616"/>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78">
    <w:name w:val="xl78"/>
    <w:basedOn w:val="Normal"/>
    <w:rsid w:val="006E3616"/>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79">
    <w:name w:val="xl79"/>
    <w:basedOn w:val="Normal"/>
    <w:rsid w:val="006E3616"/>
    <w:pPr>
      <w:pBdr>
        <w:top w:val="single" w:sz="4" w:space="0" w:color="auto"/>
        <w:left w:val="single" w:sz="4" w:space="0" w:color="auto"/>
        <w:bottom w:val="single" w:sz="4" w:space="0" w:color="auto"/>
        <w:right w:val="single" w:sz="4" w:space="0" w:color="auto"/>
      </w:pBdr>
      <w:shd w:val="clear" w:color="000000" w:fill="D6E3BC"/>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80">
    <w:name w:val="xl80"/>
    <w:basedOn w:val="Normal"/>
    <w:rsid w:val="006E3616"/>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81">
    <w:name w:val="xl81"/>
    <w:basedOn w:val="Normal"/>
    <w:rsid w:val="006E3616"/>
    <w:pPr>
      <w:pBdr>
        <w:top w:val="single" w:sz="4" w:space="0" w:color="auto"/>
        <w:left w:val="single" w:sz="4" w:space="0" w:color="auto"/>
        <w:bottom w:val="single" w:sz="4" w:space="0" w:color="auto"/>
        <w:right w:val="single" w:sz="4" w:space="0" w:color="auto"/>
      </w:pBdr>
      <w:shd w:val="clear" w:color="000000" w:fill="CCC0D9"/>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82">
    <w:name w:val="xl82"/>
    <w:basedOn w:val="Normal"/>
    <w:rsid w:val="006E3616"/>
    <w:pPr>
      <w:pBdr>
        <w:top w:val="single" w:sz="4" w:space="0" w:color="auto"/>
        <w:left w:val="single" w:sz="4" w:space="0" w:color="auto"/>
        <w:bottom w:val="single" w:sz="4" w:space="0" w:color="auto"/>
        <w:right w:val="single" w:sz="4" w:space="0" w:color="auto"/>
      </w:pBdr>
      <w:shd w:val="clear" w:color="000000" w:fill="B6DDE8"/>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83">
    <w:name w:val="xl83"/>
    <w:basedOn w:val="Normal"/>
    <w:rsid w:val="006E3616"/>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xl84">
    <w:name w:val="xl84"/>
    <w:basedOn w:val="Normal"/>
    <w:rsid w:val="006E3616"/>
    <w:pPr>
      <w:pBdr>
        <w:top w:val="single" w:sz="4" w:space="0" w:color="auto"/>
        <w:left w:val="single" w:sz="4" w:space="0" w:color="auto"/>
        <w:bottom w:val="single" w:sz="4" w:space="0" w:color="auto"/>
        <w:right w:val="single" w:sz="4" w:space="0" w:color="auto"/>
      </w:pBdr>
      <w:shd w:val="clear" w:color="000000" w:fill="FBD4B4"/>
      <w:spacing w:before="100" w:beforeAutospacing="1" w:after="100" w:afterAutospacing="1" w:line="240" w:lineRule="auto"/>
      <w:jc w:val="left"/>
      <w:textAlignment w:val="center"/>
    </w:pPr>
    <w:rPr>
      <w:rFonts w:ascii="Times New Roman" w:eastAsia="Times New Roman" w:hAnsi="Times New Roman" w:cs="Times New Roman"/>
      <w:sz w:val="20"/>
      <w:szCs w:val="20"/>
    </w:rPr>
  </w:style>
  <w:style w:type="paragraph" w:customStyle="1" w:styleId="HBSHeading2">
    <w:name w:val="HBS Heading 2"/>
    <w:qFormat/>
    <w:rsid w:val="006E3616"/>
    <w:pPr>
      <w:keepNext/>
      <w:spacing w:before="360" w:after="0" w:line="240" w:lineRule="auto"/>
    </w:pPr>
    <w:rPr>
      <w:rFonts w:ascii="Rdg Vesta" w:eastAsia="Times New Roman" w:hAnsi="Rdg Vesta" w:cs="Times New Roman"/>
      <w:b/>
      <w:sz w:val="32"/>
      <w:szCs w:val="40"/>
      <w:lang w:val="en-GB"/>
    </w:rPr>
  </w:style>
  <w:style w:type="paragraph" w:customStyle="1" w:styleId="HBSTabletext">
    <w:name w:val="HBS Table text"/>
    <w:qFormat/>
    <w:rsid w:val="006E3616"/>
    <w:pPr>
      <w:spacing w:before="120" w:after="120" w:line="240" w:lineRule="auto"/>
    </w:pPr>
    <w:rPr>
      <w:rFonts w:ascii="Calibri" w:eastAsia="Times New Roman" w:hAnsi="Calibri" w:cs="Tahoma"/>
      <w:szCs w:val="16"/>
      <w:lang w:val="en-GB"/>
    </w:rPr>
  </w:style>
  <w:style w:type="table" w:customStyle="1" w:styleId="TableGrid1">
    <w:name w:val="Table Grid1"/>
    <w:basedOn w:val="TableNormal"/>
    <w:next w:val="TableGrid"/>
    <w:uiPriority w:val="39"/>
    <w:rsid w:val="006E3616"/>
    <w:pPr>
      <w:spacing w:after="0" w:line="240" w:lineRule="auto"/>
    </w:pPr>
    <w:rPr>
      <w:rFonts w:ascii="Calibri" w:eastAsia="Calibri" w:hAnsi="Calibri" w:cs="Arial"/>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41">
    <w:name w:val="Grid Table 4 - Accent 41"/>
    <w:basedOn w:val="TableNormal"/>
    <w:next w:val="GridTable4-Accent4"/>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GridTable4-Accent21">
    <w:name w:val="Grid Table 4 - Accent 21"/>
    <w:basedOn w:val="TableNormal"/>
    <w:next w:val="GridTable4-Accent2"/>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111">
    <w:name w:val="Grid Table 4 - Accent 111"/>
    <w:basedOn w:val="TableNormal"/>
    <w:next w:val="GridTable4-Accent1"/>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4-Accent12">
    <w:name w:val="Grid Table 4 - Accent 12"/>
    <w:basedOn w:val="TableNormal"/>
    <w:next w:val="GridTable4-Accent1"/>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2-Accent51">
    <w:name w:val="Grid Table 2 - Accent 51"/>
    <w:basedOn w:val="TableNormal"/>
    <w:next w:val="GridTable2-Accent5"/>
    <w:uiPriority w:val="47"/>
    <w:rsid w:val="006E3616"/>
    <w:pPr>
      <w:spacing w:after="0" w:line="240" w:lineRule="auto"/>
    </w:pPr>
    <w:rPr>
      <w:rFonts w:ascii="Calibri" w:eastAsia="Calibri" w:hAnsi="Calibri" w:cs="Arial"/>
      <w:lang w:val="en-GB"/>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5Dark-Accent111">
    <w:name w:val="Grid Table 5 Dark - Accent 111"/>
    <w:basedOn w:val="TableNormal"/>
    <w:next w:val="GridTable5Dark-Accent1"/>
    <w:uiPriority w:val="50"/>
    <w:rsid w:val="006E3616"/>
    <w:pPr>
      <w:spacing w:after="0" w:line="240" w:lineRule="auto"/>
    </w:pPr>
    <w:rPr>
      <w:rFonts w:ascii="Calibri" w:eastAsia="Calibri" w:hAnsi="Calibri" w:cs="Arial"/>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GridTable5Dark-Accent12">
    <w:name w:val="Grid Table 5 Dark - Accent 12"/>
    <w:basedOn w:val="TableNormal"/>
    <w:next w:val="GridTable5Dark-Accent1"/>
    <w:uiPriority w:val="50"/>
    <w:rsid w:val="006E3616"/>
    <w:pPr>
      <w:spacing w:after="0" w:line="240" w:lineRule="auto"/>
    </w:pPr>
    <w:rPr>
      <w:rFonts w:ascii="Calibri" w:eastAsia="Calibri" w:hAnsi="Calibri" w:cs="Arial"/>
      <w:lang w:val="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4-Accent51">
    <w:name w:val="Grid Table 4 - Accent 51"/>
    <w:basedOn w:val="TableNormal"/>
    <w:next w:val="GridTable4-Accent5"/>
    <w:uiPriority w:val="49"/>
    <w:rsid w:val="006E3616"/>
    <w:pPr>
      <w:spacing w:after="0" w:line="240" w:lineRule="auto"/>
    </w:pPr>
    <w:rPr>
      <w:rFonts w:ascii="Calibri" w:eastAsia="Calibri" w:hAnsi="Calibri" w:cs="Arial"/>
      <w:lang w:val="en-GB"/>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3">
    <w:name w:val="Plain Table 3"/>
    <w:basedOn w:val="TableNormal"/>
    <w:uiPriority w:val="43"/>
    <w:rsid w:val="006E3616"/>
    <w:pPr>
      <w:spacing w:after="0" w:line="240" w:lineRule="auto"/>
    </w:pPr>
    <w:rPr>
      <w:rFonts w:ascii="Calibri" w:eastAsia="SimSun" w:hAnsi="Calibri" w:cs="Times New Roman"/>
      <w:sz w:val="20"/>
      <w:szCs w:val="20"/>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ListTable6Colorful">
    <w:name w:val="List Table 6 Colorful"/>
    <w:basedOn w:val="TableNormal"/>
    <w:uiPriority w:val="51"/>
    <w:rsid w:val="006E3616"/>
    <w:pPr>
      <w:spacing w:after="0" w:line="240" w:lineRule="auto"/>
    </w:pPr>
    <w:rPr>
      <w:rFonts w:ascii="Calibri" w:eastAsia="SimSun" w:hAnsi="Calibri" w:cs="Times New Roman"/>
      <w:color w:val="000000"/>
      <w:sz w:val="20"/>
      <w:szCs w:val="2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ghtShading">
    <w:name w:val="Light Shading"/>
    <w:basedOn w:val="TableNormal"/>
    <w:uiPriority w:val="60"/>
    <w:rsid w:val="006E3616"/>
    <w:pPr>
      <w:spacing w:after="0" w:line="240" w:lineRule="auto"/>
    </w:pPr>
    <w:rPr>
      <w:rFonts w:ascii="Calibri" w:eastAsia="SimSun"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lt-line-clampline">
    <w:name w:val="lt-line-clamp__line"/>
    <w:rsid w:val="006E3616"/>
  </w:style>
  <w:style w:type="character" w:customStyle="1" w:styleId="tlid-translation">
    <w:name w:val="tlid-translation"/>
    <w:rsid w:val="006E3616"/>
  </w:style>
  <w:style w:type="table" w:customStyle="1" w:styleId="Academic">
    <w:name w:val="Academic"/>
    <w:basedOn w:val="TableNormal"/>
    <w:uiPriority w:val="99"/>
    <w:rsid w:val="006E3616"/>
    <w:pPr>
      <w:spacing w:after="0" w:line="240" w:lineRule="auto"/>
    </w:pPr>
    <w:rPr>
      <w:rFonts w:ascii="Arial" w:eastAsia="Arial" w:hAnsi="Arial" w:cs="Arial"/>
      <w:szCs w:val="20"/>
      <w:lang w:val="en-GB" w:eastAsia="en-GB"/>
    </w:rPr>
    <w:tblPr>
      <w:tblBorders>
        <w:top w:val="single" w:sz="4" w:space="0" w:color="auto"/>
        <w:left w:val="single" w:sz="4" w:space="0" w:color="auto"/>
        <w:bottom w:val="single" w:sz="4" w:space="0" w:color="auto"/>
        <w:right w:val="single" w:sz="4" w:space="0" w:color="auto"/>
        <w:insideV w:val="single" w:sz="4" w:space="0" w:color="auto"/>
      </w:tblBorders>
    </w:tblPr>
  </w:style>
  <w:style w:type="table" w:customStyle="1" w:styleId="AcademicTable">
    <w:name w:val="Academic Table"/>
    <w:basedOn w:val="TableNormal"/>
    <w:uiPriority w:val="99"/>
    <w:rsid w:val="006E3616"/>
    <w:pPr>
      <w:spacing w:after="0" w:line="240" w:lineRule="auto"/>
    </w:pPr>
    <w:rPr>
      <w:rFonts w:ascii="Arial" w:eastAsia="Arial" w:hAnsi="Arial" w:cs="Arial"/>
      <w:sz w:val="20"/>
      <w:szCs w:val="20"/>
      <w:lang w:val="en-GB" w:eastAsia="en-GB"/>
    </w:rPr>
    <w:tblPr>
      <w:tblBorders>
        <w:insideV w:val="single" w:sz="4" w:space="0" w:color="auto"/>
      </w:tblBorders>
    </w:tblPr>
    <w:tblStylePr w:type="firstRow">
      <w:rPr>
        <w:rFonts w:ascii="Arial" w:hAnsi="Arial"/>
        <w:b/>
        <w:sz w:val="22"/>
      </w:rPr>
      <w:tblPr/>
      <w:tcPr>
        <w:tcBorders>
          <w:bottom w:val="nil"/>
          <w:insideV w:val="nil"/>
        </w:tcBorders>
      </w:tcPr>
    </w:tblStylePr>
  </w:style>
  <w:style w:type="table" w:styleId="ListTable7Colorful">
    <w:name w:val="List Table 7 Colorful"/>
    <w:basedOn w:val="TableNormal"/>
    <w:uiPriority w:val="52"/>
    <w:rsid w:val="006E3616"/>
    <w:pPr>
      <w:spacing w:after="0" w:line="240" w:lineRule="auto"/>
    </w:pPr>
    <w:rPr>
      <w:rFonts w:ascii="Arial" w:eastAsia="Arial" w:hAnsi="Arial" w:cs="Arial"/>
      <w:color w:val="000000" w:themeColor="text1"/>
      <w:sz w:val="20"/>
      <w:szCs w:val="20"/>
      <w:lang w:val="en-GB" w:eastAsia="en-GB"/>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UnresolvedMention2">
    <w:name w:val="Unresolved Mention2"/>
    <w:basedOn w:val="DefaultParagraphFont"/>
    <w:uiPriority w:val="99"/>
    <w:semiHidden/>
    <w:unhideWhenUsed/>
    <w:rsid w:val="006E3616"/>
    <w:rPr>
      <w:color w:val="605E5C"/>
      <w:shd w:val="clear" w:color="auto" w:fill="E1DFDD"/>
    </w:rPr>
  </w:style>
  <w:style w:type="table" w:styleId="PlainTable1">
    <w:name w:val="Plain Table 1"/>
    <w:basedOn w:val="TableNormal"/>
    <w:uiPriority w:val="41"/>
    <w:rsid w:val="006B007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InFigures1">
    <w:name w:val="InFigures1"/>
    <w:basedOn w:val="Normal"/>
    <w:link w:val="InFigures1Char"/>
    <w:qFormat/>
    <w:rsid w:val="00FD3E15"/>
    <w:pPr>
      <w:spacing w:after="0" w:line="240" w:lineRule="auto"/>
      <w:jc w:val="center"/>
    </w:pPr>
    <w:rPr>
      <w:sz w:val="16"/>
      <w:szCs w:val="16"/>
    </w:rPr>
  </w:style>
  <w:style w:type="character" w:customStyle="1" w:styleId="InFigures1Char">
    <w:name w:val="InFigures1 Char"/>
    <w:basedOn w:val="DefaultParagraphFont"/>
    <w:link w:val="InFigures1"/>
    <w:rsid w:val="00FD3E15"/>
    <w:rPr>
      <w:rFonts w:ascii="Arial" w:eastAsia="Arial" w:hAnsi="Arial" w:cs="Arial"/>
      <w:sz w:val="16"/>
      <w:szCs w:val="16"/>
      <w:lang w:val="en-GB"/>
    </w:rPr>
  </w:style>
  <w:style w:type="table" w:styleId="GridTable1Light">
    <w:name w:val="Grid Table 1 Light"/>
    <w:basedOn w:val="TableNormal"/>
    <w:uiPriority w:val="46"/>
    <w:rsid w:val="00D01E5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UnresolvedMention3">
    <w:name w:val="Unresolved Mention3"/>
    <w:basedOn w:val="DefaultParagraphFont"/>
    <w:uiPriority w:val="99"/>
    <w:semiHidden/>
    <w:unhideWhenUsed/>
    <w:rsid w:val="00DC08A1"/>
    <w:rPr>
      <w:color w:val="605E5C"/>
      <w:shd w:val="clear" w:color="auto" w:fill="E1DFDD"/>
    </w:rPr>
  </w:style>
  <w:style w:type="character" w:customStyle="1" w:styleId="UnresolvedMention">
    <w:name w:val="Unresolved Mention"/>
    <w:basedOn w:val="DefaultParagraphFont"/>
    <w:uiPriority w:val="99"/>
    <w:semiHidden/>
    <w:unhideWhenUsed/>
    <w:rsid w:val="00D45E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1040">
      <w:bodyDiv w:val="1"/>
      <w:marLeft w:val="0"/>
      <w:marRight w:val="0"/>
      <w:marTop w:val="0"/>
      <w:marBottom w:val="0"/>
      <w:divBdr>
        <w:top w:val="none" w:sz="0" w:space="0" w:color="auto"/>
        <w:left w:val="none" w:sz="0" w:space="0" w:color="auto"/>
        <w:bottom w:val="none" w:sz="0" w:space="0" w:color="auto"/>
        <w:right w:val="none" w:sz="0" w:space="0" w:color="auto"/>
      </w:divBdr>
      <w:divsChild>
        <w:div w:id="500244327">
          <w:marLeft w:val="547"/>
          <w:marRight w:val="0"/>
          <w:marTop w:val="0"/>
          <w:marBottom w:val="0"/>
          <w:divBdr>
            <w:top w:val="none" w:sz="0" w:space="0" w:color="auto"/>
            <w:left w:val="none" w:sz="0" w:space="0" w:color="auto"/>
            <w:bottom w:val="none" w:sz="0" w:space="0" w:color="auto"/>
            <w:right w:val="none" w:sz="0" w:space="0" w:color="auto"/>
          </w:divBdr>
        </w:div>
        <w:div w:id="1659846227">
          <w:marLeft w:val="547"/>
          <w:marRight w:val="0"/>
          <w:marTop w:val="0"/>
          <w:marBottom w:val="0"/>
          <w:divBdr>
            <w:top w:val="none" w:sz="0" w:space="0" w:color="auto"/>
            <w:left w:val="none" w:sz="0" w:space="0" w:color="auto"/>
            <w:bottom w:val="none" w:sz="0" w:space="0" w:color="auto"/>
            <w:right w:val="none" w:sz="0" w:space="0" w:color="auto"/>
          </w:divBdr>
        </w:div>
        <w:div w:id="2045132481">
          <w:marLeft w:val="547"/>
          <w:marRight w:val="0"/>
          <w:marTop w:val="0"/>
          <w:marBottom w:val="0"/>
          <w:divBdr>
            <w:top w:val="none" w:sz="0" w:space="0" w:color="auto"/>
            <w:left w:val="none" w:sz="0" w:space="0" w:color="auto"/>
            <w:bottom w:val="none" w:sz="0" w:space="0" w:color="auto"/>
            <w:right w:val="none" w:sz="0" w:space="0" w:color="auto"/>
          </w:divBdr>
        </w:div>
      </w:divsChild>
    </w:div>
    <w:div w:id="8606406">
      <w:bodyDiv w:val="1"/>
      <w:marLeft w:val="0"/>
      <w:marRight w:val="0"/>
      <w:marTop w:val="0"/>
      <w:marBottom w:val="0"/>
      <w:divBdr>
        <w:top w:val="none" w:sz="0" w:space="0" w:color="auto"/>
        <w:left w:val="none" w:sz="0" w:space="0" w:color="auto"/>
        <w:bottom w:val="none" w:sz="0" w:space="0" w:color="auto"/>
        <w:right w:val="none" w:sz="0" w:space="0" w:color="auto"/>
      </w:divBdr>
    </w:div>
    <w:div w:id="12657886">
      <w:bodyDiv w:val="1"/>
      <w:marLeft w:val="0"/>
      <w:marRight w:val="0"/>
      <w:marTop w:val="0"/>
      <w:marBottom w:val="0"/>
      <w:divBdr>
        <w:top w:val="none" w:sz="0" w:space="0" w:color="auto"/>
        <w:left w:val="none" w:sz="0" w:space="0" w:color="auto"/>
        <w:bottom w:val="none" w:sz="0" w:space="0" w:color="auto"/>
        <w:right w:val="none" w:sz="0" w:space="0" w:color="auto"/>
      </w:divBdr>
    </w:div>
    <w:div w:id="32117455">
      <w:bodyDiv w:val="1"/>
      <w:marLeft w:val="0"/>
      <w:marRight w:val="0"/>
      <w:marTop w:val="0"/>
      <w:marBottom w:val="0"/>
      <w:divBdr>
        <w:top w:val="none" w:sz="0" w:space="0" w:color="auto"/>
        <w:left w:val="none" w:sz="0" w:space="0" w:color="auto"/>
        <w:bottom w:val="none" w:sz="0" w:space="0" w:color="auto"/>
        <w:right w:val="none" w:sz="0" w:space="0" w:color="auto"/>
      </w:divBdr>
    </w:div>
    <w:div w:id="34307018">
      <w:bodyDiv w:val="1"/>
      <w:marLeft w:val="0"/>
      <w:marRight w:val="0"/>
      <w:marTop w:val="0"/>
      <w:marBottom w:val="0"/>
      <w:divBdr>
        <w:top w:val="none" w:sz="0" w:space="0" w:color="auto"/>
        <w:left w:val="none" w:sz="0" w:space="0" w:color="auto"/>
        <w:bottom w:val="none" w:sz="0" w:space="0" w:color="auto"/>
        <w:right w:val="none" w:sz="0" w:space="0" w:color="auto"/>
      </w:divBdr>
    </w:div>
    <w:div w:id="65147262">
      <w:bodyDiv w:val="1"/>
      <w:marLeft w:val="0"/>
      <w:marRight w:val="0"/>
      <w:marTop w:val="0"/>
      <w:marBottom w:val="0"/>
      <w:divBdr>
        <w:top w:val="none" w:sz="0" w:space="0" w:color="auto"/>
        <w:left w:val="none" w:sz="0" w:space="0" w:color="auto"/>
        <w:bottom w:val="none" w:sz="0" w:space="0" w:color="auto"/>
        <w:right w:val="none" w:sz="0" w:space="0" w:color="auto"/>
      </w:divBdr>
    </w:div>
    <w:div w:id="75790642">
      <w:bodyDiv w:val="1"/>
      <w:marLeft w:val="0"/>
      <w:marRight w:val="0"/>
      <w:marTop w:val="0"/>
      <w:marBottom w:val="0"/>
      <w:divBdr>
        <w:top w:val="none" w:sz="0" w:space="0" w:color="auto"/>
        <w:left w:val="none" w:sz="0" w:space="0" w:color="auto"/>
        <w:bottom w:val="none" w:sz="0" w:space="0" w:color="auto"/>
        <w:right w:val="none" w:sz="0" w:space="0" w:color="auto"/>
      </w:divBdr>
    </w:div>
    <w:div w:id="87578409">
      <w:bodyDiv w:val="1"/>
      <w:marLeft w:val="0"/>
      <w:marRight w:val="0"/>
      <w:marTop w:val="0"/>
      <w:marBottom w:val="0"/>
      <w:divBdr>
        <w:top w:val="none" w:sz="0" w:space="0" w:color="auto"/>
        <w:left w:val="none" w:sz="0" w:space="0" w:color="auto"/>
        <w:bottom w:val="none" w:sz="0" w:space="0" w:color="auto"/>
        <w:right w:val="none" w:sz="0" w:space="0" w:color="auto"/>
      </w:divBdr>
    </w:div>
    <w:div w:id="88159449">
      <w:bodyDiv w:val="1"/>
      <w:marLeft w:val="0"/>
      <w:marRight w:val="0"/>
      <w:marTop w:val="0"/>
      <w:marBottom w:val="0"/>
      <w:divBdr>
        <w:top w:val="none" w:sz="0" w:space="0" w:color="auto"/>
        <w:left w:val="none" w:sz="0" w:space="0" w:color="auto"/>
        <w:bottom w:val="none" w:sz="0" w:space="0" w:color="auto"/>
        <w:right w:val="none" w:sz="0" w:space="0" w:color="auto"/>
      </w:divBdr>
    </w:div>
    <w:div w:id="93016121">
      <w:bodyDiv w:val="1"/>
      <w:marLeft w:val="0"/>
      <w:marRight w:val="0"/>
      <w:marTop w:val="0"/>
      <w:marBottom w:val="0"/>
      <w:divBdr>
        <w:top w:val="none" w:sz="0" w:space="0" w:color="auto"/>
        <w:left w:val="none" w:sz="0" w:space="0" w:color="auto"/>
        <w:bottom w:val="none" w:sz="0" w:space="0" w:color="auto"/>
        <w:right w:val="none" w:sz="0" w:space="0" w:color="auto"/>
      </w:divBdr>
      <w:divsChild>
        <w:div w:id="656618743">
          <w:marLeft w:val="547"/>
          <w:marRight w:val="0"/>
          <w:marTop w:val="0"/>
          <w:marBottom w:val="0"/>
          <w:divBdr>
            <w:top w:val="none" w:sz="0" w:space="0" w:color="auto"/>
            <w:left w:val="none" w:sz="0" w:space="0" w:color="auto"/>
            <w:bottom w:val="none" w:sz="0" w:space="0" w:color="auto"/>
            <w:right w:val="none" w:sz="0" w:space="0" w:color="auto"/>
          </w:divBdr>
        </w:div>
        <w:div w:id="732392366">
          <w:marLeft w:val="547"/>
          <w:marRight w:val="0"/>
          <w:marTop w:val="0"/>
          <w:marBottom w:val="0"/>
          <w:divBdr>
            <w:top w:val="none" w:sz="0" w:space="0" w:color="auto"/>
            <w:left w:val="none" w:sz="0" w:space="0" w:color="auto"/>
            <w:bottom w:val="none" w:sz="0" w:space="0" w:color="auto"/>
            <w:right w:val="none" w:sz="0" w:space="0" w:color="auto"/>
          </w:divBdr>
        </w:div>
        <w:div w:id="1239168481">
          <w:marLeft w:val="547"/>
          <w:marRight w:val="0"/>
          <w:marTop w:val="0"/>
          <w:marBottom w:val="0"/>
          <w:divBdr>
            <w:top w:val="none" w:sz="0" w:space="0" w:color="auto"/>
            <w:left w:val="none" w:sz="0" w:space="0" w:color="auto"/>
            <w:bottom w:val="none" w:sz="0" w:space="0" w:color="auto"/>
            <w:right w:val="none" w:sz="0" w:space="0" w:color="auto"/>
          </w:divBdr>
        </w:div>
      </w:divsChild>
    </w:div>
    <w:div w:id="102848845">
      <w:bodyDiv w:val="1"/>
      <w:marLeft w:val="0"/>
      <w:marRight w:val="0"/>
      <w:marTop w:val="0"/>
      <w:marBottom w:val="0"/>
      <w:divBdr>
        <w:top w:val="none" w:sz="0" w:space="0" w:color="auto"/>
        <w:left w:val="none" w:sz="0" w:space="0" w:color="auto"/>
        <w:bottom w:val="none" w:sz="0" w:space="0" w:color="auto"/>
        <w:right w:val="none" w:sz="0" w:space="0" w:color="auto"/>
      </w:divBdr>
    </w:div>
    <w:div w:id="115685162">
      <w:bodyDiv w:val="1"/>
      <w:marLeft w:val="0"/>
      <w:marRight w:val="0"/>
      <w:marTop w:val="0"/>
      <w:marBottom w:val="0"/>
      <w:divBdr>
        <w:top w:val="none" w:sz="0" w:space="0" w:color="auto"/>
        <w:left w:val="none" w:sz="0" w:space="0" w:color="auto"/>
        <w:bottom w:val="none" w:sz="0" w:space="0" w:color="auto"/>
        <w:right w:val="none" w:sz="0" w:space="0" w:color="auto"/>
      </w:divBdr>
    </w:div>
    <w:div w:id="140080516">
      <w:bodyDiv w:val="1"/>
      <w:marLeft w:val="0"/>
      <w:marRight w:val="0"/>
      <w:marTop w:val="0"/>
      <w:marBottom w:val="0"/>
      <w:divBdr>
        <w:top w:val="none" w:sz="0" w:space="0" w:color="auto"/>
        <w:left w:val="none" w:sz="0" w:space="0" w:color="auto"/>
        <w:bottom w:val="none" w:sz="0" w:space="0" w:color="auto"/>
        <w:right w:val="none" w:sz="0" w:space="0" w:color="auto"/>
      </w:divBdr>
    </w:div>
    <w:div w:id="154806436">
      <w:bodyDiv w:val="1"/>
      <w:marLeft w:val="0"/>
      <w:marRight w:val="0"/>
      <w:marTop w:val="0"/>
      <w:marBottom w:val="0"/>
      <w:divBdr>
        <w:top w:val="none" w:sz="0" w:space="0" w:color="auto"/>
        <w:left w:val="none" w:sz="0" w:space="0" w:color="auto"/>
        <w:bottom w:val="none" w:sz="0" w:space="0" w:color="auto"/>
        <w:right w:val="none" w:sz="0" w:space="0" w:color="auto"/>
      </w:divBdr>
    </w:div>
    <w:div w:id="154953661">
      <w:bodyDiv w:val="1"/>
      <w:marLeft w:val="0"/>
      <w:marRight w:val="0"/>
      <w:marTop w:val="0"/>
      <w:marBottom w:val="0"/>
      <w:divBdr>
        <w:top w:val="none" w:sz="0" w:space="0" w:color="auto"/>
        <w:left w:val="none" w:sz="0" w:space="0" w:color="auto"/>
        <w:bottom w:val="none" w:sz="0" w:space="0" w:color="auto"/>
        <w:right w:val="none" w:sz="0" w:space="0" w:color="auto"/>
      </w:divBdr>
    </w:div>
    <w:div w:id="162203817">
      <w:bodyDiv w:val="1"/>
      <w:marLeft w:val="0"/>
      <w:marRight w:val="0"/>
      <w:marTop w:val="0"/>
      <w:marBottom w:val="0"/>
      <w:divBdr>
        <w:top w:val="none" w:sz="0" w:space="0" w:color="auto"/>
        <w:left w:val="none" w:sz="0" w:space="0" w:color="auto"/>
        <w:bottom w:val="none" w:sz="0" w:space="0" w:color="auto"/>
        <w:right w:val="none" w:sz="0" w:space="0" w:color="auto"/>
      </w:divBdr>
    </w:div>
    <w:div w:id="200479661">
      <w:bodyDiv w:val="1"/>
      <w:marLeft w:val="0"/>
      <w:marRight w:val="0"/>
      <w:marTop w:val="0"/>
      <w:marBottom w:val="0"/>
      <w:divBdr>
        <w:top w:val="none" w:sz="0" w:space="0" w:color="auto"/>
        <w:left w:val="none" w:sz="0" w:space="0" w:color="auto"/>
        <w:bottom w:val="none" w:sz="0" w:space="0" w:color="auto"/>
        <w:right w:val="none" w:sz="0" w:space="0" w:color="auto"/>
      </w:divBdr>
    </w:div>
    <w:div w:id="200870468">
      <w:bodyDiv w:val="1"/>
      <w:marLeft w:val="0"/>
      <w:marRight w:val="0"/>
      <w:marTop w:val="0"/>
      <w:marBottom w:val="0"/>
      <w:divBdr>
        <w:top w:val="none" w:sz="0" w:space="0" w:color="auto"/>
        <w:left w:val="none" w:sz="0" w:space="0" w:color="auto"/>
        <w:bottom w:val="none" w:sz="0" w:space="0" w:color="auto"/>
        <w:right w:val="none" w:sz="0" w:space="0" w:color="auto"/>
      </w:divBdr>
    </w:div>
    <w:div w:id="206600394">
      <w:bodyDiv w:val="1"/>
      <w:marLeft w:val="0"/>
      <w:marRight w:val="0"/>
      <w:marTop w:val="0"/>
      <w:marBottom w:val="0"/>
      <w:divBdr>
        <w:top w:val="none" w:sz="0" w:space="0" w:color="auto"/>
        <w:left w:val="none" w:sz="0" w:space="0" w:color="auto"/>
        <w:bottom w:val="none" w:sz="0" w:space="0" w:color="auto"/>
        <w:right w:val="none" w:sz="0" w:space="0" w:color="auto"/>
      </w:divBdr>
    </w:div>
    <w:div w:id="218395026">
      <w:bodyDiv w:val="1"/>
      <w:marLeft w:val="0"/>
      <w:marRight w:val="0"/>
      <w:marTop w:val="0"/>
      <w:marBottom w:val="0"/>
      <w:divBdr>
        <w:top w:val="none" w:sz="0" w:space="0" w:color="auto"/>
        <w:left w:val="none" w:sz="0" w:space="0" w:color="auto"/>
        <w:bottom w:val="none" w:sz="0" w:space="0" w:color="auto"/>
        <w:right w:val="none" w:sz="0" w:space="0" w:color="auto"/>
      </w:divBdr>
    </w:div>
    <w:div w:id="227158696">
      <w:bodyDiv w:val="1"/>
      <w:marLeft w:val="0"/>
      <w:marRight w:val="0"/>
      <w:marTop w:val="0"/>
      <w:marBottom w:val="0"/>
      <w:divBdr>
        <w:top w:val="none" w:sz="0" w:space="0" w:color="auto"/>
        <w:left w:val="none" w:sz="0" w:space="0" w:color="auto"/>
        <w:bottom w:val="none" w:sz="0" w:space="0" w:color="auto"/>
        <w:right w:val="none" w:sz="0" w:space="0" w:color="auto"/>
      </w:divBdr>
    </w:div>
    <w:div w:id="234897737">
      <w:bodyDiv w:val="1"/>
      <w:marLeft w:val="0"/>
      <w:marRight w:val="0"/>
      <w:marTop w:val="0"/>
      <w:marBottom w:val="0"/>
      <w:divBdr>
        <w:top w:val="none" w:sz="0" w:space="0" w:color="auto"/>
        <w:left w:val="none" w:sz="0" w:space="0" w:color="auto"/>
        <w:bottom w:val="none" w:sz="0" w:space="0" w:color="auto"/>
        <w:right w:val="none" w:sz="0" w:space="0" w:color="auto"/>
      </w:divBdr>
    </w:div>
    <w:div w:id="256716369">
      <w:bodyDiv w:val="1"/>
      <w:marLeft w:val="0"/>
      <w:marRight w:val="0"/>
      <w:marTop w:val="0"/>
      <w:marBottom w:val="0"/>
      <w:divBdr>
        <w:top w:val="none" w:sz="0" w:space="0" w:color="auto"/>
        <w:left w:val="none" w:sz="0" w:space="0" w:color="auto"/>
        <w:bottom w:val="none" w:sz="0" w:space="0" w:color="auto"/>
        <w:right w:val="none" w:sz="0" w:space="0" w:color="auto"/>
      </w:divBdr>
    </w:div>
    <w:div w:id="282075918">
      <w:bodyDiv w:val="1"/>
      <w:marLeft w:val="0"/>
      <w:marRight w:val="0"/>
      <w:marTop w:val="0"/>
      <w:marBottom w:val="0"/>
      <w:divBdr>
        <w:top w:val="none" w:sz="0" w:space="0" w:color="auto"/>
        <w:left w:val="none" w:sz="0" w:space="0" w:color="auto"/>
        <w:bottom w:val="none" w:sz="0" w:space="0" w:color="auto"/>
        <w:right w:val="none" w:sz="0" w:space="0" w:color="auto"/>
      </w:divBdr>
    </w:div>
    <w:div w:id="288754244">
      <w:bodyDiv w:val="1"/>
      <w:marLeft w:val="0"/>
      <w:marRight w:val="0"/>
      <w:marTop w:val="0"/>
      <w:marBottom w:val="0"/>
      <w:divBdr>
        <w:top w:val="none" w:sz="0" w:space="0" w:color="auto"/>
        <w:left w:val="none" w:sz="0" w:space="0" w:color="auto"/>
        <w:bottom w:val="none" w:sz="0" w:space="0" w:color="auto"/>
        <w:right w:val="none" w:sz="0" w:space="0" w:color="auto"/>
      </w:divBdr>
    </w:div>
    <w:div w:id="301228176">
      <w:bodyDiv w:val="1"/>
      <w:marLeft w:val="0"/>
      <w:marRight w:val="0"/>
      <w:marTop w:val="0"/>
      <w:marBottom w:val="0"/>
      <w:divBdr>
        <w:top w:val="none" w:sz="0" w:space="0" w:color="auto"/>
        <w:left w:val="none" w:sz="0" w:space="0" w:color="auto"/>
        <w:bottom w:val="none" w:sz="0" w:space="0" w:color="auto"/>
        <w:right w:val="none" w:sz="0" w:space="0" w:color="auto"/>
      </w:divBdr>
    </w:div>
    <w:div w:id="306280723">
      <w:bodyDiv w:val="1"/>
      <w:marLeft w:val="0"/>
      <w:marRight w:val="0"/>
      <w:marTop w:val="0"/>
      <w:marBottom w:val="0"/>
      <w:divBdr>
        <w:top w:val="none" w:sz="0" w:space="0" w:color="auto"/>
        <w:left w:val="none" w:sz="0" w:space="0" w:color="auto"/>
        <w:bottom w:val="none" w:sz="0" w:space="0" w:color="auto"/>
        <w:right w:val="none" w:sz="0" w:space="0" w:color="auto"/>
      </w:divBdr>
    </w:div>
    <w:div w:id="331568539">
      <w:bodyDiv w:val="1"/>
      <w:marLeft w:val="0"/>
      <w:marRight w:val="0"/>
      <w:marTop w:val="0"/>
      <w:marBottom w:val="0"/>
      <w:divBdr>
        <w:top w:val="none" w:sz="0" w:space="0" w:color="auto"/>
        <w:left w:val="none" w:sz="0" w:space="0" w:color="auto"/>
        <w:bottom w:val="none" w:sz="0" w:space="0" w:color="auto"/>
        <w:right w:val="none" w:sz="0" w:space="0" w:color="auto"/>
      </w:divBdr>
    </w:div>
    <w:div w:id="341317705">
      <w:bodyDiv w:val="1"/>
      <w:marLeft w:val="0"/>
      <w:marRight w:val="0"/>
      <w:marTop w:val="0"/>
      <w:marBottom w:val="0"/>
      <w:divBdr>
        <w:top w:val="none" w:sz="0" w:space="0" w:color="auto"/>
        <w:left w:val="none" w:sz="0" w:space="0" w:color="auto"/>
        <w:bottom w:val="none" w:sz="0" w:space="0" w:color="auto"/>
        <w:right w:val="none" w:sz="0" w:space="0" w:color="auto"/>
      </w:divBdr>
    </w:div>
    <w:div w:id="342636116">
      <w:bodyDiv w:val="1"/>
      <w:marLeft w:val="0"/>
      <w:marRight w:val="0"/>
      <w:marTop w:val="0"/>
      <w:marBottom w:val="0"/>
      <w:divBdr>
        <w:top w:val="none" w:sz="0" w:space="0" w:color="auto"/>
        <w:left w:val="none" w:sz="0" w:space="0" w:color="auto"/>
        <w:bottom w:val="none" w:sz="0" w:space="0" w:color="auto"/>
        <w:right w:val="none" w:sz="0" w:space="0" w:color="auto"/>
      </w:divBdr>
    </w:div>
    <w:div w:id="363671911">
      <w:bodyDiv w:val="1"/>
      <w:marLeft w:val="0"/>
      <w:marRight w:val="0"/>
      <w:marTop w:val="0"/>
      <w:marBottom w:val="0"/>
      <w:divBdr>
        <w:top w:val="none" w:sz="0" w:space="0" w:color="auto"/>
        <w:left w:val="none" w:sz="0" w:space="0" w:color="auto"/>
        <w:bottom w:val="none" w:sz="0" w:space="0" w:color="auto"/>
        <w:right w:val="none" w:sz="0" w:space="0" w:color="auto"/>
      </w:divBdr>
    </w:div>
    <w:div w:id="367295465">
      <w:bodyDiv w:val="1"/>
      <w:marLeft w:val="0"/>
      <w:marRight w:val="0"/>
      <w:marTop w:val="0"/>
      <w:marBottom w:val="0"/>
      <w:divBdr>
        <w:top w:val="none" w:sz="0" w:space="0" w:color="auto"/>
        <w:left w:val="none" w:sz="0" w:space="0" w:color="auto"/>
        <w:bottom w:val="none" w:sz="0" w:space="0" w:color="auto"/>
        <w:right w:val="none" w:sz="0" w:space="0" w:color="auto"/>
      </w:divBdr>
    </w:div>
    <w:div w:id="382140679">
      <w:bodyDiv w:val="1"/>
      <w:marLeft w:val="0"/>
      <w:marRight w:val="0"/>
      <w:marTop w:val="0"/>
      <w:marBottom w:val="0"/>
      <w:divBdr>
        <w:top w:val="none" w:sz="0" w:space="0" w:color="auto"/>
        <w:left w:val="none" w:sz="0" w:space="0" w:color="auto"/>
        <w:bottom w:val="none" w:sz="0" w:space="0" w:color="auto"/>
        <w:right w:val="none" w:sz="0" w:space="0" w:color="auto"/>
      </w:divBdr>
    </w:div>
    <w:div w:id="410198869">
      <w:bodyDiv w:val="1"/>
      <w:marLeft w:val="0"/>
      <w:marRight w:val="0"/>
      <w:marTop w:val="0"/>
      <w:marBottom w:val="0"/>
      <w:divBdr>
        <w:top w:val="none" w:sz="0" w:space="0" w:color="auto"/>
        <w:left w:val="none" w:sz="0" w:space="0" w:color="auto"/>
        <w:bottom w:val="none" w:sz="0" w:space="0" w:color="auto"/>
        <w:right w:val="none" w:sz="0" w:space="0" w:color="auto"/>
      </w:divBdr>
    </w:div>
    <w:div w:id="450631097">
      <w:bodyDiv w:val="1"/>
      <w:marLeft w:val="0"/>
      <w:marRight w:val="0"/>
      <w:marTop w:val="0"/>
      <w:marBottom w:val="0"/>
      <w:divBdr>
        <w:top w:val="none" w:sz="0" w:space="0" w:color="auto"/>
        <w:left w:val="none" w:sz="0" w:space="0" w:color="auto"/>
        <w:bottom w:val="none" w:sz="0" w:space="0" w:color="auto"/>
        <w:right w:val="none" w:sz="0" w:space="0" w:color="auto"/>
      </w:divBdr>
    </w:div>
    <w:div w:id="461845971">
      <w:bodyDiv w:val="1"/>
      <w:marLeft w:val="0"/>
      <w:marRight w:val="0"/>
      <w:marTop w:val="0"/>
      <w:marBottom w:val="0"/>
      <w:divBdr>
        <w:top w:val="none" w:sz="0" w:space="0" w:color="auto"/>
        <w:left w:val="none" w:sz="0" w:space="0" w:color="auto"/>
        <w:bottom w:val="none" w:sz="0" w:space="0" w:color="auto"/>
        <w:right w:val="none" w:sz="0" w:space="0" w:color="auto"/>
      </w:divBdr>
    </w:div>
    <w:div w:id="464474631">
      <w:bodyDiv w:val="1"/>
      <w:marLeft w:val="0"/>
      <w:marRight w:val="0"/>
      <w:marTop w:val="0"/>
      <w:marBottom w:val="0"/>
      <w:divBdr>
        <w:top w:val="none" w:sz="0" w:space="0" w:color="auto"/>
        <w:left w:val="none" w:sz="0" w:space="0" w:color="auto"/>
        <w:bottom w:val="none" w:sz="0" w:space="0" w:color="auto"/>
        <w:right w:val="none" w:sz="0" w:space="0" w:color="auto"/>
      </w:divBdr>
    </w:div>
    <w:div w:id="505679257">
      <w:bodyDiv w:val="1"/>
      <w:marLeft w:val="0"/>
      <w:marRight w:val="0"/>
      <w:marTop w:val="0"/>
      <w:marBottom w:val="0"/>
      <w:divBdr>
        <w:top w:val="none" w:sz="0" w:space="0" w:color="auto"/>
        <w:left w:val="none" w:sz="0" w:space="0" w:color="auto"/>
        <w:bottom w:val="none" w:sz="0" w:space="0" w:color="auto"/>
        <w:right w:val="none" w:sz="0" w:space="0" w:color="auto"/>
      </w:divBdr>
    </w:div>
    <w:div w:id="530846029">
      <w:bodyDiv w:val="1"/>
      <w:marLeft w:val="0"/>
      <w:marRight w:val="0"/>
      <w:marTop w:val="0"/>
      <w:marBottom w:val="0"/>
      <w:divBdr>
        <w:top w:val="none" w:sz="0" w:space="0" w:color="auto"/>
        <w:left w:val="none" w:sz="0" w:space="0" w:color="auto"/>
        <w:bottom w:val="none" w:sz="0" w:space="0" w:color="auto"/>
        <w:right w:val="none" w:sz="0" w:space="0" w:color="auto"/>
      </w:divBdr>
    </w:div>
    <w:div w:id="534777953">
      <w:bodyDiv w:val="1"/>
      <w:marLeft w:val="0"/>
      <w:marRight w:val="0"/>
      <w:marTop w:val="0"/>
      <w:marBottom w:val="0"/>
      <w:divBdr>
        <w:top w:val="none" w:sz="0" w:space="0" w:color="auto"/>
        <w:left w:val="none" w:sz="0" w:space="0" w:color="auto"/>
        <w:bottom w:val="none" w:sz="0" w:space="0" w:color="auto"/>
        <w:right w:val="none" w:sz="0" w:space="0" w:color="auto"/>
      </w:divBdr>
    </w:div>
    <w:div w:id="550309751">
      <w:bodyDiv w:val="1"/>
      <w:marLeft w:val="0"/>
      <w:marRight w:val="0"/>
      <w:marTop w:val="0"/>
      <w:marBottom w:val="0"/>
      <w:divBdr>
        <w:top w:val="none" w:sz="0" w:space="0" w:color="auto"/>
        <w:left w:val="none" w:sz="0" w:space="0" w:color="auto"/>
        <w:bottom w:val="none" w:sz="0" w:space="0" w:color="auto"/>
        <w:right w:val="none" w:sz="0" w:space="0" w:color="auto"/>
      </w:divBdr>
    </w:div>
    <w:div w:id="553010430">
      <w:bodyDiv w:val="1"/>
      <w:marLeft w:val="0"/>
      <w:marRight w:val="0"/>
      <w:marTop w:val="0"/>
      <w:marBottom w:val="0"/>
      <w:divBdr>
        <w:top w:val="none" w:sz="0" w:space="0" w:color="auto"/>
        <w:left w:val="none" w:sz="0" w:space="0" w:color="auto"/>
        <w:bottom w:val="none" w:sz="0" w:space="0" w:color="auto"/>
        <w:right w:val="none" w:sz="0" w:space="0" w:color="auto"/>
      </w:divBdr>
    </w:div>
    <w:div w:id="554513354">
      <w:bodyDiv w:val="1"/>
      <w:marLeft w:val="0"/>
      <w:marRight w:val="0"/>
      <w:marTop w:val="0"/>
      <w:marBottom w:val="0"/>
      <w:divBdr>
        <w:top w:val="none" w:sz="0" w:space="0" w:color="auto"/>
        <w:left w:val="none" w:sz="0" w:space="0" w:color="auto"/>
        <w:bottom w:val="none" w:sz="0" w:space="0" w:color="auto"/>
        <w:right w:val="none" w:sz="0" w:space="0" w:color="auto"/>
      </w:divBdr>
    </w:div>
    <w:div w:id="557983844">
      <w:bodyDiv w:val="1"/>
      <w:marLeft w:val="0"/>
      <w:marRight w:val="0"/>
      <w:marTop w:val="0"/>
      <w:marBottom w:val="0"/>
      <w:divBdr>
        <w:top w:val="none" w:sz="0" w:space="0" w:color="auto"/>
        <w:left w:val="none" w:sz="0" w:space="0" w:color="auto"/>
        <w:bottom w:val="none" w:sz="0" w:space="0" w:color="auto"/>
        <w:right w:val="none" w:sz="0" w:space="0" w:color="auto"/>
      </w:divBdr>
    </w:div>
    <w:div w:id="562832179">
      <w:bodyDiv w:val="1"/>
      <w:marLeft w:val="0"/>
      <w:marRight w:val="0"/>
      <w:marTop w:val="0"/>
      <w:marBottom w:val="0"/>
      <w:divBdr>
        <w:top w:val="none" w:sz="0" w:space="0" w:color="auto"/>
        <w:left w:val="none" w:sz="0" w:space="0" w:color="auto"/>
        <w:bottom w:val="none" w:sz="0" w:space="0" w:color="auto"/>
        <w:right w:val="none" w:sz="0" w:space="0" w:color="auto"/>
      </w:divBdr>
    </w:div>
    <w:div w:id="616526436">
      <w:bodyDiv w:val="1"/>
      <w:marLeft w:val="0"/>
      <w:marRight w:val="0"/>
      <w:marTop w:val="0"/>
      <w:marBottom w:val="0"/>
      <w:divBdr>
        <w:top w:val="none" w:sz="0" w:space="0" w:color="auto"/>
        <w:left w:val="none" w:sz="0" w:space="0" w:color="auto"/>
        <w:bottom w:val="none" w:sz="0" w:space="0" w:color="auto"/>
        <w:right w:val="none" w:sz="0" w:space="0" w:color="auto"/>
      </w:divBdr>
    </w:div>
    <w:div w:id="627589088">
      <w:bodyDiv w:val="1"/>
      <w:marLeft w:val="0"/>
      <w:marRight w:val="0"/>
      <w:marTop w:val="0"/>
      <w:marBottom w:val="0"/>
      <w:divBdr>
        <w:top w:val="none" w:sz="0" w:space="0" w:color="auto"/>
        <w:left w:val="none" w:sz="0" w:space="0" w:color="auto"/>
        <w:bottom w:val="none" w:sz="0" w:space="0" w:color="auto"/>
        <w:right w:val="none" w:sz="0" w:space="0" w:color="auto"/>
      </w:divBdr>
    </w:div>
    <w:div w:id="651718989">
      <w:bodyDiv w:val="1"/>
      <w:marLeft w:val="0"/>
      <w:marRight w:val="0"/>
      <w:marTop w:val="0"/>
      <w:marBottom w:val="0"/>
      <w:divBdr>
        <w:top w:val="none" w:sz="0" w:space="0" w:color="auto"/>
        <w:left w:val="none" w:sz="0" w:space="0" w:color="auto"/>
        <w:bottom w:val="none" w:sz="0" w:space="0" w:color="auto"/>
        <w:right w:val="none" w:sz="0" w:space="0" w:color="auto"/>
      </w:divBdr>
    </w:div>
    <w:div w:id="655452728">
      <w:bodyDiv w:val="1"/>
      <w:marLeft w:val="0"/>
      <w:marRight w:val="0"/>
      <w:marTop w:val="0"/>
      <w:marBottom w:val="0"/>
      <w:divBdr>
        <w:top w:val="none" w:sz="0" w:space="0" w:color="auto"/>
        <w:left w:val="none" w:sz="0" w:space="0" w:color="auto"/>
        <w:bottom w:val="none" w:sz="0" w:space="0" w:color="auto"/>
        <w:right w:val="none" w:sz="0" w:space="0" w:color="auto"/>
      </w:divBdr>
    </w:div>
    <w:div w:id="672605946">
      <w:bodyDiv w:val="1"/>
      <w:marLeft w:val="0"/>
      <w:marRight w:val="0"/>
      <w:marTop w:val="0"/>
      <w:marBottom w:val="0"/>
      <w:divBdr>
        <w:top w:val="none" w:sz="0" w:space="0" w:color="auto"/>
        <w:left w:val="none" w:sz="0" w:space="0" w:color="auto"/>
        <w:bottom w:val="none" w:sz="0" w:space="0" w:color="auto"/>
        <w:right w:val="none" w:sz="0" w:space="0" w:color="auto"/>
      </w:divBdr>
    </w:div>
    <w:div w:id="678313861">
      <w:bodyDiv w:val="1"/>
      <w:marLeft w:val="0"/>
      <w:marRight w:val="0"/>
      <w:marTop w:val="0"/>
      <w:marBottom w:val="0"/>
      <w:divBdr>
        <w:top w:val="none" w:sz="0" w:space="0" w:color="auto"/>
        <w:left w:val="none" w:sz="0" w:space="0" w:color="auto"/>
        <w:bottom w:val="none" w:sz="0" w:space="0" w:color="auto"/>
        <w:right w:val="none" w:sz="0" w:space="0" w:color="auto"/>
      </w:divBdr>
    </w:div>
    <w:div w:id="711880193">
      <w:bodyDiv w:val="1"/>
      <w:marLeft w:val="0"/>
      <w:marRight w:val="0"/>
      <w:marTop w:val="0"/>
      <w:marBottom w:val="0"/>
      <w:divBdr>
        <w:top w:val="none" w:sz="0" w:space="0" w:color="auto"/>
        <w:left w:val="none" w:sz="0" w:space="0" w:color="auto"/>
        <w:bottom w:val="none" w:sz="0" w:space="0" w:color="auto"/>
        <w:right w:val="none" w:sz="0" w:space="0" w:color="auto"/>
      </w:divBdr>
    </w:div>
    <w:div w:id="743843805">
      <w:bodyDiv w:val="1"/>
      <w:marLeft w:val="0"/>
      <w:marRight w:val="0"/>
      <w:marTop w:val="0"/>
      <w:marBottom w:val="0"/>
      <w:divBdr>
        <w:top w:val="none" w:sz="0" w:space="0" w:color="auto"/>
        <w:left w:val="none" w:sz="0" w:space="0" w:color="auto"/>
        <w:bottom w:val="none" w:sz="0" w:space="0" w:color="auto"/>
        <w:right w:val="none" w:sz="0" w:space="0" w:color="auto"/>
      </w:divBdr>
    </w:div>
    <w:div w:id="760836849">
      <w:bodyDiv w:val="1"/>
      <w:marLeft w:val="0"/>
      <w:marRight w:val="0"/>
      <w:marTop w:val="0"/>
      <w:marBottom w:val="0"/>
      <w:divBdr>
        <w:top w:val="none" w:sz="0" w:space="0" w:color="auto"/>
        <w:left w:val="none" w:sz="0" w:space="0" w:color="auto"/>
        <w:bottom w:val="none" w:sz="0" w:space="0" w:color="auto"/>
        <w:right w:val="none" w:sz="0" w:space="0" w:color="auto"/>
      </w:divBdr>
    </w:div>
    <w:div w:id="763695652">
      <w:bodyDiv w:val="1"/>
      <w:marLeft w:val="0"/>
      <w:marRight w:val="0"/>
      <w:marTop w:val="0"/>
      <w:marBottom w:val="0"/>
      <w:divBdr>
        <w:top w:val="none" w:sz="0" w:space="0" w:color="auto"/>
        <w:left w:val="none" w:sz="0" w:space="0" w:color="auto"/>
        <w:bottom w:val="none" w:sz="0" w:space="0" w:color="auto"/>
        <w:right w:val="none" w:sz="0" w:space="0" w:color="auto"/>
      </w:divBdr>
    </w:div>
    <w:div w:id="792401168">
      <w:bodyDiv w:val="1"/>
      <w:marLeft w:val="0"/>
      <w:marRight w:val="0"/>
      <w:marTop w:val="0"/>
      <w:marBottom w:val="0"/>
      <w:divBdr>
        <w:top w:val="none" w:sz="0" w:space="0" w:color="auto"/>
        <w:left w:val="none" w:sz="0" w:space="0" w:color="auto"/>
        <w:bottom w:val="none" w:sz="0" w:space="0" w:color="auto"/>
        <w:right w:val="none" w:sz="0" w:space="0" w:color="auto"/>
      </w:divBdr>
    </w:div>
    <w:div w:id="849104542">
      <w:bodyDiv w:val="1"/>
      <w:marLeft w:val="0"/>
      <w:marRight w:val="0"/>
      <w:marTop w:val="0"/>
      <w:marBottom w:val="0"/>
      <w:divBdr>
        <w:top w:val="none" w:sz="0" w:space="0" w:color="auto"/>
        <w:left w:val="none" w:sz="0" w:space="0" w:color="auto"/>
        <w:bottom w:val="none" w:sz="0" w:space="0" w:color="auto"/>
        <w:right w:val="none" w:sz="0" w:space="0" w:color="auto"/>
      </w:divBdr>
    </w:div>
    <w:div w:id="874007038">
      <w:bodyDiv w:val="1"/>
      <w:marLeft w:val="0"/>
      <w:marRight w:val="0"/>
      <w:marTop w:val="0"/>
      <w:marBottom w:val="0"/>
      <w:divBdr>
        <w:top w:val="none" w:sz="0" w:space="0" w:color="auto"/>
        <w:left w:val="none" w:sz="0" w:space="0" w:color="auto"/>
        <w:bottom w:val="none" w:sz="0" w:space="0" w:color="auto"/>
        <w:right w:val="none" w:sz="0" w:space="0" w:color="auto"/>
      </w:divBdr>
    </w:div>
    <w:div w:id="890188719">
      <w:bodyDiv w:val="1"/>
      <w:marLeft w:val="0"/>
      <w:marRight w:val="0"/>
      <w:marTop w:val="0"/>
      <w:marBottom w:val="0"/>
      <w:divBdr>
        <w:top w:val="none" w:sz="0" w:space="0" w:color="auto"/>
        <w:left w:val="none" w:sz="0" w:space="0" w:color="auto"/>
        <w:bottom w:val="none" w:sz="0" w:space="0" w:color="auto"/>
        <w:right w:val="none" w:sz="0" w:space="0" w:color="auto"/>
      </w:divBdr>
    </w:div>
    <w:div w:id="900596660">
      <w:bodyDiv w:val="1"/>
      <w:marLeft w:val="0"/>
      <w:marRight w:val="0"/>
      <w:marTop w:val="0"/>
      <w:marBottom w:val="0"/>
      <w:divBdr>
        <w:top w:val="none" w:sz="0" w:space="0" w:color="auto"/>
        <w:left w:val="none" w:sz="0" w:space="0" w:color="auto"/>
        <w:bottom w:val="none" w:sz="0" w:space="0" w:color="auto"/>
        <w:right w:val="none" w:sz="0" w:space="0" w:color="auto"/>
      </w:divBdr>
    </w:div>
    <w:div w:id="902109023">
      <w:bodyDiv w:val="1"/>
      <w:marLeft w:val="0"/>
      <w:marRight w:val="0"/>
      <w:marTop w:val="0"/>
      <w:marBottom w:val="0"/>
      <w:divBdr>
        <w:top w:val="none" w:sz="0" w:space="0" w:color="auto"/>
        <w:left w:val="none" w:sz="0" w:space="0" w:color="auto"/>
        <w:bottom w:val="none" w:sz="0" w:space="0" w:color="auto"/>
        <w:right w:val="none" w:sz="0" w:space="0" w:color="auto"/>
      </w:divBdr>
      <w:divsChild>
        <w:div w:id="1480801195">
          <w:marLeft w:val="547"/>
          <w:marRight w:val="0"/>
          <w:marTop w:val="0"/>
          <w:marBottom w:val="0"/>
          <w:divBdr>
            <w:top w:val="none" w:sz="0" w:space="0" w:color="auto"/>
            <w:left w:val="none" w:sz="0" w:space="0" w:color="auto"/>
            <w:bottom w:val="none" w:sz="0" w:space="0" w:color="auto"/>
            <w:right w:val="none" w:sz="0" w:space="0" w:color="auto"/>
          </w:divBdr>
        </w:div>
      </w:divsChild>
    </w:div>
    <w:div w:id="911239937">
      <w:bodyDiv w:val="1"/>
      <w:marLeft w:val="0"/>
      <w:marRight w:val="0"/>
      <w:marTop w:val="0"/>
      <w:marBottom w:val="0"/>
      <w:divBdr>
        <w:top w:val="none" w:sz="0" w:space="0" w:color="auto"/>
        <w:left w:val="none" w:sz="0" w:space="0" w:color="auto"/>
        <w:bottom w:val="none" w:sz="0" w:space="0" w:color="auto"/>
        <w:right w:val="none" w:sz="0" w:space="0" w:color="auto"/>
      </w:divBdr>
    </w:div>
    <w:div w:id="920065238">
      <w:bodyDiv w:val="1"/>
      <w:marLeft w:val="0"/>
      <w:marRight w:val="0"/>
      <w:marTop w:val="0"/>
      <w:marBottom w:val="0"/>
      <w:divBdr>
        <w:top w:val="none" w:sz="0" w:space="0" w:color="auto"/>
        <w:left w:val="none" w:sz="0" w:space="0" w:color="auto"/>
        <w:bottom w:val="none" w:sz="0" w:space="0" w:color="auto"/>
        <w:right w:val="none" w:sz="0" w:space="0" w:color="auto"/>
      </w:divBdr>
    </w:div>
    <w:div w:id="923341582">
      <w:bodyDiv w:val="1"/>
      <w:marLeft w:val="0"/>
      <w:marRight w:val="0"/>
      <w:marTop w:val="0"/>
      <w:marBottom w:val="0"/>
      <w:divBdr>
        <w:top w:val="none" w:sz="0" w:space="0" w:color="auto"/>
        <w:left w:val="none" w:sz="0" w:space="0" w:color="auto"/>
        <w:bottom w:val="none" w:sz="0" w:space="0" w:color="auto"/>
        <w:right w:val="none" w:sz="0" w:space="0" w:color="auto"/>
      </w:divBdr>
    </w:div>
    <w:div w:id="932855071">
      <w:bodyDiv w:val="1"/>
      <w:marLeft w:val="0"/>
      <w:marRight w:val="0"/>
      <w:marTop w:val="0"/>
      <w:marBottom w:val="0"/>
      <w:divBdr>
        <w:top w:val="none" w:sz="0" w:space="0" w:color="auto"/>
        <w:left w:val="none" w:sz="0" w:space="0" w:color="auto"/>
        <w:bottom w:val="none" w:sz="0" w:space="0" w:color="auto"/>
        <w:right w:val="none" w:sz="0" w:space="0" w:color="auto"/>
      </w:divBdr>
    </w:div>
    <w:div w:id="932906743">
      <w:bodyDiv w:val="1"/>
      <w:marLeft w:val="0"/>
      <w:marRight w:val="0"/>
      <w:marTop w:val="0"/>
      <w:marBottom w:val="0"/>
      <w:divBdr>
        <w:top w:val="none" w:sz="0" w:space="0" w:color="auto"/>
        <w:left w:val="none" w:sz="0" w:space="0" w:color="auto"/>
        <w:bottom w:val="none" w:sz="0" w:space="0" w:color="auto"/>
        <w:right w:val="none" w:sz="0" w:space="0" w:color="auto"/>
      </w:divBdr>
    </w:div>
    <w:div w:id="942882710">
      <w:bodyDiv w:val="1"/>
      <w:marLeft w:val="0"/>
      <w:marRight w:val="0"/>
      <w:marTop w:val="0"/>
      <w:marBottom w:val="0"/>
      <w:divBdr>
        <w:top w:val="none" w:sz="0" w:space="0" w:color="auto"/>
        <w:left w:val="none" w:sz="0" w:space="0" w:color="auto"/>
        <w:bottom w:val="none" w:sz="0" w:space="0" w:color="auto"/>
        <w:right w:val="none" w:sz="0" w:space="0" w:color="auto"/>
      </w:divBdr>
    </w:div>
    <w:div w:id="949552606">
      <w:bodyDiv w:val="1"/>
      <w:marLeft w:val="0"/>
      <w:marRight w:val="0"/>
      <w:marTop w:val="0"/>
      <w:marBottom w:val="0"/>
      <w:divBdr>
        <w:top w:val="none" w:sz="0" w:space="0" w:color="auto"/>
        <w:left w:val="none" w:sz="0" w:space="0" w:color="auto"/>
        <w:bottom w:val="none" w:sz="0" w:space="0" w:color="auto"/>
        <w:right w:val="none" w:sz="0" w:space="0" w:color="auto"/>
      </w:divBdr>
    </w:div>
    <w:div w:id="953025268">
      <w:bodyDiv w:val="1"/>
      <w:marLeft w:val="0"/>
      <w:marRight w:val="0"/>
      <w:marTop w:val="0"/>
      <w:marBottom w:val="0"/>
      <w:divBdr>
        <w:top w:val="none" w:sz="0" w:space="0" w:color="auto"/>
        <w:left w:val="none" w:sz="0" w:space="0" w:color="auto"/>
        <w:bottom w:val="none" w:sz="0" w:space="0" w:color="auto"/>
        <w:right w:val="none" w:sz="0" w:space="0" w:color="auto"/>
      </w:divBdr>
      <w:divsChild>
        <w:div w:id="356277799">
          <w:marLeft w:val="547"/>
          <w:marRight w:val="0"/>
          <w:marTop w:val="0"/>
          <w:marBottom w:val="0"/>
          <w:divBdr>
            <w:top w:val="none" w:sz="0" w:space="0" w:color="auto"/>
            <w:left w:val="none" w:sz="0" w:space="0" w:color="auto"/>
            <w:bottom w:val="none" w:sz="0" w:space="0" w:color="auto"/>
            <w:right w:val="none" w:sz="0" w:space="0" w:color="auto"/>
          </w:divBdr>
        </w:div>
        <w:div w:id="191303241">
          <w:marLeft w:val="547"/>
          <w:marRight w:val="0"/>
          <w:marTop w:val="0"/>
          <w:marBottom w:val="0"/>
          <w:divBdr>
            <w:top w:val="none" w:sz="0" w:space="0" w:color="auto"/>
            <w:left w:val="none" w:sz="0" w:space="0" w:color="auto"/>
            <w:bottom w:val="none" w:sz="0" w:space="0" w:color="auto"/>
            <w:right w:val="none" w:sz="0" w:space="0" w:color="auto"/>
          </w:divBdr>
        </w:div>
        <w:div w:id="664162144">
          <w:marLeft w:val="547"/>
          <w:marRight w:val="0"/>
          <w:marTop w:val="0"/>
          <w:marBottom w:val="0"/>
          <w:divBdr>
            <w:top w:val="none" w:sz="0" w:space="0" w:color="auto"/>
            <w:left w:val="none" w:sz="0" w:space="0" w:color="auto"/>
            <w:bottom w:val="none" w:sz="0" w:space="0" w:color="auto"/>
            <w:right w:val="none" w:sz="0" w:space="0" w:color="auto"/>
          </w:divBdr>
        </w:div>
      </w:divsChild>
    </w:div>
    <w:div w:id="970096415">
      <w:bodyDiv w:val="1"/>
      <w:marLeft w:val="0"/>
      <w:marRight w:val="0"/>
      <w:marTop w:val="0"/>
      <w:marBottom w:val="0"/>
      <w:divBdr>
        <w:top w:val="none" w:sz="0" w:space="0" w:color="auto"/>
        <w:left w:val="none" w:sz="0" w:space="0" w:color="auto"/>
        <w:bottom w:val="none" w:sz="0" w:space="0" w:color="auto"/>
        <w:right w:val="none" w:sz="0" w:space="0" w:color="auto"/>
      </w:divBdr>
    </w:div>
    <w:div w:id="971055360">
      <w:bodyDiv w:val="1"/>
      <w:marLeft w:val="0"/>
      <w:marRight w:val="0"/>
      <w:marTop w:val="0"/>
      <w:marBottom w:val="0"/>
      <w:divBdr>
        <w:top w:val="none" w:sz="0" w:space="0" w:color="auto"/>
        <w:left w:val="none" w:sz="0" w:space="0" w:color="auto"/>
        <w:bottom w:val="none" w:sz="0" w:space="0" w:color="auto"/>
        <w:right w:val="none" w:sz="0" w:space="0" w:color="auto"/>
      </w:divBdr>
    </w:div>
    <w:div w:id="972714582">
      <w:bodyDiv w:val="1"/>
      <w:marLeft w:val="0"/>
      <w:marRight w:val="0"/>
      <w:marTop w:val="0"/>
      <w:marBottom w:val="0"/>
      <w:divBdr>
        <w:top w:val="none" w:sz="0" w:space="0" w:color="auto"/>
        <w:left w:val="none" w:sz="0" w:space="0" w:color="auto"/>
        <w:bottom w:val="none" w:sz="0" w:space="0" w:color="auto"/>
        <w:right w:val="none" w:sz="0" w:space="0" w:color="auto"/>
      </w:divBdr>
    </w:div>
    <w:div w:id="980886721">
      <w:bodyDiv w:val="1"/>
      <w:marLeft w:val="0"/>
      <w:marRight w:val="0"/>
      <w:marTop w:val="0"/>
      <w:marBottom w:val="0"/>
      <w:divBdr>
        <w:top w:val="none" w:sz="0" w:space="0" w:color="auto"/>
        <w:left w:val="none" w:sz="0" w:space="0" w:color="auto"/>
        <w:bottom w:val="none" w:sz="0" w:space="0" w:color="auto"/>
        <w:right w:val="none" w:sz="0" w:space="0" w:color="auto"/>
      </w:divBdr>
    </w:div>
    <w:div w:id="983267600">
      <w:bodyDiv w:val="1"/>
      <w:marLeft w:val="0"/>
      <w:marRight w:val="0"/>
      <w:marTop w:val="0"/>
      <w:marBottom w:val="0"/>
      <w:divBdr>
        <w:top w:val="none" w:sz="0" w:space="0" w:color="auto"/>
        <w:left w:val="none" w:sz="0" w:space="0" w:color="auto"/>
        <w:bottom w:val="none" w:sz="0" w:space="0" w:color="auto"/>
        <w:right w:val="none" w:sz="0" w:space="0" w:color="auto"/>
      </w:divBdr>
    </w:div>
    <w:div w:id="984552931">
      <w:bodyDiv w:val="1"/>
      <w:marLeft w:val="0"/>
      <w:marRight w:val="0"/>
      <w:marTop w:val="0"/>
      <w:marBottom w:val="0"/>
      <w:divBdr>
        <w:top w:val="none" w:sz="0" w:space="0" w:color="auto"/>
        <w:left w:val="none" w:sz="0" w:space="0" w:color="auto"/>
        <w:bottom w:val="none" w:sz="0" w:space="0" w:color="auto"/>
        <w:right w:val="none" w:sz="0" w:space="0" w:color="auto"/>
      </w:divBdr>
    </w:div>
    <w:div w:id="984820580">
      <w:bodyDiv w:val="1"/>
      <w:marLeft w:val="0"/>
      <w:marRight w:val="0"/>
      <w:marTop w:val="0"/>
      <w:marBottom w:val="0"/>
      <w:divBdr>
        <w:top w:val="none" w:sz="0" w:space="0" w:color="auto"/>
        <w:left w:val="none" w:sz="0" w:space="0" w:color="auto"/>
        <w:bottom w:val="none" w:sz="0" w:space="0" w:color="auto"/>
        <w:right w:val="none" w:sz="0" w:space="0" w:color="auto"/>
      </w:divBdr>
      <w:divsChild>
        <w:div w:id="1014723003">
          <w:marLeft w:val="547"/>
          <w:marRight w:val="0"/>
          <w:marTop w:val="0"/>
          <w:marBottom w:val="0"/>
          <w:divBdr>
            <w:top w:val="none" w:sz="0" w:space="0" w:color="auto"/>
            <w:left w:val="none" w:sz="0" w:space="0" w:color="auto"/>
            <w:bottom w:val="none" w:sz="0" w:space="0" w:color="auto"/>
            <w:right w:val="none" w:sz="0" w:space="0" w:color="auto"/>
          </w:divBdr>
        </w:div>
        <w:div w:id="1030181644">
          <w:marLeft w:val="547"/>
          <w:marRight w:val="0"/>
          <w:marTop w:val="0"/>
          <w:marBottom w:val="0"/>
          <w:divBdr>
            <w:top w:val="none" w:sz="0" w:space="0" w:color="auto"/>
            <w:left w:val="none" w:sz="0" w:space="0" w:color="auto"/>
            <w:bottom w:val="none" w:sz="0" w:space="0" w:color="auto"/>
            <w:right w:val="none" w:sz="0" w:space="0" w:color="auto"/>
          </w:divBdr>
        </w:div>
        <w:div w:id="1225531309">
          <w:marLeft w:val="547"/>
          <w:marRight w:val="0"/>
          <w:marTop w:val="0"/>
          <w:marBottom w:val="0"/>
          <w:divBdr>
            <w:top w:val="none" w:sz="0" w:space="0" w:color="auto"/>
            <w:left w:val="none" w:sz="0" w:space="0" w:color="auto"/>
            <w:bottom w:val="none" w:sz="0" w:space="0" w:color="auto"/>
            <w:right w:val="none" w:sz="0" w:space="0" w:color="auto"/>
          </w:divBdr>
        </w:div>
      </w:divsChild>
    </w:div>
    <w:div w:id="1008941889">
      <w:bodyDiv w:val="1"/>
      <w:marLeft w:val="0"/>
      <w:marRight w:val="0"/>
      <w:marTop w:val="0"/>
      <w:marBottom w:val="0"/>
      <w:divBdr>
        <w:top w:val="none" w:sz="0" w:space="0" w:color="auto"/>
        <w:left w:val="none" w:sz="0" w:space="0" w:color="auto"/>
        <w:bottom w:val="none" w:sz="0" w:space="0" w:color="auto"/>
        <w:right w:val="none" w:sz="0" w:space="0" w:color="auto"/>
      </w:divBdr>
    </w:div>
    <w:div w:id="1029186937">
      <w:bodyDiv w:val="1"/>
      <w:marLeft w:val="0"/>
      <w:marRight w:val="0"/>
      <w:marTop w:val="0"/>
      <w:marBottom w:val="0"/>
      <w:divBdr>
        <w:top w:val="none" w:sz="0" w:space="0" w:color="auto"/>
        <w:left w:val="none" w:sz="0" w:space="0" w:color="auto"/>
        <w:bottom w:val="none" w:sz="0" w:space="0" w:color="auto"/>
        <w:right w:val="none" w:sz="0" w:space="0" w:color="auto"/>
      </w:divBdr>
    </w:div>
    <w:div w:id="1038434288">
      <w:bodyDiv w:val="1"/>
      <w:marLeft w:val="0"/>
      <w:marRight w:val="0"/>
      <w:marTop w:val="0"/>
      <w:marBottom w:val="0"/>
      <w:divBdr>
        <w:top w:val="none" w:sz="0" w:space="0" w:color="auto"/>
        <w:left w:val="none" w:sz="0" w:space="0" w:color="auto"/>
        <w:bottom w:val="none" w:sz="0" w:space="0" w:color="auto"/>
        <w:right w:val="none" w:sz="0" w:space="0" w:color="auto"/>
      </w:divBdr>
    </w:div>
    <w:div w:id="1046099813">
      <w:bodyDiv w:val="1"/>
      <w:marLeft w:val="0"/>
      <w:marRight w:val="0"/>
      <w:marTop w:val="0"/>
      <w:marBottom w:val="0"/>
      <w:divBdr>
        <w:top w:val="none" w:sz="0" w:space="0" w:color="auto"/>
        <w:left w:val="none" w:sz="0" w:space="0" w:color="auto"/>
        <w:bottom w:val="none" w:sz="0" w:space="0" w:color="auto"/>
        <w:right w:val="none" w:sz="0" w:space="0" w:color="auto"/>
      </w:divBdr>
    </w:div>
    <w:div w:id="1048333648">
      <w:bodyDiv w:val="1"/>
      <w:marLeft w:val="0"/>
      <w:marRight w:val="0"/>
      <w:marTop w:val="0"/>
      <w:marBottom w:val="0"/>
      <w:divBdr>
        <w:top w:val="none" w:sz="0" w:space="0" w:color="auto"/>
        <w:left w:val="none" w:sz="0" w:space="0" w:color="auto"/>
        <w:bottom w:val="none" w:sz="0" w:space="0" w:color="auto"/>
        <w:right w:val="none" w:sz="0" w:space="0" w:color="auto"/>
      </w:divBdr>
    </w:div>
    <w:div w:id="1105148625">
      <w:bodyDiv w:val="1"/>
      <w:marLeft w:val="0"/>
      <w:marRight w:val="0"/>
      <w:marTop w:val="0"/>
      <w:marBottom w:val="0"/>
      <w:divBdr>
        <w:top w:val="none" w:sz="0" w:space="0" w:color="auto"/>
        <w:left w:val="none" w:sz="0" w:space="0" w:color="auto"/>
        <w:bottom w:val="none" w:sz="0" w:space="0" w:color="auto"/>
        <w:right w:val="none" w:sz="0" w:space="0" w:color="auto"/>
      </w:divBdr>
    </w:div>
    <w:div w:id="1157380627">
      <w:bodyDiv w:val="1"/>
      <w:marLeft w:val="0"/>
      <w:marRight w:val="0"/>
      <w:marTop w:val="0"/>
      <w:marBottom w:val="0"/>
      <w:divBdr>
        <w:top w:val="none" w:sz="0" w:space="0" w:color="auto"/>
        <w:left w:val="none" w:sz="0" w:space="0" w:color="auto"/>
        <w:bottom w:val="none" w:sz="0" w:space="0" w:color="auto"/>
        <w:right w:val="none" w:sz="0" w:space="0" w:color="auto"/>
      </w:divBdr>
    </w:div>
    <w:div w:id="1165125687">
      <w:bodyDiv w:val="1"/>
      <w:marLeft w:val="0"/>
      <w:marRight w:val="0"/>
      <w:marTop w:val="0"/>
      <w:marBottom w:val="0"/>
      <w:divBdr>
        <w:top w:val="none" w:sz="0" w:space="0" w:color="auto"/>
        <w:left w:val="none" w:sz="0" w:space="0" w:color="auto"/>
        <w:bottom w:val="none" w:sz="0" w:space="0" w:color="auto"/>
        <w:right w:val="none" w:sz="0" w:space="0" w:color="auto"/>
      </w:divBdr>
    </w:div>
    <w:div w:id="1166556644">
      <w:bodyDiv w:val="1"/>
      <w:marLeft w:val="0"/>
      <w:marRight w:val="0"/>
      <w:marTop w:val="0"/>
      <w:marBottom w:val="0"/>
      <w:divBdr>
        <w:top w:val="none" w:sz="0" w:space="0" w:color="auto"/>
        <w:left w:val="none" w:sz="0" w:space="0" w:color="auto"/>
        <w:bottom w:val="none" w:sz="0" w:space="0" w:color="auto"/>
        <w:right w:val="none" w:sz="0" w:space="0" w:color="auto"/>
      </w:divBdr>
    </w:div>
    <w:div w:id="1175608664">
      <w:bodyDiv w:val="1"/>
      <w:marLeft w:val="0"/>
      <w:marRight w:val="0"/>
      <w:marTop w:val="0"/>
      <w:marBottom w:val="0"/>
      <w:divBdr>
        <w:top w:val="none" w:sz="0" w:space="0" w:color="auto"/>
        <w:left w:val="none" w:sz="0" w:space="0" w:color="auto"/>
        <w:bottom w:val="none" w:sz="0" w:space="0" w:color="auto"/>
        <w:right w:val="none" w:sz="0" w:space="0" w:color="auto"/>
      </w:divBdr>
    </w:div>
    <w:div w:id="1212576613">
      <w:bodyDiv w:val="1"/>
      <w:marLeft w:val="0"/>
      <w:marRight w:val="0"/>
      <w:marTop w:val="0"/>
      <w:marBottom w:val="0"/>
      <w:divBdr>
        <w:top w:val="none" w:sz="0" w:space="0" w:color="auto"/>
        <w:left w:val="none" w:sz="0" w:space="0" w:color="auto"/>
        <w:bottom w:val="none" w:sz="0" w:space="0" w:color="auto"/>
        <w:right w:val="none" w:sz="0" w:space="0" w:color="auto"/>
      </w:divBdr>
    </w:div>
    <w:div w:id="1227840992">
      <w:bodyDiv w:val="1"/>
      <w:marLeft w:val="0"/>
      <w:marRight w:val="0"/>
      <w:marTop w:val="0"/>
      <w:marBottom w:val="0"/>
      <w:divBdr>
        <w:top w:val="none" w:sz="0" w:space="0" w:color="auto"/>
        <w:left w:val="none" w:sz="0" w:space="0" w:color="auto"/>
        <w:bottom w:val="none" w:sz="0" w:space="0" w:color="auto"/>
        <w:right w:val="none" w:sz="0" w:space="0" w:color="auto"/>
      </w:divBdr>
    </w:div>
    <w:div w:id="1229266167">
      <w:bodyDiv w:val="1"/>
      <w:marLeft w:val="0"/>
      <w:marRight w:val="0"/>
      <w:marTop w:val="0"/>
      <w:marBottom w:val="0"/>
      <w:divBdr>
        <w:top w:val="none" w:sz="0" w:space="0" w:color="auto"/>
        <w:left w:val="none" w:sz="0" w:space="0" w:color="auto"/>
        <w:bottom w:val="none" w:sz="0" w:space="0" w:color="auto"/>
        <w:right w:val="none" w:sz="0" w:space="0" w:color="auto"/>
      </w:divBdr>
    </w:div>
    <w:div w:id="1230728058">
      <w:bodyDiv w:val="1"/>
      <w:marLeft w:val="0"/>
      <w:marRight w:val="0"/>
      <w:marTop w:val="0"/>
      <w:marBottom w:val="0"/>
      <w:divBdr>
        <w:top w:val="none" w:sz="0" w:space="0" w:color="auto"/>
        <w:left w:val="none" w:sz="0" w:space="0" w:color="auto"/>
        <w:bottom w:val="none" w:sz="0" w:space="0" w:color="auto"/>
        <w:right w:val="none" w:sz="0" w:space="0" w:color="auto"/>
      </w:divBdr>
    </w:div>
    <w:div w:id="1237856250">
      <w:bodyDiv w:val="1"/>
      <w:marLeft w:val="0"/>
      <w:marRight w:val="0"/>
      <w:marTop w:val="0"/>
      <w:marBottom w:val="0"/>
      <w:divBdr>
        <w:top w:val="none" w:sz="0" w:space="0" w:color="auto"/>
        <w:left w:val="none" w:sz="0" w:space="0" w:color="auto"/>
        <w:bottom w:val="none" w:sz="0" w:space="0" w:color="auto"/>
        <w:right w:val="none" w:sz="0" w:space="0" w:color="auto"/>
      </w:divBdr>
    </w:div>
    <w:div w:id="1240941489">
      <w:bodyDiv w:val="1"/>
      <w:marLeft w:val="0"/>
      <w:marRight w:val="0"/>
      <w:marTop w:val="0"/>
      <w:marBottom w:val="0"/>
      <w:divBdr>
        <w:top w:val="none" w:sz="0" w:space="0" w:color="auto"/>
        <w:left w:val="none" w:sz="0" w:space="0" w:color="auto"/>
        <w:bottom w:val="none" w:sz="0" w:space="0" w:color="auto"/>
        <w:right w:val="none" w:sz="0" w:space="0" w:color="auto"/>
      </w:divBdr>
    </w:div>
    <w:div w:id="1253657881">
      <w:bodyDiv w:val="1"/>
      <w:marLeft w:val="0"/>
      <w:marRight w:val="0"/>
      <w:marTop w:val="0"/>
      <w:marBottom w:val="0"/>
      <w:divBdr>
        <w:top w:val="none" w:sz="0" w:space="0" w:color="auto"/>
        <w:left w:val="none" w:sz="0" w:space="0" w:color="auto"/>
        <w:bottom w:val="none" w:sz="0" w:space="0" w:color="auto"/>
        <w:right w:val="none" w:sz="0" w:space="0" w:color="auto"/>
      </w:divBdr>
    </w:div>
    <w:div w:id="1253969732">
      <w:bodyDiv w:val="1"/>
      <w:marLeft w:val="0"/>
      <w:marRight w:val="0"/>
      <w:marTop w:val="0"/>
      <w:marBottom w:val="0"/>
      <w:divBdr>
        <w:top w:val="none" w:sz="0" w:space="0" w:color="auto"/>
        <w:left w:val="none" w:sz="0" w:space="0" w:color="auto"/>
        <w:bottom w:val="none" w:sz="0" w:space="0" w:color="auto"/>
        <w:right w:val="none" w:sz="0" w:space="0" w:color="auto"/>
      </w:divBdr>
    </w:div>
    <w:div w:id="1266815353">
      <w:bodyDiv w:val="1"/>
      <w:marLeft w:val="0"/>
      <w:marRight w:val="0"/>
      <w:marTop w:val="0"/>
      <w:marBottom w:val="0"/>
      <w:divBdr>
        <w:top w:val="none" w:sz="0" w:space="0" w:color="auto"/>
        <w:left w:val="none" w:sz="0" w:space="0" w:color="auto"/>
        <w:bottom w:val="none" w:sz="0" w:space="0" w:color="auto"/>
        <w:right w:val="none" w:sz="0" w:space="0" w:color="auto"/>
      </w:divBdr>
    </w:div>
    <w:div w:id="1266841262">
      <w:bodyDiv w:val="1"/>
      <w:marLeft w:val="0"/>
      <w:marRight w:val="0"/>
      <w:marTop w:val="0"/>
      <w:marBottom w:val="0"/>
      <w:divBdr>
        <w:top w:val="none" w:sz="0" w:space="0" w:color="auto"/>
        <w:left w:val="none" w:sz="0" w:space="0" w:color="auto"/>
        <w:bottom w:val="none" w:sz="0" w:space="0" w:color="auto"/>
        <w:right w:val="none" w:sz="0" w:space="0" w:color="auto"/>
      </w:divBdr>
    </w:div>
    <w:div w:id="1275022139">
      <w:bodyDiv w:val="1"/>
      <w:marLeft w:val="0"/>
      <w:marRight w:val="0"/>
      <w:marTop w:val="0"/>
      <w:marBottom w:val="0"/>
      <w:divBdr>
        <w:top w:val="none" w:sz="0" w:space="0" w:color="auto"/>
        <w:left w:val="none" w:sz="0" w:space="0" w:color="auto"/>
        <w:bottom w:val="none" w:sz="0" w:space="0" w:color="auto"/>
        <w:right w:val="none" w:sz="0" w:space="0" w:color="auto"/>
      </w:divBdr>
    </w:div>
    <w:div w:id="1282956547">
      <w:bodyDiv w:val="1"/>
      <w:marLeft w:val="0"/>
      <w:marRight w:val="0"/>
      <w:marTop w:val="0"/>
      <w:marBottom w:val="0"/>
      <w:divBdr>
        <w:top w:val="none" w:sz="0" w:space="0" w:color="auto"/>
        <w:left w:val="none" w:sz="0" w:space="0" w:color="auto"/>
        <w:bottom w:val="none" w:sz="0" w:space="0" w:color="auto"/>
        <w:right w:val="none" w:sz="0" w:space="0" w:color="auto"/>
      </w:divBdr>
      <w:divsChild>
        <w:div w:id="710618427">
          <w:marLeft w:val="547"/>
          <w:marRight w:val="0"/>
          <w:marTop w:val="0"/>
          <w:marBottom w:val="0"/>
          <w:divBdr>
            <w:top w:val="none" w:sz="0" w:space="0" w:color="auto"/>
            <w:left w:val="none" w:sz="0" w:space="0" w:color="auto"/>
            <w:bottom w:val="none" w:sz="0" w:space="0" w:color="auto"/>
            <w:right w:val="none" w:sz="0" w:space="0" w:color="auto"/>
          </w:divBdr>
        </w:div>
        <w:div w:id="1086800237">
          <w:marLeft w:val="547"/>
          <w:marRight w:val="0"/>
          <w:marTop w:val="0"/>
          <w:marBottom w:val="0"/>
          <w:divBdr>
            <w:top w:val="none" w:sz="0" w:space="0" w:color="auto"/>
            <w:left w:val="none" w:sz="0" w:space="0" w:color="auto"/>
            <w:bottom w:val="none" w:sz="0" w:space="0" w:color="auto"/>
            <w:right w:val="none" w:sz="0" w:space="0" w:color="auto"/>
          </w:divBdr>
        </w:div>
        <w:div w:id="758916194">
          <w:marLeft w:val="547"/>
          <w:marRight w:val="0"/>
          <w:marTop w:val="0"/>
          <w:marBottom w:val="0"/>
          <w:divBdr>
            <w:top w:val="none" w:sz="0" w:space="0" w:color="auto"/>
            <w:left w:val="none" w:sz="0" w:space="0" w:color="auto"/>
            <w:bottom w:val="none" w:sz="0" w:space="0" w:color="auto"/>
            <w:right w:val="none" w:sz="0" w:space="0" w:color="auto"/>
          </w:divBdr>
        </w:div>
      </w:divsChild>
    </w:div>
    <w:div w:id="1289895524">
      <w:bodyDiv w:val="1"/>
      <w:marLeft w:val="0"/>
      <w:marRight w:val="0"/>
      <w:marTop w:val="0"/>
      <w:marBottom w:val="0"/>
      <w:divBdr>
        <w:top w:val="none" w:sz="0" w:space="0" w:color="auto"/>
        <w:left w:val="none" w:sz="0" w:space="0" w:color="auto"/>
        <w:bottom w:val="none" w:sz="0" w:space="0" w:color="auto"/>
        <w:right w:val="none" w:sz="0" w:space="0" w:color="auto"/>
      </w:divBdr>
    </w:div>
    <w:div w:id="1295258210">
      <w:bodyDiv w:val="1"/>
      <w:marLeft w:val="0"/>
      <w:marRight w:val="0"/>
      <w:marTop w:val="0"/>
      <w:marBottom w:val="0"/>
      <w:divBdr>
        <w:top w:val="none" w:sz="0" w:space="0" w:color="auto"/>
        <w:left w:val="none" w:sz="0" w:space="0" w:color="auto"/>
        <w:bottom w:val="none" w:sz="0" w:space="0" w:color="auto"/>
        <w:right w:val="none" w:sz="0" w:space="0" w:color="auto"/>
      </w:divBdr>
    </w:div>
    <w:div w:id="1315111379">
      <w:bodyDiv w:val="1"/>
      <w:marLeft w:val="0"/>
      <w:marRight w:val="0"/>
      <w:marTop w:val="0"/>
      <w:marBottom w:val="0"/>
      <w:divBdr>
        <w:top w:val="none" w:sz="0" w:space="0" w:color="auto"/>
        <w:left w:val="none" w:sz="0" w:space="0" w:color="auto"/>
        <w:bottom w:val="none" w:sz="0" w:space="0" w:color="auto"/>
        <w:right w:val="none" w:sz="0" w:space="0" w:color="auto"/>
      </w:divBdr>
    </w:div>
    <w:div w:id="1318729904">
      <w:bodyDiv w:val="1"/>
      <w:marLeft w:val="0"/>
      <w:marRight w:val="0"/>
      <w:marTop w:val="0"/>
      <w:marBottom w:val="0"/>
      <w:divBdr>
        <w:top w:val="none" w:sz="0" w:space="0" w:color="auto"/>
        <w:left w:val="none" w:sz="0" w:space="0" w:color="auto"/>
        <w:bottom w:val="none" w:sz="0" w:space="0" w:color="auto"/>
        <w:right w:val="none" w:sz="0" w:space="0" w:color="auto"/>
      </w:divBdr>
    </w:div>
    <w:div w:id="1327131839">
      <w:bodyDiv w:val="1"/>
      <w:marLeft w:val="0"/>
      <w:marRight w:val="0"/>
      <w:marTop w:val="0"/>
      <w:marBottom w:val="0"/>
      <w:divBdr>
        <w:top w:val="none" w:sz="0" w:space="0" w:color="auto"/>
        <w:left w:val="none" w:sz="0" w:space="0" w:color="auto"/>
        <w:bottom w:val="none" w:sz="0" w:space="0" w:color="auto"/>
        <w:right w:val="none" w:sz="0" w:space="0" w:color="auto"/>
      </w:divBdr>
    </w:div>
    <w:div w:id="1332217113">
      <w:bodyDiv w:val="1"/>
      <w:marLeft w:val="0"/>
      <w:marRight w:val="0"/>
      <w:marTop w:val="0"/>
      <w:marBottom w:val="0"/>
      <w:divBdr>
        <w:top w:val="none" w:sz="0" w:space="0" w:color="auto"/>
        <w:left w:val="none" w:sz="0" w:space="0" w:color="auto"/>
        <w:bottom w:val="none" w:sz="0" w:space="0" w:color="auto"/>
        <w:right w:val="none" w:sz="0" w:space="0" w:color="auto"/>
      </w:divBdr>
    </w:div>
    <w:div w:id="1332829098">
      <w:bodyDiv w:val="1"/>
      <w:marLeft w:val="0"/>
      <w:marRight w:val="0"/>
      <w:marTop w:val="0"/>
      <w:marBottom w:val="0"/>
      <w:divBdr>
        <w:top w:val="none" w:sz="0" w:space="0" w:color="auto"/>
        <w:left w:val="none" w:sz="0" w:space="0" w:color="auto"/>
        <w:bottom w:val="none" w:sz="0" w:space="0" w:color="auto"/>
        <w:right w:val="none" w:sz="0" w:space="0" w:color="auto"/>
      </w:divBdr>
    </w:div>
    <w:div w:id="1342926748">
      <w:bodyDiv w:val="1"/>
      <w:marLeft w:val="0"/>
      <w:marRight w:val="0"/>
      <w:marTop w:val="0"/>
      <w:marBottom w:val="0"/>
      <w:divBdr>
        <w:top w:val="none" w:sz="0" w:space="0" w:color="auto"/>
        <w:left w:val="none" w:sz="0" w:space="0" w:color="auto"/>
        <w:bottom w:val="none" w:sz="0" w:space="0" w:color="auto"/>
        <w:right w:val="none" w:sz="0" w:space="0" w:color="auto"/>
      </w:divBdr>
    </w:div>
    <w:div w:id="1343162414">
      <w:bodyDiv w:val="1"/>
      <w:marLeft w:val="0"/>
      <w:marRight w:val="0"/>
      <w:marTop w:val="0"/>
      <w:marBottom w:val="0"/>
      <w:divBdr>
        <w:top w:val="none" w:sz="0" w:space="0" w:color="auto"/>
        <w:left w:val="none" w:sz="0" w:space="0" w:color="auto"/>
        <w:bottom w:val="none" w:sz="0" w:space="0" w:color="auto"/>
        <w:right w:val="none" w:sz="0" w:space="0" w:color="auto"/>
      </w:divBdr>
    </w:div>
    <w:div w:id="1350175864">
      <w:bodyDiv w:val="1"/>
      <w:marLeft w:val="0"/>
      <w:marRight w:val="0"/>
      <w:marTop w:val="0"/>
      <w:marBottom w:val="0"/>
      <w:divBdr>
        <w:top w:val="none" w:sz="0" w:space="0" w:color="auto"/>
        <w:left w:val="none" w:sz="0" w:space="0" w:color="auto"/>
        <w:bottom w:val="none" w:sz="0" w:space="0" w:color="auto"/>
        <w:right w:val="none" w:sz="0" w:space="0" w:color="auto"/>
      </w:divBdr>
    </w:div>
    <w:div w:id="1358506659">
      <w:bodyDiv w:val="1"/>
      <w:marLeft w:val="0"/>
      <w:marRight w:val="0"/>
      <w:marTop w:val="0"/>
      <w:marBottom w:val="0"/>
      <w:divBdr>
        <w:top w:val="none" w:sz="0" w:space="0" w:color="auto"/>
        <w:left w:val="none" w:sz="0" w:space="0" w:color="auto"/>
        <w:bottom w:val="none" w:sz="0" w:space="0" w:color="auto"/>
        <w:right w:val="none" w:sz="0" w:space="0" w:color="auto"/>
      </w:divBdr>
    </w:div>
    <w:div w:id="1365204775">
      <w:bodyDiv w:val="1"/>
      <w:marLeft w:val="0"/>
      <w:marRight w:val="0"/>
      <w:marTop w:val="0"/>
      <w:marBottom w:val="0"/>
      <w:divBdr>
        <w:top w:val="none" w:sz="0" w:space="0" w:color="auto"/>
        <w:left w:val="none" w:sz="0" w:space="0" w:color="auto"/>
        <w:bottom w:val="none" w:sz="0" w:space="0" w:color="auto"/>
        <w:right w:val="none" w:sz="0" w:space="0" w:color="auto"/>
      </w:divBdr>
    </w:div>
    <w:div w:id="1375228779">
      <w:bodyDiv w:val="1"/>
      <w:marLeft w:val="0"/>
      <w:marRight w:val="0"/>
      <w:marTop w:val="0"/>
      <w:marBottom w:val="0"/>
      <w:divBdr>
        <w:top w:val="none" w:sz="0" w:space="0" w:color="auto"/>
        <w:left w:val="none" w:sz="0" w:space="0" w:color="auto"/>
        <w:bottom w:val="none" w:sz="0" w:space="0" w:color="auto"/>
        <w:right w:val="none" w:sz="0" w:space="0" w:color="auto"/>
      </w:divBdr>
    </w:div>
    <w:div w:id="1380469324">
      <w:bodyDiv w:val="1"/>
      <w:marLeft w:val="0"/>
      <w:marRight w:val="0"/>
      <w:marTop w:val="0"/>
      <w:marBottom w:val="0"/>
      <w:divBdr>
        <w:top w:val="none" w:sz="0" w:space="0" w:color="auto"/>
        <w:left w:val="none" w:sz="0" w:space="0" w:color="auto"/>
        <w:bottom w:val="none" w:sz="0" w:space="0" w:color="auto"/>
        <w:right w:val="none" w:sz="0" w:space="0" w:color="auto"/>
      </w:divBdr>
    </w:div>
    <w:div w:id="1382168039">
      <w:bodyDiv w:val="1"/>
      <w:marLeft w:val="0"/>
      <w:marRight w:val="0"/>
      <w:marTop w:val="0"/>
      <w:marBottom w:val="0"/>
      <w:divBdr>
        <w:top w:val="none" w:sz="0" w:space="0" w:color="auto"/>
        <w:left w:val="none" w:sz="0" w:space="0" w:color="auto"/>
        <w:bottom w:val="none" w:sz="0" w:space="0" w:color="auto"/>
        <w:right w:val="none" w:sz="0" w:space="0" w:color="auto"/>
      </w:divBdr>
    </w:div>
    <w:div w:id="1385713116">
      <w:bodyDiv w:val="1"/>
      <w:marLeft w:val="0"/>
      <w:marRight w:val="0"/>
      <w:marTop w:val="0"/>
      <w:marBottom w:val="0"/>
      <w:divBdr>
        <w:top w:val="none" w:sz="0" w:space="0" w:color="auto"/>
        <w:left w:val="none" w:sz="0" w:space="0" w:color="auto"/>
        <w:bottom w:val="none" w:sz="0" w:space="0" w:color="auto"/>
        <w:right w:val="none" w:sz="0" w:space="0" w:color="auto"/>
      </w:divBdr>
    </w:div>
    <w:div w:id="1390570368">
      <w:bodyDiv w:val="1"/>
      <w:marLeft w:val="0"/>
      <w:marRight w:val="0"/>
      <w:marTop w:val="0"/>
      <w:marBottom w:val="0"/>
      <w:divBdr>
        <w:top w:val="none" w:sz="0" w:space="0" w:color="auto"/>
        <w:left w:val="none" w:sz="0" w:space="0" w:color="auto"/>
        <w:bottom w:val="none" w:sz="0" w:space="0" w:color="auto"/>
        <w:right w:val="none" w:sz="0" w:space="0" w:color="auto"/>
      </w:divBdr>
    </w:div>
    <w:div w:id="1404060932">
      <w:bodyDiv w:val="1"/>
      <w:marLeft w:val="0"/>
      <w:marRight w:val="0"/>
      <w:marTop w:val="0"/>
      <w:marBottom w:val="0"/>
      <w:divBdr>
        <w:top w:val="none" w:sz="0" w:space="0" w:color="auto"/>
        <w:left w:val="none" w:sz="0" w:space="0" w:color="auto"/>
        <w:bottom w:val="none" w:sz="0" w:space="0" w:color="auto"/>
        <w:right w:val="none" w:sz="0" w:space="0" w:color="auto"/>
      </w:divBdr>
    </w:div>
    <w:div w:id="1418362123">
      <w:bodyDiv w:val="1"/>
      <w:marLeft w:val="0"/>
      <w:marRight w:val="0"/>
      <w:marTop w:val="0"/>
      <w:marBottom w:val="0"/>
      <w:divBdr>
        <w:top w:val="none" w:sz="0" w:space="0" w:color="auto"/>
        <w:left w:val="none" w:sz="0" w:space="0" w:color="auto"/>
        <w:bottom w:val="none" w:sz="0" w:space="0" w:color="auto"/>
        <w:right w:val="none" w:sz="0" w:space="0" w:color="auto"/>
      </w:divBdr>
    </w:div>
    <w:div w:id="1439107680">
      <w:bodyDiv w:val="1"/>
      <w:marLeft w:val="0"/>
      <w:marRight w:val="0"/>
      <w:marTop w:val="0"/>
      <w:marBottom w:val="0"/>
      <w:divBdr>
        <w:top w:val="none" w:sz="0" w:space="0" w:color="auto"/>
        <w:left w:val="none" w:sz="0" w:space="0" w:color="auto"/>
        <w:bottom w:val="none" w:sz="0" w:space="0" w:color="auto"/>
        <w:right w:val="none" w:sz="0" w:space="0" w:color="auto"/>
      </w:divBdr>
    </w:div>
    <w:div w:id="1459642291">
      <w:bodyDiv w:val="1"/>
      <w:marLeft w:val="0"/>
      <w:marRight w:val="0"/>
      <w:marTop w:val="0"/>
      <w:marBottom w:val="0"/>
      <w:divBdr>
        <w:top w:val="none" w:sz="0" w:space="0" w:color="auto"/>
        <w:left w:val="none" w:sz="0" w:space="0" w:color="auto"/>
        <w:bottom w:val="none" w:sz="0" w:space="0" w:color="auto"/>
        <w:right w:val="none" w:sz="0" w:space="0" w:color="auto"/>
      </w:divBdr>
    </w:div>
    <w:div w:id="1482769080">
      <w:bodyDiv w:val="1"/>
      <w:marLeft w:val="0"/>
      <w:marRight w:val="0"/>
      <w:marTop w:val="0"/>
      <w:marBottom w:val="0"/>
      <w:divBdr>
        <w:top w:val="none" w:sz="0" w:space="0" w:color="auto"/>
        <w:left w:val="none" w:sz="0" w:space="0" w:color="auto"/>
        <w:bottom w:val="none" w:sz="0" w:space="0" w:color="auto"/>
        <w:right w:val="none" w:sz="0" w:space="0" w:color="auto"/>
      </w:divBdr>
    </w:div>
    <w:div w:id="1495023832">
      <w:bodyDiv w:val="1"/>
      <w:marLeft w:val="0"/>
      <w:marRight w:val="0"/>
      <w:marTop w:val="0"/>
      <w:marBottom w:val="0"/>
      <w:divBdr>
        <w:top w:val="none" w:sz="0" w:space="0" w:color="auto"/>
        <w:left w:val="none" w:sz="0" w:space="0" w:color="auto"/>
        <w:bottom w:val="none" w:sz="0" w:space="0" w:color="auto"/>
        <w:right w:val="none" w:sz="0" w:space="0" w:color="auto"/>
      </w:divBdr>
    </w:div>
    <w:div w:id="1499149862">
      <w:bodyDiv w:val="1"/>
      <w:marLeft w:val="0"/>
      <w:marRight w:val="0"/>
      <w:marTop w:val="0"/>
      <w:marBottom w:val="0"/>
      <w:divBdr>
        <w:top w:val="none" w:sz="0" w:space="0" w:color="auto"/>
        <w:left w:val="none" w:sz="0" w:space="0" w:color="auto"/>
        <w:bottom w:val="none" w:sz="0" w:space="0" w:color="auto"/>
        <w:right w:val="none" w:sz="0" w:space="0" w:color="auto"/>
      </w:divBdr>
    </w:div>
    <w:div w:id="1525635418">
      <w:bodyDiv w:val="1"/>
      <w:marLeft w:val="0"/>
      <w:marRight w:val="0"/>
      <w:marTop w:val="0"/>
      <w:marBottom w:val="0"/>
      <w:divBdr>
        <w:top w:val="none" w:sz="0" w:space="0" w:color="auto"/>
        <w:left w:val="none" w:sz="0" w:space="0" w:color="auto"/>
        <w:bottom w:val="none" w:sz="0" w:space="0" w:color="auto"/>
        <w:right w:val="none" w:sz="0" w:space="0" w:color="auto"/>
      </w:divBdr>
    </w:div>
    <w:div w:id="1530027881">
      <w:bodyDiv w:val="1"/>
      <w:marLeft w:val="0"/>
      <w:marRight w:val="0"/>
      <w:marTop w:val="0"/>
      <w:marBottom w:val="0"/>
      <w:divBdr>
        <w:top w:val="none" w:sz="0" w:space="0" w:color="auto"/>
        <w:left w:val="none" w:sz="0" w:space="0" w:color="auto"/>
        <w:bottom w:val="none" w:sz="0" w:space="0" w:color="auto"/>
        <w:right w:val="none" w:sz="0" w:space="0" w:color="auto"/>
      </w:divBdr>
    </w:div>
    <w:div w:id="1542785127">
      <w:bodyDiv w:val="1"/>
      <w:marLeft w:val="0"/>
      <w:marRight w:val="0"/>
      <w:marTop w:val="0"/>
      <w:marBottom w:val="0"/>
      <w:divBdr>
        <w:top w:val="none" w:sz="0" w:space="0" w:color="auto"/>
        <w:left w:val="none" w:sz="0" w:space="0" w:color="auto"/>
        <w:bottom w:val="none" w:sz="0" w:space="0" w:color="auto"/>
        <w:right w:val="none" w:sz="0" w:space="0" w:color="auto"/>
      </w:divBdr>
      <w:divsChild>
        <w:div w:id="2015188429">
          <w:marLeft w:val="547"/>
          <w:marRight w:val="0"/>
          <w:marTop w:val="0"/>
          <w:marBottom w:val="0"/>
          <w:divBdr>
            <w:top w:val="none" w:sz="0" w:space="0" w:color="auto"/>
            <w:left w:val="none" w:sz="0" w:space="0" w:color="auto"/>
            <w:bottom w:val="none" w:sz="0" w:space="0" w:color="auto"/>
            <w:right w:val="none" w:sz="0" w:space="0" w:color="auto"/>
          </w:divBdr>
        </w:div>
        <w:div w:id="1790316467">
          <w:marLeft w:val="547"/>
          <w:marRight w:val="0"/>
          <w:marTop w:val="0"/>
          <w:marBottom w:val="0"/>
          <w:divBdr>
            <w:top w:val="none" w:sz="0" w:space="0" w:color="auto"/>
            <w:left w:val="none" w:sz="0" w:space="0" w:color="auto"/>
            <w:bottom w:val="none" w:sz="0" w:space="0" w:color="auto"/>
            <w:right w:val="none" w:sz="0" w:space="0" w:color="auto"/>
          </w:divBdr>
        </w:div>
        <w:div w:id="1957636078">
          <w:marLeft w:val="547"/>
          <w:marRight w:val="0"/>
          <w:marTop w:val="0"/>
          <w:marBottom w:val="0"/>
          <w:divBdr>
            <w:top w:val="none" w:sz="0" w:space="0" w:color="auto"/>
            <w:left w:val="none" w:sz="0" w:space="0" w:color="auto"/>
            <w:bottom w:val="none" w:sz="0" w:space="0" w:color="auto"/>
            <w:right w:val="none" w:sz="0" w:space="0" w:color="auto"/>
          </w:divBdr>
        </w:div>
        <w:div w:id="1265772255">
          <w:marLeft w:val="547"/>
          <w:marRight w:val="0"/>
          <w:marTop w:val="0"/>
          <w:marBottom w:val="0"/>
          <w:divBdr>
            <w:top w:val="none" w:sz="0" w:space="0" w:color="auto"/>
            <w:left w:val="none" w:sz="0" w:space="0" w:color="auto"/>
            <w:bottom w:val="none" w:sz="0" w:space="0" w:color="auto"/>
            <w:right w:val="none" w:sz="0" w:space="0" w:color="auto"/>
          </w:divBdr>
        </w:div>
        <w:div w:id="64957312">
          <w:marLeft w:val="547"/>
          <w:marRight w:val="0"/>
          <w:marTop w:val="0"/>
          <w:marBottom w:val="0"/>
          <w:divBdr>
            <w:top w:val="none" w:sz="0" w:space="0" w:color="auto"/>
            <w:left w:val="none" w:sz="0" w:space="0" w:color="auto"/>
            <w:bottom w:val="none" w:sz="0" w:space="0" w:color="auto"/>
            <w:right w:val="none" w:sz="0" w:space="0" w:color="auto"/>
          </w:divBdr>
        </w:div>
      </w:divsChild>
    </w:div>
    <w:div w:id="1588804832">
      <w:bodyDiv w:val="1"/>
      <w:marLeft w:val="0"/>
      <w:marRight w:val="0"/>
      <w:marTop w:val="0"/>
      <w:marBottom w:val="0"/>
      <w:divBdr>
        <w:top w:val="none" w:sz="0" w:space="0" w:color="auto"/>
        <w:left w:val="none" w:sz="0" w:space="0" w:color="auto"/>
        <w:bottom w:val="none" w:sz="0" w:space="0" w:color="auto"/>
        <w:right w:val="none" w:sz="0" w:space="0" w:color="auto"/>
      </w:divBdr>
    </w:div>
    <w:div w:id="1608082749">
      <w:bodyDiv w:val="1"/>
      <w:marLeft w:val="0"/>
      <w:marRight w:val="0"/>
      <w:marTop w:val="0"/>
      <w:marBottom w:val="0"/>
      <w:divBdr>
        <w:top w:val="none" w:sz="0" w:space="0" w:color="auto"/>
        <w:left w:val="none" w:sz="0" w:space="0" w:color="auto"/>
        <w:bottom w:val="none" w:sz="0" w:space="0" w:color="auto"/>
        <w:right w:val="none" w:sz="0" w:space="0" w:color="auto"/>
      </w:divBdr>
    </w:div>
    <w:div w:id="1624537763">
      <w:bodyDiv w:val="1"/>
      <w:marLeft w:val="0"/>
      <w:marRight w:val="0"/>
      <w:marTop w:val="0"/>
      <w:marBottom w:val="0"/>
      <w:divBdr>
        <w:top w:val="none" w:sz="0" w:space="0" w:color="auto"/>
        <w:left w:val="none" w:sz="0" w:space="0" w:color="auto"/>
        <w:bottom w:val="none" w:sz="0" w:space="0" w:color="auto"/>
        <w:right w:val="none" w:sz="0" w:space="0" w:color="auto"/>
      </w:divBdr>
    </w:div>
    <w:div w:id="1630014368">
      <w:bodyDiv w:val="1"/>
      <w:marLeft w:val="0"/>
      <w:marRight w:val="0"/>
      <w:marTop w:val="0"/>
      <w:marBottom w:val="0"/>
      <w:divBdr>
        <w:top w:val="none" w:sz="0" w:space="0" w:color="auto"/>
        <w:left w:val="none" w:sz="0" w:space="0" w:color="auto"/>
        <w:bottom w:val="none" w:sz="0" w:space="0" w:color="auto"/>
        <w:right w:val="none" w:sz="0" w:space="0" w:color="auto"/>
      </w:divBdr>
    </w:div>
    <w:div w:id="1636375136">
      <w:bodyDiv w:val="1"/>
      <w:marLeft w:val="0"/>
      <w:marRight w:val="0"/>
      <w:marTop w:val="0"/>
      <w:marBottom w:val="0"/>
      <w:divBdr>
        <w:top w:val="none" w:sz="0" w:space="0" w:color="auto"/>
        <w:left w:val="none" w:sz="0" w:space="0" w:color="auto"/>
        <w:bottom w:val="none" w:sz="0" w:space="0" w:color="auto"/>
        <w:right w:val="none" w:sz="0" w:space="0" w:color="auto"/>
      </w:divBdr>
    </w:div>
    <w:div w:id="1647006319">
      <w:bodyDiv w:val="1"/>
      <w:marLeft w:val="0"/>
      <w:marRight w:val="0"/>
      <w:marTop w:val="0"/>
      <w:marBottom w:val="0"/>
      <w:divBdr>
        <w:top w:val="none" w:sz="0" w:space="0" w:color="auto"/>
        <w:left w:val="none" w:sz="0" w:space="0" w:color="auto"/>
        <w:bottom w:val="none" w:sz="0" w:space="0" w:color="auto"/>
        <w:right w:val="none" w:sz="0" w:space="0" w:color="auto"/>
      </w:divBdr>
    </w:div>
    <w:div w:id="1651518870">
      <w:bodyDiv w:val="1"/>
      <w:marLeft w:val="0"/>
      <w:marRight w:val="0"/>
      <w:marTop w:val="0"/>
      <w:marBottom w:val="0"/>
      <w:divBdr>
        <w:top w:val="none" w:sz="0" w:space="0" w:color="auto"/>
        <w:left w:val="none" w:sz="0" w:space="0" w:color="auto"/>
        <w:bottom w:val="none" w:sz="0" w:space="0" w:color="auto"/>
        <w:right w:val="none" w:sz="0" w:space="0" w:color="auto"/>
      </w:divBdr>
    </w:div>
    <w:div w:id="1666663211">
      <w:bodyDiv w:val="1"/>
      <w:marLeft w:val="0"/>
      <w:marRight w:val="0"/>
      <w:marTop w:val="0"/>
      <w:marBottom w:val="0"/>
      <w:divBdr>
        <w:top w:val="none" w:sz="0" w:space="0" w:color="auto"/>
        <w:left w:val="none" w:sz="0" w:space="0" w:color="auto"/>
        <w:bottom w:val="none" w:sz="0" w:space="0" w:color="auto"/>
        <w:right w:val="none" w:sz="0" w:space="0" w:color="auto"/>
      </w:divBdr>
    </w:div>
    <w:div w:id="1667516690">
      <w:bodyDiv w:val="1"/>
      <w:marLeft w:val="0"/>
      <w:marRight w:val="0"/>
      <w:marTop w:val="0"/>
      <w:marBottom w:val="0"/>
      <w:divBdr>
        <w:top w:val="none" w:sz="0" w:space="0" w:color="auto"/>
        <w:left w:val="none" w:sz="0" w:space="0" w:color="auto"/>
        <w:bottom w:val="none" w:sz="0" w:space="0" w:color="auto"/>
        <w:right w:val="none" w:sz="0" w:space="0" w:color="auto"/>
      </w:divBdr>
      <w:divsChild>
        <w:div w:id="769393605">
          <w:marLeft w:val="547"/>
          <w:marRight w:val="0"/>
          <w:marTop w:val="0"/>
          <w:marBottom w:val="0"/>
          <w:divBdr>
            <w:top w:val="none" w:sz="0" w:space="0" w:color="auto"/>
            <w:left w:val="none" w:sz="0" w:space="0" w:color="auto"/>
            <w:bottom w:val="none" w:sz="0" w:space="0" w:color="auto"/>
            <w:right w:val="none" w:sz="0" w:space="0" w:color="auto"/>
          </w:divBdr>
        </w:div>
        <w:div w:id="1039664292">
          <w:marLeft w:val="547"/>
          <w:marRight w:val="0"/>
          <w:marTop w:val="0"/>
          <w:marBottom w:val="0"/>
          <w:divBdr>
            <w:top w:val="none" w:sz="0" w:space="0" w:color="auto"/>
            <w:left w:val="none" w:sz="0" w:space="0" w:color="auto"/>
            <w:bottom w:val="none" w:sz="0" w:space="0" w:color="auto"/>
            <w:right w:val="none" w:sz="0" w:space="0" w:color="auto"/>
          </w:divBdr>
        </w:div>
        <w:div w:id="1433935546">
          <w:marLeft w:val="547"/>
          <w:marRight w:val="0"/>
          <w:marTop w:val="0"/>
          <w:marBottom w:val="0"/>
          <w:divBdr>
            <w:top w:val="none" w:sz="0" w:space="0" w:color="auto"/>
            <w:left w:val="none" w:sz="0" w:space="0" w:color="auto"/>
            <w:bottom w:val="none" w:sz="0" w:space="0" w:color="auto"/>
            <w:right w:val="none" w:sz="0" w:space="0" w:color="auto"/>
          </w:divBdr>
        </w:div>
      </w:divsChild>
    </w:div>
    <w:div w:id="1689523606">
      <w:bodyDiv w:val="1"/>
      <w:marLeft w:val="0"/>
      <w:marRight w:val="0"/>
      <w:marTop w:val="0"/>
      <w:marBottom w:val="0"/>
      <w:divBdr>
        <w:top w:val="none" w:sz="0" w:space="0" w:color="auto"/>
        <w:left w:val="none" w:sz="0" w:space="0" w:color="auto"/>
        <w:bottom w:val="none" w:sz="0" w:space="0" w:color="auto"/>
        <w:right w:val="none" w:sz="0" w:space="0" w:color="auto"/>
      </w:divBdr>
    </w:div>
    <w:div w:id="1701009650">
      <w:bodyDiv w:val="1"/>
      <w:marLeft w:val="0"/>
      <w:marRight w:val="0"/>
      <w:marTop w:val="0"/>
      <w:marBottom w:val="0"/>
      <w:divBdr>
        <w:top w:val="none" w:sz="0" w:space="0" w:color="auto"/>
        <w:left w:val="none" w:sz="0" w:space="0" w:color="auto"/>
        <w:bottom w:val="none" w:sz="0" w:space="0" w:color="auto"/>
        <w:right w:val="none" w:sz="0" w:space="0" w:color="auto"/>
      </w:divBdr>
    </w:div>
    <w:div w:id="1711881614">
      <w:bodyDiv w:val="1"/>
      <w:marLeft w:val="0"/>
      <w:marRight w:val="0"/>
      <w:marTop w:val="0"/>
      <w:marBottom w:val="0"/>
      <w:divBdr>
        <w:top w:val="none" w:sz="0" w:space="0" w:color="auto"/>
        <w:left w:val="none" w:sz="0" w:space="0" w:color="auto"/>
        <w:bottom w:val="none" w:sz="0" w:space="0" w:color="auto"/>
        <w:right w:val="none" w:sz="0" w:space="0" w:color="auto"/>
      </w:divBdr>
    </w:div>
    <w:div w:id="1714574332">
      <w:bodyDiv w:val="1"/>
      <w:marLeft w:val="0"/>
      <w:marRight w:val="0"/>
      <w:marTop w:val="0"/>
      <w:marBottom w:val="0"/>
      <w:divBdr>
        <w:top w:val="none" w:sz="0" w:space="0" w:color="auto"/>
        <w:left w:val="none" w:sz="0" w:space="0" w:color="auto"/>
        <w:bottom w:val="none" w:sz="0" w:space="0" w:color="auto"/>
        <w:right w:val="none" w:sz="0" w:space="0" w:color="auto"/>
      </w:divBdr>
    </w:div>
    <w:div w:id="1718579789">
      <w:bodyDiv w:val="1"/>
      <w:marLeft w:val="0"/>
      <w:marRight w:val="0"/>
      <w:marTop w:val="0"/>
      <w:marBottom w:val="0"/>
      <w:divBdr>
        <w:top w:val="none" w:sz="0" w:space="0" w:color="auto"/>
        <w:left w:val="none" w:sz="0" w:space="0" w:color="auto"/>
        <w:bottom w:val="none" w:sz="0" w:space="0" w:color="auto"/>
        <w:right w:val="none" w:sz="0" w:space="0" w:color="auto"/>
      </w:divBdr>
    </w:div>
    <w:div w:id="1721704578">
      <w:bodyDiv w:val="1"/>
      <w:marLeft w:val="0"/>
      <w:marRight w:val="0"/>
      <w:marTop w:val="0"/>
      <w:marBottom w:val="0"/>
      <w:divBdr>
        <w:top w:val="none" w:sz="0" w:space="0" w:color="auto"/>
        <w:left w:val="none" w:sz="0" w:space="0" w:color="auto"/>
        <w:bottom w:val="none" w:sz="0" w:space="0" w:color="auto"/>
        <w:right w:val="none" w:sz="0" w:space="0" w:color="auto"/>
      </w:divBdr>
    </w:div>
    <w:div w:id="1723166411">
      <w:bodyDiv w:val="1"/>
      <w:marLeft w:val="0"/>
      <w:marRight w:val="0"/>
      <w:marTop w:val="0"/>
      <w:marBottom w:val="0"/>
      <w:divBdr>
        <w:top w:val="none" w:sz="0" w:space="0" w:color="auto"/>
        <w:left w:val="none" w:sz="0" w:space="0" w:color="auto"/>
        <w:bottom w:val="none" w:sz="0" w:space="0" w:color="auto"/>
        <w:right w:val="none" w:sz="0" w:space="0" w:color="auto"/>
      </w:divBdr>
    </w:div>
    <w:div w:id="1756703471">
      <w:bodyDiv w:val="1"/>
      <w:marLeft w:val="0"/>
      <w:marRight w:val="0"/>
      <w:marTop w:val="0"/>
      <w:marBottom w:val="0"/>
      <w:divBdr>
        <w:top w:val="none" w:sz="0" w:space="0" w:color="auto"/>
        <w:left w:val="none" w:sz="0" w:space="0" w:color="auto"/>
        <w:bottom w:val="none" w:sz="0" w:space="0" w:color="auto"/>
        <w:right w:val="none" w:sz="0" w:space="0" w:color="auto"/>
      </w:divBdr>
    </w:div>
    <w:div w:id="1758400280">
      <w:bodyDiv w:val="1"/>
      <w:marLeft w:val="0"/>
      <w:marRight w:val="0"/>
      <w:marTop w:val="0"/>
      <w:marBottom w:val="0"/>
      <w:divBdr>
        <w:top w:val="none" w:sz="0" w:space="0" w:color="auto"/>
        <w:left w:val="none" w:sz="0" w:space="0" w:color="auto"/>
        <w:bottom w:val="none" w:sz="0" w:space="0" w:color="auto"/>
        <w:right w:val="none" w:sz="0" w:space="0" w:color="auto"/>
      </w:divBdr>
    </w:div>
    <w:div w:id="1769232443">
      <w:bodyDiv w:val="1"/>
      <w:marLeft w:val="0"/>
      <w:marRight w:val="0"/>
      <w:marTop w:val="0"/>
      <w:marBottom w:val="0"/>
      <w:divBdr>
        <w:top w:val="none" w:sz="0" w:space="0" w:color="auto"/>
        <w:left w:val="none" w:sz="0" w:space="0" w:color="auto"/>
        <w:bottom w:val="none" w:sz="0" w:space="0" w:color="auto"/>
        <w:right w:val="none" w:sz="0" w:space="0" w:color="auto"/>
      </w:divBdr>
    </w:div>
    <w:div w:id="1782872309">
      <w:bodyDiv w:val="1"/>
      <w:marLeft w:val="0"/>
      <w:marRight w:val="0"/>
      <w:marTop w:val="0"/>
      <w:marBottom w:val="0"/>
      <w:divBdr>
        <w:top w:val="none" w:sz="0" w:space="0" w:color="auto"/>
        <w:left w:val="none" w:sz="0" w:space="0" w:color="auto"/>
        <w:bottom w:val="none" w:sz="0" w:space="0" w:color="auto"/>
        <w:right w:val="none" w:sz="0" w:space="0" w:color="auto"/>
      </w:divBdr>
    </w:div>
    <w:div w:id="1817792666">
      <w:bodyDiv w:val="1"/>
      <w:marLeft w:val="0"/>
      <w:marRight w:val="0"/>
      <w:marTop w:val="0"/>
      <w:marBottom w:val="0"/>
      <w:divBdr>
        <w:top w:val="none" w:sz="0" w:space="0" w:color="auto"/>
        <w:left w:val="none" w:sz="0" w:space="0" w:color="auto"/>
        <w:bottom w:val="none" w:sz="0" w:space="0" w:color="auto"/>
        <w:right w:val="none" w:sz="0" w:space="0" w:color="auto"/>
      </w:divBdr>
    </w:div>
    <w:div w:id="1827548812">
      <w:bodyDiv w:val="1"/>
      <w:marLeft w:val="0"/>
      <w:marRight w:val="0"/>
      <w:marTop w:val="0"/>
      <w:marBottom w:val="0"/>
      <w:divBdr>
        <w:top w:val="none" w:sz="0" w:space="0" w:color="auto"/>
        <w:left w:val="none" w:sz="0" w:space="0" w:color="auto"/>
        <w:bottom w:val="none" w:sz="0" w:space="0" w:color="auto"/>
        <w:right w:val="none" w:sz="0" w:space="0" w:color="auto"/>
      </w:divBdr>
    </w:div>
    <w:div w:id="1830711093">
      <w:bodyDiv w:val="1"/>
      <w:marLeft w:val="0"/>
      <w:marRight w:val="0"/>
      <w:marTop w:val="0"/>
      <w:marBottom w:val="0"/>
      <w:divBdr>
        <w:top w:val="none" w:sz="0" w:space="0" w:color="auto"/>
        <w:left w:val="none" w:sz="0" w:space="0" w:color="auto"/>
        <w:bottom w:val="none" w:sz="0" w:space="0" w:color="auto"/>
        <w:right w:val="none" w:sz="0" w:space="0" w:color="auto"/>
      </w:divBdr>
    </w:div>
    <w:div w:id="1839226473">
      <w:bodyDiv w:val="1"/>
      <w:marLeft w:val="0"/>
      <w:marRight w:val="0"/>
      <w:marTop w:val="0"/>
      <w:marBottom w:val="0"/>
      <w:divBdr>
        <w:top w:val="none" w:sz="0" w:space="0" w:color="auto"/>
        <w:left w:val="none" w:sz="0" w:space="0" w:color="auto"/>
        <w:bottom w:val="none" w:sz="0" w:space="0" w:color="auto"/>
        <w:right w:val="none" w:sz="0" w:space="0" w:color="auto"/>
      </w:divBdr>
    </w:div>
    <w:div w:id="1839420332">
      <w:bodyDiv w:val="1"/>
      <w:marLeft w:val="0"/>
      <w:marRight w:val="0"/>
      <w:marTop w:val="0"/>
      <w:marBottom w:val="0"/>
      <w:divBdr>
        <w:top w:val="none" w:sz="0" w:space="0" w:color="auto"/>
        <w:left w:val="none" w:sz="0" w:space="0" w:color="auto"/>
        <w:bottom w:val="none" w:sz="0" w:space="0" w:color="auto"/>
        <w:right w:val="none" w:sz="0" w:space="0" w:color="auto"/>
      </w:divBdr>
    </w:div>
    <w:div w:id="1842424812">
      <w:bodyDiv w:val="1"/>
      <w:marLeft w:val="0"/>
      <w:marRight w:val="0"/>
      <w:marTop w:val="0"/>
      <w:marBottom w:val="0"/>
      <w:divBdr>
        <w:top w:val="none" w:sz="0" w:space="0" w:color="auto"/>
        <w:left w:val="none" w:sz="0" w:space="0" w:color="auto"/>
        <w:bottom w:val="none" w:sz="0" w:space="0" w:color="auto"/>
        <w:right w:val="none" w:sz="0" w:space="0" w:color="auto"/>
      </w:divBdr>
    </w:div>
    <w:div w:id="1851486640">
      <w:bodyDiv w:val="1"/>
      <w:marLeft w:val="0"/>
      <w:marRight w:val="0"/>
      <w:marTop w:val="0"/>
      <w:marBottom w:val="0"/>
      <w:divBdr>
        <w:top w:val="none" w:sz="0" w:space="0" w:color="auto"/>
        <w:left w:val="none" w:sz="0" w:space="0" w:color="auto"/>
        <w:bottom w:val="none" w:sz="0" w:space="0" w:color="auto"/>
        <w:right w:val="none" w:sz="0" w:space="0" w:color="auto"/>
      </w:divBdr>
    </w:div>
    <w:div w:id="1869642614">
      <w:bodyDiv w:val="1"/>
      <w:marLeft w:val="0"/>
      <w:marRight w:val="0"/>
      <w:marTop w:val="0"/>
      <w:marBottom w:val="0"/>
      <w:divBdr>
        <w:top w:val="none" w:sz="0" w:space="0" w:color="auto"/>
        <w:left w:val="none" w:sz="0" w:space="0" w:color="auto"/>
        <w:bottom w:val="none" w:sz="0" w:space="0" w:color="auto"/>
        <w:right w:val="none" w:sz="0" w:space="0" w:color="auto"/>
      </w:divBdr>
    </w:div>
    <w:div w:id="1889955596">
      <w:bodyDiv w:val="1"/>
      <w:marLeft w:val="0"/>
      <w:marRight w:val="0"/>
      <w:marTop w:val="0"/>
      <w:marBottom w:val="0"/>
      <w:divBdr>
        <w:top w:val="none" w:sz="0" w:space="0" w:color="auto"/>
        <w:left w:val="none" w:sz="0" w:space="0" w:color="auto"/>
        <w:bottom w:val="none" w:sz="0" w:space="0" w:color="auto"/>
        <w:right w:val="none" w:sz="0" w:space="0" w:color="auto"/>
      </w:divBdr>
    </w:div>
    <w:div w:id="1892419187">
      <w:bodyDiv w:val="1"/>
      <w:marLeft w:val="0"/>
      <w:marRight w:val="0"/>
      <w:marTop w:val="0"/>
      <w:marBottom w:val="0"/>
      <w:divBdr>
        <w:top w:val="none" w:sz="0" w:space="0" w:color="auto"/>
        <w:left w:val="none" w:sz="0" w:space="0" w:color="auto"/>
        <w:bottom w:val="none" w:sz="0" w:space="0" w:color="auto"/>
        <w:right w:val="none" w:sz="0" w:space="0" w:color="auto"/>
      </w:divBdr>
    </w:div>
    <w:div w:id="1903981233">
      <w:bodyDiv w:val="1"/>
      <w:marLeft w:val="0"/>
      <w:marRight w:val="0"/>
      <w:marTop w:val="0"/>
      <w:marBottom w:val="0"/>
      <w:divBdr>
        <w:top w:val="none" w:sz="0" w:space="0" w:color="auto"/>
        <w:left w:val="none" w:sz="0" w:space="0" w:color="auto"/>
        <w:bottom w:val="none" w:sz="0" w:space="0" w:color="auto"/>
        <w:right w:val="none" w:sz="0" w:space="0" w:color="auto"/>
      </w:divBdr>
    </w:div>
    <w:div w:id="1917206327">
      <w:bodyDiv w:val="1"/>
      <w:marLeft w:val="0"/>
      <w:marRight w:val="0"/>
      <w:marTop w:val="0"/>
      <w:marBottom w:val="0"/>
      <w:divBdr>
        <w:top w:val="none" w:sz="0" w:space="0" w:color="auto"/>
        <w:left w:val="none" w:sz="0" w:space="0" w:color="auto"/>
        <w:bottom w:val="none" w:sz="0" w:space="0" w:color="auto"/>
        <w:right w:val="none" w:sz="0" w:space="0" w:color="auto"/>
      </w:divBdr>
    </w:div>
    <w:div w:id="1922831004">
      <w:bodyDiv w:val="1"/>
      <w:marLeft w:val="0"/>
      <w:marRight w:val="0"/>
      <w:marTop w:val="0"/>
      <w:marBottom w:val="0"/>
      <w:divBdr>
        <w:top w:val="none" w:sz="0" w:space="0" w:color="auto"/>
        <w:left w:val="none" w:sz="0" w:space="0" w:color="auto"/>
        <w:bottom w:val="none" w:sz="0" w:space="0" w:color="auto"/>
        <w:right w:val="none" w:sz="0" w:space="0" w:color="auto"/>
      </w:divBdr>
    </w:div>
    <w:div w:id="1927809219">
      <w:bodyDiv w:val="1"/>
      <w:marLeft w:val="0"/>
      <w:marRight w:val="0"/>
      <w:marTop w:val="0"/>
      <w:marBottom w:val="0"/>
      <w:divBdr>
        <w:top w:val="none" w:sz="0" w:space="0" w:color="auto"/>
        <w:left w:val="none" w:sz="0" w:space="0" w:color="auto"/>
        <w:bottom w:val="none" w:sz="0" w:space="0" w:color="auto"/>
        <w:right w:val="none" w:sz="0" w:space="0" w:color="auto"/>
      </w:divBdr>
    </w:div>
    <w:div w:id="1930381061">
      <w:bodyDiv w:val="1"/>
      <w:marLeft w:val="0"/>
      <w:marRight w:val="0"/>
      <w:marTop w:val="0"/>
      <w:marBottom w:val="0"/>
      <w:divBdr>
        <w:top w:val="none" w:sz="0" w:space="0" w:color="auto"/>
        <w:left w:val="none" w:sz="0" w:space="0" w:color="auto"/>
        <w:bottom w:val="none" w:sz="0" w:space="0" w:color="auto"/>
        <w:right w:val="none" w:sz="0" w:space="0" w:color="auto"/>
      </w:divBdr>
    </w:div>
    <w:div w:id="1983923505">
      <w:bodyDiv w:val="1"/>
      <w:marLeft w:val="0"/>
      <w:marRight w:val="0"/>
      <w:marTop w:val="0"/>
      <w:marBottom w:val="0"/>
      <w:divBdr>
        <w:top w:val="none" w:sz="0" w:space="0" w:color="auto"/>
        <w:left w:val="none" w:sz="0" w:space="0" w:color="auto"/>
        <w:bottom w:val="none" w:sz="0" w:space="0" w:color="auto"/>
        <w:right w:val="none" w:sz="0" w:space="0" w:color="auto"/>
      </w:divBdr>
    </w:div>
    <w:div w:id="1987930374">
      <w:bodyDiv w:val="1"/>
      <w:marLeft w:val="0"/>
      <w:marRight w:val="0"/>
      <w:marTop w:val="0"/>
      <w:marBottom w:val="0"/>
      <w:divBdr>
        <w:top w:val="none" w:sz="0" w:space="0" w:color="auto"/>
        <w:left w:val="none" w:sz="0" w:space="0" w:color="auto"/>
        <w:bottom w:val="none" w:sz="0" w:space="0" w:color="auto"/>
        <w:right w:val="none" w:sz="0" w:space="0" w:color="auto"/>
      </w:divBdr>
    </w:div>
    <w:div w:id="2017491068">
      <w:bodyDiv w:val="1"/>
      <w:marLeft w:val="0"/>
      <w:marRight w:val="0"/>
      <w:marTop w:val="0"/>
      <w:marBottom w:val="0"/>
      <w:divBdr>
        <w:top w:val="none" w:sz="0" w:space="0" w:color="auto"/>
        <w:left w:val="none" w:sz="0" w:space="0" w:color="auto"/>
        <w:bottom w:val="none" w:sz="0" w:space="0" w:color="auto"/>
        <w:right w:val="none" w:sz="0" w:space="0" w:color="auto"/>
      </w:divBdr>
    </w:div>
    <w:div w:id="2035304638">
      <w:bodyDiv w:val="1"/>
      <w:marLeft w:val="0"/>
      <w:marRight w:val="0"/>
      <w:marTop w:val="0"/>
      <w:marBottom w:val="0"/>
      <w:divBdr>
        <w:top w:val="none" w:sz="0" w:space="0" w:color="auto"/>
        <w:left w:val="none" w:sz="0" w:space="0" w:color="auto"/>
        <w:bottom w:val="none" w:sz="0" w:space="0" w:color="auto"/>
        <w:right w:val="none" w:sz="0" w:space="0" w:color="auto"/>
      </w:divBdr>
    </w:div>
    <w:div w:id="2067289130">
      <w:bodyDiv w:val="1"/>
      <w:marLeft w:val="0"/>
      <w:marRight w:val="0"/>
      <w:marTop w:val="0"/>
      <w:marBottom w:val="0"/>
      <w:divBdr>
        <w:top w:val="none" w:sz="0" w:space="0" w:color="auto"/>
        <w:left w:val="none" w:sz="0" w:space="0" w:color="auto"/>
        <w:bottom w:val="none" w:sz="0" w:space="0" w:color="auto"/>
        <w:right w:val="none" w:sz="0" w:space="0" w:color="auto"/>
      </w:divBdr>
    </w:div>
    <w:div w:id="2078823026">
      <w:bodyDiv w:val="1"/>
      <w:marLeft w:val="0"/>
      <w:marRight w:val="0"/>
      <w:marTop w:val="0"/>
      <w:marBottom w:val="0"/>
      <w:divBdr>
        <w:top w:val="none" w:sz="0" w:space="0" w:color="auto"/>
        <w:left w:val="none" w:sz="0" w:space="0" w:color="auto"/>
        <w:bottom w:val="none" w:sz="0" w:space="0" w:color="auto"/>
        <w:right w:val="none" w:sz="0" w:space="0" w:color="auto"/>
      </w:divBdr>
    </w:div>
    <w:div w:id="2084063939">
      <w:bodyDiv w:val="1"/>
      <w:marLeft w:val="0"/>
      <w:marRight w:val="0"/>
      <w:marTop w:val="0"/>
      <w:marBottom w:val="0"/>
      <w:divBdr>
        <w:top w:val="none" w:sz="0" w:space="0" w:color="auto"/>
        <w:left w:val="none" w:sz="0" w:space="0" w:color="auto"/>
        <w:bottom w:val="none" w:sz="0" w:space="0" w:color="auto"/>
        <w:right w:val="none" w:sz="0" w:space="0" w:color="auto"/>
      </w:divBdr>
    </w:div>
    <w:div w:id="2096582947">
      <w:bodyDiv w:val="1"/>
      <w:marLeft w:val="0"/>
      <w:marRight w:val="0"/>
      <w:marTop w:val="0"/>
      <w:marBottom w:val="0"/>
      <w:divBdr>
        <w:top w:val="none" w:sz="0" w:space="0" w:color="auto"/>
        <w:left w:val="none" w:sz="0" w:space="0" w:color="auto"/>
        <w:bottom w:val="none" w:sz="0" w:space="0" w:color="auto"/>
        <w:right w:val="none" w:sz="0" w:space="0" w:color="auto"/>
      </w:divBdr>
    </w:div>
    <w:div w:id="2100713054">
      <w:bodyDiv w:val="1"/>
      <w:marLeft w:val="0"/>
      <w:marRight w:val="0"/>
      <w:marTop w:val="0"/>
      <w:marBottom w:val="0"/>
      <w:divBdr>
        <w:top w:val="none" w:sz="0" w:space="0" w:color="auto"/>
        <w:left w:val="none" w:sz="0" w:space="0" w:color="auto"/>
        <w:bottom w:val="none" w:sz="0" w:space="0" w:color="auto"/>
        <w:right w:val="none" w:sz="0" w:space="0" w:color="auto"/>
      </w:divBdr>
    </w:div>
    <w:div w:id="2103917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diagramData" Target="diagrams/data2.xml"/><Relationship Id="rId42" Type="http://schemas.openxmlformats.org/officeDocument/2006/relationships/diagramLayout" Target="diagrams/layout4.xml"/><Relationship Id="rId47" Type="http://schemas.openxmlformats.org/officeDocument/2006/relationships/image" Target="media/image17.png"/><Relationship Id="rId63" Type="http://schemas.openxmlformats.org/officeDocument/2006/relationships/image" Target="media/image33.png"/><Relationship Id="rId68" Type="http://schemas.openxmlformats.org/officeDocument/2006/relationships/image" Target="media/image38.png"/><Relationship Id="rId84" Type="http://schemas.openxmlformats.org/officeDocument/2006/relationships/image" Target="media/image54.png"/><Relationship Id="rId89" Type="http://schemas.openxmlformats.org/officeDocument/2006/relationships/image" Target="media/image59.png"/><Relationship Id="rId112" Type="http://schemas.openxmlformats.org/officeDocument/2006/relationships/image" Target="media/image82.png"/><Relationship Id="rId16" Type="http://schemas.openxmlformats.org/officeDocument/2006/relationships/diagramLayout" Target="diagrams/layout1.xml"/><Relationship Id="rId107" Type="http://schemas.openxmlformats.org/officeDocument/2006/relationships/image" Target="media/image77.png"/><Relationship Id="rId11" Type="http://schemas.openxmlformats.org/officeDocument/2006/relationships/header" Target="header1.xml"/><Relationship Id="rId32" Type="http://schemas.openxmlformats.org/officeDocument/2006/relationships/image" Target="media/image12.emf"/><Relationship Id="rId37" Type="http://schemas.openxmlformats.org/officeDocument/2006/relationships/diagramColors" Target="diagrams/colors3.xml"/><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4.png"/><Relationship Id="rId79" Type="http://schemas.openxmlformats.org/officeDocument/2006/relationships/image" Target="media/image49.png"/><Relationship Id="rId102" Type="http://schemas.openxmlformats.org/officeDocument/2006/relationships/image" Target="media/image72.png"/><Relationship Id="rId123" Type="http://schemas.openxmlformats.org/officeDocument/2006/relationships/header" Target="header3.xml"/><Relationship Id="rId5" Type="http://schemas.openxmlformats.org/officeDocument/2006/relationships/webSettings" Target="webSettings.xml"/><Relationship Id="rId90" Type="http://schemas.openxmlformats.org/officeDocument/2006/relationships/image" Target="media/image60.png"/><Relationship Id="rId95" Type="http://schemas.openxmlformats.org/officeDocument/2006/relationships/image" Target="media/image65.png"/><Relationship Id="rId22" Type="http://schemas.openxmlformats.org/officeDocument/2006/relationships/diagramLayout" Target="diagrams/layout2.xml"/><Relationship Id="rId27" Type="http://schemas.openxmlformats.org/officeDocument/2006/relationships/chart" Target="charts/chart2.xml"/><Relationship Id="rId43" Type="http://schemas.openxmlformats.org/officeDocument/2006/relationships/diagramQuickStyle" Target="diagrams/quickStyle4.xml"/><Relationship Id="rId48" Type="http://schemas.openxmlformats.org/officeDocument/2006/relationships/image" Target="media/image18.png"/><Relationship Id="rId64" Type="http://schemas.openxmlformats.org/officeDocument/2006/relationships/image" Target="media/image34.png"/><Relationship Id="rId69" Type="http://schemas.openxmlformats.org/officeDocument/2006/relationships/image" Target="media/image39.png"/><Relationship Id="rId113" Type="http://schemas.openxmlformats.org/officeDocument/2006/relationships/image" Target="media/image83.png"/><Relationship Id="rId80" Type="http://schemas.openxmlformats.org/officeDocument/2006/relationships/image" Target="media/image50.png"/><Relationship Id="rId85" Type="http://schemas.openxmlformats.org/officeDocument/2006/relationships/image" Target="media/image55.png"/><Relationship Id="rId12" Type="http://schemas.openxmlformats.org/officeDocument/2006/relationships/footer" Target="footer2.xml"/><Relationship Id="rId17" Type="http://schemas.openxmlformats.org/officeDocument/2006/relationships/diagramQuickStyle" Target="diagrams/quickStyle1.xml"/><Relationship Id="rId33" Type="http://schemas.openxmlformats.org/officeDocument/2006/relationships/image" Target="media/image13.png"/><Relationship Id="rId38" Type="http://schemas.microsoft.com/office/2007/relationships/diagramDrawing" Target="diagrams/drawing3.xml"/><Relationship Id="rId59" Type="http://schemas.openxmlformats.org/officeDocument/2006/relationships/image" Target="media/image29.png"/><Relationship Id="rId103" Type="http://schemas.openxmlformats.org/officeDocument/2006/relationships/image" Target="media/image73.png"/><Relationship Id="rId108" Type="http://schemas.openxmlformats.org/officeDocument/2006/relationships/image" Target="media/image78.png"/><Relationship Id="rId124" Type="http://schemas.openxmlformats.org/officeDocument/2006/relationships/footer" Target="footer5.xml"/><Relationship Id="rId54" Type="http://schemas.openxmlformats.org/officeDocument/2006/relationships/image" Target="media/image24.png"/><Relationship Id="rId70" Type="http://schemas.openxmlformats.org/officeDocument/2006/relationships/image" Target="media/image40.png"/><Relationship Id="rId75" Type="http://schemas.openxmlformats.org/officeDocument/2006/relationships/image" Target="media/image45.png"/><Relationship Id="rId91" Type="http://schemas.openxmlformats.org/officeDocument/2006/relationships/image" Target="media/image61.png"/><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QuickStyle" Target="diagrams/quickStyle2.xml"/><Relationship Id="rId28" Type="http://schemas.openxmlformats.org/officeDocument/2006/relationships/image" Target="media/image9.png"/><Relationship Id="rId49" Type="http://schemas.openxmlformats.org/officeDocument/2006/relationships/image" Target="media/image19.png"/><Relationship Id="rId114" Type="http://schemas.openxmlformats.org/officeDocument/2006/relationships/image" Target="media/image84.png"/><Relationship Id="rId44" Type="http://schemas.openxmlformats.org/officeDocument/2006/relationships/diagramColors" Target="diagrams/colors4.xml"/><Relationship Id="rId60" Type="http://schemas.openxmlformats.org/officeDocument/2006/relationships/image" Target="media/image30.png"/><Relationship Id="rId65" Type="http://schemas.openxmlformats.org/officeDocument/2006/relationships/image" Target="media/image35.png"/><Relationship Id="rId81" Type="http://schemas.openxmlformats.org/officeDocument/2006/relationships/image" Target="media/image51.png"/><Relationship Id="rId86"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diagramColors" Target="diagrams/colors1.xml"/><Relationship Id="rId39" Type="http://schemas.openxmlformats.org/officeDocument/2006/relationships/image" Target="media/image14.emf"/><Relationship Id="rId109" Type="http://schemas.openxmlformats.org/officeDocument/2006/relationships/image" Target="media/image79.png"/><Relationship Id="rId34" Type="http://schemas.openxmlformats.org/officeDocument/2006/relationships/diagramData" Target="diagrams/data3.xml"/><Relationship Id="rId50" Type="http://schemas.openxmlformats.org/officeDocument/2006/relationships/image" Target="media/image20.png"/><Relationship Id="rId55" Type="http://schemas.openxmlformats.org/officeDocument/2006/relationships/image" Target="media/image25.png"/><Relationship Id="rId76" Type="http://schemas.openxmlformats.org/officeDocument/2006/relationships/image" Target="media/image46.png"/><Relationship Id="rId97" Type="http://schemas.openxmlformats.org/officeDocument/2006/relationships/image" Target="media/image67.png"/><Relationship Id="rId104" Type="http://schemas.openxmlformats.org/officeDocument/2006/relationships/image" Target="media/image74.png"/><Relationship Id="rId120" Type="http://schemas.openxmlformats.org/officeDocument/2006/relationships/image" Target="media/image87.png"/><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10.png"/><Relationship Id="rId24" Type="http://schemas.openxmlformats.org/officeDocument/2006/relationships/diagramColors" Target="diagrams/colors2.xml"/><Relationship Id="rId40" Type="http://schemas.openxmlformats.org/officeDocument/2006/relationships/image" Target="media/image15.png"/><Relationship Id="rId45" Type="http://schemas.microsoft.com/office/2007/relationships/diagramDrawing" Target="diagrams/drawing4.xml"/><Relationship Id="rId66" Type="http://schemas.openxmlformats.org/officeDocument/2006/relationships/image" Target="media/image36.png"/><Relationship Id="rId87" Type="http://schemas.openxmlformats.org/officeDocument/2006/relationships/image" Target="media/image57.png"/><Relationship Id="rId110" Type="http://schemas.openxmlformats.org/officeDocument/2006/relationships/image" Target="media/image80.png"/><Relationship Id="rId61" Type="http://schemas.openxmlformats.org/officeDocument/2006/relationships/image" Target="media/image31.png"/><Relationship Id="rId82" Type="http://schemas.openxmlformats.org/officeDocument/2006/relationships/image" Target="media/image52.png"/><Relationship Id="rId19" Type="http://schemas.microsoft.com/office/2007/relationships/diagramDrawing" Target="diagrams/drawing1.xml"/><Relationship Id="rId14" Type="http://schemas.openxmlformats.org/officeDocument/2006/relationships/footer" Target="footer3.xml"/><Relationship Id="rId30" Type="http://schemas.openxmlformats.org/officeDocument/2006/relationships/image" Target="media/image10.jpeg"/><Relationship Id="rId35" Type="http://schemas.openxmlformats.org/officeDocument/2006/relationships/diagramLayout" Target="diagrams/layout3.xml"/><Relationship Id="rId56" Type="http://schemas.openxmlformats.org/officeDocument/2006/relationships/image" Target="media/image26.png"/><Relationship Id="rId77" Type="http://schemas.openxmlformats.org/officeDocument/2006/relationships/image" Target="media/image47.png"/><Relationship Id="rId100" Type="http://schemas.openxmlformats.org/officeDocument/2006/relationships/image" Target="media/image70.png"/><Relationship Id="rId105" Type="http://schemas.openxmlformats.org/officeDocument/2006/relationships/image" Target="media/image75.png"/><Relationship Id="rId12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1.png"/><Relationship Id="rId72" Type="http://schemas.openxmlformats.org/officeDocument/2006/relationships/image" Target="media/image42.png"/><Relationship Id="rId93" Type="http://schemas.openxmlformats.org/officeDocument/2006/relationships/image" Target="media/image63.png"/><Relationship Id="rId98" Type="http://schemas.openxmlformats.org/officeDocument/2006/relationships/image" Target="media/image68.png"/><Relationship Id="rId121" Type="http://schemas.openxmlformats.org/officeDocument/2006/relationships/image" Target="media/image85.png"/><Relationship Id="rId3" Type="http://schemas.openxmlformats.org/officeDocument/2006/relationships/styles" Target="styles.xml"/><Relationship Id="rId25" Type="http://schemas.microsoft.com/office/2007/relationships/diagramDrawing" Target="diagrams/drawing2.xml"/><Relationship Id="rId46" Type="http://schemas.openxmlformats.org/officeDocument/2006/relationships/image" Target="media/image16.png"/><Relationship Id="rId67" Type="http://schemas.openxmlformats.org/officeDocument/2006/relationships/image" Target="media/image37.png"/><Relationship Id="rId20" Type="http://schemas.openxmlformats.org/officeDocument/2006/relationships/image" Target="media/image8.png"/><Relationship Id="rId41" Type="http://schemas.openxmlformats.org/officeDocument/2006/relationships/diagramData" Target="diagrams/data4.xml"/><Relationship Id="rId62" Type="http://schemas.openxmlformats.org/officeDocument/2006/relationships/image" Target="media/image32.png"/><Relationship Id="rId83" Type="http://schemas.openxmlformats.org/officeDocument/2006/relationships/image" Target="media/image53.png"/><Relationship Id="rId88" Type="http://schemas.openxmlformats.org/officeDocument/2006/relationships/image" Target="media/image58.png"/><Relationship Id="rId111" Type="http://schemas.openxmlformats.org/officeDocument/2006/relationships/image" Target="media/image81.png"/><Relationship Id="rId15" Type="http://schemas.openxmlformats.org/officeDocument/2006/relationships/diagramData" Target="diagrams/data1.xml"/><Relationship Id="rId36" Type="http://schemas.openxmlformats.org/officeDocument/2006/relationships/diagramQuickStyle" Target="diagrams/quickStyle3.xml"/><Relationship Id="rId57" Type="http://schemas.openxmlformats.org/officeDocument/2006/relationships/image" Target="media/image27.png"/><Relationship Id="rId106" Type="http://schemas.openxmlformats.org/officeDocument/2006/relationships/image" Target="media/image76.png"/><Relationship Id="rId10" Type="http://schemas.openxmlformats.org/officeDocument/2006/relationships/footer" Target="footer1.xml"/><Relationship Id="rId31" Type="http://schemas.openxmlformats.org/officeDocument/2006/relationships/image" Target="media/image11.jpeg"/><Relationship Id="rId52" Type="http://schemas.openxmlformats.org/officeDocument/2006/relationships/image" Target="media/image22.png"/><Relationship Id="rId73" Type="http://schemas.openxmlformats.org/officeDocument/2006/relationships/image" Target="media/image43.png"/><Relationship Id="rId78" Type="http://schemas.openxmlformats.org/officeDocument/2006/relationships/image" Target="media/image48.png"/><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png"/><Relationship Id="rId122" Type="http://schemas.openxmlformats.org/officeDocument/2006/relationships/footer" Target="footer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398"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Sheet1!$B$3</c:f>
              <c:strCache>
                <c:ptCount val="1"/>
                <c:pt idx="0">
                  <c:v>Successful cyber-attacks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Sheet1!$C$2:$G$2</c:f>
              <c:numCache>
                <c:formatCode>General</c:formatCode>
                <c:ptCount val="5"/>
                <c:pt idx="0">
                  <c:v>2015</c:v>
                </c:pt>
                <c:pt idx="1">
                  <c:v>2016</c:v>
                </c:pt>
                <c:pt idx="2">
                  <c:v>2017</c:v>
                </c:pt>
                <c:pt idx="3">
                  <c:v>2018</c:v>
                </c:pt>
                <c:pt idx="4">
                  <c:v>2019</c:v>
                </c:pt>
              </c:numCache>
            </c:numRef>
          </c:cat>
          <c:val>
            <c:numRef>
              <c:f>Sheet1!$C$3:$G$3</c:f>
              <c:numCache>
                <c:formatCode>0.0%</c:formatCode>
                <c:ptCount val="5"/>
                <c:pt idx="0">
                  <c:v>0.70499999999999996</c:v>
                </c:pt>
                <c:pt idx="1">
                  <c:v>0.75600000000000001</c:v>
                </c:pt>
                <c:pt idx="2">
                  <c:v>0.79200000000000004</c:v>
                </c:pt>
                <c:pt idx="3">
                  <c:v>0.77200000000000002</c:v>
                </c:pt>
                <c:pt idx="4">
                  <c:v>0.78</c:v>
                </c:pt>
              </c:numCache>
            </c:numRef>
          </c:val>
          <c:extLst>
            <c:ext xmlns:c16="http://schemas.microsoft.com/office/drawing/2014/chart" uri="{C3380CC4-5D6E-409C-BE32-E72D297353CC}">
              <c16:uniqueId val="{00000000-EFB3-4C74-A96E-FA034DE2B27A}"/>
            </c:ext>
          </c:extLst>
        </c:ser>
        <c:dLbls>
          <c:showLegendKey val="0"/>
          <c:showVal val="0"/>
          <c:showCatName val="0"/>
          <c:showSerName val="0"/>
          <c:showPercent val="0"/>
          <c:showBubbleSize val="0"/>
        </c:dLbls>
        <c:gapWidth val="25"/>
        <c:overlap val="20"/>
        <c:axId val="2137917743"/>
        <c:axId val="1"/>
      </c:barChart>
      <c:catAx>
        <c:axId val="2137917743"/>
        <c:scaling>
          <c:orientation val="minMax"/>
        </c:scaling>
        <c:delete val="0"/>
        <c:axPos val="b"/>
        <c:numFmt formatCode="General" sourceLinked="1"/>
        <c:majorTickMark val="none"/>
        <c:minorTickMark val="none"/>
        <c:tickLblPos val="nextTo"/>
        <c:spPr>
          <a:noFill/>
          <a:ln w="9514"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14"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2137917743"/>
        <c:crosses val="autoZero"/>
        <c:crossBetween val="between"/>
      </c:valAx>
      <c:spPr>
        <a:noFill/>
        <a:ln w="25370">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Sheet1!$B$21</c:f>
              <c:strCache>
                <c:ptCount val="1"/>
                <c:pt idx="0">
                  <c:v>Sector</c:v>
                </c:pt>
              </c:strCache>
            </c:strRef>
          </c:tx>
          <c:spPr>
            <a:solidFill>
              <a:schemeClr val="accent2">
                <a:lumMod val="75000"/>
              </a:schemeClr>
            </a:solidFill>
            <a:ln>
              <a:noFill/>
            </a:ln>
            <a:effectLst/>
          </c:spPr>
          <c:invertIfNegative val="0"/>
          <c:cat>
            <c:strRef>
              <c:f>Sheet1!$B$22:$B$26</c:f>
              <c:strCache>
                <c:ptCount val="5"/>
                <c:pt idx="0">
                  <c:v>Government</c:v>
                </c:pt>
                <c:pt idx="1">
                  <c:v>Financial</c:v>
                </c:pt>
                <c:pt idx="2">
                  <c:v>Telecommunications</c:v>
                </c:pt>
                <c:pt idx="3">
                  <c:v>Retail</c:v>
                </c:pt>
                <c:pt idx="4">
                  <c:v>Oil and Gas</c:v>
                </c:pt>
              </c:strCache>
            </c:strRef>
          </c:cat>
          <c:val>
            <c:numRef>
              <c:f>Sheet1!$C$22:$C$26</c:f>
              <c:numCache>
                <c:formatCode>0%</c:formatCode>
                <c:ptCount val="5"/>
                <c:pt idx="0">
                  <c:v>0.36</c:v>
                </c:pt>
                <c:pt idx="1">
                  <c:v>0.26</c:v>
                </c:pt>
                <c:pt idx="2">
                  <c:v>0.16</c:v>
                </c:pt>
                <c:pt idx="3">
                  <c:v>0.14000000000000001</c:v>
                </c:pt>
                <c:pt idx="4">
                  <c:v>0.08</c:v>
                </c:pt>
              </c:numCache>
            </c:numRef>
          </c:val>
          <c:extLst>
            <c:ext xmlns:c16="http://schemas.microsoft.com/office/drawing/2014/chart" uri="{C3380CC4-5D6E-409C-BE32-E72D297353CC}">
              <c16:uniqueId val="{00000000-F689-4047-AF4A-98D62590ED5F}"/>
            </c:ext>
          </c:extLst>
        </c:ser>
        <c:dLbls>
          <c:showLegendKey val="0"/>
          <c:showVal val="0"/>
          <c:showCatName val="0"/>
          <c:showSerName val="0"/>
          <c:showPercent val="0"/>
          <c:showBubbleSize val="0"/>
        </c:dLbls>
        <c:gapWidth val="10"/>
        <c:axId val="2137082655"/>
        <c:axId val="1"/>
      </c:barChart>
      <c:catAx>
        <c:axId val="2137082655"/>
        <c:scaling>
          <c:orientation val="minMax"/>
        </c:scaling>
        <c:delete val="0"/>
        <c:axPos val="l"/>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b"/>
        <c:majorGridlines>
          <c:spPr>
            <a:ln w="9520"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082655"/>
        <c:crosses val="autoZero"/>
        <c:crossBetween val="between"/>
      </c:valAx>
      <c:spPr>
        <a:noFill/>
        <a:ln w="25387">
          <a:noFill/>
        </a:ln>
      </c:spPr>
    </c:plotArea>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2">
    <c:autoUpdate val="0"/>
  </c:externalData>
</c:chartSpace>
</file>

<file path=word/diagrams/_rels/data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media/image7.png"/><Relationship Id="rId4" Type="http://schemas.openxmlformats.org/officeDocument/2006/relationships/image" Target="../media/image6.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media/image7.png"/><Relationship Id="rId4" Type="http://schemas.openxmlformats.org/officeDocument/2006/relationships/image" Target="../media/image6.png"/></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4265C38-3A5D-4666-B73E-24EB817E4C15}" type="doc">
      <dgm:prSet loTypeId="urn:microsoft.com/office/officeart/2005/8/layout/vList3" loCatId="picture" qsTypeId="urn:microsoft.com/office/officeart/2005/8/quickstyle/simple2" qsCatId="simple" csTypeId="urn:microsoft.com/office/officeart/2005/8/colors/accent2_1" csCatId="accent2" phldr="1"/>
      <dgm:spPr/>
    </dgm:pt>
    <dgm:pt modelId="{F1263F9D-A3F3-4AFD-9C80-C0B088A481F7}">
      <dgm:prSet phldrT="[Text]" custT="1"/>
      <dgm:spPr>
        <a:xfrm rot="10800000">
          <a:off x="304800" y="629"/>
          <a:ext cx="5353048" cy="618620"/>
        </a:xfrm>
        <a:prstGeom prst="homePlate">
          <a:avLst/>
        </a:prstGeom>
      </dgm:spPr>
      <dgm:t>
        <a:bodyPr/>
        <a:lstStyle/>
        <a:p>
          <a:pPr>
            <a:buNone/>
          </a:pPr>
          <a:r>
            <a:rPr lang="en-GB" sz="900" b="1">
              <a:latin typeface="Calibri" panose="020F0502020204030204"/>
              <a:ea typeface="+mn-ea"/>
              <a:cs typeface="+mn-cs"/>
            </a:rPr>
            <a:t>Cybersecurity Laws and Regulations</a:t>
          </a:r>
        </a:p>
      </dgm:t>
    </dgm:pt>
    <dgm:pt modelId="{9B48A67A-09F8-416D-B0C8-81A915C32D11}" type="parTrans" cxnId="{49C31385-B653-493C-9E0F-AC5F6F29141B}">
      <dgm:prSet/>
      <dgm:spPr/>
      <dgm:t>
        <a:bodyPr/>
        <a:lstStyle/>
        <a:p>
          <a:endParaRPr lang="en-GB"/>
        </a:p>
      </dgm:t>
    </dgm:pt>
    <dgm:pt modelId="{4E46A8EF-AFEA-4E6F-BD61-002A1ECE771D}" type="sibTrans" cxnId="{49C31385-B653-493C-9E0F-AC5F6F29141B}">
      <dgm:prSet/>
      <dgm:spPr/>
      <dgm:t>
        <a:bodyPr/>
        <a:lstStyle/>
        <a:p>
          <a:endParaRPr lang="en-GB"/>
        </a:p>
      </dgm:t>
    </dgm:pt>
    <dgm:pt modelId="{EF8C38B9-429F-4729-A459-FBA9EA243571}">
      <dgm:prSet phldrT="[Text]" custT="1"/>
      <dgm:spPr>
        <a:xfrm rot="10800000">
          <a:off x="304999" y="749828"/>
          <a:ext cx="5352651" cy="673466"/>
        </a:xfrm>
        <a:prstGeom prst="homePlate">
          <a:avLst/>
        </a:prstGeom>
      </dgm:spPr>
      <dgm:t>
        <a:bodyPr/>
        <a:lstStyle/>
        <a:p>
          <a:pPr>
            <a:buNone/>
          </a:pPr>
          <a:r>
            <a:rPr lang="en-GB" sz="900" b="1">
              <a:latin typeface="Calibri" panose="020F0502020204030204"/>
              <a:ea typeface="+mn-ea"/>
              <a:cs typeface="+mn-cs"/>
            </a:rPr>
            <a:t>Vibrant Cybersecurity Ecosystem</a:t>
          </a:r>
        </a:p>
      </dgm:t>
    </dgm:pt>
    <dgm:pt modelId="{DEF4B30B-569E-425F-996D-F1F007C93F3B}" type="parTrans" cxnId="{7A4C72AF-BD15-4ABC-BD09-5B885984D019}">
      <dgm:prSet/>
      <dgm:spPr/>
      <dgm:t>
        <a:bodyPr/>
        <a:lstStyle/>
        <a:p>
          <a:endParaRPr lang="en-GB"/>
        </a:p>
      </dgm:t>
    </dgm:pt>
    <dgm:pt modelId="{89A38EDA-810A-4E1A-B4FB-962191EF3909}" type="sibTrans" cxnId="{7A4C72AF-BD15-4ABC-BD09-5B885984D019}">
      <dgm:prSet/>
      <dgm:spPr/>
      <dgm:t>
        <a:bodyPr/>
        <a:lstStyle/>
        <a:p>
          <a:endParaRPr lang="en-GB"/>
        </a:p>
      </dgm:t>
    </dgm:pt>
    <dgm:pt modelId="{1B0B3EF8-7688-4F33-9E81-69053428D459}">
      <dgm:prSet phldrT="[Text]" custT="1"/>
      <dgm:spPr>
        <a:xfrm rot="10800000">
          <a:off x="342509" y="1553873"/>
          <a:ext cx="5277630" cy="582230"/>
        </a:xfrm>
        <a:prstGeom prst="homePlate">
          <a:avLst/>
        </a:prstGeom>
      </dgm:spPr>
      <dgm:t>
        <a:bodyPr/>
        <a:lstStyle/>
        <a:p>
          <a:pPr>
            <a:buNone/>
          </a:pPr>
          <a:r>
            <a:rPr lang="en-GB" sz="900" b="1">
              <a:latin typeface="Calibri" panose="020F0502020204030204"/>
              <a:ea typeface="+mn-ea"/>
              <a:cs typeface="+mn-cs"/>
            </a:rPr>
            <a:t>National cyber incident response plan</a:t>
          </a:r>
        </a:p>
      </dgm:t>
    </dgm:pt>
    <dgm:pt modelId="{EF432030-06D2-42C0-812F-3EC7772CF769}" type="parTrans" cxnId="{25769608-4026-4BCB-BCB3-F14E7BCBDBE1}">
      <dgm:prSet/>
      <dgm:spPr/>
      <dgm:t>
        <a:bodyPr/>
        <a:lstStyle/>
        <a:p>
          <a:endParaRPr lang="en-GB"/>
        </a:p>
      </dgm:t>
    </dgm:pt>
    <dgm:pt modelId="{9E4292FA-5E9F-4B08-8E67-A55A14B2165E}" type="sibTrans" cxnId="{25769608-4026-4BCB-BCB3-F14E7BCBDBE1}">
      <dgm:prSet/>
      <dgm:spPr/>
      <dgm:t>
        <a:bodyPr/>
        <a:lstStyle/>
        <a:p>
          <a:endParaRPr lang="en-GB"/>
        </a:p>
      </dgm:t>
    </dgm:pt>
    <dgm:pt modelId="{BFDB00A2-B5D9-4EAD-8D0E-5DABF5F60DF8}">
      <dgm:prSet custT="1"/>
      <dgm:spPr>
        <a:xfrm rot="10800000">
          <a:off x="304800" y="629"/>
          <a:ext cx="5353048" cy="618620"/>
        </a:xfrm>
        <a:prstGeom prst="homePlate">
          <a:avLst/>
        </a:prstGeom>
      </dgm:spPr>
      <dgm:t>
        <a:bodyPr/>
        <a:lstStyle/>
        <a:p>
          <a:pPr>
            <a:buChar char="•"/>
          </a:pPr>
          <a:r>
            <a:rPr lang="en-GB" sz="700">
              <a:latin typeface="Calibri" panose="020F0502020204030204"/>
              <a:ea typeface="+mn-ea"/>
              <a:cs typeface="+mn-cs"/>
            </a:rPr>
            <a:t>Address all types of cybercrimes</a:t>
          </a:r>
        </a:p>
      </dgm:t>
    </dgm:pt>
    <dgm:pt modelId="{C01484F6-9E41-423B-96FE-51E581EF756A}" type="parTrans" cxnId="{0F72FDF6-B4FB-43E7-B0C9-85FA5EEA5768}">
      <dgm:prSet/>
      <dgm:spPr/>
      <dgm:t>
        <a:bodyPr/>
        <a:lstStyle/>
        <a:p>
          <a:endParaRPr lang="en-GB"/>
        </a:p>
      </dgm:t>
    </dgm:pt>
    <dgm:pt modelId="{F7B22401-5279-4C01-BE19-E5120194BC39}" type="sibTrans" cxnId="{0F72FDF6-B4FB-43E7-B0C9-85FA5EEA5768}">
      <dgm:prSet/>
      <dgm:spPr/>
      <dgm:t>
        <a:bodyPr/>
        <a:lstStyle/>
        <a:p>
          <a:endParaRPr lang="en-GB"/>
        </a:p>
      </dgm:t>
    </dgm:pt>
    <dgm:pt modelId="{7C7A41CE-85D5-45CB-A96C-AD661C0485CA}">
      <dgm:prSet custT="1"/>
      <dgm:spPr>
        <a:xfrm rot="10800000">
          <a:off x="304800" y="629"/>
          <a:ext cx="5353048" cy="618620"/>
        </a:xfrm>
        <a:prstGeom prst="homePlate">
          <a:avLst/>
        </a:prstGeom>
      </dgm:spPr>
      <dgm:t>
        <a:bodyPr/>
        <a:lstStyle/>
        <a:p>
          <a:pPr>
            <a:buChar char="•"/>
          </a:pPr>
          <a:r>
            <a:rPr lang="en-GB" sz="700">
              <a:latin typeface="Calibri" panose="020F0502020204030204"/>
              <a:ea typeface="+mn-ea"/>
              <a:cs typeface="+mn-cs"/>
            </a:rPr>
            <a:t>Secure existing ang emerging technologies</a:t>
          </a:r>
        </a:p>
      </dgm:t>
    </dgm:pt>
    <dgm:pt modelId="{11CAD775-EAD7-48BB-BB14-C6F05838D7E0}" type="parTrans" cxnId="{DCD017AD-7774-412B-B27F-43D3F6631E50}">
      <dgm:prSet/>
      <dgm:spPr/>
      <dgm:t>
        <a:bodyPr/>
        <a:lstStyle/>
        <a:p>
          <a:endParaRPr lang="en-GB"/>
        </a:p>
      </dgm:t>
    </dgm:pt>
    <dgm:pt modelId="{998ADE9E-B7AA-44A7-B95E-6BA689AFF6A6}" type="sibTrans" cxnId="{DCD017AD-7774-412B-B27F-43D3F6631E50}">
      <dgm:prSet/>
      <dgm:spPr/>
      <dgm:t>
        <a:bodyPr/>
        <a:lstStyle/>
        <a:p>
          <a:endParaRPr lang="en-GB"/>
        </a:p>
      </dgm:t>
    </dgm:pt>
    <dgm:pt modelId="{D4946EFE-592F-42C4-80A5-DB5DBAFC6CD0}">
      <dgm:prSet custT="1"/>
      <dgm:spPr>
        <a:xfrm rot="10800000">
          <a:off x="304800" y="629"/>
          <a:ext cx="5353048" cy="618620"/>
        </a:xfrm>
        <a:prstGeom prst="homePlate">
          <a:avLst/>
        </a:prstGeom>
      </dgm:spPr>
      <dgm:t>
        <a:bodyPr/>
        <a:lstStyle/>
        <a:p>
          <a:pPr>
            <a:buChar char="•"/>
          </a:pPr>
          <a:r>
            <a:rPr lang="en-GB" sz="700">
              <a:latin typeface="Calibri" panose="020F0502020204030204"/>
              <a:ea typeface="+mn-ea"/>
              <a:cs typeface="+mn-cs"/>
            </a:rPr>
            <a:t>Support Protection of SMEs</a:t>
          </a:r>
          <a:endParaRPr lang="en-GB" sz="800">
            <a:latin typeface="Calibri" panose="020F0502020204030204"/>
            <a:ea typeface="+mn-ea"/>
            <a:cs typeface="+mn-cs"/>
          </a:endParaRPr>
        </a:p>
      </dgm:t>
    </dgm:pt>
    <dgm:pt modelId="{C0FD4AD0-9E50-4ADA-A2CB-3DA72E05F6FA}" type="parTrans" cxnId="{C620879D-85AD-484E-9D36-23C159924EF4}">
      <dgm:prSet/>
      <dgm:spPr/>
      <dgm:t>
        <a:bodyPr/>
        <a:lstStyle/>
        <a:p>
          <a:endParaRPr lang="en-GB"/>
        </a:p>
      </dgm:t>
    </dgm:pt>
    <dgm:pt modelId="{C8F77061-0305-49AA-952A-FEDFC6BCCD38}" type="sibTrans" cxnId="{C620879D-85AD-484E-9D36-23C159924EF4}">
      <dgm:prSet/>
      <dgm:spPr/>
      <dgm:t>
        <a:bodyPr/>
        <a:lstStyle/>
        <a:p>
          <a:endParaRPr lang="en-GB"/>
        </a:p>
      </dgm:t>
    </dgm:pt>
    <dgm:pt modelId="{E27698D2-CA18-4B92-8994-5D3B959C6A1C}">
      <dgm:prSet custT="1"/>
      <dgm:spPr>
        <a:xfrm rot="10800000">
          <a:off x="304999" y="749828"/>
          <a:ext cx="5352651" cy="673466"/>
        </a:xfrm>
        <a:prstGeom prst="homePlate">
          <a:avLst/>
        </a:prstGeom>
      </dgm:spPr>
      <dgm:t>
        <a:bodyPr/>
        <a:lstStyle/>
        <a:p>
          <a:pPr>
            <a:buChar char="•"/>
          </a:pPr>
          <a:r>
            <a:rPr lang="en-GB" sz="700">
              <a:latin typeface="Calibri" panose="020F0502020204030204"/>
              <a:ea typeface="+mn-ea"/>
              <a:cs typeface="+mn-cs"/>
            </a:rPr>
            <a:t>Support startups and promote RandD in cybersecurity</a:t>
          </a:r>
        </a:p>
      </dgm:t>
    </dgm:pt>
    <dgm:pt modelId="{BAD96E02-D8BF-4F27-98E7-4DEC8590D2B7}" type="parTrans" cxnId="{8D39932C-F687-43E2-AB59-436D4699161F}">
      <dgm:prSet/>
      <dgm:spPr/>
      <dgm:t>
        <a:bodyPr/>
        <a:lstStyle/>
        <a:p>
          <a:endParaRPr lang="en-GB"/>
        </a:p>
      </dgm:t>
    </dgm:pt>
    <dgm:pt modelId="{B5367EA6-2B66-4E16-B729-CE97ECBA551C}" type="sibTrans" cxnId="{8D39932C-F687-43E2-AB59-436D4699161F}">
      <dgm:prSet/>
      <dgm:spPr/>
      <dgm:t>
        <a:bodyPr/>
        <a:lstStyle/>
        <a:p>
          <a:endParaRPr lang="en-GB"/>
        </a:p>
      </dgm:t>
    </dgm:pt>
    <dgm:pt modelId="{F66040D7-BCEA-43B6-BF22-B1865BB421D2}">
      <dgm:prSet custT="1"/>
      <dgm:spPr>
        <a:xfrm rot="10800000">
          <a:off x="304999" y="749828"/>
          <a:ext cx="5352651" cy="673466"/>
        </a:xfrm>
        <a:prstGeom prst="homePlate">
          <a:avLst/>
        </a:prstGeom>
      </dgm:spPr>
      <dgm:t>
        <a:bodyPr/>
        <a:lstStyle/>
        <a:p>
          <a:pPr>
            <a:buChar char="•"/>
          </a:pPr>
          <a:r>
            <a:rPr lang="en-GB" sz="700">
              <a:latin typeface="Calibri" panose="020F0502020204030204"/>
              <a:ea typeface="+mn-ea"/>
              <a:cs typeface="+mn-cs"/>
            </a:rPr>
            <a:t>Develop cybersecurity capabilities</a:t>
          </a:r>
        </a:p>
      </dgm:t>
    </dgm:pt>
    <dgm:pt modelId="{773C6201-7EE7-44D5-8D39-44481A2EE6EC}" type="parTrans" cxnId="{4658D465-C545-4620-90C5-6E3FBA111D38}">
      <dgm:prSet/>
      <dgm:spPr/>
      <dgm:t>
        <a:bodyPr/>
        <a:lstStyle/>
        <a:p>
          <a:endParaRPr lang="en-GB"/>
        </a:p>
      </dgm:t>
    </dgm:pt>
    <dgm:pt modelId="{409BE829-1849-43AE-AA1A-68A2331B4713}" type="sibTrans" cxnId="{4658D465-C545-4620-90C5-6E3FBA111D38}">
      <dgm:prSet/>
      <dgm:spPr/>
      <dgm:t>
        <a:bodyPr/>
        <a:lstStyle/>
        <a:p>
          <a:endParaRPr lang="en-GB"/>
        </a:p>
      </dgm:t>
    </dgm:pt>
    <dgm:pt modelId="{5C6DE963-BC5A-42FC-A137-3CD86EA54A19}">
      <dgm:prSet custT="1"/>
      <dgm:spPr>
        <a:xfrm rot="10800000">
          <a:off x="304999" y="749828"/>
          <a:ext cx="5352651" cy="673466"/>
        </a:xfrm>
        <a:prstGeom prst="homePlate">
          <a:avLst/>
        </a:prstGeom>
      </dgm:spPr>
      <dgm:t>
        <a:bodyPr/>
        <a:lstStyle/>
        <a:p>
          <a:pPr>
            <a:buChar char="•"/>
          </a:pPr>
          <a:r>
            <a:rPr lang="en-GB" sz="700">
              <a:latin typeface="Calibri" panose="020F0502020204030204"/>
              <a:ea typeface="+mn-ea"/>
              <a:cs typeface="+mn-cs"/>
            </a:rPr>
            <a:t>Drive citizen cybersecurity awareness</a:t>
          </a:r>
        </a:p>
      </dgm:t>
    </dgm:pt>
    <dgm:pt modelId="{58C39B6F-A527-498A-B780-511F5D03F6C4}" type="parTrans" cxnId="{B76ECB45-EB0B-413E-8C06-EC0A51D30C1B}">
      <dgm:prSet/>
      <dgm:spPr/>
      <dgm:t>
        <a:bodyPr/>
        <a:lstStyle/>
        <a:p>
          <a:endParaRPr lang="en-GB"/>
        </a:p>
      </dgm:t>
    </dgm:pt>
    <dgm:pt modelId="{FDF02BF5-5399-4068-89EE-0B2495D04DD2}" type="sibTrans" cxnId="{B76ECB45-EB0B-413E-8C06-EC0A51D30C1B}">
      <dgm:prSet/>
      <dgm:spPr/>
      <dgm:t>
        <a:bodyPr/>
        <a:lstStyle/>
        <a:p>
          <a:endParaRPr lang="en-GB"/>
        </a:p>
      </dgm:t>
    </dgm:pt>
    <dgm:pt modelId="{88C6CE81-A90C-4B80-9165-4252836882F5}">
      <dgm:prSet custT="1"/>
      <dgm:spPr>
        <a:xfrm rot="10800000">
          <a:off x="304999" y="749828"/>
          <a:ext cx="5352651" cy="673466"/>
        </a:xfrm>
        <a:prstGeom prst="homePlate">
          <a:avLst/>
        </a:prstGeom>
      </dgm:spPr>
      <dgm:t>
        <a:bodyPr/>
        <a:lstStyle/>
        <a:p>
          <a:pPr>
            <a:buChar char="•"/>
          </a:pPr>
          <a:r>
            <a:rPr lang="en-GB" sz="700">
              <a:latin typeface="Calibri" panose="020F0502020204030204"/>
              <a:ea typeface="+mn-ea"/>
              <a:cs typeface="+mn-cs"/>
            </a:rPr>
            <a:t>Encourage excellence in cybersecurity</a:t>
          </a:r>
        </a:p>
      </dgm:t>
    </dgm:pt>
    <dgm:pt modelId="{2EEB8A4F-8E22-42D2-A7FB-096F77834916}" type="parTrans" cxnId="{A261C5A5-9EB1-405C-9D96-740FFF92CBA5}">
      <dgm:prSet/>
      <dgm:spPr/>
      <dgm:t>
        <a:bodyPr/>
        <a:lstStyle/>
        <a:p>
          <a:endParaRPr lang="en-GB"/>
        </a:p>
      </dgm:t>
    </dgm:pt>
    <dgm:pt modelId="{3AFE955F-D74C-4B34-A5C0-FC1FCC0970F2}" type="sibTrans" cxnId="{A261C5A5-9EB1-405C-9D96-740FFF92CBA5}">
      <dgm:prSet/>
      <dgm:spPr/>
      <dgm:t>
        <a:bodyPr/>
        <a:lstStyle/>
        <a:p>
          <a:endParaRPr lang="en-GB"/>
        </a:p>
      </dgm:t>
    </dgm:pt>
    <dgm:pt modelId="{DECF7C8B-691C-437B-8BD7-0F707F81702F}">
      <dgm:prSet custT="1"/>
      <dgm:spPr>
        <a:xfrm rot="10800000">
          <a:off x="342509" y="1553873"/>
          <a:ext cx="5277630" cy="582230"/>
        </a:xfrm>
        <a:prstGeom prst="homePlate">
          <a:avLst/>
        </a:prstGeom>
      </dgm:spPr>
      <dgm:t>
        <a:bodyPr/>
        <a:lstStyle/>
        <a:p>
          <a:pPr>
            <a:buChar char="•"/>
          </a:pPr>
          <a:r>
            <a:rPr lang="en-GB" sz="700">
              <a:latin typeface="Calibri" panose="020F0502020204030204"/>
              <a:ea typeface="+mn-ea"/>
              <a:cs typeface="+mn-cs"/>
            </a:rPr>
            <a:t>Single point of contact for victimes of cyber incidents</a:t>
          </a:r>
        </a:p>
      </dgm:t>
    </dgm:pt>
    <dgm:pt modelId="{D2BCD878-8BB3-4499-9B01-ED34504FEB6C}" type="parTrans" cxnId="{87797BE7-8C4A-4F04-8801-53BD8A600255}">
      <dgm:prSet/>
      <dgm:spPr/>
      <dgm:t>
        <a:bodyPr/>
        <a:lstStyle/>
        <a:p>
          <a:endParaRPr lang="en-GB"/>
        </a:p>
      </dgm:t>
    </dgm:pt>
    <dgm:pt modelId="{4CB9B2BE-2D10-404D-AA9F-5149774797ED}" type="sibTrans" cxnId="{87797BE7-8C4A-4F04-8801-53BD8A600255}">
      <dgm:prSet/>
      <dgm:spPr/>
      <dgm:t>
        <a:bodyPr/>
        <a:lstStyle/>
        <a:p>
          <a:endParaRPr lang="en-GB"/>
        </a:p>
      </dgm:t>
    </dgm:pt>
    <dgm:pt modelId="{0BC924D5-16A2-4052-9661-46D757735125}">
      <dgm:prSet custT="1"/>
      <dgm:spPr>
        <a:xfrm rot="10800000">
          <a:off x="342509" y="1553873"/>
          <a:ext cx="5277630" cy="582230"/>
        </a:xfrm>
        <a:prstGeom prst="homePlate">
          <a:avLst/>
        </a:prstGeom>
      </dgm:spPr>
      <dgm:t>
        <a:bodyPr/>
        <a:lstStyle/>
        <a:p>
          <a:pPr>
            <a:buChar char="•"/>
          </a:pPr>
          <a:r>
            <a:rPr lang="en-GB" sz="700">
              <a:latin typeface="Calibri" panose="020F0502020204030204"/>
              <a:ea typeface="+mn-ea"/>
              <a:cs typeface="+mn-cs"/>
            </a:rPr>
            <a:t>Standarised severity assessment and agency mobilisation plan</a:t>
          </a:r>
        </a:p>
      </dgm:t>
    </dgm:pt>
    <dgm:pt modelId="{037BBD58-1D43-4385-9C61-2E4148B4A632}" type="parTrans" cxnId="{FE2E3FF9-D20F-4904-8A97-E49E8533AC7A}">
      <dgm:prSet/>
      <dgm:spPr/>
      <dgm:t>
        <a:bodyPr/>
        <a:lstStyle/>
        <a:p>
          <a:endParaRPr lang="en-GB"/>
        </a:p>
      </dgm:t>
    </dgm:pt>
    <dgm:pt modelId="{4AF93BD8-C9CA-4976-895D-F3588BF4B08A}" type="sibTrans" cxnId="{FE2E3FF9-D20F-4904-8A97-E49E8533AC7A}">
      <dgm:prSet/>
      <dgm:spPr/>
      <dgm:t>
        <a:bodyPr/>
        <a:lstStyle/>
        <a:p>
          <a:endParaRPr lang="en-GB"/>
        </a:p>
      </dgm:t>
    </dgm:pt>
    <dgm:pt modelId="{26A677A5-94EB-4520-A4FD-3E1E141D9E02}">
      <dgm:prSet custT="1"/>
      <dgm:spPr>
        <a:xfrm rot="10800000">
          <a:off x="342509" y="1553873"/>
          <a:ext cx="5277630" cy="582230"/>
        </a:xfrm>
        <a:prstGeom prst="homePlate">
          <a:avLst/>
        </a:prstGeom>
      </dgm:spPr>
      <dgm:t>
        <a:bodyPr/>
        <a:lstStyle/>
        <a:p>
          <a:pPr>
            <a:buChar char="•"/>
          </a:pPr>
          <a:r>
            <a:rPr lang="en-GB" sz="700">
              <a:latin typeface="Calibri" panose="020F0502020204030204"/>
              <a:ea typeface="+mn-ea"/>
              <a:cs typeface="+mn-cs"/>
            </a:rPr>
            <a:t>Cross agency information sharing</a:t>
          </a:r>
        </a:p>
      </dgm:t>
    </dgm:pt>
    <dgm:pt modelId="{33DDDF3F-1E9D-4924-B965-015DFBA001BB}" type="parTrans" cxnId="{F19D0BB8-D6C8-4C37-93BA-E661CC485062}">
      <dgm:prSet/>
      <dgm:spPr/>
      <dgm:t>
        <a:bodyPr/>
        <a:lstStyle/>
        <a:p>
          <a:endParaRPr lang="en-GB"/>
        </a:p>
      </dgm:t>
    </dgm:pt>
    <dgm:pt modelId="{2FE37295-9A6E-454D-B70B-6D8C207F374E}" type="sibTrans" cxnId="{F19D0BB8-D6C8-4C37-93BA-E661CC485062}">
      <dgm:prSet/>
      <dgm:spPr/>
      <dgm:t>
        <a:bodyPr/>
        <a:lstStyle/>
        <a:p>
          <a:endParaRPr lang="en-GB"/>
        </a:p>
      </dgm:t>
    </dgm:pt>
    <dgm:pt modelId="{68DE8A0B-FD24-4535-9286-19F6E2419C5E}">
      <dgm:prSet custT="1"/>
      <dgm:spPr>
        <a:xfrm rot="10800000">
          <a:off x="342509" y="2266682"/>
          <a:ext cx="5277630" cy="582230"/>
        </a:xfrm>
        <a:prstGeom prst="homePlate">
          <a:avLst/>
        </a:prstGeom>
      </dgm:spPr>
      <dgm:t>
        <a:bodyPr/>
        <a:lstStyle/>
        <a:p>
          <a:pPr>
            <a:buNone/>
          </a:pPr>
          <a:r>
            <a:rPr lang="en-GB" sz="900" b="1">
              <a:latin typeface="Calibri" panose="020F0502020204030204"/>
              <a:ea typeface="+mn-ea"/>
              <a:cs typeface="+mn-cs"/>
            </a:rPr>
            <a:t>CIIP Program</a:t>
          </a:r>
        </a:p>
      </dgm:t>
    </dgm:pt>
    <dgm:pt modelId="{B572AA7D-1929-4197-8025-792318D50B0C}" type="parTrans" cxnId="{486F7B54-0793-4960-BD97-60D1067871DC}">
      <dgm:prSet/>
      <dgm:spPr/>
      <dgm:t>
        <a:bodyPr/>
        <a:lstStyle/>
        <a:p>
          <a:endParaRPr lang="en-GB"/>
        </a:p>
      </dgm:t>
    </dgm:pt>
    <dgm:pt modelId="{9D55D0E4-6D54-48F0-8CCD-2670FA42C28C}" type="sibTrans" cxnId="{486F7B54-0793-4960-BD97-60D1067871DC}">
      <dgm:prSet/>
      <dgm:spPr/>
      <dgm:t>
        <a:bodyPr/>
        <a:lstStyle/>
        <a:p>
          <a:endParaRPr lang="en-GB"/>
        </a:p>
      </dgm:t>
    </dgm:pt>
    <dgm:pt modelId="{B9CB8289-FFC3-413E-AAFE-5F03529D2915}">
      <dgm:prSet custT="1"/>
      <dgm:spPr>
        <a:xfrm rot="10800000">
          <a:off x="342509" y="2266682"/>
          <a:ext cx="5277630" cy="582230"/>
        </a:xfrm>
        <a:prstGeom prst="homePlate">
          <a:avLst/>
        </a:prstGeom>
      </dgm:spPr>
      <dgm:t>
        <a:bodyPr/>
        <a:lstStyle/>
        <a:p>
          <a:pPr>
            <a:buChar char="•"/>
          </a:pPr>
          <a:r>
            <a:rPr lang="en-GB" sz="700">
              <a:latin typeface="Calibri" panose="020F0502020204030204"/>
              <a:ea typeface="+mn-ea"/>
              <a:cs typeface="+mn-cs"/>
            </a:rPr>
            <a:t>Identify critical assets in the UAE</a:t>
          </a:r>
        </a:p>
      </dgm:t>
    </dgm:pt>
    <dgm:pt modelId="{CAD67DC2-F3FC-44F2-B791-CFDCFBFCC4ED}" type="parTrans" cxnId="{74773499-3AF8-4DC7-98A3-B83DFB4D9DB8}">
      <dgm:prSet/>
      <dgm:spPr/>
      <dgm:t>
        <a:bodyPr/>
        <a:lstStyle/>
        <a:p>
          <a:endParaRPr lang="en-GB"/>
        </a:p>
      </dgm:t>
    </dgm:pt>
    <dgm:pt modelId="{1045E978-38B7-48C4-A860-6BD999CE03E1}" type="sibTrans" cxnId="{74773499-3AF8-4DC7-98A3-B83DFB4D9DB8}">
      <dgm:prSet/>
      <dgm:spPr/>
      <dgm:t>
        <a:bodyPr/>
        <a:lstStyle/>
        <a:p>
          <a:endParaRPr lang="en-GB"/>
        </a:p>
      </dgm:t>
    </dgm:pt>
    <dgm:pt modelId="{1040B60D-31C7-43CE-BF97-C166D2122FA5}">
      <dgm:prSet custT="1"/>
      <dgm:spPr>
        <a:xfrm rot="10800000">
          <a:off x="342509" y="2266682"/>
          <a:ext cx="5277630" cy="582230"/>
        </a:xfrm>
        <a:prstGeom prst="homePlate">
          <a:avLst/>
        </a:prstGeom>
      </dgm:spPr>
      <dgm:t>
        <a:bodyPr/>
        <a:lstStyle/>
        <a:p>
          <a:pPr>
            <a:buChar char="•"/>
          </a:pPr>
          <a:r>
            <a:rPr lang="en-GB" sz="700">
              <a:latin typeface="Calibri" panose="020F0502020204030204"/>
              <a:ea typeface="+mn-ea"/>
              <a:cs typeface="+mn-cs"/>
            </a:rPr>
            <a:t>Establish world-class risk management standards</a:t>
          </a:r>
        </a:p>
      </dgm:t>
    </dgm:pt>
    <dgm:pt modelId="{9993E3A7-06BC-4F09-9D82-5E130718A68D}" type="parTrans" cxnId="{6C95794D-4087-40F5-BFB3-4DAE2FBC0070}">
      <dgm:prSet/>
      <dgm:spPr/>
      <dgm:t>
        <a:bodyPr/>
        <a:lstStyle/>
        <a:p>
          <a:endParaRPr lang="en-GB"/>
        </a:p>
      </dgm:t>
    </dgm:pt>
    <dgm:pt modelId="{F8B24BE7-A5EC-460C-A35C-AE92102EC073}" type="sibTrans" cxnId="{6C95794D-4087-40F5-BFB3-4DAE2FBC0070}">
      <dgm:prSet/>
      <dgm:spPr/>
      <dgm:t>
        <a:bodyPr/>
        <a:lstStyle/>
        <a:p>
          <a:endParaRPr lang="en-GB"/>
        </a:p>
      </dgm:t>
    </dgm:pt>
    <dgm:pt modelId="{A105F956-4279-4634-9EA2-83A3B31D13E9}">
      <dgm:prSet custT="1"/>
      <dgm:spPr>
        <a:xfrm rot="10800000">
          <a:off x="342509" y="2266682"/>
          <a:ext cx="5277630" cy="582230"/>
        </a:xfrm>
        <a:prstGeom prst="homePlate">
          <a:avLst/>
        </a:prstGeom>
      </dgm:spPr>
      <dgm:t>
        <a:bodyPr/>
        <a:lstStyle/>
        <a:p>
          <a:pPr>
            <a:buChar char="•"/>
          </a:pPr>
          <a:r>
            <a:rPr lang="en-GB" sz="700">
              <a:latin typeface="Calibri" panose="020F0502020204030204"/>
              <a:ea typeface="+mn-ea"/>
              <a:cs typeface="+mn-cs"/>
            </a:rPr>
            <a:t>Create robustprocesses for reporting, compliance, and response</a:t>
          </a:r>
        </a:p>
      </dgm:t>
    </dgm:pt>
    <dgm:pt modelId="{A4C4E7C4-A567-4B4D-8E45-6537AC2DF0D4}" type="parTrans" cxnId="{AE162930-9AF3-4C0D-A2F4-0D7A5C7039CC}">
      <dgm:prSet/>
      <dgm:spPr/>
      <dgm:t>
        <a:bodyPr/>
        <a:lstStyle/>
        <a:p>
          <a:endParaRPr lang="en-GB"/>
        </a:p>
      </dgm:t>
    </dgm:pt>
    <dgm:pt modelId="{F9FBBFAC-7AF4-4411-9F22-E59F55095644}" type="sibTrans" cxnId="{AE162930-9AF3-4C0D-A2F4-0D7A5C7039CC}">
      <dgm:prSet/>
      <dgm:spPr/>
      <dgm:t>
        <a:bodyPr/>
        <a:lstStyle/>
        <a:p>
          <a:endParaRPr lang="en-GB"/>
        </a:p>
      </dgm:t>
    </dgm:pt>
    <dgm:pt modelId="{9A3B9C4D-B51C-4610-8D6A-A97BE18D7FBA}">
      <dgm:prSet custT="1"/>
      <dgm:spPr>
        <a:xfrm rot="10800000">
          <a:off x="342509" y="2979490"/>
          <a:ext cx="5277630" cy="582230"/>
        </a:xfrm>
        <a:prstGeom prst="homePlate">
          <a:avLst/>
        </a:prstGeom>
      </dgm:spPr>
      <dgm:t>
        <a:bodyPr/>
        <a:lstStyle/>
        <a:p>
          <a:pPr>
            <a:buNone/>
          </a:pPr>
          <a:r>
            <a:rPr lang="en-GB" sz="900" b="1">
              <a:latin typeface="Calibri" panose="020F0502020204030204"/>
              <a:ea typeface="+mn-ea"/>
              <a:cs typeface="+mn-cs"/>
            </a:rPr>
            <a:t>Partnerships</a:t>
          </a:r>
        </a:p>
      </dgm:t>
    </dgm:pt>
    <dgm:pt modelId="{CE6C75CF-AA7D-45B2-A892-ACCC623D379C}" type="parTrans" cxnId="{EC54D611-4A2D-4941-9233-F18633D2A749}">
      <dgm:prSet/>
      <dgm:spPr/>
      <dgm:t>
        <a:bodyPr/>
        <a:lstStyle/>
        <a:p>
          <a:endParaRPr lang="en-GB"/>
        </a:p>
      </dgm:t>
    </dgm:pt>
    <dgm:pt modelId="{985CA46F-4673-4877-88A5-0AC8353094BA}" type="sibTrans" cxnId="{EC54D611-4A2D-4941-9233-F18633D2A749}">
      <dgm:prSet/>
      <dgm:spPr/>
      <dgm:t>
        <a:bodyPr/>
        <a:lstStyle/>
        <a:p>
          <a:endParaRPr lang="en-GB"/>
        </a:p>
      </dgm:t>
    </dgm:pt>
    <dgm:pt modelId="{769904BF-A6A5-4132-8BB1-5495B2943CBF}">
      <dgm:prSet custT="1"/>
      <dgm:spPr>
        <a:xfrm rot="10800000">
          <a:off x="342509" y="2979490"/>
          <a:ext cx="5277630" cy="582230"/>
        </a:xfrm>
        <a:prstGeom prst="homePlate">
          <a:avLst/>
        </a:prstGeom>
      </dgm:spPr>
      <dgm:t>
        <a:bodyPr/>
        <a:lstStyle/>
        <a:p>
          <a:pPr>
            <a:buChar char="•"/>
          </a:pPr>
          <a:r>
            <a:rPr lang="en-GB" sz="700">
              <a:latin typeface="Calibri" panose="020F0502020204030204"/>
              <a:ea typeface="+mn-ea"/>
              <a:cs typeface="+mn-cs"/>
            </a:rPr>
            <a:t>Public sector</a:t>
          </a:r>
        </a:p>
      </dgm:t>
    </dgm:pt>
    <dgm:pt modelId="{89E4C98C-A2DF-4D24-BD08-60FD2FC65E69}" type="parTrans" cxnId="{91A14317-3852-415E-946C-79BC23FFC454}">
      <dgm:prSet/>
      <dgm:spPr/>
      <dgm:t>
        <a:bodyPr/>
        <a:lstStyle/>
        <a:p>
          <a:endParaRPr lang="en-GB"/>
        </a:p>
      </dgm:t>
    </dgm:pt>
    <dgm:pt modelId="{E7495C02-4EB1-4C28-AE21-BCF5A6355E21}" type="sibTrans" cxnId="{91A14317-3852-415E-946C-79BC23FFC454}">
      <dgm:prSet/>
      <dgm:spPr/>
      <dgm:t>
        <a:bodyPr/>
        <a:lstStyle/>
        <a:p>
          <a:endParaRPr lang="en-GB"/>
        </a:p>
      </dgm:t>
    </dgm:pt>
    <dgm:pt modelId="{1B9B3C7C-9DD6-4288-9D8D-99C17C8A9287}">
      <dgm:prSet custT="1"/>
      <dgm:spPr>
        <a:xfrm rot="10800000">
          <a:off x="342509" y="2979490"/>
          <a:ext cx="5277630" cy="582230"/>
        </a:xfrm>
        <a:prstGeom prst="homePlate">
          <a:avLst/>
        </a:prstGeom>
      </dgm:spPr>
      <dgm:t>
        <a:bodyPr/>
        <a:lstStyle/>
        <a:p>
          <a:pPr>
            <a:buChar char="•"/>
          </a:pPr>
          <a:r>
            <a:rPr lang="en-GB" sz="700">
              <a:latin typeface="Calibri" panose="020F0502020204030204"/>
              <a:ea typeface="+mn-ea"/>
              <a:cs typeface="+mn-cs"/>
            </a:rPr>
            <a:t>Private sectorAcademia</a:t>
          </a:r>
        </a:p>
      </dgm:t>
    </dgm:pt>
    <dgm:pt modelId="{FAEBC8A2-A795-4083-8225-D6CFFF78E936}" type="parTrans" cxnId="{96B28E19-3058-420D-83AE-E10AB078CD82}">
      <dgm:prSet/>
      <dgm:spPr/>
      <dgm:t>
        <a:bodyPr/>
        <a:lstStyle/>
        <a:p>
          <a:endParaRPr lang="en-GB"/>
        </a:p>
      </dgm:t>
    </dgm:pt>
    <dgm:pt modelId="{C7935E05-BD68-49EC-BAF2-89C800B04BF4}" type="sibTrans" cxnId="{96B28E19-3058-420D-83AE-E10AB078CD82}">
      <dgm:prSet/>
      <dgm:spPr/>
      <dgm:t>
        <a:bodyPr/>
        <a:lstStyle/>
        <a:p>
          <a:endParaRPr lang="en-GB"/>
        </a:p>
      </dgm:t>
    </dgm:pt>
    <dgm:pt modelId="{D40AF508-C34E-467F-8AA3-239A8A2C9E60}">
      <dgm:prSet custT="1"/>
      <dgm:spPr>
        <a:xfrm rot="10800000">
          <a:off x="342509" y="2979490"/>
          <a:ext cx="5277630" cy="582230"/>
        </a:xfrm>
        <a:prstGeom prst="homePlate">
          <a:avLst/>
        </a:prstGeom>
      </dgm:spPr>
      <dgm:t>
        <a:bodyPr/>
        <a:lstStyle/>
        <a:p>
          <a:pPr>
            <a:buChar char="•"/>
          </a:pPr>
          <a:r>
            <a:rPr lang="en-GB" sz="700">
              <a:latin typeface="Calibri" panose="020F0502020204030204"/>
              <a:ea typeface="+mn-ea"/>
              <a:cs typeface="+mn-cs"/>
            </a:rPr>
            <a:t>International consortiums</a:t>
          </a:r>
          <a:endParaRPr lang="en-GB" sz="600">
            <a:latin typeface="Calibri" panose="020F0502020204030204"/>
            <a:ea typeface="+mn-ea"/>
            <a:cs typeface="+mn-cs"/>
          </a:endParaRPr>
        </a:p>
      </dgm:t>
    </dgm:pt>
    <dgm:pt modelId="{67153D2B-D9D4-4D0E-B180-7EEA892D2FF2}" type="parTrans" cxnId="{30871C0E-771A-4EE2-9113-E8613D7767E8}">
      <dgm:prSet/>
      <dgm:spPr/>
      <dgm:t>
        <a:bodyPr/>
        <a:lstStyle/>
        <a:p>
          <a:endParaRPr lang="en-GB"/>
        </a:p>
      </dgm:t>
    </dgm:pt>
    <dgm:pt modelId="{1507CD95-0A2E-41E4-9686-C7B91C39ABE1}" type="sibTrans" cxnId="{30871C0E-771A-4EE2-9113-E8613D7767E8}">
      <dgm:prSet/>
      <dgm:spPr/>
      <dgm:t>
        <a:bodyPr/>
        <a:lstStyle/>
        <a:p>
          <a:endParaRPr lang="en-GB"/>
        </a:p>
      </dgm:t>
    </dgm:pt>
    <dgm:pt modelId="{8D447338-DB68-4FDB-8C10-CDDA33766D25}" type="pres">
      <dgm:prSet presAssocID="{A4265C38-3A5D-4666-B73E-24EB817E4C15}" presName="linearFlow" presStyleCnt="0">
        <dgm:presLayoutVars>
          <dgm:dir/>
          <dgm:resizeHandles val="exact"/>
        </dgm:presLayoutVars>
      </dgm:prSet>
      <dgm:spPr/>
    </dgm:pt>
    <dgm:pt modelId="{7A41D309-61A0-4E14-9061-8C404CA3430E}" type="pres">
      <dgm:prSet presAssocID="{F1263F9D-A3F3-4AFD-9C80-C0B088A481F7}" presName="composite" presStyleCnt="0"/>
      <dgm:spPr/>
    </dgm:pt>
    <dgm:pt modelId="{D6F32198-4B35-416A-BEE1-84B5F747FF2D}" type="pres">
      <dgm:prSet presAssocID="{F1263F9D-A3F3-4AFD-9C80-C0B088A481F7}" presName="imgShp" presStyleLbl="fgImgPlace1" presStyleIdx="0" presStyleCnt="5" custLinFactX="-53087" custLinFactNeighborX="-100000" custLinFactNeighborY="-400"/>
      <dgm:spPr>
        <a:xfrm>
          <a:off x="110363" y="89470"/>
          <a:ext cx="437438" cy="437438"/>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Document"/>
        </a:ext>
      </dgm:extLst>
    </dgm:pt>
    <dgm:pt modelId="{9F2B9236-2375-43E4-8291-1F28DB47CF1E}" type="pres">
      <dgm:prSet presAssocID="{F1263F9D-A3F3-4AFD-9C80-C0B088A481F7}" presName="txShp" presStyleLbl="node1" presStyleIdx="0" presStyleCnt="5" custScaleX="135002" custScaleY="141419">
        <dgm:presLayoutVars>
          <dgm:bulletEnabled val="1"/>
        </dgm:presLayoutVars>
      </dgm:prSet>
      <dgm:spPr/>
      <dgm:t>
        <a:bodyPr/>
        <a:lstStyle/>
        <a:p>
          <a:endParaRPr lang="en-US"/>
        </a:p>
      </dgm:t>
    </dgm:pt>
    <dgm:pt modelId="{4FE47C91-6F6F-41CC-9BC3-507A80B86A1F}" type="pres">
      <dgm:prSet presAssocID="{4E46A8EF-AFEA-4E6F-BD61-002A1ECE771D}" presName="spacing" presStyleCnt="0"/>
      <dgm:spPr/>
    </dgm:pt>
    <dgm:pt modelId="{C46B89E8-1593-415E-86F5-B7D5A5E80933}" type="pres">
      <dgm:prSet presAssocID="{EF8C38B9-429F-4729-A459-FBA9EA243571}" presName="composite" presStyleCnt="0"/>
      <dgm:spPr/>
    </dgm:pt>
    <dgm:pt modelId="{10437F58-627F-4A1F-9E8E-993AC362F75C}" type="pres">
      <dgm:prSet presAssocID="{EF8C38B9-429F-4729-A459-FBA9EA243571}" presName="imgShp" presStyleLbl="fgImgPlace1" presStyleIdx="1" presStyleCnt="5" custLinFactX="-53087" custLinFactNeighborX="-100000" custLinFactNeighborY="-1704"/>
      <dgm:spPr>
        <a:xfrm>
          <a:off x="110363" y="860388"/>
          <a:ext cx="437438" cy="437438"/>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City"/>
        </a:ext>
      </dgm:extLst>
    </dgm:pt>
    <dgm:pt modelId="{4BBEE177-2276-4420-B73C-9B7ADBDC8EC6}" type="pres">
      <dgm:prSet presAssocID="{EF8C38B9-429F-4729-A459-FBA9EA243571}" presName="txShp" presStyleLbl="node1" presStyleIdx="1" presStyleCnt="5" custScaleX="134992" custScaleY="153957">
        <dgm:presLayoutVars>
          <dgm:bulletEnabled val="1"/>
        </dgm:presLayoutVars>
      </dgm:prSet>
      <dgm:spPr/>
      <dgm:t>
        <a:bodyPr/>
        <a:lstStyle/>
        <a:p>
          <a:endParaRPr lang="en-US"/>
        </a:p>
      </dgm:t>
    </dgm:pt>
    <dgm:pt modelId="{DB40AB1D-CD80-4176-946D-1A4B270DE7C2}" type="pres">
      <dgm:prSet presAssocID="{89A38EDA-810A-4E1A-B4FB-962191EF3909}" presName="spacing" presStyleCnt="0"/>
      <dgm:spPr/>
    </dgm:pt>
    <dgm:pt modelId="{B3638A4B-5B52-4F8C-8E44-48027D7C953E}" type="pres">
      <dgm:prSet presAssocID="{1B0B3EF8-7688-4F33-9E81-69053428D459}" presName="composite" presStyleCnt="0"/>
      <dgm:spPr/>
    </dgm:pt>
    <dgm:pt modelId="{F4BD46A0-E808-443B-9E81-5B8E222CB049}" type="pres">
      <dgm:prSet presAssocID="{1B0B3EF8-7688-4F33-9E81-69053428D459}" presName="imgShp" presStyleLbl="fgImgPlace1" presStyleIdx="2" presStyleCnt="5" custLinFactX="-53087" custLinFactNeighborX="-100000"/>
      <dgm:spPr>
        <a:xfrm>
          <a:off x="110363" y="1626269"/>
          <a:ext cx="437438" cy="437438"/>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Stopwatch"/>
        </a:ext>
      </dgm:extLst>
    </dgm:pt>
    <dgm:pt modelId="{6A011A64-5038-459C-8C8E-F997E7054397}" type="pres">
      <dgm:prSet presAssocID="{1B0B3EF8-7688-4F33-9E81-69053428D459}" presName="txShp" presStyleLbl="node1" presStyleIdx="2" presStyleCnt="5" custScaleX="133100" custScaleY="133100">
        <dgm:presLayoutVars>
          <dgm:bulletEnabled val="1"/>
        </dgm:presLayoutVars>
      </dgm:prSet>
      <dgm:spPr/>
      <dgm:t>
        <a:bodyPr/>
        <a:lstStyle/>
        <a:p>
          <a:endParaRPr lang="en-US"/>
        </a:p>
      </dgm:t>
    </dgm:pt>
    <dgm:pt modelId="{26305D17-5976-4EFF-882B-E58EDF16F92B}" type="pres">
      <dgm:prSet presAssocID="{9E4292FA-5E9F-4B08-8E67-A55A14B2165E}" presName="spacing" presStyleCnt="0"/>
      <dgm:spPr/>
    </dgm:pt>
    <dgm:pt modelId="{3F9DAAA5-4AAB-4023-BDA9-0D2961D90733}" type="pres">
      <dgm:prSet presAssocID="{68DE8A0B-FD24-4535-9286-19F6E2419C5E}" presName="composite" presStyleCnt="0"/>
      <dgm:spPr/>
    </dgm:pt>
    <dgm:pt modelId="{C2E548CE-A426-48CE-8130-7243D9EA1360}" type="pres">
      <dgm:prSet presAssocID="{68DE8A0B-FD24-4535-9286-19F6E2419C5E}" presName="imgShp" presStyleLbl="fgImgPlace1" presStyleIdx="3" presStyleCnt="5" custLinFactX="-53087" custLinFactNeighborX="-100000" custLinFactNeighborY="6815"/>
      <dgm:spPr>
        <a:xfrm>
          <a:off x="110363" y="2368889"/>
          <a:ext cx="437438" cy="437438"/>
        </a:xfrm>
        <a:prstGeom prst="ellipse">
          <a:avLst/>
        </a:prstGeom>
        <a:blipFill>
          <a:blip xmlns:r="http://schemas.openxmlformats.org/officeDocument/2006/relationships" r:embed="rId4"/>
          <a:srcRect/>
          <a:stretch>
            <a:fillRect/>
          </a:stretch>
        </a:blipFill>
      </dgm:spPr>
      <dgm:extLst>
        <a:ext uri="{E40237B7-FDA0-4F09-8148-C483321AD2D9}">
          <dgm14:cNvPr xmlns:dgm14="http://schemas.microsoft.com/office/drawing/2010/diagram" id="0" name="" descr="Internet"/>
        </a:ext>
      </dgm:extLst>
    </dgm:pt>
    <dgm:pt modelId="{08F2D469-067A-4468-8604-D5FDAE9EDDF2}" type="pres">
      <dgm:prSet presAssocID="{68DE8A0B-FD24-4535-9286-19F6E2419C5E}" presName="txShp" presStyleLbl="node1" presStyleIdx="3" presStyleCnt="5" custScaleX="133100" custScaleY="133100">
        <dgm:presLayoutVars>
          <dgm:bulletEnabled val="1"/>
        </dgm:presLayoutVars>
      </dgm:prSet>
      <dgm:spPr/>
      <dgm:t>
        <a:bodyPr/>
        <a:lstStyle/>
        <a:p>
          <a:endParaRPr lang="en-US"/>
        </a:p>
      </dgm:t>
    </dgm:pt>
    <dgm:pt modelId="{AB702CED-1EDA-423E-8085-9C4D91FD7D1C}" type="pres">
      <dgm:prSet presAssocID="{9D55D0E4-6D54-48F0-8CCD-2670FA42C28C}" presName="spacing" presStyleCnt="0"/>
      <dgm:spPr/>
    </dgm:pt>
    <dgm:pt modelId="{0722D350-BD3F-40F1-B5E1-047B6D9E2A6A}" type="pres">
      <dgm:prSet presAssocID="{9A3B9C4D-B51C-4610-8D6A-A97BE18D7FBA}" presName="composite" presStyleCnt="0"/>
      <dgm:spPr/>
    </dgm:pt>
    <dgm:pt modelId="{AB826D4C-0FF8-4C4E-B966-1976DE19ACAA}" type="pres">
      <dgm:prSet presAssocID="{9A3B9C4D-B51C-4610-8D6A-A97BE18D7FBA}" presName="imgShp" presStyleLbl="fgImgPlace1" presStyleIdx="4" presStyleCnt="5" custLinFactX="-53087" custLinFactNeighborX="-100000" custLinFactNeighborY="400"/>
      <dgm:spPr>
        <a:xfrm>
          <a:off x="110363" y="3053636"/>
          <a:ext cx="437438" cy="437438"/>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Cycle with people"/>
        </a:ext>
      </dgm:extLst>
    </dgm:pt>
    <dgm:pt modelId="{01B2DDC7-C5F9-4E19-B11D-8E9AA85BC023}" type="pres">
      <dgm:prSet presAssocID="{9A3B9C4D-B51C-4610-8D6A-A97BE18D7FBA}" presName="txShp" presStyleLbl="node1" presStyleIdx="4" presStyleCnt="5" custScaleX="133100" custScaleY="133100">
        <dgm:presLayoutVars>
          <dgm:bulletEnabled val="1"/>
        </dgm:presLayoutVars>
      </dgm:prSet>
      <dgm:spPr/>
      <dgm:t>
        <a:bodyPr/>
        <a:lstStyle/>
        <a:p>
          <a:endParaRPr lang="en-US"/>
        </a:p>
      </dgm:t>
    </dgm:pt>
  </dgm:ptLst>
  <dgm:cxnLst>
    <dgm:cxn modelId="{ACAC9C7C-5852-4A17-B083-78B1963B42FC}" type="presOf" srcId="{BFDB00A2-B5D9-4EAD-8D0E-5DABF5F60DF8}" destId="{9F2B9236-2375-43E4-8291-1F28DB47CF1E}" srcOrd="0" destOrd="1" presId="urn:microsoft.com/office/officeart/2005/8/layout/vList3"/>
    <dgm:cxn modelId="{B76ECB45-EB0B-413E-8C06-EC0A51D30C1B}" srcId="{EF8C38B9-429F-4729-A459-FBA9EA243571}" destId="{5C6DE963-BC5A-42FC-A137-3CD86EA54A19}" srcOrd="2" destOrd="0" parTransId="{58C39B6F-A527-498A-B780-511F5D03F6C4}" sibTransId="{FDF02BF5-5399-4068-89EE-0B2495D04DD2}"/>
    <dgm:cxn modelId="{C620879D-85AD-484E-9D36-23C159924EF4}" srcId="{F1263F9D-A3F3-4AFD-9C80-C0B088A481F7}" destId="{D4946EFE-592F-42C4-80A5-DB5DBAFC6CD0}" srcOrd="2" destOrd="0" parTransId="{C0FD4AD0-9E50-4ADA-A2CB-3DA72E05F6FA}" sibTransId="{C8F77061-0305-49AA-952A-FEDFC6BCCD38}"/>
    <dgm:cxn modelId="{30871C0E-771A-4EE2-9113-E8613D7767E8}" srcId="{9A3B9C4D-B51C-4610-8D6A-A97BE18D7FBA}" destId="{D40AF508-C34E-467F-8AA3-239A8A2C9E60}" srcOrd="2" destOrd="0" parTransId="{67153D2B-D9D4-4D0E-B180-7EEA892D2FF2}" sibTransId="{1507CD95-0A2E-41E4-9686-C7B91C39ABE1}"/>
    <dgm:cxn modelId="{A261C5A5-9EB1-405C-9D96-740FFF92CBA5}" srcId="{EF8C38B9-429F-4729-A459-FBA9EA243571}" destId="{88C6CE81-A90C-4B80-9165-4252836882F5}" srcOrd="3" destOrd="0" parTransId="{2EEB8A4F-8E22-42D2-A7FB-096F77834916}" sibTransId="{3AFE955F-D74C-4B34-A5C0-FC1FCC0970F2}"/>
    <dgm:cxn modelId="{A2FDB068-15B6-47D9-B185-C7D57E4FB5F6}" type="presOf" srcId="{D4946EFE-592F-42C4-80A5-DB5DBAFC6CD0}" destId="{9F2B9236-2375-43E4-8291-1F28DB47CF1E}" srcOrd="0" destOrd="3" presId="urn:microsoft.com/office/officeart/2005/8/layout/vList3"/>
    <dgm:cxn modelId="{FE2E3FF9-D20F-4904-8A97-E49E8533AC7A}" srcId="{1B0B3EF8-7688-4F33-9E81-69053428D459}" destId="{0BC924D5-16A2-4052-9661-46D757735125}" srcOrd="1" destOrd="0" parTransId="{037BBD58-1D43-4385-9C61-2E4148B4A632}" sibTransId="{4AF93BD8-C9CA-4976-895D-F3588BF4B08A}"/>
    <dgm:cxn modelId="{59A7183A-9826-4A19-A040-ADAEE2C01316}" type="presOf" srcId="{5C6DE963-BC5A-42FC-A137-3CD86EA54A19}" destId="{4BBEE177-2276-4420-B73C-9B7ADBDC8EC6}" srcOrd="0" destOrd="3" presId="urn:microsoft.com/office/officeart/2005/8/layout/vList3"/>
    <dgm:cxn modelId="{87797BE7-8C4A-4F04-8801-53BD8A600255}" srcId="{1B0B3EF8-7688-4F33-9E81-69053428D459}" destId="{DECF7C8B-691C-437B-8BD7-0F707F81702F}" srcOrd="0" destOrd="0" parTransId="{D2BCD878-8BB3-4499-9B01-ED34504FEB6C}" sibTransId="{4CB9B2BE-2D10-404D-AA9F-5149774797ED}"/>
    <dgm:cxn modelId="{91A14317-3852-415E-946C-79BC23FFC454}" srcId="{9A3B9C4D-B51C-4610-8D6A-A97BE18D7FBA}" destId="{769904BF-A6A5-4132-8BB1-5495B2943CBF}" srcOrd="0" destOrd="0" parTransId="{89E4C98C-A2DF-4D24-BD08-60FD2FC65E69}" sibTransId="{E7495C02-4EB1-4C28-AE21-BCF5A6355E21}"/>
    <dgm:cxn modelId="{25769608-4026-4BCB-BCB3-F14E7BCBDBE1}" srcId="{A4265C38-3A5D-4666-B73E-24EB817E4C15}" destId="{1B0B3EF8-7688-4F33-9E81-69053428D459}" srcOrd="2" destOrd="0" parTransId="{EF432030-06D2-42C0-812F-3EC7772CF769}" sibTransId="{9E4292FA-5E9F-4B08-8E67-A55A14B2165E}"/>
    <dgm:cxn modelId="{C9D46B56-9E51-4443-81D6-D7B801C8CC90}" type="presOf" srcId="{1B9B3C7C-9DD6-4288-9D8D-99C17C8A9287}" destId="{01B2DDC7-C5F9-4E19-B11D-8E9AA85BC023}" srcOrd="0" destOrd="2" presId="urn:microsoft.com/office/officeart/2005/8/layout/vList3"/>
    <dgm:cxn modelId="{486F7B54-0793-4960-BD97-60D1067871DC}" srcId="{A4265C38-3A5D-4666-B73E-24EB817E4C15}" destId="{68DE8A0B-FD24-4535-9286-19F6E2419C5E}" srcOrd="3" destOrd="0" parTransId="{B572AA7D-1929-4197-8025-792318D50B0C}" sibTransId="{9D55D0E4-6D54-48F0-8CCD-2670FA42C28C}"/>
    <dgm:cxn modelId="{EC54D611-4A2D-4941-9233-F18633D2A749}" srcId="{A4265C38-3A5D-4666-B73E-24EB817E4C15}" destId="{9A3B9C4D-B51C-4610-8D6A-A97BE18D7FBA}" srcOrd="4" destOrd="0" parTransId="{CE6C75CF-AA7D-45B2-A892-ACCC623D379C}" sibTransId="{985CA46F-4673-4877-88A5-0AC8353094BA}"/>
    <dgm:cxn modelId="{E7F5C5CA-41A2-4DD5-A9B6-21BEA86E2F0D}" type="presOf" srcId="{88C6CE81-A90C-4B80-9165-4252836882F5}" destId="{4BBEE177-2276-4420-B73C-9B7ADBDC8EC6}" srcOrd="0" destOrd="4" presId="urn:microsoft.com/office/officeart/2005/8/layout/vList3"/>
    <dgm:cxn modelId="{8D39932C-F687-43E2-AB59-436D4699161F}" srcId="{EF8C38B9-429F-4729-A459-FBA9EA243571}" destId="{E27698D2-CA18-4B92-8994-5D3B959C6A1C}" srcOrd="0" destOrd="0" parTransId="{BAD96E02-D8BF-4F27-98E7-4DEC8590D2B7}" sibTransId="{B5367EA6-2B66-4E16-B729-CE97ECBA551C}"/>
    <dgm:cxn modelId="{49C31385-B653-493C-9E0F-AC5F6F29141B}" srcId="{A4265C38-3A5D-4666-B73E-24EB817E4C15}" destId="{F1263F9D-A3F3-4AFD-9C80-C0B088A481F7}" srcOrd="0" destOrd="0" parTransId="{9B48A67A-09F8-416D-B0C8-81A915C32D11}" sibTransId="{4E46A8EF-AFEA-4E6F-BD61-002A1ECE771D}"/>
    <dgm:cxn modelId="{6443F3FE-3D4B-4AF5-8AAD-BAEE56E2DC81}" type="presOf" srcId="{DECF7C8B-691C-437B-8BD7-0F707F81702F}" destId="{6A011A64-5038-459C-8C8E-F997E7054397}" srcOrd="0" destOrd="1" presId="urn:microsoft.com/office/officeart/2005/8/layout/vList3"/>
    <dgm:cxn modelId="{D12EE236-EC68-4F4C-9B8F-3365A18413B0}" type="presOf" srcId="{B9CB8289-FFC3-413E-AAFE-5F03529D2915}" destId="{08F2D469-067A-4468-8604-D5FDAE9EDDF2}" srcOrd="0" destOrd="1" presId="urn:microsoft.com/office/officeart/2005/8/layout/vList3"/>
    <dgm:cxn modelId="{8183997B-8917-4733-87DA-9CDD8562D630}" type="presOf" srcId="{A4265C38-3A5D-4666-B73E-24EB817E4C15}" destId="{8D447338-DB68-4FDB-8C10-CDDA33766D25}" srcOrd="0" destOrd="0" presId="urn:microsoft.com/office/officeart/2005/8/layout/vList3"/>
    <dgm:cxn modelId="{CD93C2E1-8B0E-4130-AEE8-16F2A61E7764}" type="presOf" srcId="{1040B60D-31C7-43CE-BF97-C166D2122FA5}" destId="{08F2D469-067A-4468-8604-D5FDAE9EDDF2}" srcOrd="0" destOrd="2" presId="urn:microsoft.com/office/officeart/2005/8/layout/vList3"/>
    <dgm:cxn modelId="{C3170008-226A-4514-B935-6670B1C010A8}" type="presOf" srcId="{7C7A41CE-85D5-45CB-A96C-AD661C0485CA}" destId="{9F2B9236-2375-43E4-8291-1F28DB47CF1E}" srcOrd="0" destOrd="2" presId="urn:microsoft.com/office/officeart/2005/8/layout/vList3"/>
    <dgm:cxn modelId="{7A4C72AF-BD15-4ABC-BD09-5B885984D019}" srcId="{A4265C38-3A5D-4666-B73E-24EB817E4C15}" destId="{EF8C38B9-429F-4729-A459-FBA9EA243571}" srcOrd="1" destOrd="0" parTransId="{DEF4B30B-569E-425F-996D-F1F007C93F3B}" sibTransId="{89A38EDA-810A-4E1A-B4FB-962191EF3909}"/>
    <dgm:cxn modelId="{96B28E19-3058-420D-83AE-E10AB078CD82}" srcId="{9A3B9C4D-B51C-4610-8D6A-A97BE18D7FBA}" destId="{1B9B3C7C-9DD6-4288-9D8D-99C17C8A9287}" srcOrd="1" destOrd="0" parTransId="{FAEBC8A2-A795-4083-8225-D6CFFF78E936}" sibTransId="{C7935E05-BD68-49EC-BAF2-89C800B04BF4}"/>
    <dgm:cxn modelId="{74773499-3AF8-4DC7-98A3-B83DFB4D9DB8}" srcId="{68DE8A0B-FD24-4535-9286-19F6E2419C5E}" destId="{B9CB8289-FFC3-413E-AAFE-5F03529D2915}" srcOrd="0" destOrd="0" parTransId="{CAD67DC2-F3FC-44F2-B791-CFDCFBFCC4ED}" sibTransId="{1045E978-38B7-48C4-A860-6BD999CE03E1}"/>
    <dgm:cxn modelId="{5DD8FA00-7BC9-4C2A-A111-4C4A190FA342}" type="presOf" srcId="{F1263F9D-A3F3-4AFD-9C80-C0B088A481F7}" destId="{9F2B9236-2375-43E4-8291-1F28DB47CF1E}" srcOrd="0" destOrd="0" presId="urn:microsoft.com/office/officeart/2005/8/layout/vList3"/>
    <dgm:cxn modelId="{0762DBD6-09A0-426F-A966-2424500F5128}" type="presOf" srcId="{A105F956-4279-4634-9EA2-83A3B31D13E9}" destId="{08F2D469-067A-4468-8604-D5FDAE9EDDF2}" srcOrd="0" destOrd="3" presId="urn:microsoft.com/office/officeart/2005/8/layout/vList3"/>
    <dgm:cxn modelId="{91C8E80A-CED7-40C4-864D-4C82E1774257}" type="presOf" srcId="{D40AF508-C34E-467F-8AA3-239A8A2C9E60}" destId="{01B2DDC7-C5F9-4E19-B11D-8E9AA85BC023}" srcOrd="0" destOrd="3" presId="urn:microsoft.com/office/officeart/2005/8/layout/vList3"/>
    <dgm:cxn modelId="{AE162930-9AF3-4C0D-A2F4-0D7A5C7039CC}" srcId="{68DE8A0B-FD24-4535-9286-19F6E2419C5E}" destId="{A105F956-4279-4634-9EA2-83A3B31D13E9}" srcOrd="2" destOrd="0" parTransId="{A4C4E7C4-A567-4B4D-8E45-6537AC2DF0D4}" sibTransId="{F9FBBFAC-7AF4-4411-9F22-E59F55095644}"/>
    <dgm:cxn modelId="{CDEE0974-0E08-4AC4-B9A5-050ABF7A33F4}" type="presOf" srcId="{E27698D2-CA18-4B92-8994-5D3B959C6A1C}" destId="{4BBEE177-2276-4420-B73C-9B7ADBDC8EC6}" srcOrd="0" destOrd="1" presId="urn:microsoft.com/office/officeart/2005/8/layout/vList3"/>
    <dgm:cxn modelId="{A022D0FD-9140-4D58-B735-75F257329062}" type="presOf" srcId="{1B0B3EF8-7688-4F33-9E81-69053428D459}" destId="{6A011A64-5038-459C-8C8E-F997E7054397}" srcOrd="0" destOrd="0" presId="urn:microsoft.com/office/officeart/2005/8/layout/vList3"/>
    <dgm:cxn modelId="{039F6D25-DA8A-4007-B27C-F3AD62EE8E1D}" type="presOf" srcId="{26A677A5-94EB-4520-A4FD-3E1E141D9E02}" destId="{6A011A64-5038-459C-8C8E-F997E7054397}" srcOrd="0" destOrd="3" presId="urn:microsoft.com/office/officeart/2005/8/layout/vList3"/>
    <dgm:cxn modelId="{1B73708B-B1E0-46E7-BC1C-ED9432E870BA}" type="presOf" srcId="{0BC924D5-16A2-4052-9661-46D757735125}" destId="{6A011A64-5038-459C-8C8E-F997E7054397}" srcOrd="0" destOrd="2" presId="urn:microsoft.com/office/officeart/2005/8/layout/vList3"/>
    <dgm:cxn modelId="{C895960E-FDE5-4A60-B7E5-8F85BAB51A63}" type="presOf" srcId="{F66040D7-BCEA-43B6-BF22-B1865BB421D2}" destId="{4BBEE177-2276-4420-B73C-9B7ADBDC8EC6}" srcOrd="0" destOrd="2" presId="urn:microsoft.com/office/officeart/2005/8/layout/vList3"/>
    <dgm:cxn modelId="{4658D465-C545-4620-90C5-6E3FBA111D38}" srcId="{EF8C38B9-429F-4729-A459-FBA9EA243571}" destId="{F66040D7-BCEA-43B6-BF22-B1865BB421D2}" srcOrd="1" destOrd="0" parTransId="{773C6201-7EE7-44D5-8D39-44481A2EE6EC}" sibTransId="{409BE829-1849-43AE-AA1A-68A2331B4713}"/>
    <dgm:cxn modelId="{3271F8D0-E347-4346-BC80-098D3DDA0620}" type="presOf" srcId="{EF8C38B9-429F-4729-A459-FBA9EA243571}" destId="{4BBEE177-2276-4420-B73C-9B7ADBDC8EC6}" srcOrd="0" destOrd="0" presId="urn:microsoft.com/office/officeart/2005/8/layout/vList3"/>
    <dgm:cxn modelId="{F19D0BB8-D6C8-4C37-93BA-E661CC485062}" srcId="{1B0B3EF8-7688-4F33-9E81-69053428D459}" destId="{26A677A5-94EB-4520-A4FD-3E1E141D9E02}" srcOrd="2" destOrd="0" parTransId="{33DDDF3F-1E9D-4924-B965-015DFBA001BB}" sibTransId="{2FE37295-9A6E-454D-B70B-6D8C207F374E}"/>
    <dgm:cxn modelId="{0F72FDF6-B4FB-43E7-B0C9-85FA5EEA5768}" srcId="{F1263F9D-A3F3-4AFD-9C80-C0B088A481F7}" destId="{BFDB00A2-B5D9-4EAD-8D0E-5DABF5F60DF8}" srcOrd="0" destOrd="0" parTransId="{C01484F6-9E41-423B-96FE-51E581EF756A}" sibTransId="{F7B22401-5279-4C01-BE19-E5120194BC39}"/>
    <dgm:cxn modelId="{DCD017AD-7774-412B-B27F-43D3F6631E50}" srcId="{F1263F9D-A3F3-4AFD-9C80-C0B088A481F7}" destId="{7C7A41CE-85D5-45CB-A96C-AD661C0485CA}" srcOrd="1" destOrd="0" parTransId="{11CAD775-EAD7-48BB-BB14-C6F05838D7E0}" sibTransId="{998ADE9E-B7AA-44A7-B95E-6BA689AFF6A6}"/>
    <dgm:cxn modelId="{03F4311F-9EB0-4C19-BCB6-8CF077EBDEEF}" type="presOf" srcId="{68DE8A0B-FD24-4535-9286-19F6E2419C5E}" destId="{08F2D469-067A-4468-8604-D5FDAE9EDDF2}" srcOrd="0" destOrd="0" presId="urn:microsoft.com/office/officeart/2005/8/layout/vList3"/>
    <dgm:cxn modelId="{6C95794D-4087-40F5-BFB3-4DAE2FBC0070}" srcId="{68DE8A0B-FD24-4535-9286-19F6E2419C5E}" destId="{1040B60D-31C7-43CE-BF97-C166D2122FA5}" srcOrd="1" destOrd="0" parTransId="{9993E3A7-06BC-4F09-9D82-5E130718A68D}" sibTransId="{F8B24BE7-A5EC-460C-A35C-AE92102EC073}"/>
    <dgm:cxn modelId="{B1EC0C93-1F1C-40E4-BDAE-91351A9F7AC5}" type="presOf" srcId="{9A3B9C4D-B51C-4610-8D6A-A97BE18D7FBA}" destId="{01B2DDC7-C5F9-4E19-B11D-8E9AA85BC023}" srcOrd="0" destOrd="0" presId="urn:microsoft.com/office/officeart/2005/8/layout/vList3"/>
    <dgm:cxn modelId="{1671A8AC-5975-40CD-9262-B6E9CEF64265}" type="presOf" srcId="{769904BF-A6A5-4132-8BB1-5495B2943CBF}" destId="{01B2DDC7-C5F9-4E19-B11D-8E9AA85BC023}" srcOrd="0" destOrd="1" presId="urn:microsoft.com/office/officeart/2005/8/layout/vList3"/>
    <dgm:cxn modelId="{52B66182-346D-4C35-98C8-F7D36DA4C9E1}" type="presParOf" srcId="{8D447338-DB68-4FDB-8C10-CDDA33766D25}" destId="{7A41D309-61A0-4E14-9061-8C404CA3430E}" srcOrd="0" destOrd="0" presId="urn:microsoft.com/office/officeart/2005/8/layout/vList3"/>
    <dgm:cxn modelId="{45734D19-F363-4DDA-BC73-271F2E1A11B5}" type="presParOf" srcId="{7A41D309-61A0-4E14-9061-8C404CA3430E}" destId="{D6F32198-4B35-416A-BEE1-84B5F747FF2D}" srcOrd="0" destOrd="0" presId="urn:microsoft.com/office/officeart/2005/8/layout/vList3"/>
    <dgm:cxn modelId="{69C1C4A4-E595-449D-BA84-29789F7AC356}" type="presParOf" srcId="{7A41D309-61A0-4E14-9061-8C404CA3430E}" destId="{9F2B9236-2375-43E4-8291-1F28DB47CF1E}" srcOrd="1" destOrd="0" presId="urn:microsoft.com/office/officeart/2005/8/layout/vList3"/>
    <dgm:cxn modelId="{B95D192C-D8D6-4327-B95E-2955691E7498}" type="presParOf" srcId="{8D447338-DB68-4FDB-8C10-CDDA33766D25}" destId="{4FE47C91-6F6F-41CC-9BC3-507A80B86A1F}" srcOrd="1" destOrd="0" presId="urn:microsoft.com/office/officeart/2005/8/layout/vList3"/>
    <dgm:cxn modelId="{C3354EF4-F9FD-49DE-BCB4-B665CE2355CE}" type="presParOf" srcId="{8D447338-DB68-4FDB-8C10-CDDA33766D25}" destId="{C46B89E8-1593-415E-86F5-B7D5A5E80933}" srcOrd="2" destOrd="0" presId="urn:microsoft.com/office/officeart/2005/8/layout/vList3"/>
    <dgm:cxn modelId="{90ABEEB9-45BF-4B97-B792-366BD572F8A4}" type="presParOf" srcId="{C46B89E8-1593-415E-86F5-B7D5A5E80933}" destId="{10437F58-627F-4A1F-9E8E-993AC362F75C}" srcOrd="0" destOrd="0" presId="urn:microsoft.com/office/officeart/2005/8/layout/vList3"/>
    <dgm:cxn modelId="{2A68A788-5212-4A50-8CC8-8AB090143198}" type="presParOf" srcId="{C46B89E8-1593-415E-86F5-B7D5A5E80933}" destId="{4BBEE177-2276-4420-B73C-9B7ADBDC8EC6}" srcOrd="1" destOrd="0" presId="urn:microsoft.com/office/officeart/2005/8/layout/vList3"/>
    <dgm:cxn modelId="{149E6182-B07E-4D1A-B7ED-877E0DD10CBC}" type="presParOf" srcId="{8D447338-DB68-4FDB-8C10-CDDA33766D25}" destId="{DB40AB1D-CD80-4176-946D-1A4B270DE7C2}" srcOrd="3" destOrd="0" presId="urn:microsoft.com/office/officeart/2005/8/layout/vList3"/>
    <dgm:cxn modelId="{CBBC18B5-6D97-4773-95AA-CA23F4150B93}" type="presParOf" srcId="{8D447338-DB68-4FDB-8C10-CDDA33766D25}" destId="{B3638A4B-5B52-4F8C-8E44-48027D7C953E}" srcOrd="4" destOrd="0" presId="urn:microsoft.com/office/officeart/2005/8/layout/vList3"/>
    <dgm:cxn modelId="{836C7960-FFD2-430F-B3C6-37AFC09B2936}" type="presParOf" srcId="{B3638A4B-5B52-4F8C-8E44-48027D7C953E}" destId="{F4BD46A0-E808-443B-9E81-5B8E222CB049}" srcOrd="0" destOrd="0" presId="urn:microsoft.com/office/officeart/2005/8/layout/vList3"/>
    <dgm:cxn modelId="{A0EA50FE-D0E9-4BDB-935C-EEEFACBC24B9}" type="presParOf" srcId="{B3638A4B-5B52-4F8C-8E44-48027D7C953E}" destId="{6A011A64-5038-459C-8C8E-F997E7054397}" srcOrd="1" destOrd="0" presId="urn:microsoft.com/office/officeart/2005/8/layout/vList3"/>
    <dgm:cxn modelId="{90BFAB1F-53D5-44E6-81D2-FD5D9649965D}" type="presParOf" srcId="{8D447338-DB68-4FDB-8C10-CDDA33766D25}" destId="{26305D17-5976-4EFF-882B-E58EDF16F92B}" srcOrd="5" destOrd="0" presId="urn:microsoft.com/office/officeart/2005/8/layout/vList3"/>
    <dgm:cxn modelId="{353C9911-D208-4E3F-95D8-8369AEDEEFF1}" type="presParOf" srcId="{8D447338-DB68-4FDB-8C10-CDDA33766D25}" destId="{3F9DAAA5-4AAB-4023-BDA9-0D2961D90733}" srcOrd="6" destOrd="0" presId="urn:microsoft.com/office/officeart/2005/8/layout/vList3"/>
    <dgm:cxn modelId="{2C95B36D-98A0-4493-852C-305074B2DA6E}" type="presParOf" srcId="{3F9DAAA5-4AAB-4023-BDA9-0D2961D90733}" destId="{C2E548CE-A426-48CE-8130-7243D9EA1360}" srcOrd="0" destOrd="0" presId="urn:microsoft.com/office/officeart/2005/8/layout/vList3"/>
    <dgm:cxn modelId="{93FFD6B6-E98A-4BE2-82CE-4FACF612BA71}" type="presParOf" srcId="{3F9DAAA5-4AAB-4023-BDA9-0D2961D90733}" destId="{08F2D469-067A-4468-8604-D5FDAE9EDDF2}" srcOrd="1" destOrd="0" presId="urn:microsoft.com/office/officeart/2005/8/layout/vList3"/>
    <dgm:cxn modelId="{CC82221C-EA97-411B-885C-1E8BB13FCA8F}" type="presParOf" srcId="{8D447338-DB68-4FDB-8C10-CDDA33766D25}" destId="{AB702CED-1EDA-423E-8085-9C4D91FD7D1C}" srcOrd="7" destOrd="0" presId="urn:microsoft.com/office/officeart/2005/8/layout/vList3"/>
    <dgm:cxn modelId="{2338E577-3C59-40BD-9A0D-764EF6A393CC}" type="presParOf" srcId="{8D447338-DB68-4FDB-8C10-CDDA33766D25}" destId="{0722D350-BD3F-40F1-B5E1-047B6D9E2A6A}" srcOrd="8" destOrd="0" presId="urn:microsoft.com/office/officeart/2005/8/layout/vList3"/>
    <dgm:cxn modelId="{BD011422-7BE7-412C-9F2E-080E756BF679}" type="presParOf" srcId="{0722D350-BD3F-40F1-B5E1-047B6D9E2A6A}" destId="{AB826D4C-0FF8-4C4E-B966-1976DE19ACAA}" srcOrd="0" destOrd="0" presId="urn:microsoft.com/office/officeart/2005/8/layout/vList3"/>
    <dgm:cxn modelId="{08783937-59DE-45C5-B22C-0B1A4F44B8FB}" type="presParOf" srcId="{0722D350-BD3F-40F1-B5E1-047B6D9E2A6A}" destId="{01B2DDC7-C5F9-4E19-B11D-8E9AA85BC023}" srcOrd="1" destOrd="0" presId="urn:microsoft.com/office/officeart/2005/8/layout/vList3"/>
  </dgm:cxnLst>
  <dgm:bg/>
  <dgm:whole>
    <a:ln w="19050">
      <a:solidFill>
        <a:schemeClr val="tx1"/>
      </a:solidFill>
    </a:ln>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EFEAE13-CFF9-48C9-AA58-70A015B348FB}" type="doc">
      <dgm:prSet loTypeId="urn:microsoft.com/office/officeart/2005/8/layout/chevron1" loCatId="process" qsTypeId="urn:microsoft.com/office/officeart/2005/8/quickstyle/simple1" qsCatId="simple" csTypeId="urn:microsoft.com/office/officeart/2005/8/colors/accent4_1" csCatId="accent4" phldr="1"/>
      <dgm:spPr/>
    </dgm:pt>
    <dgm:pt modelId="{5C77BA6E-2EC7-41C8-970B-41686473D513}">
      <dgm:prSet phldrT="[Text]">
        <dgm:style>
          <a:lnRef idx="2">
            <a:schemeClr val="accent2"/>
          </a:lnRef>
          <a:fillRef idx="1">
            <a:schemeClr val="lt1"/>
          </a:fillRef>
          <a:effectRef idx="0">
            <a:schemeClr val="accent2"/>
          </a:effectRef>
          <a:fontRef idx="minor">
            <a:schemeClr val="dk1"/>
          </a:fontRef>
        </dgm:style>
      </dgm:prSet>
      <dgm:spPr>
        <a:xfrm>
          <a:off x="2581" y="315725"/>
          <a:ext cx="1502502" cy="601001"/>
        </a:xfrm>
        <a:prstGeom prst="chevron">
          <a:avLst/>
        </a:prstGeom>
        <a:solidFill>
          <a:sysClr val="window" lastClr="FFFFFF"/>
        </a:solidFill>
        <a:ln w="38100" cap="flat" cmpd="sng" algn="ctr">
          <a:solidFill>
            <a:srgbClr val="ED7D31"/>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Survey</a:t>
          </a:r>
        </a:p>
      </dgm:t>
    </dgm:pt>
    <dgm:pt modelId="{2E8D23A7-9DCB-4FE3-B3E5-B6C00948DBD7}" type="parTrans" cxnId="{F08FAFAF-3A1B-412F-A088-A038FEF18B9A}">
      <dgm:prSet/>
      <dgm:spPr/>
      <dgm:t>
        <a:bodyPr/>
        <a:lstStyle/>
        <a:p>
          <a:endParaRPr lang="en-US"/>
        </a:p>
      </dgm:t>
    </dgm:pt>
    <dgm:pt modelId="{323E2215-4AE6-4378-8D38-68C067686619}" type="sibTrans" cxnId="{F08FAFAF-3A1B-412F-A088-A038FEF18B9A}">
      <dgm:prSet/>
      <dgm:spPr/>
      <dgm:t>
        <a:bodyPr/>
        <a:lstStyle/>
        <a:p>
          <a:endParaRPr lang="en-US"/>
        </a:p>
      </dgm:t>
    </dgm:pt>
    <dgm:pt modelId="{A35950D1-88C2-4AD3-B604-137BF9A131DE}">
      <dgm:prSet phldrT="[Text]">
        <dgm:style>
          <a:lnRef idx="2">
            <a:schemeClr val="accent2"/>
          </a:lnRef>
          <a:fillRef idx="1">
            <a:schemeClr val="lt1"/>
          </a:fillRef>
          <a:effectRef idx="0">
            <a:schemeClr val="accent2"/>
          </a:effectRef>
          <a:fontRef idx="minor">
            <a:schemeClr val="dk1"/>
          </a:fontRef>
        </dgm:style>
      </dgm:prSet>
      <dgm:spPr>
        <a:xfrm>
          <a:off x="1354833" y="315725"/>
          <a:ext cx="1502502" cy="601001"/>
        </a:xfrm>
        <a:prstGeom prst="chevron">
          <a:avLst/>
        </a:prstGeom>
        <a:solidFill>
          <a:sysClr val="window" lastClr="FFFFFF"/>
        </a:solidFill>
        <a:ln w="38100" cap="flat" cmpd="sng" algn="ctr">
          <a:solidFill>
            <a:srgbClr val="ED7D31"/>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Delivery</a:t>
          </a:r>
        </a:p>
      </dgm:t>
    </dgm:pt>
    <dgm:pt modelId="{C58319BF-CD23-4947-B3E4-E33953BFB7B1}" type="parTrans" cxnId="{C0F942B0-6C5A-4CDE-B64B-F6C6FD0D2437}">
      <dgm:prSet/>
      <dgm:spPr/>
      <dgm:t>
        <a:bodyPr/>
        <a:lstStyle/>
        <a:p>
          <a:endParaRPr lang="en-US"/>
        </a:p>
      </dgm:t>
    </dgm:pt>
    <dgm:pt modelId="{E6499B01-DA75-4E9C-B96D-36CCC5E6DD95}" type="sibTrans" cxnId="{C0F942B0-6C5A-4CDE-B64B-F6C6FD0D2437}">
      <dgm:prSet/>
      <dgm:spPr/>
      <dgm:t>
        <a:bodyPr/>
        <a:lstStyle/>
        <a:p>
          <a:endParaRPr lang="en-US"/>
        </a:p>
      </dgm:t>
    </dgm:pt>
    <dgm:pt modelId="{D091544B-CD20-4FD7-A254-2198AB6DAD13}">
      <dgm:prSet phldrT="[Text]">
        <dgm:style>
          <a:lnRef idx="2">
            <a:schemeClr val="accent2"/>
          </a:lnRef>
          <a:fillRef idx="1">
            <a:schemeClr val="lt1"/>
          </a:fillRef>
          <a:effectRef idx="0">
            <a:schemeClr val="accent2"/>
          </a:effectRef>
          <a:fontRef idx="minor">
            <a:schemeClr val="dk1"/>
          </a:fontRef>
        </dgm:style>
      </dgm:prSet>
      <dgm:spPr>
        <a:xfrm>
          <a:off x="4059338" y="315725"/>
          <a:ext cx="1502502" cy="601001"/>
        </a:xfrm>
        <a:prstGeom prst="chevron">
          <a:avLst/>
        </a:prstGeom>
        <a:solidFill>
          <a:sysClr val="window" lastClr="FFFFFF"/>
        </a:solidFill>
        <a:ln w="38100" cap="flat" cmpd="sng" algn="ctr">
          <a:solidFill>
            <a:srgbClr val="ED7D31"/>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Affect</a:t>
          </a:r>
        </a:p>
      </dgm:t>
    </dgm:pt>
    <dgm:pt modelId="{0CB563FF-F5AC-4EC6-AA7B-9DBD0D0A520B}" type="parTrans" cxnId="{DB1470A1-CC24-4C9B-BAE4-DED95038C364}">
      <dgm:prSet/>
      <dgm:spPr/>
      <dgm:t>
        <a:bodyPr/>
        <a:lstStyle/>
        <a:p>
          <a:endParaRPr lang="en-US"/>
        </a:p>
      </dgm:t>
    </dgm:pt>
    <dgm:pt modelId="{8E723D79-DE01-4561-98C7-1932CAD8C69F}" type="sibTrans" cxnId="{DB1470A1-CC24-4C9B-BAE4-DED95038C364}">
      <dgm:prSet/>
      <dgm:spPr/>
      <dgm:t>
        <a:bodyPr/>
        <a:lstStyle/>
        <a:p>
          <a:endParaRPr lang="en-US"/>
        </a:p>
      </dgm:t>
    </dgm:pt>
    <dgm:pt modelId="{CB198091-07E9-48B5-95AA-033BFFDD9FD2}">
      <dgm:prSet/>
      <dgm:spPr>
        <a:xfrm>
          <a:off x="2707085" y="315725"/>
          <a:ext cx="1502502" cy="601001"/>
        </a:xfrm>
        <a:prstGeom prst="chevron">
          <a:avLst/>
        </a:prstGeom>
        <a:solidFill>
          <a:sysClr val="window" lastClr="FFFFFF">
            <a:hueOff val="0"/>
            <a:satOff val="0"/>
            <a:lumOff val="0"/>
            <a:alphaOff val="0"/>
          </a:sysClr>
        </a:solidFill>
        <a:ln w="38100" cap="flat" cmpd="sng" algn="ctr">
          <a:solidFill>
            <a:srgbClr val="ED7D31"/>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Breach</a:t>
          </a:r>
        </a:p>
      </dgm:t>
    </dgm:pt>
    <dgm:pt modelId="{DC1C63EF-6DC5-43C0-A5EA-112094CC8FA6}" type="parTrans" cxnId="{6A4ACEC2-32AC-4389-8417-5DDB573C7C58}">
      <dgm:prSet/>
      <dgm:spPr/>
      <dgm:t>
        <a:bodyPr/>
        <a:lstStyle/>
        <a:p>
          <a:endParaRPr lang="en-US"/>
        </a:p>
      </dgm:t>
    </dgm:pt>
    <dgm:pt modelId="{75E5FC64-F5E8-46E0-BA3D-D4B6B7D3B322}" type="sibTrans" cxnId="{6A4ACEC2-32AC-4389-8417-5DDB573C7C58}">
      <dgm:prSet/>
      <dgm:spPr/>
      <dgm:t>
        <a:bodyPr/>
        <a:lstStyle/>
        <a:p>
          <a:endParaRPr lang="en-US"/>
        </a:p>
      </dgm:t>
    </dgm:pt>
    <dgm:pt modelId="{EA9BE611-596B-4F49-AC3B-3BBB08DE3EB3}" type="pres">
      <dgm:prSet presAssocID="{7EFEAE13-CFF9-48C9-AA58-70A015B348FB}" presName="Name0" presStyleCnt="0">
        <dgm:presLayoutVars>
          <dgm:dir/>
          <dgm:animLvl val="lvl"/>
          <dgm:resizeHandles val="exact"/>
        </dgm:presLayoutVars>
      </dgm:prSet>
      <dgm:spPr/>
    </dgm:pt>
    <dgm:pt modelId="{74C0372B-92A0-4064-AD3C-C8D4763DCF2E}" type="pres">
      <dgm:prSet presAssocID="{5C77BA6E-2EC7-41C8-970B-41686473D513}" presName="parTxOnly" presStyleLbl="node1" presStyleIdx="0" presStyleCnt="4">
        <dgm:presLayoutVars>
          <dgm:chMax val="0"/>
          <dgm:chPref val="0"/>
          <dgm:bulletEnabled val="1"/>
        </dgm:presLayoutVars>
      </dgm:prSet>
      <dgm:spPr/>
      <dgm:t>
        <a:bodyPr/>
        <a:lstStyle/>
        <a:p>
          <a:endParaRPr lang="en-US"/>
        </a:p>
      </dgm:t>
    </dgm:pt>
    <dgm:pt modelId="{9129C0CB-D76D-4B7B-B701-22B64224552C}" type="pres">
      <dgm:prSet presAssocID="{323E2215-4AE6-4378-8D38-68C067686619}" presName="parTxOnlySpace" presStyleCnt="0"/>
      <dgm:spPr/>
    </dgm:pt>
    <dgm:pt modelId="{91E87A01-0B25-493B-807B-30E100172E32}" type="pres">
      <dgm:prSet presAssocID="{A35950D1-88C2-4AD3-B604-137BF9A131DE}" presName="parTxOnly" presStyleLbl="node1" presStyleIdx="1" presStyleCnt="4">
        <dgm:presLayoutVars>
          <dgm:chMax val="0"/>
          <dgm:chPref val="0"/>
          <dgm:bulletEnabled val="1"/>
        </dgm:presLayoutVars>
      </dgm:prSet>
      <dgm:spPr/>
      <dgm:t>
        <a:bodyPr/>
        <a:lstStyle/>
        <a:p>
          <a:endParaRPr lang="en-US"/>
        </a:p>
      </dgm:t>
    </dgm:pt>
    <dgm:pt modelId="{DB98873B-EE46-48EE-ACB9-8642A467BB22}" type="pres">
      <dgm:prSet presAssocID="{E6499B01-DA75-4E9C-B96D-36CCC5E6DD95}" presName="parTxOnlySpace" presStyleCnt="0"/>
      <dgm:spPr/>
    </dgm:pt>
    <dgm:pt modelId="{EF8390B1-A204-4854-B886-C3AC59975256}" type="pres">
      <dgm:prSet presAssocID="{CB198091-07E9-48B5-95AA-033BFFDD9FD2}" presName="parTxOnly" presStyleLbl="node1" presStyleIdx="2" presStyleCnt="4">
        <dgm:presLayoutVars>
          <dgm:chMax val="0"/>
          <dgm:chPref val="0"/>
          <dgm:bulletEnabled val="1"/>
        </dgm:presLayoutVars>
      </dgm:prSet>
      <dgm:spPr/>
      <dgm:t>
        <a:bodyPr/>
        <a:lstStyle/>
        <a:p>
          <a:endParaRPr lang="en-US"/>
        </a:p>
      </dgm:t>
    </dgm:pt>
    <dgm:pt modelId="{029BA3A5-235D-475C-9882-E1DB6404EB9A}" type="pres">
      <dgm:prSet presAssocID="{75E5FC64-F5E8-46E0-BA3D-D4B6B7D3B322}" presName="parTxOnlySpace" presStyleCnt="0"/>
      <dgm:spPr/>
    </dgm:pt>
    <dgm:pt modelId="{CBC9FDD0-646C-4359-B550-065A33312D01}" type="pres">
      <dgm:prSet presAssocID="{D091544B-CD20-4FD7-A254-2198AB6DAD13}" presName="parTxOnly" presStyleLbl="node1" presStyleIdx="3" presStyleCnt="4">
        <dgm:presLayoutVars>
          <dgm:chMax val="0"/>
          <dgm:chPref val="0"/>
          <dgm:bulletEnabled val="1"/>
        </dgm:presLayoutVars>
      </dgm:prSet>
      <dgm:spPr/>
      <dgm:t>
        <a:bodyPr/>
        <a:lstStyle/>
        <a:p>
          <a:endParaRPr lang="en-US"/>
        </a:p>
      </dgm:t>
    </dgm:pt>
  </dgm:ptLst>
  <dgm:cxnLst>
    <dgm:cxn modelId="{3B735B19-1711-46F8-8610-34E2C7672345}" type="presOf" srcId="{D091544B-CD20-4FD7-A254-2198AB6DAD13}" destId="{CBC9FDD0-646C-4359-B550-065A33312D01}" srcOrd="0" destOrd="0" presId="urn:microsoft.com/office/officeart/2005/8/layout/chevron1"/>
    <dgm:cxn modelId="{6A4ACEC2-32AC-4389-8417-5DDB573C7C58}" srcId="{7EFEAE13-CFF9-48C9-AA58-70A015B348FB}" destId="{CB198091-07E9-48B5-95AA-033BFFDD9FD2}" srcOrd="2" destOrd="0" parTransId="{DC1C63EF-6DC5-43C0-A5EA-112094CC8FA6}" sibTransId="{75E5FC64-F5E8-46E0-BA3D-D4B6B7D3B322}"/>
    <dgm:cxn modelId="{447E8719-1EA6-4930-8ECD-E3591C1AC068}" type="presOf" srcId="{A35950D1-88C2-4AD3-B604-137BF9A131DE}" destId="{91E87A01-0B25-493B-807B-30E100172E32}" srcOrd="0" destOrd="0" presId="urn:microsoft.com/office/officeart/2005/8/layout/chevron1"/>
    <dgm:cxn modelId="{15C8BBF9-62A8-4CD3-B396-F7BBFD0A198C}" type="presOf" srcId="{7EFEAE13-CFF9-48C9-AA58-70A015B348FB}" destId="{EA9BE611-596B-4F49-AC3B-3BBB08DE3EB3}" srcOrd="0" destOrd="0" presId="urn:microsoft.com/office/officeart/2005/8/layout/chevron1"/>
    <dgm:cxn modelId="{2D5787DE-1572-4311-A76E-1B610268A8EE}" type="presOf" srcId="{CB198091-07E9-48B5-95AA-033BFFDD9FD2}" destId="{EF8390B1-A204-4854-B886-C3AC59975256}" srcOrd="0" destOrd="0" presId="urn:microsoft.com/office/officeart/2005/8/layout/chevron1"/>
    <dgm:cxn modelId="{DB1470A1-CC24-4C9B-BAE4-DED95038C364}" srcId="{7EFEAE13-CFF9-48C9-AA58-70A015B348FB}" destId="{D091544B-CD20-4FD7-A254-2198AB6DAD13}" srcOrd="3" destOrd="0" parTransId="{0CB563FF-F5AC-4EC6-AA7B-9DBD0D0A520B}" sibTransId="{8E723D79-DE01-4561-98C7-1932CAD8C69F}"/>
    <dgm:cxn modelId="{C8CD5736-5FFB-44CE-9A45-08518DBAF70D}" type="presOf" srcId="{5C77BA6E-2EC7-41C8-970B-41686473D513}" destId="{74C0372B-92A0-4064-AD3C-C8D4763DCF2E}" srcOrd="0" destOrd="0" presId="urn:microsoft.com/office/officeart/2005/8/layout/chevron1"/>
    <dgm:cxn modelId="{F08FAFAF-3A1B-412F-A088-A038FEF18B9A}" srcId="{7EFEAE13-CFF9-48C9-AA58-70A015B348FB}" destId="{5C77BA6E-2EC7-41C8-970B-41686473D513}" srcOrd="0" destOrd="0" parTransId="{2E8D23A7-9DCB-4FE3-B3E5-B6C00948DBD7}" sibTransId="{323E2215-4AE6-4378-8D38-68C067686619}"/>
    <dgm:cxn modelId="{C0F942B0-6C5A-4CDE-B64B-F6C6FD0D2437}" srcId="{7EFEAE13-CFF9-48C9-AA58-70A015B348FB}" destId="{A35950D1-88C2-4AD3-B604-137BF9A131DE}" srcOrd="1" destOrd="0" parTransId="{C58319BF-CD23-4947-B3E4-E33953BFB7B1}" sibTransId="{E6499B01-DA75-4E9C-B96D-36CCC5E6DD95}"/>
    <dgm:cxn modelId="{132AB2F4-4407-4FDF-B2AB-E63495F5743E}" type="presParOf" srcId="{EA9BE611-596B-4F49-AC3B-3BBB08DE3EB3}" destId="{74C0372B-92A0-4064-AD3C-C8D4763DCF2E}" srcOrd="0" destOrd="0" presId="urn:microsoft.com/office/officeart/2005/8/layout/chevron1"/>
    <dgm:cxn modelId="{298D80FA-8FAC-48E8-B54B-E80E65A1336B}" type="presParOf" srcId="{EA9BE611-596B-4F49-AC3B-3BBB08DE3EB3}" destId="{9129C0CB-D76D-4B7B-B701-22B64224552C}" srcOrd="1" destOrd="0" presId="urn:microsoft.com/office/officeart/2005/8/layout/chevron1"/>
    <dgm:cxn modelId="{7E5FDF53-4C58-4526-B389-368F2400401F}" type="presParOf" srcId="{EA9BE611-596B-4F49-AC3B-3BBB08DE3EB3}" destId="{91E87A01-0B25-493B-807B-30E100172E32}" srcOrd="2" destOrd="0" presId="urn:microsoft.com/office/officeart/2005/8/layout/chevron1"/>
    <dgm:cxn modelId="{07591839-D7AB-41F5-ABEE-86237A00CA90}" type="presParOf" srcId="{EA9BE611-596B-4F49-AC3B-3BBB08DE3EB3}" destId="{DB98873B-EE46-48EE-ACB9-8642A467BB22}" srcOrd="3" destOrd="0" presId="urn:microsoft.com/office/officeart/2005/8/layout/chevron1"/>
    <dgm:cxn modelId="{18F78F40-F22A-4947-A026-F1EA479B66FB}" type="presParOf" srcId="{EA9BE611-596B-4F49-AC3B-3BBB08DE3EB3}" destId="{EF8390B1-A204-4854-B886-C3AC59975256}" srcOrd="4" destOrd="0" presId="urn:microsoft.com/office/officeart/2005/8/layout/chevron1"/>
    <dgm:cxn modelId="{0D7C214F-5124-4E2E-AA73-6C6B24B3CD50}" type="presParOf" srcId="{EA9BE611-596B-4F49-AC3B-3BBB08DE3EB3}" destId="{029BA3A5-235D-475C-9882-E1DB6404EB9A}" srcOrd="5" destOrd="0" presId="urn:microsoft.com/office/officeart/2005/8/layout/chevron1"/>
    <dgm:cxn modelId="{94182CA8-46C7-4A61-9678-C0DB2BA5D805}" type="presParOf" srcId="{EA9BE611-596B-4F49-AC3B-3BBB08DE3EB3}" destId="{CBC9FDD0-646C-4359-B550-065A33312D01}" srcOrd="6" destOrd="0" presId="urn:microsoft.com/office/officeart/2005/8/layout/chevron1"/>
  </dgm:cxnLst>
  <dgm:bg/>
  <dgm:whole>
    <a:ln w="19050">
      <a:solidFill>
        <a:schemeClr val="tx1"/>
      </a:solidFill>
    </a:ln>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02662FF-068A-4826-BF16-EBA2746F124D}" type="doc">
      <dgm:prSet loTypeId="urn:microsoft.com/office/officeart/2005/8/layout/chevron2" loCatId="process" qsTypeId="urn:microsoft.com/office/officeart/2005/8/quickstyle/simple1" qsCatId="simple" csTypeId="urn:microsoft.com/office/officeart/2005/8/colors/accent2_3" csCatId="accent2" phldr="1"/>
      <dgm:spPr/>
      <dgm:t>
        <a:bodyPr/>
        <a:lstStyle/>
        <a:p>
          <a:endParaRPr lang="en-US"/>
        </a:p>
      </dgm:t>
    </dgm:pt>
    <dgm:pt modelId="{94C3B746-6AE0-48DF-A84E-C1E645998B2D}">
      <dgm:prSet phldrT="[Text]"/>
      <dgm:spPr>
        <a:xfrm rot="5400000">
          <a:off x="-121310" y="122030"/>
          <a:ext cx="808734" cy="566113"/>
        </a:xfrm>
        <a:prstGeom prst="chevron">
          <a:avLst/>
        </a:prstGeom>
        <a:solidFill>
          <a:srgbClr val="ED7D31">
            <a:shade val="80000"/>
            <a:hueOff val="0"/>
            <a:satOff val="0"/>
            <a:lumOff val="0"/>
            <a:alphaOff val="0"/>
          </a:srgbClr>
        </a:solidFill>
        <a:ln w="12700" cap="flat" cmpd="sng" algn="ctr">
          <a:solidFill>
            <a:srgbClr val="ED7D31">
              <a:shade val="80000"/>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ID</a:t>
          </a:r>
        </a:p>
      </dgm:t>
    </dgm:pt>
    <dgm:pt modelId="{651EC58D-7AE1-45F5-8159-E049FAE904C6}" type="parTrans" cxnId="{08FC85B2-EC2D-4456-81CE-9837749938C6}">
      <dgm:prSet/>
      <dgm:spPr/>
      <dgm:t>
        <a:bodyPr/>
        <a:lstStyle/>
        <a:p>
          <a:endParaRPr lang="en-US"/>
        </a:p>
      </dgm:t>
    </dgm:pt>
    <dgm:pt modelId="{B246B2E7-3060-4F60-AD35-1B79648F6A87}" type="sibTrans" cxnId="{08FC85B2-EC2D-4456-81CE-9837749938C6}">
      <dgm:prSet/>
      <dgm:spPr/>
      <dgm:t>
        <a:bodyPr/>
        <a:lstStyle/>
        <a:p>
          <a:endParaRPr lang="en-US"/>
        </a:p>
      </dgm:t>
    </dgm:pt>
    <dgm:pt modelId="{E5457EF1-80EA-4FAC-A9A6-FE1694F4EAF9}">
      <dgm:prSet phldrT="[Text]"/>
      <dgm:spPr>
        <a:xfrm rot="5400000">
          <a:off x="2821177" y="-2254343"/>
          <a:ext cx="525677" cy="5035805"/>
        </a:xfrm>
        <a:prstGeom prst="round2SameRect">
          <a:avLst/>
        </a:prstGeom>
        <a:solidFill>
          <a:sysClr val="window" lastClr="FFFFFF">
            <a:alpha val="90000"/>
            <a:hueOff val="0"/>
            <a:satOff val="0"/>
            <a:lumOff val="0"/>
            <a:alphaOff val="0"/>
          </a:sysClr>
        </a:solidFill>
        <a:ln w="12700" cap="flat" cmpd="sng" algn="ctr">
          <a:solidFill>
            <a:srgbClr val="ED7D31">
              <a:shade val="80000"/>
              <a:hueOff val="0"/>
              <a:satOff val="0"/>
              <a:lumOff val="0"/>
              <a:alphaOff val="0"/>
            </a:srgbClr>
          </a:solidFill>
          <a:prstDash val="solid"/>
          <a:miter lim="800000"/>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Identification of risk: 1. Know the company business model 2. Define relevance of IT 3. Agree on level of security 4. Determine all cyber-risks</a:t>
          </a:r>
        </a:p>
      </dgm:t>
    </dgm:pt>
    <dgm:pt modelId="{B9EC3526-7D1A-4B99-A9AD-F141E64C889A}" type="parTrans" cxnId="{4E029E06-9286-4D50-A84D-5A7749893C25}">
      <dgm:prSet/>
      <dgm:spPr/>
      <dgm:t>
        <a:bodyPr/>
        <a:lstStyle/>
        <a:p>
          <a:endParaRPr lang="en-US"/>
        </a:p>
      </dgm:t>
    </dgm:pt>
    <dgm:pt modelId="{D411237E-E4D8-464F-8536-2D6C84936E15}" type="sibTrans" cxnId="{4E029E06-9286-4D50-A84D-5A7749893C25}">
      <dgm:prSet/>
      <dgm:spPr/>
      <dgm:t>
        <a:bodyPr/>
        <a:lstStyle/>
        <a:p>
          <a:endParaRPr lang="en-US"/>
        </a:p>
      </dgm:t>
    </dgm:pt>
    <dgm:pt modelId="{D049450A-1F91-4008-9B56-4C181D2FBD27}">
      <dgm:prSet phldrT="[Text]"/>
      <dgm:spPr>
        <a:xfrm rot="5400000">
          <a:off x="-121310" y="809007"/>
          <a:ext cx="808734" cy="566113"/>
        </a:xfrm>
        <a:prstGeom prst="chevron">
          <a:avLst/>
        </a:prstGeom>
        <a:solidFill>
          <a:srgbClr val="ED7D31">
            <a:shade val="80000"/>
            <a:hueOff val="-120354"/>
            <a:satOff val="2542"/>
            <a:lumOff val="6770"/>
            <a:alphaOff val="0"/>
          </a:srgbClr>
        </a:solidFill>
        <a:ln w="12700" cap="flat" cmpd="sng" algn="ctr">
          <a:solidFill>
            <a:srgbClr val="ED7D31">
              <a:shade val="80000"/>
              <a:hueOff val="-120354"/>
              <a:satOff val="2542"/>
              <a:lumOff val="677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A and V</a:t>
          </a:r>
        </a:p>
      </dgm:t>
    </dgm:pt>
    <dgm:pt modelId="{2CB63137-118B-448D-92BC-EC9863AA7436}" type="parTrans" cxnId="{AC6D290E-FD59-40F3-99E9-057268878414}">
      <dgm:prSet/>
      <dgm:spPr/>
      <dgm:t>
        <a:bodyPr/>
        <a:lstStyle/>
        <a:p>
          <a:endParaRPr lang="en-US"/>
        </a:p>
      </dgm:t>
    </dgm:pt>
    <dgm:pt modelId="{4030983A-2C92-4630-89F2-89814A94B5A3}" type="sibTrans" cxnId="{AC6D290E-FD59-40F3-99E9-057268878414}">
      <dgm:prSet/>
      <dgm:spPr/>
      <dgm:t>
        <a:bodyPr/>
        <a:lstStyle/>
        <a:p>
          <a:endParaRPr lang="en-US"/>
        </a:p>
      </dgm:t>
    </dgm:pt>
    <dgm:pt modelId="{A2EEEFB3-1986-44D3-8FA3-578EE5E0A2BE}">
      <dgm:prSet phldrT="[Text]"/>
      <dgm:spPr>
        <a:xfrm rot="5400000">
          <a:off x="2821177" y="-1567366"/>
          <a:ext cx="525677" cy="5035805"/>
        </a:xfrm>
        <a:prstGeom prst="round2SameRect">
          <a:avLst/>
        </a:prstGeom>
        <a:solidFill>
          <a:sysClr val="window" lastClr="FFFFFF">
            <a:alpha val="90000"/>
            <a:hueOff val="0"/>
            <a:satOff val="0"/>
            <a:lumOff val="0"/>
            <a:alphaOff val="0"/>
          </a:sysClr>
        </a:solidFill>
        <a:ln w="12700" cap="flat" cmpd="sng" algn="ctr">
          <a:solidFill>
            <a:srgbClr val="ED7D31">
              <a:shade val="80000"/>
              <a:hueOff val="-120354"/>
              <a:satOff val="2542"/>
              <a:lumOff val="6770"/>
              <a:alphaOff val="0"/>
            </a:srgbClr>
          </a:solidFill>
          <a:prstDash val="solid"/>
          <a:miter lim="800000"/>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Assess and Value risk: 1. Consider probability 2. Consider impact 3. Aggregate and apply holistically</a:t>
          </a:r>
        </a:p>
      </dgm:t>
    </dgm:pt>
    <dgm:pt modelId="{B7172C6E-825E-483E-B3D2-1F5DD19E7378}" type="parTrans" cxnId="{8660C30B-7971-4087-A13C-E3C4FDAF2A25}">
      <dgm:prSet/>
      <dgm:spPr/>
      <dgm:t>
        <a:bodyPr/>
        <a:lstStyle/>
        <a:p>
          <a:endParaRPr lang="en-US"/>
        </a:p>
      </dgm:t>
    </dgm:pt>
    <dgm:pt modelId="{9C21064C-DA62-4039-9274-897B60155CF3}" type="sibTrans" cxnId="{8660C30B-7971-4087-A13C-E3C4FDAF2A25}">
      <dgm:prSet/>
      <dgm:spPr/>
      <dgm:t>
        <a:bodyPr/>
        <a:lstStyle/>
        <a:p>
          <a:endParaRPr lang="en-US"/>
        </a:p>
      </dgm:t>
    </dgm:pt>
    <dgm:pt modelId="{59771398-5437-404C-87BB-8033D9B9E8F2}">
      <dgm:prSet phldrT="[Text]"/>
      <dgm:spPr>
        <a:xfrm rot="5400000">
          <a:off x="-121310" y="1495984"/>
          <a:ext cx="808734" cy="566113"/>
        </a:xfrm>
        <a:prstGeom prst="chevron">
          <a:avLst/>
        </a:prstGeom>
        <a:solidFill>
          <a:srgbClr val="ED7D31">
            <a:shade val="80000"/>
            <a:hueOff val="-240708"/>
            <a:satOff val="5083"/>
            <a:lumOff val="13541"/>
            <a:alphaOff val="0"/>
          </a:srgbClr>
        </a:solidFill>
        <a:ln w="12700" cap="flat" cmpd="sng" algn="ctr">
          <a:solidFill>
            <a:srgbClr val="ED7D31">
              <a:shade val="80000"/>
              <a:hueOff val="-240708"/>
              <a:satOff val="5083"/>
              <a:lumOff val="13541"/>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Resp</a:t>
          </a:r>
        </a:p>
      </dgm:t>
    </dgm:pt>
    <dgm:pt modelId="{81C83388-CDDA-4E6C-A97A-7D23752E075E}" type="parTrans" cxnId="{D76A6D1A-A38F-4894-A731-B8DA723243B7}">
      <dgm:prSet/>
      <dgm:spPr/>
      <dgm:t>
        <a:bodyPr/>
        <a:lstStyle/>
        <a:p>
          <a:endParaRPr lang="en-US"/>
        </a:p>
      </dgm:t>
    </dgm:pt>
    <dgm:pt modelId="{30126C8F-B0C6-4610-BEB3-EC1E93A864AE}" type="sibTrans" cxnId="{D76A6D1A-A38F-4894-A731-B8DA723243B7}">
      <dgm:prSet/>
      <dgm:spPr/>
      <dgm:t>
        <a:bodyPr/>
        <a:lstStyle/>
        <a:p>
          <a:endParaRPr lang="en-US"/>
        </a:p>
      </dgm:t>
    </dgm:pt>
    <dgm:pt modelId="{4CDEA411-04A1-4754-B53F-AF8BB3B5A9DB}">
      <dgm:prSet phldrT="[Text]"/>
      <dgm:spPr>
        <a:xfrm rot="5400000">
          <a:off x="2821177" y="-880389"/>
          <a:ext cx="525677" cy="5035805"/>
        </a:xfrm>
        <a:prstGeom prst="round2SameRect">
          <a:avLst/>
        </a:prstGeom>
        <a:solidFill>
          <a:sysClr val="window" lastClr="FFFFFF">
            <a:alpha val="90000"/>
            <a:hueOff val="0"/>
            <a:satOff val="0"/>
            <a:lumOff val="0"/>
            <a:alphaOff val="0"/>
          </a:sysClr>
        </a:solidFill>
        <a:ln w="12700" cap="flat" cmpd="sng" algn="ctr">
          <a:solidFill>
            <a:srgbClr val="ED7D31">
              <a:shade val="80000"/>
              <a:hueOff val="-240708"/>
              <a:satOff val="5083"/>
              <a:lumOff val="13541"/>
              <a:alphaOff val="0"/>
            </a:srgbClr>
          </a:solidFill>
          <a:prstDash val="solid"/>
          <a:miter lim="800000"/>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Respond to risk: 1. Policy for risk avoidance 2. Policy for risk mitigation 3. Policy for risk transfer 4. Policy for risk acceptance</a:t>
          </a:r>
        </a:p>
      </dgm:t>
    </dgm:pt>
    <dgm:pt modelId="{A3330784-6007-4567-A02D-181B8928A3B7}" type="parTrans" cxnId="{B47925FB-0A21-4886-A4A7-F140DB3D4A9B}">
      <dgm:prSet/>
      <dgm:spPr/>
      <dgm:t>
        <a:bodyPr/>
        <a:lstStyle/>
        <a:p>
          <a:endParaRPr lang="en-US"/>
        </a:p>
      </dgm:t>
    </dgm:pt>
    <dgm:pt modelId="{22E3563D-9DFA-4A4E-BB03-B10F26968905}" type="sibTrans" cxnId="{B47925FB-0A21-4886-A4A7-F140DB3D4A9B}">
      <dgm:prSet/>
      <dgm:spPr/>
      <dgm:t>
        <a:bodyPr/>
        <a:lstStyle/>
        <a:p>
          <a:endParaRPr lang="en-US"/>
        </a:p>
      </dgm:t>
    </dgm:pt>
    <dgm:pt modelId="{AE672F83-89FE-4A0F-ADDF-C015758F4C34}">
      <dgm:prSet/>
      <dgm:spPr>
        <a:xfrm rot="5400000">
          <a:off x="-121310" y="2182961"/>
          <a:ext cx="808734" cy="566113"/>
        </a:xfrm>
        <a:prstGeom prst="chevron">
          <a:avLst/>
        </a:prstGeom>
        <a:solidFill>
          <a:srgbClr val="ED7D31">
            <a:shade val="80000"/>
            <a:hueOff val="-361061"/>
            <a:satOff val="7625"/>
            <a:lumOff val="20311"/>
            <a:alphaOff val="0"/>
          </a:srgbClr>
        </a:solidFill>
        <a:ln w="12700" cap="flat" cmpd="sng" algn="ctr">
          <a:solidFill>
            <a:srgbClr val="ED7D31">
              <a:shade val="80000"/>
              <a:hueOff val="-361061"/>
              <a:satOff val="7625"/>
              <a:lumOff val="20311"/>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Cont</a:t>
          </a:r>
        </a:p>
      </dgm:t>
    </dgm:pt>
    <dgm:pt modelId="{A3CAD1E1-357C-4029-B277-D88E41640F0F}" type="parTrans" cxnId="{F60822F2-A149-4A29-8A2B-5C94E41D7E71}">
      <dgm:prSet/>
      <dgm:spPr/>
      <dgm:t>
        <a:bodyPr/>
        <a:lstStyle/>
        <a:p>
          <a:endParaRPr lang="en-US"/>
        </a:p>
      </dgm:t>
    </dgm:pt>
    <dgm:pt modelId="{FF9A9BE6-1F84-40FF-AA38-DF72CCB925DE}" type="sibTrans" cxnId="{F60822F2-A149-4A29-8A2B-5C94E41D7E71}">
      <dgm:prSet/>
      <dgm:spPr/>
      <dgm:t>
        <a:bodyPr/>
        <a:lstStyle/>
        <a:p>
          <a:endParaRPr lang="en-US"/>
        </a:p>
      </dgm:t>
    </dgm:pt>
    <dgm:pt modelId="{F9CF3A35-5737-44CD-84C9-47CDD592435D}">
      <dgm:prSet/>
      <dgm:spPr>
        <a:xfrm rot="5400000">
          <a:off x="-121310" y="2869938"/>
          <a:ext cx="808734" cy="566113"/>
        </a:xfrm>
        <a:prstGeom prst="chevron">
          <a:avLst/>
        </a:prstGeom>
        <a:solidFill>
          <a:srgbClr val="ED7D31">
            <a:shade val="80000"/>
            <a:hueOff val="-481415"/>
            <a:satOff val="10166"/>
            <a:lumOff val="27081"/>
            <a:alphaOff val="0"/>
          </a:srgbClr>
        </a:solidFill>
        <a:ln w="12700" cap="flat" cmpd="sng" algn="ctr">
          <a:solidFill>
            <a:srgbClr val="ED7D31">
              <a:shade val="80000"/>
              <a:hueOff val="-481415"/>
              <a:satOff val="10166"/>
              <a:lumOff val="27081"/>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C and G</a:t>
          </a:r>
        </a:p>
      </dgm:t>
    </dgm:pt>
    <dgm:pt modelId="{7D720DC3-5FBF-41B0-8419-7A767F02C14E}" type="parTrans" cxnId="{AC7C9F22-EC2A-4232-88AE-C127B3F793E1}">
      <dgm:prSet/>
      <dgm:spPr/>
      <dgm:t>
        <a:bodyPr/>
        <a:lstStyle/>
        <a:p>
          <a:endParaRPr lang="en-US"/>
        </a:p>
      </dgm:t>
    </dgm:pt>
    <dgm:pt modelId="{E2B7F266-0651-495E-8155-21F94D7C5B44}" type="sibTrans" cxnId="{AC7C9F22-EC2A-4232-88AE-C127B3F793E1}">
      <dgm:prSet/>
      <dgm:spPr/>
      <dgm:t>
        <a:bodyPr/>
        <a:lstStyle/>
        <a:p>
          <a:endParaRPr lang="en-US"/>
        </a:p>
      </dgm:t>
    </dgm:pt>
    <dgm:pt modelId="{E789241E-8BDE-4FC8-8163-A93D46FF7F6F}">
      <dgm:prSet/>
      <dgm:spPr>
        <a:xfrm rot="5400000">
          <a:off x="2821177" y="-193412"/>
          <a:ext cx="525677" cy="5035805"/>
        </a:xfrm>
        <a:prstGeom prst="round2SameRect">
          <a:avLst/>
        </a:prstGeom>
        <a:solidFill>
          <a:sysClr val="window" lastClr="FFFFFF">
            <a:alpha val="90000"/>
            <a:hueOff val="0"/>
            <a:satOff val="0"/>
            <a:lumOff val="0"/>
            <a:alphaOff val="0"/>
          </a:sysClr>
        </a:solidFill>
        <a:ln w="12700" cap="flat" cmpd="sng" algn="ctr">
          <a:solidFill>
            <a:srgbClr val="ED7D31">
              <a:shade val="80000"/>
              <a:hueOff val="-361061"/>
              <a:satOff val="7625"/>
              <a:lumOff val="20311"/>
              <a:alphaOff val="0"/>
            </a:srgbClr>
          </a:solidFill>
          <a:prstDash val="solid"/>
          <a:miter lim="800000"/>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Control risk: 1. Monitor and proactively control 2. Regularly check response measures 3. Regularly check exposure and vulnerability 4. Report divergence</a:t>
          </a:r>
        </a:p>
      </dgm:t>
    </dgm:pt>
    <dgm:pt modelId="{72224ACA-FACE-4101-AC78-2794D9D7786A}" type="parTrans" cxnId="{33BD97E4-4104-4837-8869-21A0F8EF93BF}">
      <dgm:prSet/>
      <dgm:spPr/>
      <dgm:t>
        <a:bodyPr/>
        <a:lstStyle/>
        <a:p>
          <a:endParaRPr lang="en-US"/>
        </a:p>
      </dgm:t>
    </dgm:pt>
    <dgm:pt modelId="{155F3D7D-93E9-4337-BED1-945DF00E16E9}" type="sibTrans" cxnId="{33BD97E4-4104-4837-8869-21A0F8EF93BF}">
      <dgm:prSet/>
      <dgm:spPr/>
      <dgm:t>
        <a:bodyPr/>
        <a:lstStyle/>
        <a:p>
          <a:endParaRPr lang="en-US"/>
        </a:p>
      </dgm:t>
    </dgm:pt>
    <dgm:pt modelId="{B7F6F056-1D5D-416A-AF0C-92953F39ED5F}">
      <dgm:prSet/>
      <dgm:spPr>
        <a:xfrm rot="5400000">
          <a:off x="2821177" y="493564"/>
          <a:ext cx="525677" cy="5035805"/>
        </a:xfrm>
        <a:prstGeom prst="round2SameRect">
          <a:avLst/>
        </a:prstGeom>
        <a:solidFill>
          <a:sysClr val="window" lastClr="FFFFFF">
            <a:alpha val="90000"/>
            <a:hueOff val="0"/>
            <a:satOff val="0"/>
            <a:lumOff val="0"/>
            <a:alphaOff val="0"/>
          </a:sysClr>
        </a:solidFill>
        <a:ln w="12700" cap="flat" cmpd="sng" algn="ctr">
          <a:solidFill>
            <a:srgbClr val="ED7D31">
              <a:shade val="80000"/>
              <a:hueOff val="-481415"/>
              <a:satOff val="10166"/>
              <a:lumOff val="27081"/>
              <a:alphaOff val="0"/>
            </a:srgbClr>
          </a:solidFill>
          <a:prstDash val="solid"/>
          <a:miter lim="800000"/>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Risk Culture and Governance: 1.Company-wide culture to create awareness 2. Regular training and instruction 3. Define business continuity plan</a:t>
          </a:r>
        </a:p>
      </dgm:t>
    </dgm:pt>
    <dgm:pt modelId="{F2D21CB3-9EDB-4061-8B08-F25E7346CEC0}" type="parTrans" cxnId="{9151BD9E-CFD9-45FC-8FE5-F90E093EBFBE}">
      <dgm:prSet/>
      <dgm:spPr/>
      <dgm:t>
        <a:bodyPr/>
        <a:lstStyle/>
        <a:p>
          <a:endParaRPr lang="en-US"/>
        </a:p>
      </dgm:t>
    </dgm:pt>
    <dgm:pt modelId="{60A3FAC6-2965-4C9D-8CB0-78CD7F733612}" type="sibTrans" cxnId="{9151BD9E-CFD9-45FC-8FE5-F90E093EBFBE}">
      <dgm:prSet/>
      <dgm:spPr/>
      <dgm:t>
        <a:bodyPr/>
        <a:lstStyle/>
        <a:p>
          <a:endParaRPr lang="en-US"/>
        </a:p>
      </dgm:t>
    </dgm:pt>
    <dgm:pt modelId="{825932A0-356C-4922-A8CC-713A9B73C5AB}" type="pres">
      <dgm:prSet presAssocID="{E02662FF-068A-4826-BF16-EBA2746F124D}" presName="linearFlow" presStyleCnt="0">
        <dgm:presLayoutVars>
          <dgm:dir/>
          <dgm:animLvl val="lvl"/>
          <dgm:resizeHandles val="exact"/>
        </dgm:presLayoutVars>
      </dgm:prSet>
      <dgm:spPr/>
      <dgm:t>
        <a:bodyPr/>
        <a:lstStyle/>
        <a:p>
          <a:endParaRPr lang="en-US"/>
        </a:p>
      </dgm:t>
    </dgm:pt>
    <dgm:pt modelId="{5F3AEF21-5781-4AFC-BEE9-7BEE950E7B09}" type="pres">
      <dgm:prSet presAssocID="{94C3B746-6AE0-48DF-A84E-C1E645998B2D}" presName="composite" presStyleCnt="0"/>
      <dgm:spPr/>
    </dgm:pt>
    <dgm:pt modelId="{AA4E806E-4EDF-4AC8-84B0-50A133974D78}" type="pres">
      <dgm:prSet presAssocID="{94C3B746-6AE0-48DF-A84E-C1E645998B2D}" presName="parentText" presStyleLbl="alignNode1" presStyleIdx="0" presStyleCnt="5">
        <dgm:presLayoutVars>
          <dgm:chMax val="1"/>
          <dgm:bulletEnabled val="1"/>
        </dgm:presLayoutVars>
      </dgm:prSet>
      <dgm:spPr/>
      <dgm:t>
        <a:bodyPr/>
        <a:lstStyle/>
        <a:p>
          <a:endParaRPr lang="en-US"/>
        </a:p>
      </dgm:t>
    </dgm:pt>
    <dgm:pt modelId="{11AEF903-2428-4656-B854-65E5FFDAF0FC}" type="pres">
      <dgm:prSet presAssocID="{94C3B746-6AE0-48DF-A84E-C1E645998B2D}" presName="descendantText" presStyleLbl="alignAcc1" presStyleIdx="0" presStyleCnt="5">
        <dgm:presLayoutVars>
          <dgm:bulletEnabled val="1"/>
        </dgm:presLayoutVars>
      </dgm:prSet>
      <dgm:spPr/>
      <dgm:t>
        <a:bodyPr/>
        <a:lstStyle/>
        <a:p>
          <a:endParaRPr lang="en-US"/>
        </a:p>
      </dgm:t>
    </dgm:pt>
    <dgm:pt modelId="{0476439C-B74B-4B1A-9C2B-2DC7ABF19ABF}" type="pres">
      <dgm:prSet presAssocID="{B246B2E7-3060-4F60-AD35-1B79648F6A87}" presName="sp" presStyleCnt="0"/>
      <dgm:spPr/>
    </dgm:pt>
    <dgm:pt modelId="{10789647-8E1B-4374-8F49-71B07F555D21}" type="pres">
      <dgm:prSet presAssocID="{D049450A-1F91-4008-9B56-4C181D2FBD27}" presName="composite" presStyleCnt="0"/>
      <dgm:spPr/>
    </dgm:pt>
    <dgm:pt modelId="{BAB2F65D-11DA-4F1B-84D1-1FA5CECF343F}" type="pres">
      <dgm:prSet presAssocID="{D049450A-1F91-4008-9B56-4C181D2FBD27}" presName="parentText" presStyleLbl="alignNode1" presStyleIdx="1" presStyleCnt="5">
        <dgm:presLayoutVars>
          <dgm:chMax val="1"/>
          <dgm:bulletEnabled val="1"/>
        </dgm:presLayoutVars>
      </dgm:prSet>
      <dgm:spPr/>
      <dgm:t>
        <a:bodyPr/>
        <a:lstStyle/>
        <a:p>
          <a:endParaRPr lang="en-US"/>
        </a:p>
      </dgm:t>
    </dgm:pt>
    <dgm:pt modelId="{9C32855E-5DFD-46DB-BCD7-86386A0B2798}" type="pres">
      <dgm:prSet presAssocID="{D049450A-1F91-4008-9B56-4C181D2FBD27}" presName="descendantText" presStyleLbl="alignAcc1" presStyleIdx="1" presStyleCnt="5">
        <dgm:presLayoutVars>
          <dgm:bulletEnabled val="1"/>
        </dgm:presLayoutVars>
      </dgm:prSet>
      <dgm:spPr/>
      <dgm:t>
        <a:bodyPr/>
        <a:lstStyle/>
        <a:p>
          <a:endParaRPr lang="en-US"/>
        </a:p>
      </dgm:t>
    </dgm:pt>
    <dgm:pt modelId="{F9549627-C8B8-47FD-9911-E3D84B7414EC}" type="pres">
      <dgm:prSet presAssocID="{4030983A-2C92-4630-89F2-89814A94B5A3}" presName="sp" presStyleCnt="0"/>
      <dgm:spPr/>
    </dgm:pt>
    <dgm:pt modelId="{06D5CFED-2F1B-4907-B5B5-6B77196D4E67}" type="pres">
      <dgm:prSet presAssocID="{59771398-5437-404C-87BB-8033D9B9E8F2}" presName="composite" presStyleCnt="0"/>
      <dgm:spPr/>
    </dgm:pt>
    <dgm:pt modelId="{19A8058E-55D3-4CB0-86A5-FEF2EA773C65}" type="pres">
      <dgm:prSet presAssocID="{59771398-5437-404C-87BB-8033D9B9E8F2}" presName="parentText" presStyleLbl="alignNode1" presStyleIdx="2" presStyleCnt="5">
        <dgm:presLayoutVars>
          <dgm:chMax val="1"/>
          <dgm:bulletEnabled val="1"/>
        </dgm:presLayoutVars>
      </dgm:prSet>
      <dgm:spPr/>
      <dgm:t>
        <a:bodyPr/>
        <a:lstStyle/>
        <a:p>
          <a:endParaRPr lang="en-US"/>
        </a:p>
      </dgm:t>
    </dgm:pt>
    <dgm:pt modelId="{E267EE10-490C-45D9-838E-250E16569CF6}" type="pres">
      <dgm:prSet presAssocID="{59771398-5437-404C-87BB-8033D9B9E8F2}" presName="descendantText" presStyleLbl="alignAcc1" presStyleIdx="2" presStyleCnt="5">
        <dgm:presLayoutVars>
          <dgm:bulletEnabled val="1"/>
        </dgm:presLayoutVars>
      </dgm:prSet>
      <dgm:spPr/>
      <dgm:t>
        <a:bodyPr/>
        <a:lstStyle/>
        <a:p>
          <a:endParaRPr lang="en-US"/>
        </a:p>
      </dgm:t>
    </dgm:pt>
    <dgm:pt modelId="{AC215060-6DF2-4B76-904E-B1B70680D57C}" type="pres">
      <dgm:prSet presAssocID="{30126C8F-B0C6-4610-BEB3-EC1E93A864AE}" presName="sp" presStyleCnt="0"/>
      <dgm:spPr/>
    </dgm:pt>
    <dgm:pt modelId="{AC3713C2-101A-4A3C-A2DB-6AE863A52C25}" type="pres">
      <dgm:prSet presAssocID="{AE672F83-89FE-4A0F-ADDF-C015758F4C34}" presName="composite" presStyleCnt="0"/>
      <dgm:spPr/>
    </dgm:pt>
    <dgm:pt modelId="{C9225A4E-2012-4E3F-B5A4-E8DED2D61292}" type="pres">
      <dgm:prSet presAssocID="{AE672F83-89FE-4A0F-ADDF-C015758F4C34}" presName="parentText" presStyleLbl="alignNode1" presStyleIdx="3" presStyleCnt="5">
        <dgm:presLayoutVars>
          <dgm:chMax val="1"/>
          <dgm:bulletEnabled val="1"/>
        </dgm:presLayoutVars>
      </dgm:prSet>
      <dgm:spPr/>
      <dgm:t>
        <a:bodyPr/>
        <a:lstStyle/>
        <a:p>
          <a:endParaRPr lang="en-US"/>
        </a:p>
      </dgm:t>
    </dgm:pt>
    <dgm:pt modelId="{BA68A0ED-3F99-47F9-8694-7193A8D92839}" type="pres">
      <dgm:prSet presAssocID="{AE672F83-89FE-4A0F-ADDF-C015758F4C34}" presName="descendantText" presStyleLbl="alignAcc1" presStyleIdx="3" presStyleCnt="5">
        <dgm:presLayoutVars>
          <dgm:bulletEnabled val="1"/>
        </dgm:presLayoutVars>
      </dgm:prSet>
      <dgm:spPr/>
      <dgm:t>
        <a:bodyPr/>
        <a:lstStyle/>
        <a:p>
          <a:endParaRPr lang="en-US"/>
        </a:p>
      </dgm:t>
    </dgm:pt>
    <dgm:pt modelId="{0B3AF8DD-AE19-4F69-859A-BFE1303F39E3}" type="pres">
      <dgm:prSet presAssocID="{FF9A9BE6-1F84-40FF-AA38-DF72CCB925DE}" presName="sp" presStyleCnt="0"/>
      <dgm:spPr/>
    </dgm:pt>
    <dgm:pt modelId="{9C9C7B30-4515-44F8-96C5-A4AC7F7EE5E2}" type="pres">
      <dgm:prSet presAssocID="{F9CF3A35-5737-44CD-84C9-47CDD592435D}" presName="composite" presStyleCnt="0"/>
      <dgm:spPr/>
    </dgm:pt>
    <dgm:pt modelId="{2F4E5E14-751E-4A6D-A4C4-2E44C07A77E0}" type="pres">
      <dgm:prSet presAssocID="{F9CF3A35-5737-44CD-84C9-47CDD592435D}" presName="parentText" presStyleLbl="alignNode1" presStyleIdx="4" presStyleCnt="5">
        <dgm:presLayoutVars>
          <dgm:chMax val="1"/>
          <dgm:bulletEnabled val="1"/>
        </dgm:presLayoutVars>
      </dgm:prSet>
      <dgm:spPr/>
      <dgm:t>
        <a:bodyPr/>
        <a:lstStyle/>
        <a:p>
          <a:endParaRPr lang="en-US"/>
        </a:p>
      </dgm:t>
    </dgm:pt>
    <dgm:pt modelId="{77081CDE-63B1-4C39-8A15-CBD2C80687CC}" type="pres">
      <dgm:prSet presAssocID="{F9CF3A35-5737-44CD-84C9-47CDD592435D}" presName="descendantText" presStyleLbl="alignAcc1" presStyleIdx="4" presStyleCnt="5">
        <dgm:presLayoutVars>
          <dgm:bulletEnabled val="1"/>
        </dgm:presLayoutVars>
      </dgm:prSet>
      <dgm:spPr/>
      <dgm:t>
        <a:bodyPr/>
        <a:lstStyle/>
        <a:p>
          <a:endParaRPr lang="en-US"/>
        </a:p>
      </dgm:t>
    </dgm:pt>
  </dgm:ptLst>
  <dgm:cxnLst>
    <dgm:cxn modelId="{F60822F2-A149-4A29-8A2B-5C94E41D7E71}" srcId="{E02662FF-068A-4826-BF16-EBA2746F124D}" destId="{AE672F83-89FE-4A0F-ADDF-C015758F4C34}" srcOrd="3" destOrd="0" parTransId="{A3CAD1E1-357C-4029-B277-D88E41640F0F}" sibTransId="{FF9A9BE6-1F84-40FF-AA38-DF72CCB925DE}"/>
    <dgm:cxn modelId="{D75D8214-114D-4F5D-95D7-D62FF4A34266}" type="presOf" srcId="{E789241E-8BDE-4FC8-8163-A93D46FF7F6F}" destId="{BA68A0ED-3F99-47F9-8694-7193A8D92839}" srcOrd="0" destOrd="0" presId="urn:microsoft.com/office/officeart/2005/8/layout/chevron2"/>
    <dgm:cxn modelId="{5478FDE8-B062-4AD3-BA40-AB7455E2C909}" type="presOf" srcId="{E02662FF-068A-4826-BF16-EBA2746F124D}" destId="{825932A0-356C-4922-A8CC-713A9B73C5AB}" srcOrd="0" destOrd="0" presId="urn:microsoft.com/office/officeart/2005/8/layout/chevron2"/>
    <dgm:cxn modelId="{8660C30B-7971-4087-A13C-E3C4FDAF2A25}" srcId="{D049450A-1F91-4008-9B56-4C181D2FBD27}" destId="{A2EEEFB3-1986-44D3-8FA3-578EE5E0A2BE}" srcOrd="0" destOrd="0" parTransId="{B7172C6E-825E-483E-B3D2-1F5DD19E7378}" sibTransId="{9C21064C-DA62-4039-9274-897B60155CF3}"/>
    <dgm:cxn modelId="{89E87C2D-B5A7-46B2-B249-CD66D88EA177}" type="presOf" srcId="{94C3B746-6AE0-48DF-A84E-C1E645998B2D}" destId="{AA4E806E-4EDF-4AC8-84B0-50A133974D78}" srcOrd="0" destOrd="0" presId="urn:microsoft.com/office/officeart/2005/8/layout/chevron2"/>
    <dgm:cxn modelId="{33BD97E4-4104-4837-8869-21A0F8EF93BF}" srcId="{AE672F83-89FE-4A0F-ADDF-C015758F4C34}" destId="{E789241E-8BDE-4FC8-8163-A93D46FF7F6F}" srcOrd="0" destOrd="0" parTransId="{72224ACA-FACE-4101-AC78-2794D9D7786A}" sibTransId="{155F3D7D-93E9-4337-BED1-945DF00E16E9}"/>
    <dgm:cxn modelId="{AB31E35F-E916-4D35-831F-852E8790EDDA}" type="presOf" srcId="{59771398-5437-404C-87BB-8033D9B9E8F2}" destId="{19A8058E-55D3-4CB0-86A5-FEF2EA773C65}" srcOrd="0" destOrd="0" presId="urn:microsoft.com/office/officeart/2005/8/layout/chevron2"/>
    <dgm:cxn modelId="{D76A6D1A-A38F-4894-A731-B8DA723243B7}" srcId="{E02662FF-068A-4826-BF16-EBA2746F124D}" destId="{59771398-5437-404C-87BB-8033D9B9E8F2}" srcOrd="2" destOrd="0" parTransId="{81C83388-CDDA-4E6C-A97A-7D23752E075E}" sibTransId="{30126C8F-B0C6-4610-BEB3-EC1E93A864AE}"/>
    <dgm:cxn modelId="{0224D692-A4F3-4EDE-9910-975F5CF74105}" type="presOf" srcId="{AE672F83-89FE-4A0F-ADDF-C015758F4C34}" destId="{C9225A4E-2012-4E3F-B5A4-E8DED2D61292}" srcOrd="0" destOrd="0" presId="urn:microsoft.com/office/officeart/2005/8/layout/chevron2"/>
    <dgm:cxn modelId="{9151BD9E-CFD9-45FC-8FE5-F90E093EBFBE}" srcId="{F9CF3A35-5737-44CD-84C9-47CDD592435D}" destId="{B7F6F056-1D5D-416A-AF0C-92953F39ED5F}" srcOrd="0" destOrd="0" parTransId="{F2D21CB3-9EDB-4061-8B08-F25E7346CEC0}" sibTransId="{60A3FAC6-2965-4C9D-8CB0-78CD7F733612}"/>
    <dgm:cxn modelId="{4E029E06-9286-4D50-A84D-5A7749893C25}" srcId="{94C3B746-6AE0-48DF-A84E-C1E645998B2D}" destId="{E5457EF1-80EA-4FAC-A9A6-FE1694F4EAF9}" srcOrd="0" destOrd="0" parTransId="{B9EC3526-7D1A-4B99-A9AD-F141E64C889A}" sibTransId="{D411237E-E4D8-464F-8536-2D6C84936E15}"/>
    <dgm:cxn modelId="{0CF9F2FA-F1C7-4981-B437-037F47BA436D}" type="presOf" srcId="{F9CF3A35-5737-44CD-84C9-47CDD592435D}" destId="{2F4E5E14-751E-4A6D-A4C4-2E44C07A77E0}" srcOrd="0" destOrd="0" presId="urn:microsoft.com/office/officeart/2005/8/layout/chevron2"/>
    <dgm:cxn modelId="{AC6D290E-FD59-40F3-99E9-057268878414}" srcId="{E02662FF-068A-4826-BF16-EBA2746F124D}" destId="{D049450A-1F91-4008-9B56-4C181D2FBD27}" srcOrd="1" destOrd="0" parTransId="{2CB63137-118B-448D-92BC-EC9863AA7436}" sibTransId="{4030983A-2C92-4630-89F2-89814A94B5A3}"/>
    <dgm:cxn modelId="{8939FC6C-ABA2-455F-9D24-F0BC9E4481DD}" type="presOf" srcId="{B7F6F056-1D5D-416A-AF0C-92953F39ED5F}" destId="{77081CDE-63B1-4C39-8A15-CBD2C80687CC}" srcOrd="0" destOrd="0" presId="urn:microsoft.com/office/officeart/2005/8/layout/chevron2"/>
    <dgm:cxn modelId="{50CE3880-41D5-46F3-A11D-B36887418535}" type="presOf" srcId="{E5457EF1-80EA-4FAC-A9A6-FE1694F4EAF9}" destId="{11AEF903-2428-4656-B854-65E5FFDAF0FC}" srcOrd="0" destOrd="0" presId="urn:microsoft.com/office/officeart/2005/8/layout/chevron2"/>
    <dgm:cxn modelId="{89BE4CD7-AD2B-4277-BE12-35991809BA59}" type="presOf" srcId="{D049450A-1F91-4008-9B56-4C181D2FBD27}" destId="{BAB2F65D-11DA-4F1B-84D1-1FA5CECF343F}" srcOrd="0" destOrd="0" presId="urn:microsoft.com/office/officeart/2005/8/layout/chevron2"/>
    <dgm:cxn modelId="{457D7F7B-E1C3-4B9A-9DF3-47036E192D30}" type="presOf" srcId="{4CDEA411-04A1-4754-B53F-AF8BB3B5A9DB}" destId="{E267EE10-490C-45D9-838E-250E16569CF6}" srcOrd="0" destOrd="0" presId="urn:microsoft.com/office/officeart/2005/8/layout/chevron2"/>
    <dgm:cxn modelId="{21DFEDB8-C3FD-48DC-84FD-8A9232EFCB16}" type="presOf" srcId="{A2EEEFB3-1986-44D3-8FA3-578EE5E0A2BE}" destId="{9C32855E-5DFD-46DB-BCD7-86386A0B2798}" srcOrd="0" destOrd="0" presId="urn:microsoft.com/office/officeart/2005/8/layout/chevron2"/>
    <dgm:cxn modelId="{B47925FB-0A21-4886-A4A7-F140DB3D4A9B}" srcId="{59771398-5437-404C-87BB-8033D9B9E8F2}" destId="{4CDEA411-04A1-4754-B53F-AF8BB3B5A9DB}" srcOrd="0" destOrd="0" parTransId="{A3330784-6007-4567-A02D-181B8928A3B7}" sibTransId="{22E3563D-9DFA-4A4E-BB03-B10F26968905}"/>
    <dgm:cxn modelId="{08FC85B2-EC2D-4456-81CE-9837749938C6}" srcId="{E02662FF-068A-4826-BF16-EBA2746F124D}" destId="{94C3B746-6AE0-48DF-A84E-C1E645998B2D}" srcOrd="0" destOrd="0" parTransId="{651EC58D-7AE1-45F5-8159-E049FAE904C6}" sibTransId="{B246B2E7-3060-4F60-AD35-1B79648F6A87}"/>
    <dgm:cxn modelId="{AC7C9F22-EC2A-4232-88AE-C127B3F793E1}" srcId="{E02662FF-068A-4826-BF16-EBA2746F124D}" destId="{F9CF3A35-5737-44CD-84C9-47CDD592435D}" srcOrd="4" destOrd="0" parTransId="{7D720DC3-5FBF-41B0-8419-7A767F02C14E}" sibTransId="{E2B7F266-0651-495E-8155-21F94D7C5B44}"/>
    <dgm:cxn modelId="{31F6BE5D-08C5-4E5F-A111-591F5063F31E}" type="presParOf" srcId="{825932A0-356C-4922-A8CC-713A9B73C5AB}" destId="{5F3AEF21-5781-4AFC-BEE9-7BEE950E7B09}" srcOrd="0" destOrd="0" presId="urn:microsoft.com/office/officeart/2005/8/layout/chevron2"/>
    <dgm:cxn modelId="{668ED9B4-9D0F-4E89-AE80-B2A5613F2D7B}" type="presParOf" srcId="{5F3AEF21-5781-4AFC-BEE9-7BEE950E7B09}" destId="{AA4E806E-4EDF-4AC8-84B0-50A133974D78}" srcOrd="0" destOrd="0" presId="urn:microsoft.com/office/officeart/2005/8/layout/chevron2"/>
    <dgm:cxn modelId="{341F683F-F537-4772-9421-0D7F91E0E57F}" type="presParOf" srcId="{5F3AEF21-5781-4AFC-BEE9-7BEE950E7B09}" destId="{11AEF903-2428-4656-B854-65E5FFDAF0FC}" srcOrd="1" destOrd="0" presId="urn:microsoft.com/office/officeart/2005/8/layout/chevron2"/>
    <dgm:cxn modelId="{C664CB70-6D46-4DD3-A0EB-B771DD0FF694}" type="presParOf" srcId="{825932A0-356C-4922-A8CC-713A9B73C5AB}" destId="{0476439C-B74B-4B1A-9C2B-2DC7ABF19ABF}" srcOrd="1" destOrd="0" presId="urn:microsoft.com/office/officeart/2005/8/layout/chevron2"/>
    <dgm:cxn modelId="{C061A9EC-7ECA-4AAB-94E6-231BD068994C}" type="presParOf" srcId="{825932A0-356C-4922-A8CC-713A9B73C5AB}" destId="{10789647-8E1B-4374-8F49-71B07F555D21}" srcOrd="2" destOrd="0" presId="urn:microsoft.com/office/officeart/2005/8/layout/chevron2"/>
    <dgm:cxn modelId="{502C9FD0-6A87-4548-B35F-0858EA8BB010}" type="presParOf" srcId="{10789647-8E1B-4374-8F49-71B07F555D21}" destId="{BAB2F65D-11DA-4F1B-84D1-1FA5CECF343F}" srcOrd="0" destOrd="0" presId="urn:microsoft.com/office/officeart/2005/8/layout/chevron2"/>
    <dgm:cxn modelId="{C0082D0D-F4F7-4365-A2EA-56716DB669E9}" type="presParOf" srcId="{10789647-8E1B-4374-8F49-71B07F555D21}" destId="{9C32855E-5DFD-46DB-BCD7-86386A0B2798}" srcOrd="1" destOrd="0" presId="urn:microsoft.com/office/officeart/2005/8/layout/chevron2"/>
    <dgm:cxn modelId="{3D9E25BB-8B1F-4267-A189-13A62E53A61B}" type="presParOf" srcId="{825932A0-356C-4922-A8CC-713A9B73C5AB}" destId="{F9549627-C8B8-47FD-9911-E3D84B7414EC}" srcOrd="3" destOrd="0" presId="urn:microsoft.com/office/officeart/2005/8/layout/chevron2"/>
    <dgm:cxn modelId="{551F3F2F-3E6E-4EF7-B4E7-B7804801F138}" type="presParOf" srcId="{825932A0-356C-4922-A8CC-713A9B73C5AB}" destId="{06D5CFED-2F1B-4907-B5B5-6B77196D4E67}" srcOrd="4" destOrd="0" presId="urn:microsoft.com/office/officeart/2005/8/layout/chevron2"/>
    <dgm:cxn modelId="{D90C5A89-5680-4BD2-A062-766848D99694}" type="presParOf" srcId="{06D5CFED-2F1B-4907-B5B5-6B77196D4E67}" destId="{19A8058E-55D3-4CB0-86A5-FEF2EA773C65}" srcOrd="0" destOrd="0" presId="urn:microsoft.com/office/officeart/2005/8/layout/chevron2"/>
    <dgm:cxn modelId="{E8AE4E09-7BB5-4E76-904C-E8A864397A97}" type="presParOf" srcId="{06D5CFED-2F1B-4907-B5B5-6B77196D4E67}" destId="{E267EE10-490C-45D9-838E-250E16569CF6}" srcOrd="1" destOrd="0" presId="urn:microsoft.com/office/officeart/2005/8/layout/chevron2"/>
    <dgm:cxn modelId="{080E81DE-4C45-4EDA-965B-F45B61A23B9F}" type="presParOf" srcId="{825932A0-356C-4922-A8CC-713A9B73C5AB}" destId="{AC215060-6DF2-4B76-904E-B1B70680D57C}" srcOrd="5" destOrd="0" presId="urn:microsoft.com/office/officeart/2005/8/layout/chevron2"/>
    <dgm:cxn modelId="{215A03F2-0972-44AB-A082-A2EB73B1F0CC}" type="presParOf" srcId="{825932A0-356C-4922-A8CC-713A9B73C5AB}" destId="{AC3713C2-101A-4A3C-A2DB-6AE863A52C25}" srcOrd="6" destOrd="0" presId="urn:microsoft.com/office/officeart/2005/8/layout/chevron2"/>
    <dgm:cxn modelId="{FA7E6E91-ADA1-43C7-9B71-D55B6E748835}" type="presParOf" srcId="{AC3713C2-101A-4A3C-A2DB-6AE863A52C25}" destId="{C9225A4E-2012-4E3F-B5A4-E8DED2D61292}" srcOrd="0" destOrd="0" presId="urn:microsoft.com/office/officeart/2005/8/layout/chevron2"/>
    <dgm:cxn modelId="{F146A436-193A-45C8-851B-F78DEEDAC3FF}" type="presParOf" srcId="{AC3713C2-101A-4A3C-A2DB-6AE863A52C25}" destId="{BA68A0ED-3F99-47F9-8694-7193A8D92839}" srcOrd="1" destOrd="0" presId="urn:microsoft.com/office/officeart/2005/8/layout/chevron2"/>
    <dgm:cxn modelId="{3F6FAA22-A4D1-45F3-A157-B80DBCEDE089}" type="presParOf" srcId="{825932A0-356C-4922-A8CC-713A9B73C5AB}" destId="{0B3AF8DD-AE19-4F69-859A-BFE1303F39E3}" srcOrd="7" destOrd="0" presId="urn:microsoft.com/office/officeart/2005/8/layout/chevron2"/>
    <dgm:cxn modelId="{47820988-6394-4ECB-B874-A0C0FF378D45}" type="presParOf" srcId="{825932A0-356C-4922-A8CC-713A9B73C5AB}" destId="{9C9C7B30-4515-44F8-96C5-A4AC7F7EE5E2}" srcOrd="8" destOrd="0" presId="urn:microsoft.com/office/officeart/2005/8/layout/chevron2"/>
    <dgm:cxn modelId="{125CA8F7-EC70-4F5B-8DA0-18177AC3F990}" type="presParOf" srcId="{9C9C7B30-4515-44F8-96C5-A4AC7F7EE5E2}" destId="{2F4E5E14-751E-4A6D-A4C4-2E44C07A77E0}" srcOrd="0" destOrd="0" presId="urn:microsoft.com/office/officeart/2005/8/layout/chevron2"/>
    <dgm:cxn modelId="{CC3EEE5E-E172-45A4-B29E-9230BBAD53E6}" type="presParOf" srcId="{9C9C7B30-4515-44F8-96C5-A4AC7F7EE5E2}" destId="{77081CDE-63B1-4C39-8A15-CBD2C80687CC}" srcOrd="1" destOrd="0" presId="urn:microsoft.com/office/officeart/2005/8/layout/chevron2"/>
  </dgm:cxnLst>
  <dgm:bg/>
  <dgm:whole>
    <a:ln w="19050">
      <a:solidFill>
        <a:schemeClr val="tx1"/>
      </a:solidFill>
    </a:ln>
  </dgm:whole>
  <dgm:extLst>
    <a:ext uri="http://schemas.microsoft.com/office/drawing/2008/diagram">
      <dsp:dataModelExt xmlns:dsp="http://schemas.microsoft.com/office/drawing/2008/diagram" relId="rId3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FCB6E9D-F1C3-48E8-AAFE-42E5D6293D76}" type="doc">
      <dgm:prSet loTypeId="urn:microsoft.com/office/officeart/2005/8/layout/hList7" loCatId="relationship" qsTypeId="urn:microsoft.com/office/officeart/2005/8/quickstyle/simple1" qsCatId="simple" csTypeId="urn:microsoft.com/office/officeart/2005/8/colors/accent2_2" csCatId="accent2" phldr="1"/>
      <dgm:spPr/>
      <dgm:t>
        <a:bodyPr/>
        <a:lstStyle/>
        <a:p>
          <a:endParaRPr lang="en-US"/>
        </a:p>
      </dgm:t>
    </dgm:pt>
    <dgm:pt modelId="{C3FC5EB8-1384-4D4E-B455-A88C2E663DC6}">
      <dgm:prSet/>
      <dgm:spPr>
        <a:xfrm>
          <a:off x="3" y="-57703"/>
          <a:ext cx="965401" cy="1418590"/>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Survey</a:t>
          </a:r>
        </a:p>
      </dgm:t>
    </dgm:pt>
    <dgm:pt modelId="{B806B11A-6C6A-43BD-AF5A-A217A59A906A}" type="parTrans" cxnId="{2FC60538-AAE5-4C8E-A56E-BFC2061E4C3E}">
      <dgm:prSet/>
      <dgm:spPr/>
      <dgm:t>
        <a:bodyPr/>
        <a:lstStyle/>
        <a:p>
          <a:endParaRPr lang="en-US"/>
        </a:p>
      </dgm:t>
    </dgm:pt>
    <dgm:pt modelId="{F060388D-1D3A-4C21-8656-B7050742368E}" type="sibTrans" cxnId="{2FC60538-AAE5-4C8E-A56E-BFC2061E4C3E}">
      <dgm:prSet/>
      <dgm:spPr/>
      <dgm:t>
        <a:bodyPr/>
        <a:lstStyle/>
        <a:p>
          <a:endParaRPr lang="en-US"/>
        </a:p>
      </dgm:t>
    </dgm:pt>
    <dgm:pt modelId="{C60763B8-E6AA-415C-AF48-218C5767A7B6}">
      <dgm:prSet/>
      <dgm:spPr>
        <a:xfrm>
          <a:off x="995284" y="-57703"/>
          <a:ext cx="965401" cy="1418590"/>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Delivery</a:t>
          </a:r>
        </a:p>
      </dgm:t>
    </dgm:pt>
    <dgm:pt modelId="{A1FA03B0-B100-4292-A970-BB6FDF466FD8}" type="parTrans" cxnId="{3F4E1488-6FE1-44A1-9562-4030FB6C1DFE}">
      <dgm:prSet/>
      <dgm:spPr/>
      <dgm:t>
        <a:bodyPr/>
        <a:lstStyle/>
        <a:p>
          <a:endParaRPr lang="en-US"/>
        </a:p>
      </dgm:t>
    </dgm:pt>
    <dgm:pt modelId="{12B8B5D7-EFA8-4334-846E-CD4A3EE29008}" type="sibTrans" cxnId="{3F4E1488-6FE1-44A1-9562-4030FB6C1DFE}">
      <dgm:prSet/>
      <dgm:spPr/>
      <dgm:t>
        <a:bodyPr/>
        <a:lstStyle/>
        <a:p>
          <a:endParaRPr lang="en-US"/>
        </a:p>
      </dgm:t>
    </dgm:pt>
    <dgm:pt modelId="{A6BCCEFA-F843-44C1-9BF2-E57ED9CB50B5}">
      <dgm:prSet/>
      <dgm:spPr>
        <a:xfrm>
          <a:off x="1989648" y="-57703"/>
          <a:ext cx="965401" cy="1418590"/>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Breach</a:t>
          </a:r>
        </a:p>
      </dgm:t>
    </dgm:pt>
    <dgm:pt modelId="{B9BB0069-E4C2-4C12-9FA9-F0E438ACC72E}" type="parTrans" cxnId="{E6DBA084-802F-4891-9ADE-8E9E80F25514}">
      <dgm:prSet/>
      <dgm:spPr/>
      <dgm:t>
        <a:bodyPr/>
        <a:lstStyle/>
        <a:p>
          <a:endParaRPr lang="en-US"/>
        </a:p>
      </dgm:t>
    </dgm:pt>
    <dgm:pt modelId="{182AF05A-9C04-4F42-8DBB-11B5E26D0040}" type="sibTrans" cxnId="{E6DBA084-802F-4891-9ADE-8E9E80F25514}">
      <dgm:prSet/>
      <dgm:spPr/>
      <dgm:t>
        <a:bodyPr/>
        <a:lstStyle/>
        <a:p>
          <a:endParaRPr lang="en-US"/>
        </a:p>
      </dgm:t>
    </dgm:pt>
    <dgm:pt modelId="{059FD123-D2C7-478A-968F-91B75FC5086D}">
      <dgm:prSet/>
      <dgm:spPr>
        <a:xfrm>
          <a:off x="2984012" y="-57703"/>
          <a:ext cx="965401" cy="1418590"/>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Effect</a:t>
          </a:r>
        </a:p>
      </dgm:t>
    </dgm:pt>
    <dgm:pt modelId="{C15E0364-B037-426D-82EE-ED003753D42B}" type="parTrans" cxnId="{1172F8DE-7055-4F71-8A92-444CEC2E05F8}">
      <dgm:prSet/>
      <dgm:spPr/>
      <dgm:t>
        <a:bodyPr/>
        <a:lstStyle/>
        <a:p>
          <a:endParaRPr lang="en-US"/>
        </a:p>
      </dgm:t>
    </dgm:pt>
    <dgm:pt modelId="{24698F1C-CBBB-4E1C-A482-63CE74170F47}" type="sibTrans" cxnId="{1172F8DE-7055-4F71-8A92-444CEC2E05F8}">
      <dgm:prSet/>
      <dgm:spPr/>
      <dgm:t>
        <a:bodyPr/>
        <a:lstStyle/>
        <a:p>
          <a:endParaRPr lang="en-US"/>
        </a:p>
      </dgm:t>
    </dgm:pt>
    <dgm:pt modelId="{25CBF2F9-D474-47B7-8C8B-765EDCE481C3}" type="pres">
      <dgm:prSet presAssocID="{8FCB6E9D-F1C3-48E8-AAFE-42E5D6293D76}" presName="Name0" presStyleCnt="0">
        <dgm:presLayoutVars>
          <dgm:dir/>
          <dgm:resizeHandles val="exact"/>
        </dgm:presLayoutVars>
      </dgm:prSet>
      <dgm:spPr/>
      <dgm:t>
        <a:bodyPr/>
        <a:lstStyle/>
        <a:p>
          <a:endParaRPr lang="en-US"/>
        </a:p>
      </dgm:t>
    </dgm:pt>
    <dgm:pt modelId="{AC20B523-73E6-4269-A3E3-2D049E0B29B1}" type="pres">
      <dgm:prSet presAssocID="{8FCB6E9D-F1C3-48E8-AAFE-42E5D6293D76}" presName="fgShape" presStyleLbl="fgShp" presStyleIdx="0" presStyleCnt="1" custScaleY="275138" custLinFactY="-183142" custLinFactNeighborX="355" custLinFactNeighborY="-200000"/>
      <dgm:spPr>
        <a:xfrm>
          <a:off x="170915" y="75549"/>
          <a:ext cx="3634308" cy="585462"/>
        </a:xfrm>
        <a:prstGeom prst="leftRightArrow">
          <a:avLst/>
        </a:prstGeom>
        <a:gradFill flip="none" rotWithShape="1">
          <a:gsLst>
            <a:gs pos="55000">
              <a:srgbClr val="B5D2EC"/>
            </a:gs>
            <a:gs pos="0">
              <a:srgbClr val="00B050"/>
            </a:gs>
            <a:gs pos="40000">
              <a:srgbClr val="5B9BD5">
                <a:lumMod val="45000"/>
                <a:lumOff val="55000"/>
              </a:srgbClr>
            </a:gs>
            <a:gs pos="100000">
              <a:srgbClr val="FF0000"/>
            </a:gs>
          </a:gsLst>
          <a:lin ang="0" scaled="1"/>
          <a:tileRect/>
        </a:gradFill>
        <a:ln w="12700" cap="flat" cmpd="sng" algn="ctr">
          <a:noFill/>
          <a:prstDash val="solid"/>
          <a:miter lim="800000"/>
        </a:ln>
        <a:effectLst/>
      </dgm:spPr>
    </dgm:pt>
    <dgm:pt modelId="{772EB2C5-9C5E-4C86-983D-7A92FE5E613C}" type="pres">
      <dgm:prSet presAssocID="{8FCB6E9D-F1C3-48E8-AAFE-42E5D6293D76}" presName="linComp" presStyleCnt="0"/>
      <dgm:spPr/>
    </dgm:pt>
    <dgm:pt modelId="{2B3867CB-EEA2-4F0A-9A2D-2C6CDEB00629}" type="pres">
      <dgm:prSet presAssocID="{C3FC5EB8-1384-4D4E-B455-A88C2E663DC6}" presName="compNode" presStyleCnt="0"/>
      <dgm:spPr/>
    </dgm:pt>
    <dgm:pt modelId="{C474D215-5B18-41E1-85DB-50397228FED9}" type="pres">
      <dgm:prSet presAssocID="{C3FC5EB8-1384-4D4E-B455-A88C2E663DC6}" presName="bkgdShape" presStyleLbl="node1" presStyleIdx="0" presStyleCnt="4" custLinFactNeighborX="-95"/>
      <dgm:spPr/>
      <dgm:t>
        <a:bodyPr/>
        <a:lstStyle/>
        <a:p>
          <a:endParaRPr lang="en-US"/>
        </a:p>
      </dgm:t>
    </dgm:pt>
    <dgm:pt modelId="{8A5629A5-7084-41D8-BBC6-56F317D57941}" type="pres">
      <dgm:prSet presAssocID="{C3FC5EB8-1384-4D4E-B455-A88C2E663DC6}" presName="nodeTx" presStyleLbl="node1" presStyleIdx="0" presStyleCnt="4">
        <dgm:presLayoutVars>
          <dgm:bulletEnabled val="1"/>
        </dgm:presLayoutVars>
      </dgm:prSet>
      <dgm:spPr/>
      <dgm:t>
        <a:bodyPr/>
        <a:lstStyle/>
        <a:p>
          <a:endParaRPr lang="en-US"/>
        </a:p>
      </dgm:t>
    </dgm:pt>
    <dgm:pt modelId="{46EA8991-9D08-45C0-8BBF-9F75CB45FF03}" type="pres">
      <dgm:prSet presAssocID="{C3FC5EB8-1384-4D4E-B455-A88C2E663DC6}" presName="invisiNode" presStyleLbl="node1" presStyleIdx="0" presStyleCnt="4"/>
      <dgm:spPr/>
    </dgm:pt>
    <dgm:pt modelId="{B8E8DA3E-D20D-4A13-BE8A-0534142B54D9}" type="pres">
      <dgm:prSet presAssocID="{C3FC5EB8-1384-4D4E-B455-A88C2E663DC6}" presName="imagNode" presStyleLbl="fgImgPlace1" presStyleIdx="0" presStyleCnt="4" custScaleX="38555" custScaleY="38555"/>
      <dgm:spPr>
        <a:xfrm>
          <a:off x="392556" y="172541"/>
          <a:ext cx="182130" cy="182130"/>
        </a:xfrm>
        <a:prstGeom prst="ellipse">
          <a:avLst/>
        </a:prstGeom>
        <a:noFill/>
        <a:ln w="12700" cap="flat" cmpd="sng" algn="ctr">
          <a:noFill/>
          <a:prstDash val="solid"/>
          <a:miter lim="800000"/>
        </a:ln>
        <a:effectLst/>
      </dgm:spPr>
    </dgm:pt>
    <dgm:pt modelId="{ADCFF41D-C39B-400D-A690-157B4323DD3F}" type="pres">
      <dgm:prSet presAssocID="{F060388D-1D3A-4C21-8656-B7050742368E}" presName="sibTrans" presStyleLbl="sibTrans2D1" presStyleIdx="0" presStyleCnt="0"/>
      <dgm:spPr/>
      <dgm:t>
        <a:bodyPr/>
        <a:lstStyle/>
        <a:p>
          <a:endParaRPr lang="en-US"/>
        </a:p>
      </dgm:t>
    </dgm:pt>
    <dgm:pt modelId="{4E40F7E3-DB0B-4024-9E26-0C5C262FBA27}" type="pres">
      <dgm:prSet presAssocID="{C60763B8-E6AA-415C-AF48-218C5767A7B6}" presName="compNode" presStyleCnt="0"/>
      <dgm:spPr/>
    </dgm:pt>
    <dgm:pt modelId="{BA96776D-9257-43A7-A515-37629D72361C}" type="pres">
      <dgm:prSet presAssocID="{C60763B8-E6AA-415C-AF48-218C5767A7B6}" presName="bkgdShape" presStyleLbl="node1" presStyleIdx="1" presStyleCnt="4"/>
      <dgm:spPr/>
      <dgm:t>
        <a:bodyPr/>
        <a:lstStyle/>
        <a:p>
          <a:endParaRPr lang="en-US"/>
        </a:p>
      </dgm:t>
    </dgm:pt>
    <dgm:pt modelId="{4217E021-ACEC-4350-B74D-0FBBBD788F36}" type="pres">
      <dgm:prSet presAssocID="{C60763B8-E6AA-415C-AF48-218C5767A7B6}" presName="nodeTx" presStyleLbl="node1" presStyleIdx="1" presStyleCnt="4">
        <dgm:presLayoutVars>
          <dgm:bulletEnabled val="1"/>
        </dgm:presLayoutVars>
      </dgm:prSet>
      <dgm:spPr/>
      <dgm:t>
        <a:bodyPr/>
        <a:lstStyle/>
        <a:p>
          <a:endParaRPr lang="en-US"/>
        </a:p>
      </dgm:t>
    </dgm:pt>
    <dgm:pt modelId="{4586C5C0-15E6-49AC-B2AC-922634E138DD}" type="pres">
      <dgm:prSet presAssocID="{C60763B8-E6AA-415C-AF48-218C5767A7B6}" presName="invisiNode" presStyleLbl="node1" presStyleIdx="1" presStyleCnt="4"/>
      <dgm:spPr/>
    </dgm:pt>
    <dgm:pt modelId="{B48DF285-0B8C-44CC-A62C-C45A1DB80A37}" type="pres">
      <dgm:prSet presAssocID="{C60763B8-E6AA-415C-AF48-218C5767A7B6}" presName="imagNode" presStyleLbl="fgImgPlace1" presStyleIdx="1" presStyleCnt="4" custScaleX="31864" custScaleY="31864"/>
      <dgm:spPr>
        <a:xfrm>
          <a:off x="1402724" y="188345"/>
          <a:ext cx="150522" cy="150522"/>
        </a:xfrm>
        <a:prstGeom prst="ellipse">
          <a:avLst/>
        </a:prstGeom>
        <a:noFill/>
        <a:ln w="12700" cap="flat" cmpd="sng" algn="ctr">
          <a:noFill/>
          <a:prstDash val="solid"/>
          <a:miter lim="800000"/>
        </a:ln>
        <a:effectLst/>
      </dgm:spPr>
    </dgm:pt>
    <dgm:pt modelId="{1B393FFA-A434-485E-AC1B-75BBDB6A5548}" type="pres">
      <dgm:prSet presAssocID="{12B8B5D7-EFA8-4334-846E-CD4A3EE29008}" presName="sibTrans" presStyleLbl="sibTrans2D1" presStyleIdx="0" presStyleCnt="0"/>
      <dgm:spPr/>
      <dgm:t>
        <a:bodyPr/>
        <a:lstStyle/>
        <a:p>
          <a:endParaRPr lang="en-US"/>
        </a:p>
      </dgm:t>
    </dgm:pt>
    <dgm:pt modelId="{F8A5BB0A-A43F-4BBD-A854-6ED7ADF548BA}" type="pres">
      <dgm:prSet presAssocID="{A6BCCEFA-F843-44C1-9BF2-E57ED9CB50B5}" presName="compNode" presStyleCnt="0"/>
      <dgm:spPr/>
    </dgm:pt>
    <dgm:pt modelId="{9B42F778-9E3E-48BC-A358-6D3830C7C823}" type="pres">
      <dgm:prSet presAssocID="{A6BCCEFA-F843-44C1-9BF2-E57ED9CB50B5}" presName="bkgdShape" presStyleLbl="node1" presStyleIdx="2" presStyleCnt="4"/>
      <dgm:spPr/>
      <dgm:t>
        <a:bodyPr/>
        <a:lstStyle/>
        <a:p>
          <a:endParaRPr lang="en-US"/>
        </a:p>
      </dgm:t>
    </dgm:pt>
    <dgm:pt modelId="{77A8F384-7597-4EE8-9BFB-7EDE5DE89E72}" type="pres">
      <dgm:prSet presAssocID="{A6BCCEFA-F843-44C1-9BF2-E57ED9CB50B5}" presName="nodeTx" presStyleLbl="node1" presStyleIdx="2" presStyleCnt="4">
        <dgm:presLayoutVars>
          <dgm:bulletEnabled val="1"/>
        </dgm:presLayoutVars>
      </dgm:prSet>
      <dgm:spPr/>
      <dgm:t>
        <a:bodyPr/>
        <a:lstStyle/>
        <a:p>
          <a:endParaRPr lang="en-US"/>
        </a:p>
      </dgm:t>
    </dgm:pt>
    <dgm:pt modelId="{7D9C65E7-69BF-49F4-AFD6-212FEEED8967}" type="pres">
      <dgm:prSet presAssocID="{A6BCCEFA-F843-44C1-9BF2-E57ED9CB50B5}" presName="invisiNode" presStyleLbl="node1" presStyleIdx="2" presStyleCnt="4"/>
      <dgm:spPr/>
    </dgm:pt>
    <dgm:pt modelId="{4C5117DF-E28B-42AC-A979-88254288975D}" type="pres">
      <dgm:prSet presAssocID="{A6BCCEFA-F843-44C1-9BF2-E57ED9CB50B5}" presName="imagNode" presStyleLbl="fgImgPlace1" presStyleIdx="2" presStyleCnt="4" custScaleX="31864" custScaleY="31864"/>
      <dgm:spPr>
        <a:xfrm>
          <a:off x="2397088" y="188345"/>
          <a:ext cx="150522" cy="150522"/>
        </a:xfrm>
        <a:prstGeom prst="ellipse">
          <a:avLst/>
        </a:prstGeom>
        <a:noFill/>
        <a:ln w="12700" cap="flat" cmpd="sng" algn="ctr">
          <a:noFill/>
          <a:prstDash val="solid"/>
          <a:miter lim="800000"/>
        </a:ln>
        <a:effectLst/>
      </dgm:spPr>
    </dgm:pt>
    <dgm:pt modelId="{FA116E38-292E-4F27-B497-B3B7A3BB7BFE}" type="pres">
      <dgm:prSet presAssocID="{182AF05A-9C04-4F42-8DBB-11B5E26D0040}" presName="sibTrans" presStyleLbl="sibTrans2D1" presStyleIdx="0" presStyleCnt="0"/>
      <dgm:spPr/>
      <dgm:t>
        <a:bodyPr/>
        <a:lstStyle/>
        <a:p>
          <a:endParaRPr lang="en-US"/>
        </a:p>
      </dgm:t>
    </dgm:pt>
    <dgm:pt modelId="{03AFDAC9-F091-4162-B2C4-D340CED88F7F}" type="pres">
      <dgm:prSet presAssocID="{059FD123-D2C7-478A-968F-91B75FC5086D}" presName="compNode" presStyleCnt="0"/>
      <dgm:spPr/>
    </dgm:pt>
    <dgm:pt modelId="{3342B0BD-52BF-4C6E-B9AC-E31F19987186}" type="pres">
      <dgm:prSet presAssocID="{059FD123-D2C7-478A-968F-91B75FC5086D}" presName="bkgdShape" presStyleLbl="node1" presStyleIdx="3" presStyleCnt="4"/>
      <dgm:spPr/>
      <dgm:t>
        <a:bodyPr/>
        <a:lstStyle/>
        <a:p>
          <a:endParaRPr lang="en-US"/>
        </a:p>
      </dgm:t>
    </dgm:pt>
    <dgm:pt modelId="{F8335601-7BB2-44AC-8BB1-5E041184CF11}" type="pres">
      <dgm:prSet presAssocID="{059FD123-D2C7-478A-968F-91B75FC5086D}" presName="nodeTx" presStyleLbl="node1" presStyleIdx="3" presStyleCnt="4">
        <dgm:presLayoutVars>
          <dgm:bulletEnabled val="1"/>
        </dgm:presLayoutVars>
      </dgm:prSet>
      <dgm:spPr/>
      <dgm:t>
        <a:bodyPr/>
        <a:lstStyle/>
        <a:p>
          <a:endParaRPr lang="en-US"/>
        </a:p>
      </dgm:t>
    </dgm:pt>
    <dgm:pt modelId="{C2FB3532-2B19-400F-8CB3-1CE8581986EE}" type="pres">
      <dgm:prSet presAssocID="{059FD123-D2C7-478A-968F-91B75FC5086D}" presName="invisiNode" presStyleLbl="node1" presStyleIdx="3" presStyleCnt="4"/>
      <dgm:spPr/>
    </dgm:pt>
    <dgm:pt modelId="{707DCF0B-EB61-404A-98C4-E0C13B2C1324}" type="pres">
      <dgm:prSet presAssocID="{059FD123-D2C7-478A-968F-91B75FC5086D}" presName="imagNode" presStyleLbl="fgImgPlace1" presStyleIdx="3" presStyleCnt="4" custScaleX="42410" custScaleY="42410"/>
      <dgm:spPr>
        <a:xfrm>
          <a:off x="3366542" y="163436"/>
          <a:ext cx="200340" cy="200340"/>
        </a:xfrm>
        <a:prstGeom prst="ellipse">
          <a:avLst/>
        </a:prstGeom>
        <a:noFill/>
        <a:ln w="12700" cap="flat" cmpd="sng" algn="ctr">
          <a:noFill/>
          <a:prstDash val="solid"/>
          <a:miter lim="800000"/>
        </a:ln>
        <a:effectLst/>
      </dgm:spPr>
    </dgm:pt>
  </dgm:ptLst>
  <dgm:cxnLst>
    <dgm:cxn modelId="{1172F8DE-7055-4F71-8A92-444CEC2E05F8}" srcId="{8FCB6E9D-F1C3-48E8-AAFE-42E5D6293D76}" destId="{059FD123-D2C7-478A-968F-91B75FC5086D}" srcOrd="3" destOrd="0" parTransId="{C15E0364-B037-426D-82EE-ED003753D42B}" sibTransId="{24698F1C-CBBB-4E1C-A482-63CE74170F47}"/>
    <dgm:cxn modelId="{B8E6ABD2-CF91-41B7-BEF1-A6612F24F16D}" type="presOf" srcId="{A6BCCEFA-F843-44C1-9BF2-E57ED9CB50B5}" destId="{77A8F384-7597-4EE8-9BFB-7EDE5DE89E72}" srcOrd="1" destOrd="0" presId="urn:microsoft.com/office/officeart/2005/8/layout/hList7"/>
    <dgm:cxn modelId="{78D44A60-D10E-485D-B02F-2E1D5142883D}" type="presOf" srcId="{F060388D-1D3A-4C21-8656-B7050742368E}" destId="{ADCFF41D-C39B-400D-A690-157B4323DD3F}" srcOrd="0" destOrd="0" presId="urn:microsoft.com/office/officeart/2005/8/layout/hList7"/>
    <dgm:cxn modelId="{E6DBA084-802F-4891-9ADE-8E9E80F25514}" srcId="{8FCB6E9D-F1C3-48E8-AAFE-42E5D6293D76}" destId="{A6BCCEFA-F843-44C1-9BF2-E57ED9CB50B5}" srcOrd="2" destOrd="0" parTransId="{B9BB0069-E4C2-4C12-9FA9-F0E438ACC72E}" sibTransId="{182AF05A-9C04-4F42-8DBB-11B5E26D0040}"/>
    <dgm:cxn modelId="{8259361C-AB0F-4983-8C4B-E846D035B1AF}" type="presOf" srcId="{8FCB6E9D-F1C3-48E8-AAFE-42E5D6293D76}" destId="{25CBF2F9-D474-47B7-8C8B-765EDCE481C3}" srcOrd="0" destOrd="0" presId="urn:microsoft.com/office/officeart/2005/8/layout/hList7"/>
    <dgm:cxn modelId="{00FC2F02-E80A-49C8-9BCA-DC3E399383E6}" type="presOf" srcId="{A6BCCEFA-F843-44C1-9BF2-E57ED9CB50B5}" destId="{9B42F778-9E3E-48BC-A358-6D3830C7C823}" srcOrd="0" destOrd="0" presId="urn:microsoft.com/office/officeart/2005/8/layout/hList7"/>
    <dgm:cxn modelId="{A3BE0305-CB73-4BB3-881B-8B2D2062460A}" type="presOf" srcId="{059FD123-D2C7-478A-968F-91B75FC5086D}" destId="{F8335601-7BB2-44AC-8BB1-5E041184CF11}" srcOrd="1" destOrd="0" presId="urn:microsoft.com/office/officeart/2005/8/layout/hList7"/>
    <dgm:cxn modelId="{94142E33-42AC-4149-A506-26CE2EDD53BF}" type="presOf" srcId="{12B8B5D7-EFA8-4334-846E-CD4A3EE29008}" destId="{1B393FFA-A434-485E-AC1B-75BBDB6A5548}" srcOrd="0" destOrd="0" presId="urn:microsoft.com/office/officeart/2005/8/layout/hList7"/>
    <dgm:cxn modelId="{2FC60538-AAE5-4C8E-A56E-BFC2061E4C3E}" srcId="{8FCB6E9D-F1C3-48E8-AAFE-42E5D6293D76}" destId="{C3FC5EB8-1384-4D4E-B455-A88C2E663DC6}" srcOrd="0" destOrd="0" parTransId="{B806B11A-6C6A-43BD-AF5A-A217A59A906A}" sibTransId="{F060388D-1D3A-4C21-8656-B7050742368E}"/>
    <dgm:cxn modelId="{75FDC736-375F-4406-9D1F-771CD48D1B73}" type="presOf" srcId="{C60763B8-E6AA-415C-AF48-218C5767A7B6}" destId="{4217E021-ACEC-4350-B74D-0FBBBD788F36}" srcOrd="1" destOrd="0" presId="urn:microsoft.com/office/officeart/2005/8/layout/hList7"/>
    <dgm:cxn modelId="{3F4E1488-6FE1-44A1-9562-4030FB6C1DFE}" srcId="{8FCB6E9D-F1C3-48E8-AAFE-42E5D6293D76}" destId="{C60763B8-E6AA-415C-AF48-218C5767A7B6}" srcOrd="1" destOrd="0" parTransId="{A1FA03B0-B100-4292-A970-BB6FDF466FD8}" sibTransId="{12B8B5D7-EFA8-4334-846E-CD4A3EE29008}"/>
    <dgm:cxn modelId="{58843A9A-55FB-4FDD-BC7B-17FD2C1435E9}" type="presOf" srcId="{059FD123-D2C7-478A-968F-91B75FC5086D}" destId="{3342B0BD-52BF-4C6E-B9AC-E31F19987186}" srcOrd="0" destOrd="0" presId="urn:microsoft.com/office/officeart/2005/8/layout/hList7"/>
    <dgm:cxn modelId="{6E7441C3-A1F0-4E19-BF00-F4B2B1C741FC}" type="presOf" srcId="{C60763B8-E6AA-415C-AF48-218C5767A7B6}" destId="{BA96776D-9257-43A7-A515-37629D72361C}" srcOrd="0" destOrd="0" presId="urn:microsoft.com/office/officeart/2005/8/layout/hList7"/>
    <dgm:cxn modelId="{4B28E1EE-5020-4F1B-8E71-03590B5EA420}" type="presOf" srcId="{182AF05A-9C04-4F42-8DBB-11B5E26D0040}" destId="{FA116E38-292E-4F27-B497-B3B7A3BB7BFE}" srcOrd="0" destOrd="0" presId="urn:microsoft.com/office/officeart/2005/8/layout/hList7"/>
    <dgm:cxn modelId="{0B99D61C-0029-49B8-A817-0CF78D3F444F}" type="presOf" srcId="{C3FC5EB8-1384-4D4E-B455-A88C2E663DC6}" destId="{8A5629A5-7084-41D8-BBC6-56F317D57941}" srcOrd="1" destOrd="0" presId="urn:microsoft.com/office/officeart/2005/8/layout/hList7"/>
    <dgm:cxn modelId="{08D0C308-EBB6-44E3-B205-07FC4C7A6F4E}" type="presOf" srcId="{C3FC5EB8-1384-4D4E-B455-A88C2E663DC6}" destId="{C474D215-5B18-41E1-85DB-50397228FED9}" srcOrd="0" destOrd="0" presId="urn:microsoft.com/office/officeart/2005/8/layout/hList7"/>
    <dgm:cxn modelId="{6751346D-C58E-4F6D-B926-3CB0C0B76CDA}" type="presParOf" srcId="{25CBF2F9-D474-47B7-8C8B-765EDCE481C3}" destId="{AC20B523-73E6-4269-A3E3-2D049E0B29B1}" srcOrd="0" destOrd="0" presId="urn:microsoft.com/office/officeart/2005/8/layout/hList7"/>
    <dgm:cxn modelId="{EA4BCFE5-B189-477E-8D61-6153EB138735}" type="presParOf" srcId="{25CBF2F9-D474-47B7-8C8B-765EDCE481C3}" destId="{772EB2C5-9C5E-4C86-983D-7A92FE5E613C}" srcOrd="1" destOrd="0" presId="urn:microsoft.com/office/officeart/2005/8/layout/hList7"/>
    <dgm:cxn modelId="{F1B17FBD-7578-4216-BEDC-8A1D2DDE1B49}" type="presParOf" srcId="{772EB2C5-9C5E-4C86-983D-7A92FE5E613C}" destId="{2B3867CB-EEA2-4F0A-9A2D-2C6CDEB00629}" srcOrd="0" destOrd="0" presId="urn:microsoft.com/office/officeart/2005/8/layout/hList7"/>
    <dgm:cxn modelId="{0A3F176E-D88A-42E0-A260-DE5C1F0CB581}" type="presParOf" srcId="{2B3867CB-EEA2-4F0A-9A2D-2C6CDEB00629}" destId="{C474D215-5B18-41E1-85DB-50397228FED9}" srcOrd="0" destOrd="0" presId="urn:microsoft.com/office/officeart/2005/8/layout/hList7"/>
    <dgm:cxn modelId="{0F7CA24A-E7B0-425C-BAC8-7BE4FB75B4E0}" type="presParOf" srcId="{2B3867CB-EEA2-4F0A-9A2D-2C6CDEB00629}" destId="{8A5629A5-7084-41D8-BBC6-56F317D57941}" srcOrd="1" destOrd="0" presId="urn:microsoft.com/office/officeart/2005/8/layout/hList7"/>
    <dgm:cxn modelId="{176A0431-EFD7-4279-8224-1E813D348CFC}" type="presParOf" srcId="{2B3867CB-EEA2-4F0A-9A2D-2C6CDEB00629}" destId="{46EA8991-9D08-45C0-8BBF-9F75CB45FF03}" srcOrd="2" destOrd="0" presId="urn:microsoft.com/office/officeart/2005/8/layout/hList7"/>
    <dgm:cxn modelId="{49C34DD4-C94B-46B3-99BD-A4A420D4C12A}" type="presParOf" srcId="{2B3867CB-EEA2-4F0A-9A2D-2C6CDEB00629}" destId="{B8E8DA3E-D20D-4A13-BE8A-0534142B54D9}" srcOrd="3" destOrd="0" presId="urn:microsoft.com/office/officeart/2005/8/layout/hList7"/>
    <dgm:cxn modelId="{3504D4A7-66AF-401E-BAEB-0481C894D2C5}" type="presParOf" srcId="{772EB2C5-9C5E-4C86-983D-7A92FE5E613C}" destId="{ADCFF41D-C39B-400D-A690-157B4323DD3F}" srcOrd="1" destOrd="0" presId="urn:microsoft.com/office/officeart/2005/8/layout/hList7"/>
    <dgm:cxn modelId="{3BC61930-E683-47E8-AE4C-07A82B4D07F5}" type="presParOf" srcId="{772EB2C5-9C5E-4C86-983D-7A92FE5E613C}" destId="{4E40F7E3-DB0B-4024-9E26-0C5C262FBA27}" srcOrd="2" destOrd="0" presId="urn:microsoft.com/office/officeart/2005/8/layout/hList7"/>
    <dgm:cxn modelId="{2F28507B-C63D-4062-A114-E33C1B058BFB}" type="presParOf" srcId="{4E40F7E3-DB0B-4024-9E26-0C5C262FBA27}" destId="{BA96776D-9257-43A7-A515-37629D72361C}" srcOrd="0" destOrd="0" presId="urn:microsoft.com/office/officeart/2005/8/layout/hList7"/>
    <dgm:cxn modelId="{BED2518F-ADE6-4D0E-90E2-217F6188E24B}" type="presParOf" srcId="{4E40F7E3-DB0B-4024-9E26-0C5C262FBA27}" destId="{4217E021-ACEC-4350-B74D-0FBBBD788F36}" srcOrd="1" destOrd="0" presId="urn:microsoft.com/office/officeart/2005/8/layout/hList7"/>
    <dgm:cxn modelId="{0C57DF13-C337-4B5E-8110-AAE5F3A8A79E}" type="presParOf" srcId="{4E40F7E3-DB0B-4024-9E26-0C5C262FBA27}" destId="{4586C5C0-15E6-49AC-B2AC-922634E138DD}" srcOrd="2" destOrd="0" presId="urn:microsoft.com/office/officeart/2005/8/layout/hList7"/>
    <dgm:cxn modelId="{6A1EB039-EE15-4353-818F-4D60F1157B4F}" type="presParOf" srcId="{4E40F7E3-DB0B-4024-9E26-0C5C262FBA27}" destId="{B48DF285-0B8C-44CC-A62C-C45A1DB80A37}" srcOrd="3" destOrd="0" presId="urn:microsoft.com/office/officeart/2005/8/layout/hList7"/>
    <dgm:cxn modelId="{63C8DAE0-3EFE-4E30-84B6-7A39AF2EED52}" type="presParOf" srcId="{772EB2C5-9C5E-4C86-983D-7A92FE5E613C}" destId="{1B393FFA-A434-485E-AC1B-75BBDB6A5548}" srcOrd="3" destOrd="0" presId="urn:microsoft.com/office/officeart/2005/8/layout/hList7"/>
    <dgm:cxn modelId="{7E40B004-B56E-483F-B793-A135EFE997EA}" type="presParOf" srcId="{772EB2C5-9C5E-4C86-983D-7A92FE5E613C}" destId="{F8A5BB0A-A43F-4BBD-A854-6ED7ADF548BA}" srcOrd="4" destOrd="0" presId="urn:microsoft.com/office/officeart/2005/8/layout/hList7"/>
    <dgm:cxn modelId="{5302C71C-5369-419E-B6EF-125EF168B7DC}" type="presParOf" srcId="{F8A5BB0A-A43F-4BBD-A854-6ED7ADF548BA}" destId="{9B42F778-9E3E-48BC-A358-6D3830C7C823}" srcOrd="0" destOrd="0" presId="urn:microsoft.com/office/officeart/2005/8/layout/hList7"/>
    <dgm:cxn modelId="{FC10A4B5-A9E7-4257-B2B2-6B2296F75560}" type="presParOf" srcId="{F8A5BB0A-A43F-4BBD-A854-6ED7ADF548BA}" destId="{77A8F384-7597-4EE8-9BFB-7EDE5DE89E72}" srcOrd="1" destOrd="0" presId="urn:microsoft.com/office/officeart/2005/8/layout/hList7"/>
    <dgm:cxn modelId="{C76A1B75-EE2D-4CE1-AF61-756CCD368706}" type="presParOf" srcId="{F8A5BB0A-A43F-4BBD-A854-6ED7ADF548BA}" destId="{7D9C65E7-69BF-49F4-AFD6-212FEEED8967}" srcOrd="2" destOrd="0" presId="urn:microsoft.com/office/officeart/2005/8/layout/hList7"/>
    <dgm:cxn modelId="{0909FFBC-BFD4-4F20-93BA-82B31FA74D59}" type="presParOf" srcId="{F8A5BB0A-A43F-4BBD-A854-6ED7ADF548BA}" destId="{4C5117DF-E28B-42AC-A979-88254288975D}" srcOrd="3" destOrd="0" presId="urn:microsoft.com/office/officeart/2005/8/layout/hList7"/>
    <dgm:cxn modelId="{E94E6F86-8549-46E1-81ED-15C8229D6ADC}" type="presParOf" srcId="{772EB2C5-9C5E-4C86-983D-7A92FE5E613C}" destId="{FA116E38-292E-4F27-B497-B3B7A3BB7BFE}" srcOrd="5" destOrd="0" presId="urn:microsoft.com/office/officeart/2005/8/layout/hList7"/>
    <dgm:cxn modelId="{29944754-E0E8-4176-A754-6A70E6F44BAC}" type="presParOf" srcId="{772EB2C5-9C5E-4C86-983D-7A92FE5E613C}" destId="{03AFDAC9-F091-4162-B2C4-D340CED88F7F}" srcOrd="6" destOrd="0" presId="urn:microsoft.com/office/officeart/2005/8/layout/hList7"/>
    <dgm:cxn modelId="{FE27BE46-4450-48D7-BD56-5416D3780BE6}" type="presParOf" srcId="{03AFDAC9-F091-4162-B2C4-D340CED88F7F}" destId="{3342B0BD-52BF-4C6E-B9AC-E31F19987186}" srcOrd="0" destOrd="0" presId="urn:microsoft.com/office/officeart/2005/8/layout/hList7"/>
    <dgm:cxn modelId="{30DA66A4-4D13-4F51-958F-262D385C88FE}" type="presParOf" srcId="{03AFDAC9-F091-4162-B2C4-D340CED88F7F}" destId="{F8335601-7BB2-44AC-8BB1-5E041184CF11}" srcOrd="1" destOrd="0" presId="urn:microsoft.com/office/officeart/2005/8/layout/hList7"/>
    <dgm:cxn modelId="{447F6B00-6CEF-4D22-82B2-9A1233DC161E}" type="presParOf" srcId="{03AFDAC9-F091-4162-B2C4-D340CED88F7F}" destId="{C2FB3532-2B19-400F-8CB3-1CE8581986EE}" srcOrd="2" destOrd="0" presId="urn:microsoft.com/office/officeart/2005/8/layout/hList7"/>
    <dgm:cxn modelId="{EB5C0C4F-9699-4F65-A2DD-5674E2D41535}" type="presParOf" srcId="{03AFDAC9-F091-4162-B2C4-D340CED88F7F}" destId="{707DCF0B-EB61-404A-98C4-E0C13B2C1324}" srcOrd="3" destOrd="0" presId="urn:microsoft.com/office/officeart/2005/8/layout/hList7"/>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2B9236-2375-43E4-8291-1F28DB47CF1E}">
      <dsp:nvSpPr>
        <dsp:cNvPr id="0" name=""/>
        <dsp:cNvSpPr/>
      </dsp:nvSpPr>
      <dsp:spPr>
        <a:xfrm rot="10800000">
          <a:off x="294441" y="1349"/>
          <a:ext cx="5171116" cy="624910"/>
        </a:xfrm>
        <a:prstGeom prst="homePlate">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4859" tIns="34290" rIns="64008" bIns="34290" numCol="1" spcCol="1270" anchor="t" anchorCtr="0">
          <a:noAutofit/>
        </a:bodyPr>
        <a:lstStyle/>
        <a:p>
          <a:pPr lvl="0" algn="l" defTabSz="400050">
            <a:lnSpc>
              <a:spcPct val="90000"/>
            </a:lnSpc>
            <a:spcBef>
              <a:spcPct val="0"/>
            </a:spcBef>
            <a:spcAft>
              <a:spcPct val="35000"/>
            </a:spcAft>
            <a:buNone/>
          </a:pPr>
          <a:r>
            <a:rPr lang="en-GB" sz="900" b="1" kern="1200">
              <a:latin typeface="Calibri" panose="020F0502020204030204"/>
              <a:ea typeface="+mn-ea"/>
              <a:cs typeface="+mn-cs"/>
            </a:rPr>
            <a:t>Cybersecurity Laws and Regulations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Address all types of cybercrimes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Secure existing ang emerging technologies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Support Protection of SMEs</a:t>
          </a:r>
          <a:endParaRPr lang="en-GB" sz="800" kern="1200">
            <a:latin typeface="Calibri" panose="020F0502020204030204"/>
            <a:ea typeface="+mn-ea"/>
            <a:cs typeface="+mn-cs"/>
          </a:endParaRPr>
        </a:p>
      </dsp:txBody>
      <dsp:txXfrm rot="10800000">
        <a:off x="450668" y="1349"/>
        <a:ext cx="5014889" cy="624910"/>
      </dsp:txXfrm>
    </dsp:sp>
    <dsp:sp modelId="{D6F32198-4B35-416A-BEE1-84B5F747FF2D}">
      <dsp:nvSpPr>
        <dsp:cNvPr id="0" name=""/>
        <dsp:cNvSpPr/>
      </dsp:nvSpPr>
      <dsp:spPr>
        <a:xfrm>
          <a:off x="67387" y="91094"/>
          <a:ext cx="441885" cy="441885"/>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4BBEE177-2276-4420-B73C-9B7ADBDC8EC6}">
      <dsp:nvSpPr>
        <dsp:cNvPr id="0" name=""/>
        <dsp:cNvSpPr/>
      </dsp:nvSpPr>
      <dsp:spPr>
        <a:xfrm rot="10800000">
          <a:off x="294633" y="758166"/>
          <a:ext cx="5170733" cy="680314"/>
        </a:xfrm>
        <a:prstGeom prst="homePlate">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4859" tIns="34290" rIns="64008" bIns="34290" numCol="1" spcCol="1270" anchor="t" anchorCtr="0">
          <a:noAutofit/>
        </a:bodyPr>
        <a:lstStyle/>
        <a:p>
          <a:pPr lvl="0" algn="l" defTabSz="400050">
            <a:lnSpc>
              <a:spcPct val="90000"/>
            </a:lnSpc>
            <a:spcBef>
              <a:spcPct val="0"/>
            </a:spcBef>
            <a:spcAft>
              <a:spcPct val="35000"/>
            </a:spcAft>
            <a:buNone/>
          </a:pPr>
          <a:r>
            <a:rPr lang="en-GB" sz="900" b="1" kern="1200">
              <a:latin typeface="Calibri" panose="020F0502020204030204"/>
              <a:ea typeface="+mn-ea"/>
              <a:cs typeface="+mn-cs"/>
            </a:rPr>
            <a:t>Vibrant Cybersecurity Ecosystem</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Support startups and promote RandD in cybersecurity</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Develop cybersecurity capabilities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Drive citizen cybersecurity awareness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Encourage excellence in cybersecurity</a:t>
          </a:r>
        </a:p>
      </dsp:txBody>
      <dsp:txXfrm rot="10800000">
        <a:off x="464711" y="758166"/>
        <a:ext cx="5000655" cy="680314"/>
      </dsp:txXfrm>
    </dsp:sp>
    <dsp:sp modelId="{10437F58-627F-4A1F-9E8E-993AC362F75C}">
      <dsp:nvSpPr>
        <dsp:cNvPr id="0" name=""/>
        <dsp:cNvSpPr/>
      </dsp:nvSpPr>
      <dsp:spPr>
        <a:xfrm>
          <a:off x="67387" y="869851"/>
          <a:ext cx="441885" cy="441885"/>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6A011A64-5038-459C-8C8E-F997E7054397}">
      <dsp:nvSpPr>
        <dsp:cNvPr id="0" name=""/>
        <dsp:cNvSpPr/>
      </dsp:nvSpPr>
      <dsp:spPr>
        <a:xfrm rot="10800000">
          <a:off x="330868" y="1570387"/>
          <a:ext cx="5098262" cy="588150"/>
        </a:xfrm>
        <a:prstGeom prst="homePlate">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4859" tIns="34290" rIns="64008" bIns="34290" numCol="1" spcCol="1270" anchor="t" anchorCtr="0">
          <a:noAutofit/>
        </a:bodyPr>
        <a:lstStyle/>
        <a:p>
          <a:pPr lvl="0" algn="l" defTabSz="400050">
            <a:lnSpc>
              <a:spcPct val="90000"/>
            </a:lnSpc>
            <a:spcBef>
              <a:spcPct val="0"/>
            </a:spcBef>
            <a:spcAft>
              <a:spcPct val="35000"/>
            </a:spcAft>
            <a:buNone/>
          </a:pPr>
          <a:r>
            <a:rPr lang="en-GB" sz="900" b="1" kern="1200">
              <a:latin typeface="Calibri" panose="020F0502020204030204"/>
              <a:ea typeface="+mn-ea"/>
              <a:cs typeface="+mn-cs"/>
            </a:rPr>
            <a:t>National cyber incident response plan</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Single point of contact for victimes of cyber incidents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Standarised severity assessment and agency mobilisation plan</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Cross agency information sharing</a:t>
          </a:r>
        </a:p>
      </dsp:txBody>
      <dsp:txXfrm rot="10800000">
        <a:off x="477905" y="1570387"/>
        <a:ext cx="4951225" cy="588150"/>
      </dsp:txXfrm>
    </dsp:sp>
    <dsp:sp modelId="{F4BD46A0-E808-443B-9E81-5B8E222CB049}">
      <dsp:nvSpPr>
        <dsp:cNvPr id="0" name=""/>
        <dsp:cNvSpPr/>
      </dsp:nvSpPr>
      <dsp:spPr>
        <a:xfrm>
          <a:off x="67387" y="1643519"/>
          <a:ext cx="441885" cy="441885"/>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a:stretch>
        </a:blip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08F2D469-067A-4468-8604-D5FDAE9EDDF2}">
      <dsp:nvSpPr>
        <dsp:cNvPr id="0" name=""/>
        <dsp:cNvSpPr/>
      </dsp:nvSpPr>
      <dsp:spPr>
        <a:xfrm rot="10800000">
          <a:off x="330868" y="2290443"/>
          <a:ext cx="5098262" cy="588150"/>
        </a:xfrm>
        <a:prstGeom prst="homePlate">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4859" tIns="34290" rIns="64008" bIns="34290" numCol="1" spcCol="1270" anchor="t" anchorCtr="0">
          <a:noAutofit/>
        </a:bodyPr>
        <a:lstStyle/>
        <a:p>
          <a:pPr lvl="0" algn="l" defTabSz="400050">
            <a:lnSpc>
              <a:spcPct val="90000"/>
            </a:lnSpc>
            <a:spcBef>
              <a:spcPct val="0"/>
            </a:spcBef>
            <a:spcAft>
              <a:spcPct val="35000"/>
            </a:spcAft>
            <a:buNone/>
          </a:pPr>
          <a:r>
            <a:rPr lang="en-GB" sz="900" b="1" kern="1200">
              <a:latin typeface="Calibri" panose="020F0502020204030204"/>
              <a:ea typeface="+mn-ea"/>
              <a:cs typeface="+mn-cs"/>
            </a:rPr>
            <a:t>CIIP Program</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Identify critical assets in the UAE</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Establish world-class risk management standards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Create robustprocesses for reporting, compliance, and response</a:t>
          </a:r>
        </a:p>
      </dsp:txBody>
      <dsp:txXfrm rot="10800000">
        <a:off x="477905" y="2290443"/>
        <a:ext cx="4951225" cy="588150"/>
      </dsp:txXfrm>
    </dsp:sp>
    <dsp:sp modelId="{C2E548CE-A426-48CE-8130-7243D9EA1360}">
      <dsp:nvSpPr>
        <dsp:cNvPr id="0" name=""/>
        <dsp:cNvSpPr/>
      </dsp:nvSpPr>
      <dsp:spPr>
        <a:xfrm>
          <a:off x="67387" y="2393690"/>
          <a:ext cx="441885" cy="441885"/>
        </a:xfrm>
        <a:prstGeom prst="ellipse">
          <a:avLst/>
        </a:prstGeom>
        <a:blipFill>
          <a:blip xmlns:r="http://schemas.openxmlformats.org/officeDocument/2006/relationships" r:embed="rId4"/>
          <a:srcRect/>
          <a:stretch>
            <a:fillRect/>
          </a:stretch>
        </a:blip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01B2DDC7-C5F9-4E19-B11D-8E9AA85BC023}">
      <dsp:nvSpPr>
        <dsp:cNvPr id="0" name=""/>
        <dsp:cNvSpPr/>
      </dsp:nvSpPr>
      <dsp:spPr>
        <a:xfrm rot="10800000">
          <a:off x="330868" y="3010500"/>
          <a:ext cx="5098262" cy="588150"/>
        </a:xfrm>
        <a:prstGeom prst="homePlate">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4859" tIns="34290" rIns="64008" bIns="34290" numCol="1" spcCol="1270" anchor="t" anchorCtr="0">
          <a:noAutofit/>
        </a:bodyPr>
        <a:lstStyle/>
        <a:p>
          <a:pPr lvl="0" algn="l" defTabSz="400050">
            <a:lnSpc>
              <a:spcPct val="90000"/>
            </a:lnSpc>
            <a:spcBef>
              <a:spcPct val="0"/>
            </a:spcBef>
            <a:spcAft>
              <a:spcPct val="35000"/>
            </a:spcAft>
            <a:buNone/>
          </a:pPr>
          <a:r>
            <a:rPr lang="en-GB" sz="900" b="1" kern="1200">
              <a:latin typeface="Calibri" panose="020F0502020204030204"/>
              <a:ea typeface="+mn-ea"/>
              <a:cs typeface="+mn-cs"/>
            </a:rPr>
            <a:t>Partnerships</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Public sector</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Private sectorAcademia</a:t>
          </a:r>
        </a:p>
        <a:p>
          <a:pPr marL="57150" lvl="1" indent="-57150" algn="l" defTabSz="311150">
            <a:lnSpc>
              <a:spcPct val="90000"/>
            </a:lnSpc>
            <a:spcBef>
              <a:spcPct val="0"/>
            </a:spcBef>
            <a:spcAft>
              <a:spcPct val="15000"/>
            </a:spcAft>
            <a:buChar char="••"/>
          </a:pPr>
          <a:r>
            <a:rPr lang="en-GB" sz="700" kern="1200">
              <a:latin typeface="Calibri" panose="020F0502020204030204"/>
              <a:ea typeface="+mn-ea"/>
              <a:cs typeface="+mn-cs"/>
            </a:rPr>
            <a:t>International consortiums</a:t>
          </a:r>
          <a:endParaRPr lang="en-GB" sz="600" kern="1200">
            <a:latin typeface="Calibri" panose="020F0502020204030204"/>
            <a:ea typeface="+mn-ea"/>
            <a:cs typeface="+mn-cs"/>
          </a:endParaRPr>
        </a:p>
      </dsp:txBody>
      <dsp:txXfrm rot="10800000">
        <a:off x="477905" y="3010500"/>
        <a:ext cx="4951225" cy="588150"/>
      </dsp:txXfrm>
    </dsp:sp>
    <dsp:sp modelId="{AB826D4C-0FF8-4C4E-B966-1976DE19ACAA}">
      <dsp:nvSpPr>
        <dsp:cNvPr id="0" name=""/>
        <dsp:cNvSpPr/>
      </dsp:nvSpPr>
      <dsp:spPr>
        <a:xfrm>
          <a:off x="67387" y="3085399"/>
          <a:ext cx="441885" cy="441885"/>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Lst>
          </a:blip>
          <a:srcRect/>
          <a:stretch>
            <a:fillRect/>
          </a:stretch>
        </a:blip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C0372B-92A0-4064-AD3C-C8D4763DCF2E}">
      <dsp:nvSpPr>
        <dsp:cNvPr id="0" name=""/>
        <dsp:cNvSpPr/>
      </dsp:nvSpPr>
      <dsp:spPr>
        <a:xfrm>
          <a:off x="2671" y="301394"/>
          <a:ext cx="1555312" cy="622125"/>
        </a:xfrm>
        <a:prstGeom prst="chevron">
          <a:avLst/>
        </a:prstGeom>
        <a:solidFill>
          <a:sysClr val="window" lastClr="FFFFFF"/>
        </a:solidFill>
        <a:ln w="381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buNone/>
          </a:pPr>
          <a:r>
            <a:rPr lang="en-US" sz="1900" kern="1200">
              <a:solidFill>
                <a:sysClr val="windowText" lastClr="000000">
                  <a:hueOff val="0"/>
                  <a:satOff val="0"/>
                  <a:lumOff val="0"/>
                  <a:alphaOff val="0"/>
                </a:sysClr>
              </a:solidFill>
              <a:latin typeface="Calibri" panose="020F0502020204030204"/>
              <a:ea typeface="+mn-ea"/>
              <a:cs typeface="+mn-cs"/>
            </a:rPr>
            <a:t>Survey</a:t>
          </a:r>
        </a:p>
      </dsp:txBody>
      <dsp:txXfrm>
        <a:off x="313734" y="301394"/>
        <a:ext cx="933187" cy="622125"/>
      </dsp:txXfrm>
    </dsp:sp>
    <dsp:sp modelId="{91E87A01-0B25-493B-807B-30E100172E32}">
      <dsp:nvSpPr>
        <dsp:cNvPr id="0" name=""/>
        <dsp:cNvSpPr/>
      </dsp:nvSpPr>
      <dsp:spPr>
        <a:xfrm>
          <a:off x="1402453" y="301394"/>
          <a:ext cx="1555312" cy="622125"/>
        </a:xfrm>
        <a:prstGeom prst="chevron">
          <a:avLst/>
        </a:prstGeom>
        <a:solidFill>
          <a:sysClr val="window" lastClr="FFFFFF"/>
        </a:solidFill>
        <a:ln w="381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buNone/>
          </a:pPr>
          <a:r>
            <a:rPr lang="en-US" sz="1900" kern="1200">
              <a:solidFill>
                <a:sysClr val="windowText" lastClr="000000">
                  <a:hueOff val="0"/>
                  <a:satOff val="0"/>
                  <a:lumOff val="0"/>
                  <a:alphaOff val="0"/>
                </a:sysClr>
              </a:solidFill>
              <a:latin typeface="Calibri" panose="020F0502020204030204"/>
              <a:ea typeface="+mn-ea"/>
              <a:cs typeface="+mn-cs"/>
            </a:rPr>
            <a:t>Delivery</a:t>
          </a:r>
        </a:p>
      </dsp:txBody>
      <dsp:txXfrm>
        <a:off x="1713516" y="301394"/>
        <a:ext cx="933187" cy="622125"/>
      </dsp:txXfrm>
    </dsp:sp>
    <dsp:sp modelId="{EF8390B1-A204-4854-B886-C3AC59975256}">
      <dsp:nvSpPr>
        <dsp:cNvPr id="0" name=""/>
        <dsp:cNvSpPr/>
      </dsp:nvSpPr>
      <dsp:spPr>
        <a:xfrm>
          <a:off x="2802234" y="301394"/>
          <a:ext cx="1555312" cy="622125"/>
        </a:xfrm>
        <a:prstGeom prst="chevron">
          <a:avLst/>
        </a:prstGeom>
        <a:solidFill>
          <a:sysClr val="window" lastClr="FFFFFF">
            <a:hueOff val="0"/>
            <a:satOff val="0"/>
            <a:lumOff val="0"/>
            <a:alphaOff val="0"/>
          </a:sysClr>
        </a:solidFill>
        <a:ln w="38100" cap="flat" cmpd="sng" algn="ctr">
          <a:solidFill>
            <a:srgbClr val="ED7D3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buNone/>
          </a:pPr>
          <a:r>
            <a:rPr lang="en-US" sz="1900" kern="1200">
              <a:solidFill>
                <a:sysClr val="windowText" lastClr="000000">
                  <a:hueOff val="0"/>
                  <a:satOff val="0"/>
                  <a:lumOff val="0"/>
                  <a:alphaOff val="0"/>
                </a:sysClr>
              </a:solidFill>
              <a:latin typeface="Calibri" panose="020F0502020204030204"/>
              <a:ea typeface="+mn-ea"/>
              <a:cs typeface="+mn-cs"/>
            </a:rPr>
            <a:t>Breach</a:t>
          </a:r>
        </a:p>
      </dsp:txBody>
      <dsp:txXfrm>
        <a:off x="3113297" y="301394"/>
        <a:ext cx="933187" cy="622125"/>
      </dsp:txXfrm>
    </dsp:sp>
    <dsp:sp modelId="{CBC9FDD0-646C-4359-B550-065A33312D01}">
      <dsp:nvSpPr>
        <dsp:cNvPr id="0" name=""/>
        <dsp:cNvSpPr/>
      </dsp:nvSpPr>
      <dsp:spPr>
        <a:xfrm>
          <a:off x="4202015" y="301394"/>
          <a:ext cx="1555312" cy="622125"/>
        </a:xfrm>
        <a:prstGeom prst="chevron">
          <a:avLst/>
        </a:prstGeom>
        <a:solidFill>
          <a:sysClr val="window" lastClr="FFFFFF"/>
        </a:solidFill>
        <a:ln w="381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buNone/>
          </a:pPr>
          <a:r>
            <a:rPr lang="en-US" sz="1900" kern="1200">
              <a:solidFill>
                <a:sysClr val="windowText" lastClr="000000">
                  <a:hueOff val="0"/>
                  <a:satOff val="0"/>
                  <a:lumOff val="0"/>
                  <a:alphaOff val="0"/>
                </a:sysClr>
              </a:solidFill>
              <a:latin typeface="Calibri" panose="020F0502020204030204"/>
              <a:ea typeface="+mn-ea"/>
              <a:cs typeface="+mn-cs"/>
            </a:rPr>
            <a:t>Affect</a:t>
          </a:r>
        </a:p>
      </dsp:txBody>
      <dsp:txXfrm>
        <a:off x="4513078" y="301394"/>
        <a:ext cx="933187" cy="6221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4E806E-4EDF-4AC8-84B0-50A133974D78}">
      <dsp:nvSpPr>
        <dsp:cNvPr id="0" name=""/>
        <dsp:cNvSpPr/>
      </dsp:nvSpPr>
      <dsp:spPr>
        <a:xfrm rot="5400000">
          <a:off x="-112007" y="112125"/>
          <a:ext cx="746718" cy="522703"/>
        </a:xfrm>
        <a:prstGeom prst="chevron">
          <a:avLst/>
        </a:prstGeom>
        <a:solidFill>
          <a:srgbClr val="ED7D31">
            <a:shade val="80000"/>
            <a:hueOff val="0"/>
            <a:satOff val="0"/>
            <a:lumOff val="0"/>
            <a:alphaOff val="0"/>
          </a:srgbClr>
        </a:solidFill>
        <a:ln w="12700" cap="flat" cmpd="sng" algn="ctr">
          <a:solidFill>
            <a:srgbClr val="ED7D31">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ID</a:t>
          </a:r>
        </a:p>
      </dsp:txBody>
      <dsp:txXfrm rot="-5400000">
        <a:off x="1" y="261470"/>
        <a:ext cx="522703" cy="224015"/>
      </dsp:txXfrm>
    </dsp:sp>
    <dsp:sp modelId="{11AEF903-2428-4656-B854-65E5FFDAF0FC}">
      <dsp:nvSpPr>
        <dsp:cNvPr id="0" name=""/>
        <dsp:cNvSpPr/>
      </dsp:nvSpPr>
      <dsp:spPr>
        <a:xfrm rot="5400000">
          <a:off x="2898667" y="-2375846"/>
          <a:ext cx="485367" cy="5237296"/>
        </a:xfrm>
        <a:prstGeom prst="round2SameRect">
          <a:avLst/>
        </a:prstGeom>
        <a:solidFill>
          <a:sysClr val="window" lastClr="FFFFFF">
            <a:alpha val="90000"/>
            <a:hueOff val="0"/>
            <a:satOff val="0"/>
            <a:lumOff val="0"/>
            <a:alphaOff val="0"/>
          </a:sysClr>
        </a:solidFill>
        <a:ln w="12700" cap="flat" cmpd="sng" algn="ctr">
          <a:solidFill>
            <a:srgbClr val="ED7D31">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Identification of risk: 1. Know the company business model 2. Define relevance of IT 3. Agree on level of security 4. Determine all cyber-risks</a:t>
          </a:r>
        </a:p>
      </dsp:txBody>
      <dsp:txXfrm rot="-5400000">
        <a:off x="522703" y="23812"/>
        <a:ext cx="5213602" cy="437979"/>
      </dsp:txXfrm>
    </dsp:sp>
    <dsp:sp modelId="{BAB2F65D-11DA-4F1B-84D1-1FA5CECF343F}">
      <dsp:nvSpPr>
        <dsp:cNvPr id="0" name=""/>
        <dsp:cNvSpPr/>
      </dsp:nvSpPr>
      <dsp:spPr>
        <a:xfrm rot="5400000">
          <a:off x="-112007" y="735387"/>
          <a:ext cx="746718" cy="522703"/>
        </a:xfrm>
        <a:prstGeom prst="chevron">
          <a:avLst/>
        </a:prstGeom>
        <a:solidFill>
          <a:srgbClr val="ED7D31">
            <a:shade val="80000"/>
            <a:hueOff val="-120354"/>
            <a:satOff val="2542"/>
            <a:lumOff val="6770"/>
            <a:alphaOff val="0"/>
          </a:srgbClr>
        </a:solidFill>
        <a:ln w="12700" cap="flat" cmpd="sng" algn="ctr">
          <a:solidFill>
            <a:srgbClr val="ED7D31">
              <a:shade val="80000"/>
              <a:hueOff val="-120354"/>
              <a:satOff val="2542"/>
              <a:lumOff val="677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A and V</a:t>
          </a:r>
        </a:p>
      </dsp:txBody>
      <dsp:txXfrm rot="-5400000">
        <a:off x="1" y="884732"/>
        <a:ext cx="522703" cy="224015"/>
      </dsp:txXfrm>
    </dsp:sp>
    <dsp:sp modelId="{9C32855E-5DFD-46DB-BCD7-86386A0B2798}">
      <dsp:nvSpPr>
        <dsp:cNvPr id="0" name=""/>
        <dsp:cNvSpPr/>
      </dsp:nvSpPr>
      <dsp:spPr>
        <a:xfrm rot="5400000">
          <a:off x="2898667" y="-1752585"/>
          <a:ext cx="485367" cy="5237296"/>
        </a:xfrm>
        <a:prstGeom prst="round2SameRect">
          <a:avLst/>
        </a:prstGeom>
        <a:solidFill>
          <a:sysClr val="window" lastClr="FFFFFF">
            <a:alpha val="90000"/>
            <a:hueOff val="0"/>
            <a:satOff val="0"/>
            <a:lumOff val="0"/>
            <a:alphaOff val="0"/>
          </a:sysClr>
        </a:solidFill>
        <a:ln w="12700" cap="flat" cmpd="sng" algn="ctr">
          <a:solidFill>
            <a:srgbClr val="ED7D31">
              <a:shade val="80000"/>
              <a:hueOff val="-120354"/>
              <a:satOff val="2542"/>
              <a:lumOff val="677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Assess and Value risk: 1. Consider probability 2. Consider impact 3. Aggregate and apply holistically</a:t>
          </a:r>
        </a:p>
      </dsp:txBody>
      <dsp:txXfrm rot="-5400000">
        <a:off x="522703" y="647073"/>
        <a:ext cx="5213602" cy="437979"/>
      </dsp:txXfrm>
    </dsp:sp>
    <dsp:sp modelId="{19A8058E-55D3-4CB0-86A5-FEF2EA773C65}">
      <dsp:nvSpPr>
        <dsp:cNvPr id="0" name=""/>
        <dsp:cNvSpPr/>
      </dsp:nvSpPr>
      <dsp:spPr>
        <a:xfrm rot="5400000">
          <a:off x="-112007" y="1358648"/>
          <a:ext cx="746718" cy="522703"/>
        </a:xfrm>
        <a:prstGeom prst="chevron">
          <a:avLst/>
        </a:prstGeom>
        <a:solidFill>
          <a:srgbClr val="ED7D31">
            <a:shade val="80000"/>
            <a:hueOff val="-240708"/>
            <a:satOff val="5083"/>
            <a:lumOff val="13541"/>
            <a:alphaOff val="0"/>
          </a:srgbClr>
        </a:solidFill>
        <a:ln w="12700" cap="flat" cmpd="sng" algn="ctr">
          <a:solidFill>
            <a:srgbClr val="ED7D31">
              <a:shade val="80000"/>
              <a:hueOff val="-240708"/>
              <a:satOff val="5083"/>
              <a:lumOff val="13541"/>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Resp</a:t>
          </a:r>
        </a:p>
      </dsp:txBody>
      <dsp:txXfrm rot="-5400000">
        <a:off x="1" y="1507993"/>
        <a:ext cx="522703" cy="224015"/>
      </dsp:txXfrm>
    </dsp:sp>
    <dsp:sp modelId="{E267EE10-490C-45D9-838E-250E16569CF6}">
      <dsp:nvSpPr>
        <dsp:cNvPr id="0" name=""/>
        <dsp:cNvSpPr/>
      </dsp:nvSpPr>
      <dsp:spPr>
        <a:xfrm rot="5400000">
          <a:off x="2898667" y="-1129324"/>
          <a:ext cx="485367" cy="5237296"/>
        </a:xfrm>
        <a:prstGeom prst="round2SameRect">
          <a:avLst/>
        </a:prstGeom>
        <a:solidFill>
          <a:sysClr val="window" lastClr="FFFFFF">
            <a:alpha val="90000"/>
            <a:hueOff val="0"/>
            <a:satOff val="0"/>
            <a:lumOff val="0"/>
            <a:alphaOff val="0"/>
          </a:sysClr>
        </a:solidFill>
        <a:ln w="12700" cap="flat" cmpd="sng" algn="ctr">
          <a:solidFill>
            <a:srgbClr val="ED7D31">
              <a:shade val="80000"/>
              <a:hueOff val="-240708"/>
              <a:satOff val="5083"/>
              <a:lumOff val="135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Respond to risk: 1. Policy for risk avoidance 2. Policy for risk mitigation 3. Policy for risk transfer 4. Policy for risk acceptance</a:t>
          </a:r>
        </a:p>
      </dsp:txBody>
      <dsp:txXfrm rot="-5400000">
        <a:off x="522703" y="1270334"/>
        <a:ext cx="5213602" cy="437979"/>
      </dsp:txXfrm>
    </dsp:sp>
    <dsp:sp modelId="{C9225A4E-2012-4E3F-B5A4-E8DED2D61292}">
      <dsp:nvSpPr>
        <dsp:cNvPr id="0" name=""/>
        <dsp:cNvSpPr/>
      </dsp:nvSpPr>
      <dsp:spPr>
        <a:xfrm rot="5400000">
          <a:off x="-112007" y="1981909"/>
          <a:ext cx="746718" cy="522703"/>
        </a:xfrm>
        <a:prstGeom prst="chevron">
          <a:avLst/>
        </a:prstGeom>
        <a:solidFill>
          <a:srgbClr val="ED7D31">
            <a:shade val="80000"/>
            <a:hueOff val="-361061"/>
            <a:satOff val="7625"/>
            <a:lumOff val="20311"/>
            <a:alphaOff val="0"/>
          </a:srgbClr>
        </a:solidFill>
        <a:ln w="12700" cap="flat" cmpd="sng" algn="ctr">
          <a:solidFill>
            <a:srgbClr val="ED7D31">
              <a:shade val="80000"/>
              <a:hueOff val="-361061"/>
              <a:satOff val="7625"/>
              <a:lumOff val="20311"/>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Cont</a:t>
          </a:r>
        </a:p>
      </dsp:txBody>
      <dsp:txXfrm rot="-5400000">
        <a:off x="1" y="2131254"/>
        <a:ext cx="522703" cy="224015"/>
      </dsp:txXfrm>
    </dsp:sp>
    <dsp:sp modelId="{BA68A0ED-3F99-47F9-8694-7193A8D92839}">
      <dsp:nvSpPr>
        <dsp:cNvPr id="0" name=""/>
        <dsp:cNvSpPr/>
      </dsp:nvSpPr>
      <dsp:spPr>
        <a:xfrm rot="5400000">
          <a:off x="2898667" y="-506062"/>
          <a:ext cx="485367" cy="5237296"/>
        </a:xfrm>
        <a:prstGeom prst="round2SameRect">
          <a:avLst/>
        </a:prstGeom>
        <a:solidFill>
          <a:sysClr val="window" lastClr="FFFFFF">
            <a:alpha val="90000"/>
            <a:hueOff val="0"/>
            <a:satOff val="0"/>
            <a:lumOff val="0"/>
            <a:alphaOff val="0"/>
          </a:sysClr>
        </a:solidFill>
        <a:ln w="12700" cap="flat" cmpd="sng" algn="ctr">
          <a:solidFill>
            <a:srgbClr val="ED7D31">
              <a:shade val="80000"/>
              <a:hueOff val="-361061"/>
              <a:satOff val="7625"/>
              <a:lumOff val="2031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Control risk: 1. Monitor and proactively control 2. Regularly check response measures 3. Regularly check exposure and vulnerability 4. Report divergence</a:t>
          </a:r>
        </a:p>
      </dsp:txBody>
      <dsp:txXfrm rot="-5400000">
        <a:off x="522703" y="1893596"/>
        <a:ext cx="5213602" cy="437979"/>
      </dsp:txXfrm>
    </dsp:sp>
    <dsp:sp modelId="{2F4E5E14-751E-4A6D-A4C4-2E44C07A77E0}">
      <dsp:nvSpPr>
        <dsp:cNvPr id="0" name=""/>
        <dsp:cNvSpPr/>
      </dsp:nvSpPr>
      <dsp:spPr>
        <a:xfrm rot="5400000">
          <a:off x="-112007" y="2605170"/>
          <a:ext cx="746718" cy="522703"/>
        </a:xfrm>
        <a:prstGeom prst="chevron">
          <a:avLst/>
        </a:prstGeom>
        <a:solidFill>
          <a:srgbClr val="ED7D31">
            <a:shade val="80000"/>
            <a:hueOff val="-481415"/>
            <a:satOff val="10166"/>
            <a:lumOff val="27081"/>
            <a:alphaOff val="0"/>
          </a:srgbClr>
        </a:solidFill>
        <a:ln w="12700" cap="flat" cmpd="sng" algn="ctr">
          <a:solidFill>
            <a:srgbClr val="ED7D31">
              <a:shade val="80000"/>
              <a:hueOff val="-481415"/>
              <a:satOff val="10166"/>
              <a:lumOff val="27081"/>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C and G</a:t>
          </a:r>
        </a:p>
      </dsp:txBody>
      <dsp:txXfrm rot="-5400000">
        <a:off x="1" y="2754515"/>
        <a:ext cx="522703" cy="224015"/>
      </dsp:txXfrm>
    </dsp:sp>
    <dsp:sp modelId="{77081CDE-63B1-4C39-8A15-CBD2C80687CC}">
      <dsp:nvSpPr>
        <dsp:cNvPr id="0" name=""/>
        <dsp:cNvSpPr/>
      </dsp:nvSpPr>
      <dsp:spPr>
        <a:xfrm rot="5400000">
          <a:off x="2898667" y="117198"/>
          <a:ext cx="485367" cy="5237296"/>
        </a:xfrm>
        <a:prstGeom prst="round2SameRect">
          <a:avLst/>
        </a:prstGeom>
        <a:solidFill>
          <a:sysClr val="window" lastClr="FFFFFF">
            <a:alpha val="90000"/>
            <a:hueOff val="0"/>
            <a:satOff val="0"/>
            <a:lumOff val="0"/>
            <a:alphaOff val="0"/>
          </a:sysClr>
        </a:solidFill>
        <a:ln w="12700" cap="flat" cmpd="sng" algn="ctr">
          <a:solidFill>
            <a:srgbClr val="ED7D31">
              <a:shade val="80000"/>
              <a:hueOff val="-481415"/>
              <a:satOff val="10166"/>
              <a:lumOff val="2708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Risk Culture and Governance: 1.Company-wide culture to create awareness 2. Regular training and instruction 3. Define business continuity plan</a:t>
          </a:r>
        </a:p>
      </dsp:txBody>
      <dsp:txXfrm rot="-5400000">
        <a:off x="522703" y="2516856"/>
        <a:ext cx="5213602" cy="43797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74D215-5B18-41E1-85DB-50397228FED9}">
      <dsp:nvSpPr>
        <dsp:cNvPr id="0" name=""/>
        <dsp:cNvSpPr/>
      </dsp:nvSpPr>
      <dsp:spPr>
        <a:xfrm>
          <a:off x="5" y="-66335"/>
          <a:ext cx="1404137" cy="1630799"/>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Survey</a:t>
          </a:r>
        </a:p>
      </dsp:txBody>
      <dsp:txXfrm>
        <a:off x="19111" y="605090"/>
        <a:ext cx="1365925" cy="614108"/>
      </dsp:txXfrm>
    </dsp:sp>
    <dsp:sp modelId="{B8E8DA3E-D20D-4A13-BE8A-0534142B54D9}">
      <dsp:nvSpPr>
        <dsp:cNvPr id="0" name=""/>
        <dsp:cNvSpPr/>
      </dsp:nvSpPr>
      <dsp:spPr>
        <a:xfrm>
          <a:off x="598720" y="198352"/>
          <a:ext cx="209375" cy="209375"/>
        </a:xfrm>
        <a:prstGeom prst="ellipse">
          <a:avLst/>
        </a:prstGeom>
        <a:no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BA96776D-9257-43A7-A515-37629D72361C}">
      <dsp:nvSpPr>
        <dsp:cNvPr id="0" name=""/>
        <dsp:cNvSpPr/>
      </dsp:nvSpPr>
      <dsp:spPr>
        <a:xfrm>
          <a:off x="1447600" y="-66335"/>
          <a:ext cx="1404137" cy="1630799"/>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Delivery</a:t>
          </a:r>
        </a:p>
      </dsp:txBody>
      <dsp:txXfrm>
        <a:off x="1466706" y="605090"/>
        <a:ext cx="1365925" cy="614108"/>
      </dsp:txXfrm>
    </dsp:sp>
    <dsp:sp modelId="{B48DF285-0B8C-44CC-A62C-C45A1DB80A37}">
      <dsp:nvSpPr>
        <dsp:cNvPr id="0" name=""/>
        <dsp:cNvSpPr/>
      </dsp:nvSpPr>
      <dsp:spPr>
        <a:xfrm>
          <a:off x="2063149" y="216520"/>
          <a:ext cx="173039" cy="173039"/>
        </a:xfrm>
        <a:prstGeom prst="ellipse">
          <a:avLst/>
        </a:prstGeom>
        <a:no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9B42F778-9E3E-48BC-A358-6D3830C7C823}">
      <dsp:nvSpPr>
        <dsp:cNvPr id="0" name=""/>
        <dsp:cNvSpPr/>
      </dsp:nvSpPr>
      <dsp:spPr>
        <a:xfrm>
          <a:off x="2893862" y="-66335"/>
          <a:ext cx="1404137" cy="1630799"/>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Breach</a:t>
          </a:r>
        </a:p>
      </dsp:txBody>
      <dsp:txXfrm>
        <a:off x="2912968" y="605090"/>
        <a:ext cx="1365925" cy="614108"/>
      </dsp:txXfrm>
    </dsp:sp>
    <dsp:sp modelId="{4C5117DF-E28B-42AC-A979-88254288975D}">
      <dsp:nvSpPr>
        <dsp:cNvPr id="0" name=""/>
        <dsp:cNvSpPr/>
      </dsp:nvSpPr>
      <dsp:spPr>
        <a:xfrm>
          <a:off x="3509410" y="216520"/>
          <a:ext cx="173039" cy="173039"/>
        </a:xfrm>
        <a:prstGeom prst="ellipse">
          <a:avLst/>
        </a:prstGeom>
        <a:no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3342B0BD-52BF-4C6E-B9AC-E31F19987186}">
      <dsp:nvSpPr>
        <dsp:cNvPr id="0" name=""/>
        <dsp:cNvSpPr/>
      </dsp:nvSpPr>
      <dsp:spPr>
        <a:xfrm>
          <a:off x="4340123" y="-66335"/>
          <a:ext cx="1404137" cy="1630799"/>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buNone/>
          </a:pPr>
          <a:r>
            <a:rPr lang="en-US" sz="2100" kern="1200">
              <a:solidFill>
                <a:sysClr val="window" lastClr="FFFFFF"/>
              </a:solidFill>
              <a:latin typeface="Calibri" panose="020F0502020204030204"/>
              <a:ea typeface="+mn-ea"/>
              <a:cs typeface="+mn-cs"/>
            </a:rPr>
            <a:t>Effect</a:t>
          </a:r>
        </a:p>
      </dsp:txBody>
      <dsp:txXfrm>
        <a:off x="4359229" y="605090"/>
        <a:ext cx="1365925" cy="614108"/>
      </dsp:txXfrm>
    </dsp:sp>
    <dsp:sp modelId="{707DCF0B-EB61-404A-98C4-E0C13B2C1324}">
      <dsp:nvSpPr>
        <dsp:cNvPr id="0" name=""/>
        <dsp:cNvSpPr/>
      </dsp:nvSpPr>
      <dsp:spPr>
        <a:xfrm>
          <a:off x="4927036" y="187885"/>
          <a:ext cx="230310" cy="230310"/>
        </a:xfrm>
        <a:prstGeom prst="ellipse">
          <a:avLst/>
        </a:prstGeom>
        <a:no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AC20B523-73E6-4269-A3E3-2D049E0B29B1}">
      <dsp:nvSpPr>
        <dsp:cNvPr id="0" name=""/>
        <dsp:cNvSpPr/>
      </dsp:nvSpPr>
      <dsp:spPr>
        <a:xfrm>
          <a:off x="248589" y="86851"/>
          <a:ext cx="5285952" cy="673042"/>
        </a:xfrm>
        <a:prstGeom prst="leftRightArrow">
          <a:avLst/>
        </a:prstGeom>
        <a:gradFill flip="none" rotWithShape="1">
          <a:gsLst>
            <a:gs pos="55000">
              <a:srgbClr val="B5D2EC"/>
            </a:gs>
            <a:gs pos="0">
              <a:srgbClr val="00B050"/>
            </a:gs>
            <a:gs pos="40000">
              <a:srgbClr val="5B9BD5">
                <a:lumMod val="45000"/>
                <a:lumOff val="55000"/>
              </a:srgbClr>
            </a:gs>
            <a:gs pos="100000">
              <a:srgbClr val="FF0000"/>
            </a:gs>
          </a:gsLst>
          <a:lin ang="0" scaled="1"/>
          <a:tileRect/>
        </a:grad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COS15</b:Tag>
    <b:SourceType>InternetSite</b:SourceType>
    <b:Guid>{DD876C53-5096-41A8-92A8-6AE79E9D8D0D}</b:Guid>
    <b:Author>
      <b:Author>
        <b:Corporate>COSO</b:Corporate>
      </b:Author>
    </b:Author>
    <b:Title>The Committee of Sponsoring Organizations of the Treadway Commission</b:Title>
    <b:Year>2015a</b:Year>
    <b:YearAccessed>2016</b:YearAccessed>
    <b:MonthAccessed>May</b:MonthAccessed>
    <b:DayAccessed>16</b:DayAccessed>
    <b:URL>http://www.coso.org/</b:URL>
    <b:RefOrder>3</b:RefOrder>
  </b:Source>
  <b:Source>
    <b:Tag>COS5a</b:Tag>
    <b:SourceType>Misc</b:SourceType>
    <b:Guid>{721FAC32-B75F-45CC-AE9E-52AC2CC80FFF}</b:Guid>
    <b:Title>COSO in the Cyber Age: Report Offers Guidance on Using Frameworks to Assess Cyber Risks</b:Title>
    <b:Year>2015b</b:Year>
    <b:City>New York</b:City>
    <b:Publisher>COSO</b:Publisher>
    <b:Author>
      <b:Author>
        <b:Corporate>COSO</b:Corporate>
      </b:Author>
    </b:Author>
    <b:RefOrder>4</b:RefOrder>
  </b:Source>
  <b:Source>
    <b:Tag>Cha19</b:Tag>
    <b:SourceType>InternetSite</b:SourceType>
    <b:Guid>{D2A31869-7BEA-4B18-B096-50D43F32F0D0}</b:Guid>
    <b:Author>
      <b:Author>
        <b:Corporate>Chatham House</b:Corporate>
      </b:Author>
    </b:Author>
    <b:Title>Cyber Security</b:Title>
    <b:InternetSiteTitle>Chatham House - Research</b:InternetSiteTitle>
    <b:Year>2019</b:Year>
    <b:URL>https://www.chathamhouse.org/research/topics/cyber-security#</b:URL>
    <b:YearAccessed>2019</b:YearAccessed>
    <b:MonthAccessed>December</b:MonthAccessed>
    <b:DayAccessed>15</b:DayAccessed>
    <b:RefOrder>5</b:RefOrder>
  </b:Source>
  <b:Source>
    <b:Tag>Hof11</b:Tag>
    <b:SourceType>Book</b:SourceType>
    <b:Guid>{DF4DD059-B1F3-47E9-A6C3-7FEFA255D647}</b:Guid>
    <b:Title>Errors in Organizations</b:Title>
    <b:Year>2011</b:Year>
    <b:City>London</b:City>
    <b:Publisher>Routledge</b:Publisher>
    <b:StandardNumber>eText ISBN: 9781136731853, 1136731857</b:StandardNumber>
    <b:Edition>1st (Electronic)</b:Edition>
    <b:Medium>EPUB</b:Medium>
    <b:DOI>eText ISBN: 9781136731853, 1136731857</b:DOI>
    <b:Author>
      <b:Editor>
        <b:NameList>
          <b:Person>
            <b:Last>Hofmann</b:Last>
            <b:Middle>A</b:Middle>
            <b:First>David</b:First>
          </b:Person>
          <b:Person>
            <b:Last>Freise</b:Last>
            <b:First>Michael</b:First>
          </b:Person>
        </b:NameList>
      </b:Editor>
    </b:Author>
    <b:RefOrder>44</b:RefOrder>
  </b:Source>
  <b:Source>
    <b:Tag>Ato14</b:Tag>
    <b:SourceType>JournalArticle</b:SourceType>
    <b:Guid>{A4A45266-328B-43E7-BA24-7F52F0F8C5DA}</b:Guid>
    <b:Title>A holistic cyber security implementation framework</b:Title>
    <b:JournalName>Information Management &amp; Computer Security</b:JournalName>
    <b:Year>2014</b:Year>
    <b:Pages>251-264</b:Pages>
    <b:Volume>22</b:Volume>
    <b:Issue>3</b:Issue>
    <b:Author>
      <b:Author>
        <b:NameList>
          <b:Person>
            <b:Last>Atoum</b:Last>
            <b:First>Issa</b:First>
          </b:Person>
          <b:Person>
            <b:Last>Otoom</b:Last>
            <b:First>Ahmed</b:First>
          </b:Person>
          <b:Person>
            <b:Last>Abu Ali</b:Last>
            <b:First>Amer</b:First>
          </b:Person>
        </b:NameList>
      </b:Author>
    </b:Author>
    <b:StandardNumber>DOI 10.1108/IMCS-02-2013-0014</b:StandardNumber>
    <b:DOI>DOI 10.1108/IMCS-02-2013-0014</b:DOI>
    <b:RefOrder>45</b:RefOrder>
  </b:Source>
  <b:Source>
    <b:Tag>Tri17</b:Tag>
    <b:SourceType>Book</b:SourceType>
    <b:Guid>{CB173254-7BE3-4059-81D4-C6E1FD677035}</b:Guid>
    <b:Author>
      <b:Author>
        <b:NameList>
          <b:Person>
            <b:Last>Trim</b:Last>
            <b:First>Peter</b:First>
            <b:Middle>R. J.</b:Middle>
          </b:Person>
          <b:Person>
            <b:Last>Lee</b:Last>
            <b:First>Yang-Im</b:First>
          </b:Person>
        </b:NameList>
      </b:Author>
    </b:Author>
    <b:Title>Cyber Security Management: A Governance, Risk and Compliance Framework</b:Title>
    <b:Year>2017</b:Year>
    <b:City>Chichester</b:City>
    <b:Publisher>Taylor and Francis (Routledge)</b:Publisher>
    <b:StandardNumber>ISBN: 9781317155263</b:StandardNumber>
    <b:Edition>Electronic (PDF)</b:Edition>
    <b:Medium>PDF</b:Medium>
    <b:DOI>ISBN: 9781317155263</b:DOI>
    <b:RefOrder>46</b:RefOrder>
  </b:Source>
  <b:Source>
    <b:Tag>Sch00</b:Tag>
    <b:SourceType>Book</b:SourceType>
    <b:Guid>{D335E904-A56E-405E-8DB3-4497EC65D802}</b:Guid>
    <b:Title>Secrets an Lies: Digital Security in a Networked World</b:Title>
    <b:Year>2000</b:Year>
    <b:City>New York</b:City>
    <b:Author>
      <b:Author>
        <b:NameList>
          <b:Person>
            <b:Last>Schneier</b:Last>
            <b:First>Bruce</b:First>
          </b:Person>
        </b:NameList>
      </b:Author>
    </b:Author>
    <b:Publisher>Wiley Computer Publishing</b:Publisher>
    <b:StateProvince>NY</b:StateProvince>
    <b:RefOrder>6</b:RefOrder>
  </b:Source>
  <b:Source>
    <b:Tag>Kei14</b:Tag>
    <b:SourceType>Misc</b:SourceType>
    <b:Guid>{D42F54D4-996F-4012-A547-B14DE001F0B2}</b:Guid>
    <b:Title>Enterprise Risk Management: Developing a Strategic ERM Alignment Framework - Financial Sector</b:Title>
    <b:Year>2014</b:Year>
    <b:PublicationTitle>A Thesis submitted for the degree of Doctor of Philosophy</b:PublicationTitle>
    <b:City>London</b:City>
    <b:Publisher>Brunel University</b:Publisher>
    <b:Author>
      <b:Author>
        <b:NameList>
          <b:Person>
            <b:Last>Keith</b:Last>
            <b:Middle>L</b:Middle>
            <b:First>Joanna</b:First>
          </b:Person>
        </b:NameList>
      </b:Author>
    </b:Author>
    <b:RefOrder>7</b:RefOrder>
  </b:Source>
  <b:Source>
    <b:Tag>Hop18</b:Tag>
    <b:SourceType>Book</b:SourceType>
    <b:Guid>{1EEB5842-15D9-4079-A48C-A373793E43B8}</b:Guid>
    <b:Title>Fundamentals of Risk Management: Understanding, Evaluating and Implementing Effective Risk Management</b:Title>
    <b:Year>2018</b:Year>
    <b:Author>
      <b:Author>
        <b:NameList>
          <b:Person>
            <b:Last>Hopkin</b:Last>
            <b:First>Paul</b:First>
          </b:Person>
        </b:NameList>
      </b:Author>
    </b:Author>
    <b:City>London</b:City>
    <b:Publisher>Kogan Page</b:Publisher>
    <b:StandardNumber>ISBN:9780749483074, 0749483075</b:StandardNumber>
    <b:Edition>5th</b:Edition>
    <b:RefOrder>8</b:RefOrder>
  </b:Source>
  <b:Source>
    <b:Tag>Fow15</b:Tag>
    <b:SourceType>BookSection</b:SourceType>
    <b:Guid>{676A06FC-D04E-401D-833B-D061F73045C2}</b:Guid>
    <b:Title>Cybersecurity</b:Title>
    <b:Year>2015</b:Year>
    <b:Pages>91-108</b:Pages>
    <b:BookTitle>Enterprise Risk Management: A Common Framework for the Entire Organization</b:BookTitle>
    <b:City>London</b:City>
    <b:Publisher>Butterworth-Heinemann</b:Publisher>
    <b:Author>
      <b:Author>
        <b:NameList>
          <b:Person>
            <b:Last>Fowler</b:Last>
            <b:First>Kevvie</b:First>
          </b:Person>
        </b:NameList>
      </b:Author>
      <b:BookAuthor>
        <b:NameList>
          <b:Person>
            <b:Last>Green</b:Last>
            <b:Middle>E. J</b:Middle>
            <b:First>Phillip</b:First>
          </b:Person>
        </b:NameList>
      </b:BookAuthor>
    </b:Author>
    <b:RefOrder>9</b:RefOrder>
  </b:Source>
  <b:Source>
    <b:Tag>BSI</b:Tag>
    <b:SourceType>Misc</b:SourceType>
    <b:Guid>{EADF6842-1C2E-4C56-AB0E-37A3B939B8DE}</b:Guid>
    <b:Title>BS ISO/IEC 27001:2005 BS7799-2:2005: Information technology - Security techniques - Information security management systems - Requirements</b:Title>
    <b:Author>
      <b:Author>
        <b:Corporate>BSI</b:Corporate>
      </b:Author>
    </b:Author>
    <b:Year>2005</b:Year>
    <b:City>London</b:City>
    <b:Publisher>BSI/ISO</b:Publisher>
    <b:RefOrder>10</b:RefOrder>
  </b:Source>
  <b:Source>
    <b:Tag>Alm16</b:Tag>
    <b:SourceType>JournalArticle</b:SourceType>
    <b:Guid>{0B8F5CF0-2977-4120-AE91-E209F279FCEF}</b:Guid>
    <b:Title>Adherence to ICT Security and Privacy Policies in Saudi Arabia</b:Title>
    <b:Year>2016</b:Year>
    <b:JournalName>International Journal of Computer Applications</b:JournalName>
    <b:Pages>13-18</b:Pages>
    <b:Author>
      <b:Author>
        <b:NameList>
          <b:Person>
            <b:Last>Almarhabi</b:Last>
            <b:First>Khalid</b:First>
          </b:Person>
        </b:NameList>
      </b:Author>
    </b:Author>
    <b:Volume>147</b:Volume>
    <b:Issue>4</b:Issue>
    <b:DOI>10.5120/ijca2016910974</b:DOI>
    <b:RefOrder>11</b:RefOrder>
  </b:Source>
  <b:Source>
    <b:Tag>Sub11</b:Tag>
    <b:SourceType>JournalArticle</b:SourceType>
    <b:Guid>{AD61BEB1-821C-4C8A-B854-CD37FFCA752D}</b:Guid>
    <b:Title>A survey on security issues in service delivery models of cloud computing</b:Title>
    <b:Year>2011</b:Year>
    <b:JournalName>Journal of Network and Computer Applications</b:JournalName>
    <b:Pages>1-11</b:Pages>
    <b:Author>
      <b:Author>
        <b:NameList>
          <b:Person>
            <b:Last>Subashini</b:Last>
            <b:First>S</b:First>
          </b:Person>
          <b:Person>
            <b:Last>Kavitha</b:Last>
            <b:First>V</b:First>
          </b:Person>
        </b:NameList>
      </b:Author>
    </b:Author>
    <b:Volume>34</b:Volume>
    <b:DOI>10.1016/j.jnca.2010.07.006</b:DOI>
    <b:RefOrder>47</b:RefOrder>
  </b:Source>
  <b:Source>
    <b:Tag>Han16</b:Tag>
    <b:SourceType>ConferenceProceedings</b:SourceType>
    <b:Guid>{E473B6F3-31DC-4AFC-8228-AAA56817B237}</b:Guid>
    <b:Title>Multi-cultural Empirical Study of Password Strength Versus Ergonomic Utility</b:Title>
    <b:Pages>315-326</b:Pages>
    <b:Year>2016</b:Year>
    <b:ConferenceName>Advances in Human Factors in Cybersecurity</b:ConferenceName>
    <b:City>Basel</b:City>
    <b:Publisher>Springer</b:Publisher>
    <b:Author>
      <b:Author>
        <b:NameList>
          <b:Person>
            <b:Last>Hancock</b:Last>
            <b:First>Monte</b:First>
          </b:Person>
          <b:Person>
            <b:Last>Calderon</b:Last>
            <b:First>Federico</b:First>
          </b:Person>
          <b:Person>
            <b:Last>Drayton</b:Last>
            <b:First>Mendi</b:First>
          </b:Person>
          <b:Person>
            <b:Last>Stapleton</b:Last>
            <b:First>Edward</b:First>
          </b:Person>
          <b:Person>
            <b:Last>Nida</b:Last>
            <b:First>John</b:First>
          </b:Person>
          <b:Person>
            <b:Last>Williamson</b:Last>
            <b:First>Sam</b:First>
          </b:Person>
          <b:Person>
            <b:Last>Easter</b:Last>
            <b:First>Arvil</b:First>
          </b:Person>
          <b:Person>
            <b:Last>Knight</b:Last>
            <b:First>Steve</b:First>
          </b:Person>
          <b:Person>
            <b:Last>Vazquez</b:Last>
            <b:First>Alexander</b:First>
          </b:Person>
          <b:Person>
            <b:Last>Wade</b:Last>
            <b:First>Rodney</b:First>
          </b:Person>
          <b:Person>
            <b:Last>Woolfolk</b:Last>
            <b:First>David</b:First>
          </b:Person>
          <b:Person>
            <b:Last>Hollis</b:Last>
            <b:First>Tracy</b:First>
          </b:Person>
          <b:Person>
            <b:Last>Brown</b:Last>
            <b:First>Payton</b:First>
          </b:Person>
        </b:NameList>
      </b:Author>
      <b:Editor>
        <b:NameList>
          <b:Person>
            <b:Last>Nicholson</b:Last>
            <b:First>D</b:First>
          </b:Person>
        </b:NameList>
      </b:Editor>
    </b:Author>
    <b:DOI>10.1007/978-3-319-41932-9_26</b:DOI>
    <b:RefOrder>48</b:RefOrder>
  </b:Source>
  <b:Source>
    <b:Tag>GCH15</b:Tag>
    <b:SourceType>Book</b:SourceType>
    <b:Guid>{87D03F2F-BAB0-488F-9541-D185AF0AF515}</b:Guid>
    <b:Title>Common Cyber Attacks: Reducing the Impact</b:Title>
    <b:Year>2015</b:Year>
    <b:Author>
      <b:Author>
        <b:Corporate>GCHQ</b:Corporate>
      </b:Author>
    </b:Author>
    <b:City>Cheltenham</b:City>
    <b:Publisher>GCHQ/CERT-UK</b:Publisher>
    <b:RefOrder>12</b:RefOrder>
  </b:Source>
  <b:Source>
    <b:Tag>LiF13</b:Tag>
    <b:SourceType>JournalArticle</b:SourceType>
    <b:Guid>{C6468670-B455-4AFF-9D76-5C7539434EBD}</b:Guid>
    <b:Title>Web-Scale Service Delivery for Smart Cities</b:Title>
    <b:JournalName>IEEE Internet Computing</b:JournalName>
    <b:Year>2013</b:Year>
    <b:Pages>78-83</b:Pages>
    <b:Author>
      <b:Author>
        <b:NameList>
          <b:Person>
            <b:Last>Li</b:Last>
            <b:First>Fei</b:First>
          </b:Person>
          <b:Person>
            <b:Last>Vögler</b:Last>
            <b:First>Michael</b:First>
          </b:Person>
          <b:Person>
            <b:Last>Sehic</b:Last>
            <b:First>Sanjn</b:First>
          </b:Person>
          <b:Person>
            <b:Last>Qanbari</b:Last>
            <b:First>Soheil</b:First>
          </b:Person>
          <b:Person>
            <b:Last>Nastic</b:Last>
            <b:First>Stefan</b:First>
          </b:Person>
          <b:Person>
            <b:Last>Truong</b:Last>
            <b:First>Hong-Linh</b:First>
          </b:Person>
          <b:Person>
            <b:Last>Dustdar</b:Last>
            <b:First>Schahram</b:First>
          </b:Person>
        </b:NameList>
      </b:Author>
    </b:Author>
    <b:Volume>17</b:Volume>
    <b:Issue>4</b:Issue>
    <b:DOI>10.1109/MIC.2013.79</b:DOI>
    <b:RefOrder>49</b:RefOrder>
  </b:Source>
  <b:Source>
    <b:Tag>LiX19</b:Tag>
    <b:SourceType>JournalArticle</b:SourceType>
    <b:Guid>{55FDB56E-DF05-49F7-BF05-EDAAAB81C72B}</b:Guid>
    <b:Author>
      <b:Author>
        <b:NameList>
          <b:Person>
            <b:Last>Li</b:Last>
            <b:First>Xin</b:First>
          </b:Person>
          <b:Person>
            <b:Last>Wang</b:Last>
            <b:First>Minmei</b:First>
          </b:Person>
          <b:Person>
            <b:Last>Wang</b:Last>
            <b:First>Huazhe</b:First>
          </b:Person>
          <b:Person>
            <b:Last>Yu</b:Last>
            <b:First>Ye</b:First>
          </b:Person>
          <b:Person>
            <b:Last>Qian</b:Last>
            <b:First>Chen</b:First>
          </b:Person>
        </b:NameList>
      </b:Author>
    </b:Author>
    <b:Title>Toward Secure and Efficient Communication for the Internet of Things</b:Title>
    <b:JournalName>IEEE/ACM Transactions on Networking</b:JournalName>
    <b:Year>2019</b:Year>
    <b:Pages>621-634</b:Pages>
    <b:Volume>27</b:Volume>
    <b:Issue>2</b:Issue>
    <b:DOI>10.1109/TNET.2019.2893249</b:DOI>
    <b:RefOrder>50</b:RefOrder>
  </b:Source>
  <b:Source>
    <b:Tag>Yay14</b:Tag>
    <b:SourceType>JournalArticle</b:SourceType>
    <b:Guid>{D4AC5D7E-F2BC-4B8C-B650-5D302C6BDDE9}</b:Guid>
    <b:Title>The Effect of Board of Directors’ IT Awareness on CIO Compensation and Firm Performance</b:Title>
    <b:JournalName>Decision Sciences</b:JournalName>
    <b:Year>2014</b:Year>
    <b:Pages>401-436</b:Pages>
    <b:Volume>45</b:Volume>
    <b:Issue>3</b:Issue>
    <b:Author>
      <b:Author>
        <b:NameList>
          <b:Person>
            <b:Last>Yayla</b:Last>
            <b:Middle>Alper</b:Middle>
            <b:First>Ali</b:First>
          </b:Person>
          <b:Person>
            <b:Last>Hu</b:Last>
            <b:First>Qing</b:First>
          </b:Person>
        </b:NameList>
      </b:Author>
    </b:Author>
    <b:DOI>10.1111/deci.12077</b:DOI>
    <b:RefOrder>51</b:RefOrder>
  </b:Source>
  <b:Source>
    <b:Tag>Amo11</b:Tag>
    <b:SourceType>JournalArticle</b:SourceType>
    <b:Guid>{0E402F97-848D-4BB1-BEB6-C46B57C77CCB}</b:Guid>
    <b:Title>Cyber attacks: awareness</b:Title>
    <b:JournalName>Network Security</b:JournalName>
    <b:Year>2011</b:Year>
    <b:Pages>10-16</b:Pages>
    <b:Author>
      <b:Author>
        <b:NameList>
          <b:Person>
            <b:Last>Amoroso</b:Last>
            <b:Middle>G</b:Middle>
            <b:First>Edward</b:First>
          </b:Person>
        </b:NameList>
      </b:Author>
    </b:Author>
    <b:RefOrder>13</b:RefOrder>
  </b:Source>
  <b:Source>
    <b:Tag>Wal08</b:Tag>
    <b:SourceType>JournalArticle</b:SourceType>
    <b:Guid>{B6E7884B-E0D8-480F-8C8A-7B70F01D2D97}</b:Guid>
    <b:Title>Developing an information management strategy</b:Title>
    <b:JournalName>Business Information Review</b:JournalName>
    <b:Year>2008</b:Year>
    <b:Pages>101-104</b:Pages>
    <b:Author>
      <b:Author>
        <b:NameList>
          <b:Person>
            <b:Last>Waldron</b:Last>
            <b:First>Martin</b:First>
          </b:Person>
        </b:NameList>
      </b:Author>
    </b:Author>
    <b:Volume>25</b:Volume>
    <b:Issue>2</b:Issue>
    <b:StandardNumber>DOI: 10.1177/0266382108090812</b:StandardNumber>
    <b:RefOrder>14</b:RefOrder>
  </b:Source>
  <b:Source>
    <b:Tag>Jul13</b:Tag>
    <b:SourceType>JournalArticle</b:SourceType>
    <b:Guid>{8037EFC7-9E35-4A8C-94AA-DF6D4F1BFA4F}</b:Guid>
    <b:Title>Understanding and overcoming cyber security anti-patterns</b:Title>
    <b:JournalName>Computer Networks</b:JournalName>
    <b:Year>2013</b:Year>
    <b:Pages>2206-2211</b:Pages>
    <b:Author>
      <b:Author>
        <b:NameList>
          <b:Person>
            <b:Last>Julisch</b:Last>
            <b:First>Klaus</b:First>
          </b:Person>
        </b:NameList>
      </b:Author>
    </b:Author>
    <b:Volume>57</b:Volume>
    <b:Issue>2</b:Issue>
    <b:StandardNumber>DOI: 10.1016/j.comnet.2012.11.023</b:StandardNumber>
    <b:RefOrder>15</b:RefOrder>
  </b:Source>
  <b:Source>
    <b:Tag>Sch15</b:Tag>
    <b:SourceType>Book</b:SourceType>
    <b:Guid>{2DC1F602-2BDD-4170-9A24-CB342B9A9DA1}</b:Guid>
    <b:Title>Data and Goliath</b:Title>
    <b:Year>2015</b:Year>
    <b:City>New York</b:City>
    <b:Publisher>W. W. Norton</b:Publisher>
    <b:Author>
      <b:Author>
        <b:NameList>
          <b:Person>
            <b:Last>Schneier</b:Last>
            <b:First>Bruce</b:First>
          </b:Person>
        </b:NameList>
      </b:Author>
    </b:Author>
    <b:StateProvince>NY</b:StateProvince>
    <b:RefOrder>16</b:RefOrder>
  </b:Source>
  <b:Source>
    <b:Tag>And11</b:Tag>
    <b:SourceType>Book</b:SourceType>
    <b:Guid>{4074C5D2-5D1F-464B-9B6F-57F78A756CFF}</b:Guid>
    <b:Title>Cyber Warfare</b:Title>
    <b:Year>2011</b:Year>
    <b:City>online</b:City>
    <b:Publisher>Elsevier</b:Publisher>
    <b:Author>
      <b:Author>
        <b:NameList>
          <b:Person>
            <b:Last>Andress</b:Last>
            <b:First>Jason</b:First>
          </b:Person>
          <b:Person>
            <b:Last>Winterfield</b:Last>
            <b:First>Steve</b:First>
          </b:Person>
        </b:NameList>
      </b:Author>
      <b:Editor>
        <b:NameList>
          <b:Person>
            <b:Last>Rogers</b:Last>
            <b:First>Russ</b:First>
          </b:Person>
        </b:NameList>
      </b:Editor>
    </b:Author>
    <b:URL>https://www.dawsonera.com/readonline/9781597496384</b:URL>
    <b:RefOrder>52</b:RefOrder>
  </b:Source>
  <b:Source>
    <b:Tag>Shi15</b:Tag>
    <b:SourceType>JournalArticle</b:SourceType>
    <b:Guid>{60C648EA-6689-4FCA-A92D-7714809F0044}</b:Guid>
    <b:Title>Cybersecurity: Recognizing the Risk and Protecting against Attacks</b:Title>
    <b:JournalName>North Carolina School Banking Institute Journal</b:JournalName>
    <b:Year>2015</b:Year>
    <b:Pages>345-372</b:Pages>
    <b:Volume>19</b:Volume>
    <b:Author>
      <b:Author>
        <b:NameList>
          <b:Person>
            <b:Last>Shields</b:Last>
            <b:First>Kristin</b:First>
          </b:Person>
        </b:NameList>
      </b:Author>
    </b:Author>
    <b:RefOrder>17</b:RefOrder>
  </b:Source>
  <b:Source>
    <b:Tag>Kor15</b:Tag>
    <b:SourceType>JournalArticle</b:SourceType>
    <b:Guid>{F08DD18D-9DD2-4F46-92A8-A785E3FD4989}</b:Guid>
    <b:Title>Improving Cyber Security Awareness and Training Programs with Data Analytics</b:Title>
    <b:Year>2015</b:Year>
    <b:JournalName>Information Security Journal: A Global Perspective</b:JournalName>
    <b:Pages>72-77</b:Pages>
    <b:Author>
      <b:Author>
        <b:NameList>
          <b:Person>
            <b:Last>Korpela</b:Last>
            <b:First>Karina</b:First>
          </b:Person>
        </b:NameList>
      </b:Author>
    </b:Author>
    <b:Volume>24</b:Volume>
    <b:Issue>1-3</b:Issue>
    <b:StandardNumber>DOI: 10.1080/19393555.2015.1051676</b:StandardNumber>
    <b:RefOrder>18</b:RefOrder>
  </b:Source>
  <b:Source>
    <b:Tag>Sch12</b:Tag>
    <b:SourceType>Book</b:SourceType>
    <b:Guid>{D202C3E5-29BA-4F39-B89C-F31CC27AA4CE}</b:Guid>
    <b:Title>Liars and Outliers - Enabling the Trust That Society Needs to Thrive</b:Title>
    <b:Year>2012</b:Year>
    <b:City>Indianapolis</b:City>
    <b:Publisher>Jihn Wiley &amp; Sons Inc</b:Publisher>
    <b:Author>
      <b:Author>
        <b:NameList>
          <b:Person>
            <b:Last>Schneier</b:Last>
            <b:First>Bruce</b:First>
          </b:Person>
        </b:NameList>
      </b:Author>
    </b:Author>
    <b:StateProvince>IN</b:StateProvince>
    <b:RefOrder>19</b:RefOrder>
  </b:Source>
  <b:Source>
    <b:Tag>Yil16</b:Tag>
    <b:SourceType>ConferenceProceedings</b:SourceType>
    <b:Guid>{8A4B6261-FDBF-48D9-BFA9-D5307660EA0E}</b:Guid>
    <b:Title>The Importance of Information Security Awareness for the Success of Business Enterprises</b:Title>
    <b:Pages>211-222</b:Pages>
    <b:Year>2016</b:Year>
    <b:ConferenceName>Advances in Human Factors in Cybersecurity</b:ConferenceName>
    <b:City>Basel</b:City>
    <b:Publisher>Springer</b:Publisher>
    <b:Author>
      <b:Author>
        <b:NameList>
          <b:Person>
            <b:Last>Yildirim</b:Last>
            <b:First>Ebru</b:First>
          </b:Person>
        </b:NameList>
      </b:Author>
      <b:Editor>
        <b:NameList>
          <b:Person>
            <b:Last>Nicholson</b:Last>
            <b:First>D</b:First>
          </b:Person>
        </b:NameList>
      </b:Editor>
    </b:Author>
    <b:DOI>10.1007/978-3-319-41932-9_17</b:DOI>
    <b:RefOrder>20</b:RefOrder>
  </b:Source>
  <b:Source>
    <b:Tag>Hut11</b:Tag>
    <b:SourceType>Misc</b:SourceType>
    <b:Guid>{9356EEF4-2AD0-42E8-9271-BDB8C9F23D9F}</b:Guid>
    <b:Title>Intelligence-Driven Computer Network Defense Informed by Analysis of Adversary Campaigns and Intrusion Kill Chains</b:Title>
    <b:Year>2011</b:Year>
    <b:City>Bethesda</b:City>
    <b:Publisher>Lockheed Martin Corporation</b:Publisher>
    <b:Author>
      <b:Author>
        <b:NameList>
          <b:Person>
            <b:Last>Hutchins</b:Last>
            <b:Middle>M</b:Middle>
            <b:First>Eric</b:First>
          </b:Person>
          <b:Person>
            <b:Last>Cloppert</b:Last>
            <b:Middle>J</b:Middle>
            <b:First>Michael</b:First>
          </b:Person>
          <b:Person>
            <b:Last>Amin</b:Last>
            <b:Middle>M</b:Middle>
            <b:First>Rohan</b:First>
          </b:Person>
        </b:NameList>
      </b:Author>
    </b:Author>
    <b:StateProvince>MY</b:StateProvince>
    <b:RefOrder>53</b:RefOrder>
  </b:Source>
  <b:Source>
    <b:Tag>Jun15</b:Tag>
    <b:SourceType>JournalArticle</b:SourceType>
    <b:Guid>{78799907-1384-4B89-9DA2-6C2A50743F33}</b:Guid>
    <b:Title>Ontology-driven slope modeling for disaster management service</b:Title>
    <b:JournalName>Cluster Computing</b:JournalName>
    <b:Year>2015</b:Year>
    <b:Pages>677-692</b:Pages>
    <b:Author>
      <b:Author>
        <b:NameList>
          <b:Person>
            <b:Last>Jung</b:Last>
            <b:First>Hoill</b:First>
          </b:Person>
          <b:Person>
            <b:Last>Chung</b:Last>
            <b:First>Kyunggyong</b:First>
          </b:Person>
        </b:NameList>
      </b:Author>
    </b:Author>
    <b:Volume>18</b:Volume>
    <b:Issue>2</b:Issue>
    <b:DOI> 10.1007/s10586-015-0424-1</b:DOI>
    <b:RefOrder>54</b:RefOrder>
  </b:Source>
  <b:Source>
    <b:Tag>All16</b:Tag>
    <b:SourceType>InternetSite</b:SourceType>
    <b:Guid>{EA0A58F4-B398-4602-92B0-D9D7F5C31F86}</b:Guid>
    <b:Title>Allianz Risk Barometer 2016</b:Title>
    <b:Year>2016</b:Year>
    <b:YearAccessed>2016</b:YearAccessed>
    <b:MonthAccessed>March</b:MonthAccessed>
    <b:DayAccessed>20</b:DayAccessed>
    <b:URL>http://www.agcs.allianz.com/insights/white-papers-and-case-studies/allianz-risk-barometer-2016/</b:URL>
    <b:Author>
      <b:Author>
        <b:Corporate>Allianz</b:Corporate>
      </b:Author>
    </b:Author>
    <b:RefOrder>21</b:RefOrder>
  </b:Source>
  <b:Source>
    <b:Tag>Wei04</b:Tag>
    <b:SourceType>Report</b:SourceType>
    <b:Guid>{A5A5084E-504A-40F8-A251-7BDA8342A221}</b:Guid>
    <b:Title>Cyberterrorism - How Real is the Threat</b:Title>
    <b:Year>2004</b:Year>
    <b:City>Washington, DC</b:City>
    <b:Publisher>United States Institute of Peace</b:Publisher>
    <b:Author>
      <b:Author>
        <b:NameList>
          <b:Person>
            <b:Last>Weimann</b:Last>
            <b:First>Gabriel</b:First>
          </b:Person>
        </b:NameList>
      </b:Author>
    </b:Author>
    <b:RefOrder>55</b:RefOrder>
  </b:Source>
  <b:Source>
    <b:Tag>Hei14</b:Tag>
    <b:SourceType>JournalArticle</b:SourceType>
    <b:Guid>{F9CD0B9B-A898-4F4D-9438-D4B8B90CFC0B}</b:Guid>
    <b:Title>Cyber Terrorism: Electronic Jihad</b:Title>
    <b:Year>2014</b:Year>
    <b:JournalName>Strategic Analysis</b:JournalName>
    <b:Pages>554-565</b:Pages>
    <b:Volume>38</b:Volume>
    <b:Issue>4</b:Issue>
    <b:Author>
      <b:Author>
        <b:NameList>
          <b:Person>
            <b:Last>Heickerö</b:Last>
            <b:First>Roland</b:First>
          </b:Person>
        </b:NameList>
      </b:Author>
    </b:Author>
    <b:DOI>10.1080/09700161.2014.918435</b:DOI>
    <b:RefOrder>56</b:RefOrder>
  </b:Source>
  <b:Source>
    <b:Tag>All15</b:Tag>
    <b:SourceType>Book</b:SourceType>
    <b:Guid>{CFEE8DAC-C976-47B3-8BE0-996CC468AE90}</b:Guid>
    <b:Title>A Guide to Cyber-Risk</b:Title>
    <b:Year>2015</b:Year>
    <b:Author>
      <b:Author>
        <b:Corporate>Allianz</b:Corporate>
      </b:Author>
    </b:Author>
    <b:City>Munich</b:City>
    <b:Publisher>Allianz Global</b:Publisher>
    <b:RefOrder>57</b:RefOrder>
  </b:Source>
  <b:Source>
    <b:Tag>Hal14</b:Tag>
    <b:SourceType>JournalArticle</b:SourceType>
    <b:Guid>{CD0097DB-45D5-4EDE-850B-A114507E5982}</b:Guid>
    <b:Title>Clicktivism: A Systematic Heuristic</b:Title>
    <b:JournalName>Policy and Internet</b:JournalName>
    <b:Year>2014</b:Year>
    <b:Pages>115-132</b:Pages>
    <b:Volume>6</b:Volume>
    <b:Issue>2</b:Issue>
    <b:Author>
      <b:Author>
        <b:NameList>
          <b:Person>
            <b:Last>Halupka</b:Last>
            <b:First>Max</b:First>
          </b:Person>
        </b:NameList>
      </b:Author>
    </b:Author>
    <b:DOI>10.1002/1944-2866.POI355</b:DOI>
    <b:RefOrder>58</b:RefOrder>
  </b:Source>
  <b:Source>
    <b:Tag>Bar14</b:Tag>
    <b:SourceType>JournalArticle</b:SourceType>
    <b:Guid>{B560E6D3-8A39-459F-B4BF-53235F9977BD}</b:Guid>
    <b:Title>personal Denial of Service (PDoS) attacks: A discussion and exploration of a new area of cyber-crime</b:Title>
    <b:JournalName>The Journal of Digital Forensics, Security and Law : JDFSL</b:JournalName>
    <b:Year>2014</b:Year>
    <b:Pages>19-36</b:Pages>
    <b:Author>
      <b:Author>
        <b:NameList>
          <b:Person>
            <b:Last>Bartolacci</b:Last>
            <b:Middle>R</b:Middle>
            <b:First>Michael</b:First>
          </b:Person>
          <b:Person>
            <b:Last>LeBlanc</b:Last>
            <b:Middle>J</b:Middle>
            <b:First>Larry</b:First>
          </b:Person>
          <b:Person>
            <b:Last>Podhradsky</b:Last>
            <b:First>Ashley</b:First>
          </b:Person>
        </b:NameList>
      </b:Author>
    </b:Author>
    <b:Volume>9</b:Volume>
    <b:Issue>1</b:Issue>
    <b:RefOrder>59</b:RefOrder>
  </b:Source>
  <b:Source>
    <b:Tag>Rod17</b:Tag>
    <b:SourceType>ArticleInAPeriodical</b:SourceType>
    <b:Guid>{3BBAF80A-FCE4-4211-BC93-E6697DE365FA}</b:Guid>
    <b:Title>Barclays CEO Jes Staley fooled into comic email exchange with prankster posing as bank's chairman</b:Title>
    <b:Year>2017</b:Year>
    <b:Author>
      <b:Author>
        <b:NameList>
          <b:Person>
            <b:Last>Rodionova</b:Last>
            <b:First>Zlata</b:First>
          </b:Person>
        </b:NameList>
      </b:Author>
    </b:Author>
    <b:PeriodicalTitle>The Idependent</b:PeriodicalTitle>
    <b:Month>May`</b:Month>
    <b:Day>12</b:Day>
    <b:Pages>online</b:Pages>
    <b:YearAccessed>2019</b:YearAccessed>
    <b:MonthAccessed>July</b:MonthAccessed>
    <b:DayAccessed>20</b:DayAccessed>
    <b:URL>https://www.independent.co.uk/news/business/news/barclays-ceo-jes-staley-email-prank-bank-chairman-john-mcfarlane-scotch-clapton-guitar-courage-a7731871.html</b:URL>
    <b:RefOrder>60</b:RefOrder>
  </b:Source>
  <b:Source>
    <b:Tag>Fan17</b:Tag>
    <b:SourceType>JournalArticle</b:SourceType>
    <b:Guid>{7BE08DEC-159D-41BA-9D27-A7F761A8F998}</b:Guid>
    <b:Title>An ultra-lightweight RFID authentication scheme for mobile commerce</b:Title>
    <b:JournalName>Peer-to-Peer Networking and Applications</b:JournalName>
    <b:Year>2017</b:Year>
    <b:Pages>368-376</b:Pages>
    <b:Author>
      <b:Author>
        <b:NameList>
          <b:Person>
            <b:Last>Fan</b:Last>
            <b:First>Kai</b:First>
          </b:Person>
          <b:Person>
            <b:Last>Ge</b:Last>
            <b:First>Nan</b:First>
          </b:Person>
          <b:Person>
            <b:Last>Gong</b:Last>
            <b:First>Yuanyuan</b:First>
          </b:Person>
          <b:Person>
            <b:Last>Li</b:Last>
            <b:First>Hui</b:First>
          </b:Person>
          <b:Person>
            <b:Last>Su</b:Last>
            <b:First>Ruidan</b:First>
          </b:Person>
          <b:Person>
            <b:Last>Yang</b:Last>
            <b:First>Yintang</b:First>
          </b:Person>
        </b:NameList>
      </b:Author>
    </b:Author>
    <b:Volume>10</b:Volume>
    <b:Issue>2</b:Issue>
    <b:DOI>10.1007/s12083-016-0443-6</b:DOI>
    <b:RefOrder>61</b:RefOrder>
  </b:Source>
  <b:Source>
    <b:Tag>Sch161</b:Tag>
    <b:SourceType>DocumentFromInternetSite</b:SourceType>
    <b:Guid>{90483072-D512-43E9-9929-CC6007930547}</b:Guid>
    <b:Title>Most people unaware of the risks of using public Wi-Fi</b:Title>
    <b:InternetSiteTitle>CNBC - Cyber Security</b:InternetSiteTitle>
    <b:Year>2016</b:Year>
    <b:Month>June</b:Month>
    <b:Day>28</b:Day>
    <b:URL>https://www.cnbc.com/2016/06/28/most-people-unaware-of-the-risks-of-using-public-wi-fi.html</b:URL>
    <b:Author>
      <b:Author>
        <b:NameList>
          <b:Person>
            <b:Last>Schlesinger</b:Last>
            <b:First>Jennifer</b:First>
          </b:Person>
        </b:NameList>
      </b:Author>
    </b:Author>
    <b:YearAccessed>2017</b:YearAccessed>
    <b:MonthAccessed>September</b:MonthAccessed>
    <b:DayAccessed>28</b:DayAccessed>
    <b:RefOrder>62</b:RefOrder>
  </b:Source>
  <b:Source>
    <b:Tag>Dev15</b:Tag>
    <b:SourceType>JournalArticle</b:SourceType>
    <b:Guid>{81B38E81-A2F7-4BF7-A890-C70EC7589F1E}</b:Guid>
    <b:Title>"Use of Force" and "Armed Attack" Thresholds in Cyber Conflict: The Looming Definitional Gaps and the Growing Need for Formal U.N. Response</b:Title>
    <b:JournalName>Texas International Law Journal</b:JournalName>
    <b:Year>2015</b:Year>
    <b:Pages>381-401</b:Pages>
    <b:Author>
      <b:Author>
        <b:NameList>
          <b:Person>
            <b:Last>Dev</b:Last>
            <b:Middle>R</b:Middle>
            <b:First>Priyanka</b:First>
          </b:Person>
        </b:NameList>
      </b:Author>
    </b:Author>
    <b:Volume>50</b:Volume>
    <b:Issue>2/3</b:Issue>
    <b:RefOrder>22</b:RefOrder>
  </b:Source>
  <b:Source>
    <b:Tag>Cla161</b:Tag>
    <b:SourceType>JournalArticle</b:SourceType>
    <b:Guid>{C6BFDB6B-A0D4-470D-BC08-411FAA185265}</b:Guid>
    <b:Title>The Risk of Cyber War and Cyber Terrorism</b:Title>
    <b:JournalName>Journal of International Affairs</b:JournalName>
    <b:Year>2016</b:Year>
    <b:Pages>179-181</b:Pages>
    <b:Author>
      <b:Author>
        <b:NameList>
          <b:Person>
            <b:Last>Clarke</b:Last>
            <b:Middle>A</b:Middle>
            <b:First>Richard</b:First>
          </b:Person>
        </b:NameList>
      </b:Author>
    </b:Author>
    <b:Volume>70</b:Volume>
    <b:Issue>1</b:Issue>
    <b:RefOrder>23</b:RefOrder>
  </b:Source>
  <b:Source>
    <b:Tag>Kuh70</b:Tag>
    <b:SourceType>Book</b:SourceType>
    <b:Guid>{EE54A703-2B45-4292-8903-74A796A43B0A}</b:Guid>
    <b:Author>
      <b:Author>
        <b:NameList>
          <b:Person>
            <b:Last>Kuhn</b:Last>
            <b:First>Thomas</b:First>
          </b:Person>
        </b:NameList>
      </b:Author>
    </b:Author>
    <b:Title>The Structure of Scientific Revolutions</b:Title>
    <b:Year>1970</b:Year>
    <b:City>Chicago</b:City>
    <b:Publisher>University of Chicago Press</b:Publisher>
    <b:StateProvince>IL</b:StateProvince>
    <b:Edition>2nd</b:Edition>
    <b:RefOrder>25</b:RefOrder>
  </b:Source>
  <b:Source>
    <b:Tag>Pat90</b:Tag>
    <b:SourceType>Book</b:SourceType>
    <b:Guid>{86535F2A-8F82-46A0-8770-656AAC7CFFE5}</b:Guid>
    <b:Author>
      <b:Author>
        <b:NameList>
          <b:Person>
            <b:Last>Patton</b:Last>
            <b:First>Michael</b:First>
            <b:Middle>Quinn</b:Middle>
          </b:Person>
        </b:NameList>
      </b:Author>
    </b:Author>
    <b:Title>Qualitative evaluation and research methods</b:Title>
    <b:Year>1990</b:Year>
    <b:City>New York</b:City>
    <b:StateProvince>NY</b:StateProvince>
    <b:Publisher>Sage Publications, Inc</b:Publisher>
    <b:Edition>2nd</b:Edition>
    <b:RefOrder>26</b:RefOrder>
  </b:Source>
  <b:Source>
    <b:Tag>The90</b:Tag>
    <b:SourceType>Book</b:SourceType>
    <b:Guid>{A7A49731-33EA-4C0E-BD26-43EF1F1FB281}</b:Guid>
    <b:Title>The Paradigm Dialog</b:Title>
    <b:Year>1990</b:Year>
    <b:City>Newbury Park</b:City>
    <b:Publisher>Sage</b:Publisher>
    <b:StateProvince>CA</b:StateProvince>
    <b:Author>
      <b:Editor>
        <b:NameList>
          <b:Person>
            <b:Last>Guba</b:Last>
            <b:First>Egon</b:First>
            <b:Middle>G</b:Middle>
          </b:Person>
        </b:NameList>
      </b:Editor>
    </b:Author>
    <b:RefOrder>27</b:RefOrder>
  </b:Source>
  <b:Source>
    <b:Tag>DeB14</b:Tag>
    <b:SourceType>JournalArticle</b:SourceType>
    <b:Guid>{F14B02C5-8E7B-404B-A0E1-BF2C37666505}</b:Guid>
    <b:Title>Improving Response Rates and Questionnaire Design for Mobile Web Surveys</b:Title>
    <b:Year>2014</b:Year>
    <b:JournalName>Public Opinion Quarterly</b:JournalName>
    <b:Pages>951-962</b:Pages>
    <b:Author>
      <b:Author>
        <b:NameList>
          <b:Person>
            <b:Last>De Bruijne</b:Last>
            <b:First>Matika</b:First>
          </b:Person>
          <b:Person>
            <b:Last>Wijnant</b:Last>
            <b:First>Arnaud</b:First>
          </b:Person>
        </b:NameList>
      </b:Author>
    </b:Author>
    <b:Volume>78</b:Volume>
    <b:Issue>4</b:Issue>
    <b:DOI>10.1093/poq/nfu046</b:DOI>
    <b:RefOrder>30</b:RefOrder>
  </b:Source>
  <b:Source>
    <b:Tag>Den07</b:Tag>
    <b:SourceType>Book</b:SourceType>
    <b:Guid>{16C24D2E-A7BF-435F-87FB-062254A52C7E}</b:Guid>
    <b:Author>
      <b:Author>
        <b:NameList>
          <b:Person>
            <b:Last>Denscombe</b:Last>
            <b:First>Martyn</b:First>
          </b:Person>
        </b:NameList>
      </b:Author>
    </b:Author>
    <b:Title>The Good Research Guide</b:Title>
    <b:Year>2007</b:Year>
    <b:City>Milton Keynes</b:City>
    <b:Publisher>Open University Press</b:Publisher>
    <b:Edition>3rd</b:Edition>
    <b:RefOrder>28</b:RefOrder>
  </b:Source>
  <b:Source>
    <b:Tag>Bar17</b:Tag>
    <b:SourceType>JournalArticle</b:SourceType>
    <b:Guid>{CEA68ABC-1AD5-47F8-BDFA-A85F8BD4AB0A}</b:Guid>
    <b:Title>Survey design basics for information professionals</b:Title>
    <b:JournalName>The information management journal</b:JournalName>
    <b:Year>2017</b:Year>
    <b:Pages>37-39</b:Pages>
    <b:Author>
      <b:Author>
        <b:NameList>
          <b:Person>
            <b:Last>Barnes</b:Last>
            <b:Middle>Dupre</b:Middle>
            <b:First>Nancy</b:First>
          </b:Person>
        </b:NameList>
      </b:Author>
    </b:Author>
    <b:Volume>51</b:Volume>
    <b:Issue>1</b:Issue>
    <b:RefOrder>29</b:RefOrder>
  </b:Source>
  <b:Source>
    <b:Tag>Gro09</b:Tag>
    <b:SourceType>Book</b:SourceType>
    <b:Guid>{52CF28ED-0A2A-4470-B1FF-C79D5C81299F}</b:Guid>
    <b:Title>Survey Methodology</b:Title>
    <b:Year>2009</b:Year>
    <b:City>Hoboken N.J.</b:City>
    <b:Publisher>Wiley</b:Publisher>
    <b:Author>
      <b:Author>
        <b:NameList>
          <b:Person>
            <b:Last>Groves</b:Last>
            <b:Middle>M</b:Middle>
            <b:First>R</b:First>
          </b:Person>
          <b:Person>
            <b:Last>Fowler</b:Last>
            <b:Middle>J</b:Middle>
            <b:First>F</b:First>
          </b:Person>
          <b:Person>
            <b:Last>Couper</b:Last>
            <b:First>M</b:First>
          </b:Person>
          <b:Person>
            <b:Last>Lepkowski</b:Last>
            <b:Middle>M</b:Middle>
            <b:First>J</b:First>
          </b:Person>
          <b:Person>
            <b:Last>Singer</b:Last>
            <b:First>E</b:First>
          </b:Person>
          <b:Person>
            <b:Last>Tourangeau</b:Last>
            <b:First>R</b:First>
          </b:Person>
        </b:NameList>
      </b:Author>
    </b:Author>
    <b:RefOrder>63</b:RefOrder>
  </b:Source>
  <b:Source>
    <b:Tag>Bri09</b:Tag>
    <b:SourceType>JournalArticle</b:SourceType>
    <b:Guid>{3C8D4FD0-E3DC-40CF-9895-4AA34E5534EC}</b:Guid>
    <b:Title>The theoretical foundation and validity of a component-based usability questionnaire</b:Title>
    <b:Year>2009</b:Year>
    <b:Pages>121-137</b:Pages>
    <b:Author>
      <b:Author>
        <b:NameList>
          <b:Person>
            <b:Last>Brinkman</b:Last>
            <b:First>W.-P</b:First>
          </b:Person>
          <b:Person>
            <b:Last>Haakma</b:Last>
            <b:First>R</b:First>
          </b:Person>
          <b:Person>
            <b:Last>Bouwhuis</b:Last>
            <b:First>D.</b:First>
            <b:Middle>G</b:Middle>
          </b:Person>
        </b:NameList>
      </b:Author>
    </b:Author>
    <b:JournalName>Behaviour &amp; Information Technology</b:JournalName>
    <b:Volume>28</b:Volume>
    <b:Issue>2</b:Issue>
    <b:DOI>n/a</b:DOI>
    <b:RefOrder>64</b:RefOrder>
  </b:Source>
  <b:Source>
    <b:Tag>Coo06</b:Tag>
    <b:SourceType>Book</b:SourceType>
    <b:Guid>{02180513-C17D-4D5B-95AE-C240726D848D}</b:Guid>
    <b:Title>Business Research Methods</b:Title>
    <b:Year>2006</b:Year>
    <b:Author>
      <b:Author>
        <b:NameList>
          <b:Person>
            <b:Last>Cooper</b:Last>
            <b:First>Donald</b:First>
            <b:Middle>R.</b:Middle>
          </b:Person>
          <b:Person>
            <b:Last>Schindler</b:Last>
            <b:First>Pamela</b:First>
            <b:Middle>S.</b:Middle>
          </b:Person>
        </b:NameList>
      </b:Author>
    </b:Author>
    <b:City>New York</b:City>
    <b:Publisher>McGraw-Hill Irwin</b:Publisher>
    <b:StateProvince>NY</b:StateProvince>
    <b:RefOrder>31</b:RefOrder>
  </b:Source>
  <b:Source>
    <b:Tag>Bry88</b:Tag>
    <b:SourceType>Book</b:SourceType>
    <b:Guid>{78ED34A3-7E26-43B4-A505-2A9ADA0C10D7}</b:Guid>
    <b:Title>Quantity and Quality in Social Research</b:Title>
    <b:Year>1988</b:Year>
    <b:City>London</b:City>
    <b:Publisher>Unwin Hyman</b:Publisher>
    <b:Author>
      <b:Author>
        <b:NameList>
          <b:Person>
            <b:Last>Bryman</b:Last>
            <b:First>Alan</b:First>
          </b:Person>
        </b:NameList>
      </b:Author>
    </b:Author>
    <b:Volume>18</b:Volume>
    <b:NumberVolumes>18</b:NumberVolumes>
    <b:Pages>198</b:Pages>
    <b:Edition>Contemporary Social Research Series</b:Edition>
    <b:Comments>Series Editor Martin Bulmer</b:Comments>
    <b:RefOrder>32</b:RefOrder>
  </b:Source>
  <b:Source>
    <b:Tag>Bry15</b:Tag>
    <b:SourceType>Book</b:SourceType>
    <b:Guid>{6C0A361C-8A8C-4B0C-97A8-9DE4C877150D}</b:Guid>
    <b:Title>Business Research Methods</b:Title>
    <b:Year>2015</b:Year>
    <b:City>Oxford</b:City>
    <b:Publisher>Oxford University Press</b:Publisher>
    <b:Author>
      <b:Author>
        <b:NameList>
          <b:Person>
            <b:Last>Bryman</b:Last>
            <b:First>Alan</b:First>
          </b:Person>
          <b:Person>
            <b:Last>Bell</b:Last>
            <b:First>E</b:First>
          </b:Person>
        </b:NameList>
      </b:Author>
    </b:Author>
    <b:Edition>4th</b:Edition>
    <b:RefOrder>65</b:RefOrder>
  </b:Source>
  <b:Source>
    <b:Tag>Pol01</b:Tag>
    <b:SourceType>Book</b:SourceType>
    <b:Guid>{8311CB9B-51EC-496B-82C2-FFF78885F4F5}</b:Guid>
    <b:Author>
      <b:Author>
        <b:NameList>
          <b:Person>
            <b:Last>Polit</b:Last>
            <b:First>Denise</b:First>
            <b:Middle>F.</b:Middle>
          </b:Person>
          <b:Person>
            <b:Last>Beck</b:Last>
            <b:First>Cheryl</b:First>
          </b:Person>
          <b:Person>
            <b:Last>Hungler</b:Last>
            <b:First>Bernadette</b:First>
            <b:Middle>P.</b:Middle>
          </b:Person>
        </b:NameList>
      </b:Author>
    </b:Author>
    <b:Title>Essentials of Nursing Research: Methods, Appraisal, and Utilization</b:Title>
    <b:Year>2001</b:Year>
    <b:City>Philadelphia</b:City>
    <b:Publisher>Lippincott Williams and Wilkins</b:Publisher>
    <b:StateProvince>PA</b:StateProvince>
    <b:Edition>5th</b:Edition>
    <b:RefOrder>33</b:RefOrder>
  </b:Source>
  <b:Source>
    <b:Tag>Che11</b:Tag>
    <b:SourceType>JournalArticle</b:SourceType>
    <b:Guid>{2E1982F8-2F0F-4DCB-8495-793C627EA2A9}</b:Guid>
    <b:Title>Ten Steps for Conceptualizing and Conducting Qualitative Research Studies in a Pragmatically Curious Manner</b:Title>
    <b:Year>2011</b:Year>
    <b:Author>
      <b:Author>
        <b:NameList>
          <b:Person>
            <b:Last>Chenail</b:Last>
            <b:First>Ronald</b:First>
            <b:Middle>J.</b:Middle>
          </b:Person>
        </b:NameList>
      </b:Author>
    </b:Author>
    <b:JournalName>The Qualitative Report</b:JournalName>
    <b:Pages>1715 - 1732</b:Pages>
    <b:Volume>16</b:Volume>
    <b:Issue>6</b:Issue>
    <b:RefOrder>34</b:RefOrder>
  </b:Source>
  <b:Source>
    <b:Tag>Bak94</b:Tag>
    <b:SourceType>Book</b:SourceType>
    <b:Guid>{EE197081-2C28-4BB3-B728-50BFA7C7796A}</b:Guid>
    <b:Title>Doing Social Research</b:Title>
    <b:Year>1994</b:Year>
    <b:Author>
      <b:Author>
        <b:NameList>
          <b:Person>
            <b:Last>Baker</b:Last>
            <b:First>T.</b:First>
            <b:Middle>L</b:Middle>
          </b:Person>
        </b:NameList>
      </b:Author>
    </b:Author>
    <b:City>New York</b:City>
    <b:Publisher>McGraw-Hill Inc.</b:Publisher>
    <b:StateProvince>NY</b:StateProvince>
    <b:Edition>2nd</b:Edition>
    <b:RefOrder>35</b:RefOrder>
  </b:Source>
  <b:Source>
    <b:Tag>Hai10</b:Tag>
    <b:SourceType>Book</b:SourceType>
    <b:Guid>{FD8F3A23-69F6-4E7B-BBE2-FCAFE45217B3}</b:Guid>
    <b:Author>
      <b:Author>
        <b:NameList>
          <b:Person>
            <b:Last>Hair</b:Last>
            <b:First>Joseph</b:First>
            <b:Middle>F.</b:Middle>
          </b:Person>
          <b:Person>
            <b:Last>Black</b:Last>
            <b:First>William</b:First>
            <b:Middle>C.</b:Middle>
          </b:Person>
          <b:Person>
            <b:Last>Babin</b:Last>
            <b:First>Barry</b:First>
            <b:Middle>J.</b:Middle>
          </b:Person>
        </b:NameList>
      </b:Author>
    </b:Author>
    <b:Title>Multivariate Data Analysis: A Global Perspective</b:Title>
    <b:Year>2010</b:Year>
    <b:City>London</b:City>
    <b:Publisher>Pearson Education</b:Publisher>
    <b:Edition>7th</b:Edition>
    <b:RefOrder>37</b:RefOrder>
  </b:Source>
  <b:Source>
    <b:Tag>Kai58</b:Tag>
    <b:SourceType>JournalArticle</b:SourceType>
    <b:Guid>{FB8CBFED-DE5C-4D02-8BF9-8C0C034E9F1E}</b:Guid>
    <b:Author>
      <b:Author>
        <b:NameList>
          <b:Person>
            <b:Last>Kaiser</b:Last>
            <b:First>Henry</b:First>
          </b:Person>
        </b:NameList>
      </b:Author>
    </b:Author>
    <b:Title>The varimax criterion for analytic rotation in factor analysis</b:Title>
    <b:JournalName>Psychometrika</b:JournalName>
    <b:Year>1958</b:Year>
    <b:Pages>187-200</b:Pages>
    <b:Volume>23</b:Volume>
    <b:Issue>3</b:Issue>
    <b:DOI>10.1007/BF02289233</b:DOI>
    <b:RefOrder>36</b:RefOrder>
  </b:Source>
  <b:Source>
    <b:Tag>Tab07</b:Tag>
    <b:SourceType>Book</b:SourceType>
    <b:Guid>{64337B75-5EDA-485C-A7F2-F49E244D6174}</b:Guid>
    <b:Author>
      <b:Author>
        <b:NameList>
          <b:Person>
            <b:Last>Tabachnick</b:Last>
            <b:First>Barbara</b:First>
            <b:Middle>G.</b:Middle>
          </b:Person>
          <b:Person>
            <b:Last>Fidell</b:Last>
            <b:First>Linda</b:First>
            <b:Middle>S.</b:Middle>
          </b:Person>
        </b:NameList>
      </b:Author>
    </b:Author>
    <b:Title>Using Multivariate Statistics</b:Title>
    <b:Year>2007</b:Year>
    <b:City>London</b:City>
    <b:Publisher>Pearson</b:Publisher>
    <b:Edition>6th</b:Edition>
    <b:RefOrder>66</b:RefOrder>
  </b:Source>
  <b:Source>
    <b:Tag>Lit88</b:Tag>
    <b:SourceType>JournalArticle</b:SourceType>
    <b:Guid>{BFA47071-BBBD-4111-910E-65639CBC9A0D}</b:Guid>
    <b:Author>
      <b:Author>
        <b:NameList>
          <b:Person>
            <b:Last>Little</b:Last>
            <b:First>Roderick</b:First>
            <b:Middle>J. A.</b:Middle>
          </b:Person>
        </b:NameList>
      </b:Author>
    </b:Author>
    <b:Title>A Test of Missing Completely at Random for Multivariate Data with Missing Values</b:Title>
    <b:JournalName>Journal of the American Statistical Association</b:JournalName>
    <b:Year>1988</b:Year>
    <b:Pages>1198 - 1202</b:Pages>
    <b:Volume>83</b:Volume>
    <b:Issue>404</b:Issue>
    <b:RefOrder>38</b:RefOrder>
  </b:Source>
  <b:Source>
    <b:Tag>Vas16</b:Tag>
    <b:SourceType>JournalArticle</b:SourceType>
    <b:Guid>{8997ADDC-6F08-45A6-9F42-E77C1A14300F}</b:Guid>
    <b:Title>Local outlier factor and stronger one class classifier based hierarchical model for detection of attacks in network intrusion detection dataset</b:Title>
    <b:JournalName>Frontiers of Computer Science</b:JournalName>
    <b:Year>2016</b:Year>
    <b:Pages>755-766</b:Pages>
    <b:Author>
      <b:Author>
        <b:NameList>
          <b:Person>
            <b:Last>Vasudevan</b:Last>
            <b:Middle>Ramaswamy</b:Middle>
            <b:First>Alampallam</b:First>
          </b:Person>
          <b:Person>
            <b:Last>Selvakumar</b:Last>
            <b:First>Subramanian</b:First>
          </b:Person>
        </b:NameList>
      </b:Author>
    </b:Author>
    <b:Volume>10</b:Volume>
    <b:Issue>4</b:Issue>
    <b:DOI>10.1007/s11704-015-5116-8</b:DOI>
    <b:RefOrder>67</b:RefOrder>
  </b:Source>
  <b:Source>
    <b:Tag>Nun94</b:Tag>
    <b:SourceType>JournalArticle</b:SourceType>
    <b:Guid>{120AF289-A169-4350-BA02-91C5C9B77152}</b:Guid>
    <b:Author>
      <b:Author>
        <b:NameList>
          <b:Person>
            <b:Last>Nunnally</b:Last>
            <b:First>J.C.</b:First>
          </b:Person>
          <b:Person>
            <b:Last>Bernstein</b:Last>
            <b:First>I.H.</b:First>
          </b:Person>
        </b:NameList>
      </b:Author>
    </b:Author>
    <b:Title>The Assessment of Reliability</b:Title>
    <b:Year>1994</b:Year>
    <b:JournalName>Psychometric Theory</b:JournalName>
    <b:Pages>248 - 292</b:Pages>
    <b:Volume>6</b:Volume>
    <b:Issue>1</b:Issue>
    <b:RefOrder>68</b:RefOrder>
  </b:Source>
  <b:Source>
    <b:Tag>SOS15</b:Tag>
    <b:SourceType>DocumentFromInternetSite</b:SourceType>
    <b:Guid>{B67B5E21-ED9B-491F-8816-4B9FE370D028}</b:Guid>
    <b:Title>Statistics Online Support (SOS) - Frequency Tables, Pie Charts, and Bar Charts</b:Title>
    <b:Year>2015</b:Year>
    <b:Author>
      <b:Author>
        <b:Corporate>SOS</b:Corporate>
      </b:Author>
    </b:Author>
    <b:YearAccessed>2015</b:YearAccessed>
    <b:MonthAccessed>December</b:MonthAccessed>
    <b:DayAccessed>05</b:DayAccessed>
    <b:URL>http://sites.utexas.edu/sos/guided/descriptive/descriptivec/frequency/</b:URL>
    <b:InternetSiteTitle>University of Texas at Austin</b:InternetSiteTitle>
    <b:RefOrder>41</b:RefOrder>
  </b:Source>
  <b:Source>
    <b:Tag>Alu05</b:Tag>
    <b:SourceType>JournalArticle</b:SourceType>
    <b:Guid>{0DB6E942-6DCA-493A-89C8-9CCD2DFE39A7}</b:Guid>
    <b:Title>Dimensionality of the Maslach Burnout Inventory in School Teachers</b:Title>
    <b:Year>2005</b:Year>
    <b:Author>
      <b:Author>
        <b:NameList>
          <b:Person>
            <b:Last>Aluja</b:Last>
            <b:First>Anton</b:First>
          </b:Person>
          <b:Person>
            <b:Last>Blanch</b:Last>
            <b:First>Angel</b:First>
          </b:Person>
          <b:Person>
            <b:Last>García</b:Last>
            <b:First>Luis</b:First>
            <b:Middle>F.</b:Middle>
          </b:Person>
        </b:NameList>
      </b:Author>
    </b:Author>
    <b:JournalName>European Journal of Psychological Assessment</b:JournalName>
    <b:Pages>67 - 76</b:Pages>
    <b:Volume>21</b:Volume>
    <b:Issue>1</b:Issue>
    <b:DOI>10.1027/1015-5759.21.1.67</b:DOI>
    <b:RefOrder>69</b:RefOrder>
  </b:Source>
  <b:Source>
    <b:Tag>New05</b:Tag>
    <b:SourceType>Book</b:SourceType>
    <b:Guid>{A1D91F79-B926-418D-A9FF-21B91FCAE297}</b:Guid>
    <b:Title>Longitudinal Data Analysis : A Practical Guide for Researchers in Aging, Health, and Social Sciences</b:Title>
    <b:Year>2005</b:Year>
    <b:City>London</b:City>
    <b:Publisher>Routledge</b:Publisher>
    <b:Author>
      <b:Editor>
        <b:NameList>
          <b:Person>
            <b:Last>Newsom</b:Last>
            <b:First>Jason</b:First>
            <b:Middle>T.</b:Middle>
          </b:Person>
          <b:Person>
            <b:Last>Jones</b:Last>
            <b:First>Richard</b:First>
            <b:Middle>N.</b:Middle>
          </b:Person>
          <b:Person>
            <b:Last>Hofer</b:Last>
            <b:First>Scott</b:First>
            <b:Middle>M.</b:Middle>
          </b:Person>
        </b:NameList>
      </b:Editor>
    </b:Author>
    <b:RefOrder>39</b:RefOrder>
  </b:Source>
  <b:Source>
    <b:Tag>Bry08</b:Tag>
    <b:SourceType>Book</b:SourceType>
    <b:Guid>{59999F6C-F7B5-4287-B2AC-7FABC9052764}</b:Guid>
    <b:Title>Social Research Methods</b:Title>
    <b:Year>2008</b:Year>
    <b:City>Oxford</b:City>
    <b:Publisher>Oxford University Press</b:Publisher>
    <b:Author>
      <b:Author>
        <b:NameList>
          <b:Person>
            <b:Last>Bryman</b:Last>
            <b:First>Alan</b:First>
          </b:Person>
        </b:NameList>
      </b:Author>
    </b:Author>
    <b:Edition>3rd</b:Edition>
    <b:RefOrder>40</b:RefOrder>
  </b:Source>
  <b:Source>
    <b:Tag>Osb15</b:Tag>
    <b:SourceType>JournalArticle</b:SourceType>
    <b:Guid>{DC05F81A-FF03-4D0C-A49B-918884735906}</b:Guid>
    <b:Title>What is Rotating in Exploratory Factor Analysis?</b:Title>
    <b:Year>2015</b:Year>
    <b:Author>
      <b:Author>
        <b:NameList>
          <b:Person>
            <b:Last>Osborne</b:Last>
            <b:First>Jason</b:First>
            <b:Middle>W</b:Middle>
          </b:Person>
        </b:NameList>
      </b:Author>
    </b:Author>
    <b:JournalName>Assessment</b:JournalName>
    <b:Pages>1 - 8</b:Pages>
    <b:Volume>20</b:Volume>
    <b:Issue>2</b:Issue>
    <b:RefOrder>42</b:RefOrder>
  </b:Source>
  <b:Source>
    <b:Tag>For81</b:Tag>
    <b:SourceType>JournalArticle</b:SourceType>
    <b:Guid>{90C84603-2DAF-48FB-B25B-7B0B13E978C3}</b:Guid>
    <b:Author>
      <b:Author>
        <b:NameList>
          <b:Person>
            <b:Last>Fornell</b:Last>
            <b:First>Claes</b:First>
          </b:Person>
          <b:Person>
            <b:Last>Larcker</b:Last>
            <b:First>David</b:First>
            <b:Middle>F.</b:Middle>
          </b:Person>
        </b:NameList>
      </b:Author>
    </b:Author>
    <b:Title>Evaluating Structural Equation Models with Unobservable Variables and Measurement Error</b:Title>
    <b:JournalName>Journal of Marketing Research</b:JournalName>
    <b:Year>1981</b:Year>
    <b:Pages>39 - 50</b:Pages>
    <b:Volume>18</b:Volume>
    <b:Issue>1</b:Issue>
    <b:DOI>10.2307/3151312</b:DOI>
    <b:RefOrder>43</b:RefOrder>
  </b:Source>
  <b:Source>
    <b:Tag>Cas16</b:Tag>
    <b:SourceType>JournalArticle</b:SourceType>
    <b:Guid>{4835086F-E547-4EA5-AD08-A8C3C899990A}</b:Guid>
    <b:Title>Compliance signaling games: toward modeling the deterrence of insider threats</b:Title>
    <b:JournalName>Computational and Mathematical Organization Theory</b:JournalName>
    <b:Year>2016</b:Year>
    <b:Pages>318-349</b:Pages>
    <b:Volume>22</b:Volume>
    <b:Issue>3</b:Issue>
    <b:Author>
      <b:Author>
        <b:NameList>
          <b:Person>
            <b:Last>Casey</b:Last>
            <b:First>William</b:First>
          </b:Person>
          <b:Person>
            <b:Last>Morales</b:Last>
            <b:Middle>Andre</b:Middle>
            <b:First>Jose</b:First>
          </b:Person>
          <b:Person>
            <b:Last>Wright</b:Last>
            <b:First>Evan</b:First>
          </b:Person>
          <b:Person>
            <b:Last>Zhu</b:Last>
            <b:First>Quanyan</b:First>
          </b:Person>
          <b:Person>
            <b:Last>Mishra</b:Last>
            <b:First>Bud</b:First>
          </b:Person>
        </b:NameList>
      </b:Author>
    </b:Author>
    <b:DOI>10.1007/s10588-016-9221-5</b:DOI>
    <b:RefOrder>70</b:RefOrder>
  </b:Source>
  <b:Source>
    <b:Tag>Cio14</b:Tag>
    <b:SourceType>JournalArticle</b:SourceType>
    <b:Guid>{40D4CF63-B9EF-4635-8EE1-49889392C3B9}</b:Guid>
    <b:Title>Defining Cybersecurity as the Security Issue of the Twenty-First Century. A Constructivist Approach</b:Title>
    <b:JournalName>Revista de Administratie Publica si Politici Sociale (The Public Administration and Social Policies Review)</b:JournalName>
    <b:Year>2014</b:Year>
    <b:Pages>120-136</b:Pages>
    <b:Volume>12</b:Volume>
    <b:Issue>1</b:Issue>
    <b:Author>
      <b:Author>
        <b:NameList>
          <b:Person>
            <b:Last>Ciolan</b:Last>
            <b:Middle>Maria</b:Middle>
            <b:First>Ionela</b:First>
          </b:Person>
        </b:NameList>
      </b:Author>
    </b:Author>
    <b:RefOrder>71</b:RefOrder>
  </b:Source>
  <b:Source>
    <b:Tag>Hyp171</b:Tag>
    <b:SourceType>JournalArticle</b:SourceType>
    <b:Guid>{FDE57132-16C1-4AC1-8E99-96D28A71A87B}</b:Guid>
    <b:Title>The Internet of (Vulnerable) Things: On Hypponen's Law, Security Engineering, and IoT Legislation</b:Title>
    <b:JournalName>Technology Innovation Management Review</b:JournalName>
    <b:Year>2017</b:Year>
    <b:Pages>5-11</b:Pages>
    <b:Volume>7</b:Volume>
    <b:Issue>4</b:Issue>
    <b:Author>
      <b:Author>
        <b:NameList>
          <b:Person>
            <b:Last>Hypponen</b:Last>
            <b:First>Mikko</b:First>
          </b:Person>
          <b:Person>
            <b:Last>Nyman</b:Last>
            <b:First>Linus</b:First>
          </b:Person>
        </b:NameList>
      </b:Author>
    </b:Author>
    <b:RefOrder>72</b:RefOrder>
  </b:Source>
  <b:Source>
    <b:Tag>Dut13</b:Tag>
    <b:SourceType>JournalArticle</b:SourceType>
    <b:Guid>{1924AAC4-AAFC-4347-9F8D-0D1596029098}</b:Guid>
    <b:Title>Cyber Situation Awareness</b:Title>
    <b:Year>2013</b:Year>
    <b:JournalName>Human Factors</b:JournalName>
    <b:Pages>605-618</b:Pages>
    <b:Author>
      <b:Author>
        <b:NameList>
          <b:Person>
            <b:Last>Dutt</b:Last>
            <b:First>Varun</b:First>
          </b:Person>
          <b:Person>
            <b:Last>Ahn</b:Last>
            <b:First>Young-Suk</b:First>
          </b:Person>
          <b:Person>
            <b:Last>Gonzalez</b:Last>
            <b:First>Cleotilde</b:First>
          </b:Person>
        </b:NameList>
      </b:Author>
    </b:Author>
    <b:Volume>55</b:Volume>
    <b:Issue>3</b:Issue>
    <b:DOI>10.1177/0018720812464045</b:DOI>
    <b:RefOrder>73</b:RefOrder>
  </b:Source>
  <b:Source>
    <b:Tag>Unc16</b:Tag>
    <b:SourceType>DocumentFromInternetSite</b:SourceType>
    <b:Guid>{B25D81AC-F513-496C-8CA9-05188FD8D062}</b:Guid>
    <b:Title>Safeguarding Public Safety Communications from Cyber Security Threats</b:Title>
    <b:Year>2016</b:Year>
    <b:InternetSiteTitle>TIA - Advancing Global Communications</b:InternetSiteTitle>
    <b:Month>September</b:Month>
    <b:Day>27</b:Day>
    <b:URL>http://www.tiaonline.org/news-media/blog/safeguarding-public-safety-communications-cyber-security-threats</b:URL>
    <b:Author>
      <b:Author>
        <b:NameList>
          <b:Person>
            <b:Last>Uncapher</b:Last>
            <b:First>Mark</b:First>
          </b:Person>
        </b:NameList>
      </b:Author>
    </b:Author>
    <b:YearAccessed>2017</b:YearAccessed>
    <b:MonthAccessed>June</b:MonthAccessed>
    <b:DayAccessed>05</b:DayAccessed>
    <b:RefOrder>74</b:RefOrder>
  </b:Source>
  <b:Source>
    <b:Tag>Tho05</b:Tag>
    <b:SourceType>JournalArticle</b:SourceType>
    <b:Guid>{10372CA4-8977-497D-B114-8E4DA6321E62}</b:Guid>
    <b:Author>
      <b:Author>
        <b:NameList>
          <b:Person>
            <b:Last>Thomson</b:Last>
            <b:First>Kerry-Lynn</b:First>
          </b:Person>
          <b:Person>
            <b:Last>von Solms</b:Last>
            <b:First>Rossouw</b:First>
          </b:Person>
        </b:NameList>
      </b:Author>
    </b:Author>
    <b:Title>Information security obedience: a definition</b:Title>
    <b:JournalName>Computers &amp; Security</b:JournalName>
    <b:Year>2005</b:Year>
    <b:Pages>69 - 75</b:Pages>
    <b:Volume>24</b:Volume>
    <b:Issue>1</b:Issue>
    <b:DOI>10.1016/j.cose.2004.10.005</b:DOI>
    <b:RefOrder>75</b:RefOrder>
  </b:Source>
  <b:Source>
    <b:Tag>Nib16</b:Tag>
    <b:SourceType>JournalArticle</b:SourceType>
    <b:Guid>{404875B5-F4D2-4BD2-921B-87AC368622DB}</b:Guid>
    <b:Title>Cyber Response</b:Title>
    <b:JournalName>ITNow</b:JournalName>
    <b:Year>2016</b:Year>
    <b:Pages>21</b:Pages>
    <b:Author>
      <b:Author>
        <b:NameList>
          <b:Person>
            <b:Last>Niblett</b:Last>
            <b:First>Gareth</b:First>
          </b:Person>
        </b:NameList>
      </b:Author>
    </b:Author>
    <b:Volume>58</b:Volume>
    <b:Issue>1</b:Issue>
    <b:DOI>10.1093/itnow/bww008</b:DOI>
    <b:RefOrder>76</b:RefOrder>
  </b:Source>
  <b:Source>
    <b:Tag>Jea06</b:Tag>
    <b:SourceType>Book</b:SourceType>
    <b:Guid>{E9460BDA-6773-4629-8717-EF1FC481740A}</b:Guid>
    <b:Title>Resilience engineering: concepts and precepts</b:Title>
    <b:Year>2006</b:Year>
    <b:Author>
      <b:Author>
        <b:NameList>
          <b:Person>
            <b:Last>Hollnagel</b:Last>
            <b:First>Erik</b:First>
          </b:Person>
          <b:Person>
            <b:Last>Woods</b:Last>
            <b:First>David</b:First>
            <b:Middle>D</b:Middle>
          </b:Person>
          <b:Person>
            <b:Last>Fujita</b:Last>
            <b:First>Yushi</b:First>
          </b:Person>
          <b:Person>
            <b:Last>Hale</b:Last>
            <b:First>Andrew</b:First>
          </b:Person>
          <b:Person>
            <b:Last>Heijer</b:Last>
            <b:First>Tom</b:First>
          </b:Person>
          <b:Person>
            <b:Last>Pariès</b:Last>
            <b:First>Jean</b:First>
          </b:Person>
        </b:NameList>
      </b:Author>
      <b:Editor>
        <b:NameList>
          <b:Person>
            <b:Last>Hollnagel</b:Last>
            <b:First>Erik</b:First>
          </b:Person>
          <b:Person>
            <b:Last>Woods</b:Last>
            <b:First>David</b:First>
            <b:Middle>D</b:Middle>
          </b:Person>
        </b:NameList>
      </b:Editor>
    </b:Author>
    <b:City>Boston</b:City>
    <b:Publisher>CRC Press</b:Publisher>
    <b:RefOrder>77</b:RefOrder>
  </b:Source>
  <b:Source>
    <b:Tag>Bro17</b:Tag>
    <b:SourceType>JournalArticle</b:SourceType>
    <b:Guid>{9831578B-D4DB-4FB0-ACB3-81FE285D0C3C}</b:Guid>
    <b:Author>
      <b:Author>
        <b:NameList>
          <b:Person>
            <b:Last>Brown</b:Last>
            <b:First>James</b:First>
          </b:Person>
          <b:Person>
            <b:Last>Anwar</b:Last>
            <b:First>Mohd</b:First>
          </b:Person>
          <b:Person>
            <b:Last>Dozier</b:Last>
            <b:First>Gerry</b:First>
          </b:Person>
        </b:NameList>
      </b:Author>
    </b:Author>
    <b:Title>An artificial immunity approach to malware detection in a mobile platform</b:Title>
    <b:JournalName>EURASIP Journal on Information Security</b:JournalName>
    <b:Year>2017</b:Year>
    <b:Pages>1-10</b:Pages>
    <b:Volume>2017</b:Volume>
    <b:Issue>1</b:Issue>
    <b:DOI>10.1186/s13635-017-0059-2</b:DOI>
    <b:RefOrder>78</b:RefOrder>
  </b:Source>
  <b:Source>
    <b:Tag>Hon</b:Tag>
    <b:SourceType>Book</b:SourceType>
    <b:Guid>{175E3FEF-C08B-4E0E-BDE1-973719D6D8FC}</b:Guid>
    <b:Author>
      <b:Author>
        <b:NameList>
          <b:Person>
            <b:Last>Hong</b:Last>
            <b:First>Y.-W.</b:First>
            <b:Middle>Peter</b:Middle>
          </b:Person>
          <b:Person>
            <b:Last>Huang</b:Last>
            <b:First>Wan-Je</b:First>
          </b:Person>
          <b:Person>
            <b:First>Kuo,</b:First>
            <b:Middle>C.-C. Jay</b:Middle>
          </b:Person>
        </b:NameList>
      </b:Author>
    </b:Author>
    <b:Title>Cooperative Communications and Networking</b:Title>
    <b:Year>2010</b:Year>
    <b:City>Chichester</b:City>
    <b:Publisher>Springer</b:Publisher>
    <b:RefOrder>79</b:RefOrder>
  </b:Source>
  <b:Source>
    <b:Tag>How11</b:Tag>
    <b:SourceType>Book</b:SourceType>
    <b:Guid>{4DD49224-7636-4426-9B01-66C47B12BA26}</b:Guid>
    <b:Title>Security 2020: Reduce Security Risks This Decade</b:Title>
    <b:Year>2011</b:Year>
    <b:Author>
      <b:Author>
        <b:NameList>
          <b:Person>
            <b:Last>Howard</b:Last>
            <b:First>Doug</b:First>
          </b:Person>
          <b:Person>
            <b:Last>Prince</b:Last>
            <b:First>Kevin</b:First>
          </b:Person>
          <b:Person>
            <b:Last>Schneier</b:Last>
            <b:First>Bruce</b:First>
          </b:Person>
        </b:NameList>
      </b:Author>
    </b:Author>
    <b:City>Indianapolis</b:City>
    <b:Publisher>Wiley &amp; Sons</b:Publisher>
    <b:StateProvince>IN</b:StateProvince>
    <b:Edition>Electronic</b:Edition>
    <b:DOI>9780470639559</b:DOI>
    <b:RefOrder>80</b:RefOrder>
  </b:Source>
  <b:Source>
    <b:Tag>Ayy14</b:Tag>
    <b:SourceType>JournalArticle</b:SourceType>
    <b:Guid>{1B4CB24F-2C39-4963-9BDB-DCF1CFE8890B}</b:Guid>
    <b:Title>Systems Resilience for Multihazard Environments: Definition, Metrics, and Valuation for Decision Making.</b:Title>
    <b:JournalName>Risk Analysis: An International Journal.</b:JournalName>
    <b:Year>2014</b:Year>
    <b:Pages>340-355</b:Pages>
    <b:Volume>34</b:Volume>
    <b:Issue>2</b:Issue>
    <b:Author>
      <b:Author>
        <b:NameList>
          <b:Person>
            <b:Last>Ayyub</b:Last>
            <b:Middle>M</b:Middle>
            <b:First>Bilal</b:First>
          </b:Person>
        </b:NameList>
      </b:Author>
    </b:Author>
    <b:StandardNumber>DOI: 10.1111/risa.12093</b:StandardNumber>
    <b:DOI>DOI: 10.1111/risa.12093</b:DOI>
    <b:RefOrder>81</b:RefOrder>
  </b:Source>
  <b:Source>
    <b:Tag>Hai09</b:Tag>
    <b:SourceType>JournalArticle</b:SourceType>
    <b:Guid>{083382D2-8FD4-47EF-9666-2242DB597785}</b:Guid>
    <b:Title>On the Definition of Resilience in Systems</b:Title>
    <b:Year>2009</b:Year>
    <b:JournalName>Risk Analysis</b:JournalName>
    <b:Pages>498-501</b:Pages>
    <b:Volume>29</b:Volume>
    <b:Issue>4</b:Issue>
    <b:Author>
      <b:Author>
        <b:NameList>
          <b:Person>
            <b:Last>Haimes</b:Last>
            <b:Middle>Y</b:Middle>
            <b:First>Yacov</b:First>
          </b:Person>
        </b:NameList>
      </b:Author>
    </b:Author>
    <b:StandardNumber>DOI: 10.1111/j.1539-6924.2009.01216.x</b:StandardNumber>
    <b:DOI>DOI: 10.1111/j.1539-6924.2009.01216.x</b:DOI>
    <b:RefOrder>24</b:RefOrder>
  </b:Source>
  <b:Source>
    <b:Tag>Lau17</b:Tag>
    <b:SourceType>JournalArticle</b:SourceType>
    <b:Guid>{1A53F884-3162-412D-B529-34ABEFF3AE3E}</b:Guid>
    <b:Title>Strategic Aspects of Cyber Risk Information Sharing</b:Title>
    <b:Year>2017</b:Year>
    <b:Author>
      <b:Author>
        <b:NameList>
          <b:Person>
            <b:Last>Laube</b:Last>
            <b:First>Stefan</b:First>
          </b:Person>
          <b:Person>
            <b:Last>Böhme</b:Last>
            <b:First>Rainer</b:First>
          </b:Person>
        </b:NameList>
      </b:Author>
    </b:Author>
    <b:JournalName>ACM Computing Surveys (CSUR)</b:JournalName>
    <b:Pages>1 - 36</b:Pages>
    <b:Volume>50</b:Volume>
    <b:Issue>5</b:Issue>
    <b:DOI>10.1145/3124398</b:DOI>
    <b:RefOrder>82</b:RefOrder>
  </b:Source>
  <b:Source>
    <b:Tag>McD11</b:Tag>
    <b:SourceType>Book</b:SourceType>
    <b:Guid>{C6AE5DE7-30E7-4625-BE6F-4EC87FA5F319}</b:Guid>
    <b:Author>
      <b:Author>
        <b:NameList>
          <b:Person>
            <b:Last>McDaniel Jr.</b:Last>
            <b:First>Carl</b:First>
          </b:Person>
          <b:Person>
            <b:Last>Gates</b:Last>
            <b:First>Roger</b:First>
          </b:Person>
        </b:NameList>
      </b:Author>
    </b:Author>
    <b:Title>Marketing Research Essentials Paperback</b:Title>
    <b:Year>2011</b:Year>
    <b:City>Chichester</b:City>
    <b:Publisher>John Wiley &amp; Sons</b:Publisher>
    <b:Edition>7th</b:Edition>
    <b:RefOrder>83</b:RefOrder>
  </b:Source>
  <b:Source>
    <b:Tag>Fie17</b:Tag>
    <b:SourceType>Book</b:SourceType>
    <b:Guid>{F2BDFA27-8530-45A2-B148-97D9A72C3ECD}</b:Guid>
    <b:Title>Discovering Statistics Using IBM SPSS Statistics Paperback</b:Title>
    <b:Year>2017</b:Year>
    <b:Author>
      <b:Author>
        <b:NameList>
          <b:Person>
            <b:Last>Field</b:Last>
            <b:First>Andy</b:First>
          </b:Person>
        </b:NameList>
      </b:Author>
    </b:Author>
    <b:City>London</b:City>
    <b:Publisher>Sage</b:Publisher>
    <b:Edition>5th</b:Edition>
    <b:RefOrder>84</b:RefOrder>
  </b:Source>
  <b:Source>
    <b:Tag>Mac17</b:Tag>
    <b:SourceType>Book</b:SourceType>
    <b:Guid>{3E81FC34-3762-4FDD-8360-57758993C44B}</b:Guid>
    <b:Author>
      <b:Author>
        <b:NameList>
          <b:Person>
            <b:Last>MacInnes</b:Last>
            <b:First>John</b:First>
          </b:Person>
        </b:NameList>
      </b:Author>
    </b:Author>
    <b:Title>An Introduction to Secondary Data Analysis with IBM SPSS Statistics</b:Title>
    <b:Year>2017</b:Year>
    <b:City>London</b:City>
    <b:Publisher>Sage</b:Publisher>
    <b:Edition>1st</b:Edition>
    <b:RefOrder>85</b:RefOrder>
  </b:Source>
  <b:Source>
    <b:Tag>Mil03</b:Tag>
    <b:SourceType>Book</b:SourceType>
    <b:Guid>{4505133F-2B88-47AD-8212-305E68D512ED}</b:Guid>
    <b:Title>The A-Z of Social Research</b:Title>
    <b:Year>2003</b:Year>
    <b:City>London</b:City>
    <b:Publisher>Sage</b:Publisher>
    <b:Author>
      <b:Editor>
        <b:NameList>
          <b:Person>
            <b:Last>Miller</b:Last>
            <b:First>Robert</b:First>
            <b:Middle>L.</b:Middle>
          </b:Person>
          <b:Person>
            <b:Last>Brewer</b:Last>
            <b:First>John</b:First>
          </b:Person>
        </b:NameList>
      </b:Editor>
    </b:Author>
    <b:DOI>10.4135/9780857020024</b:DOI>
    <b:RefOrder>86</b:RefOrder>
  </b:Source>
  <b:Source>
    <b:Tag>Pol99</b:Tag>
    <b:SourceType>Book</b:SourceType>
    <b:Guid>{0C9D9048-7B8D-4009-99F0-197CF309D23E}</b:Guid>
    <b:Author>
      <b:Author>
        <b:NameList>
          <b:Person>
            <b:Last>Polit</b:Last>
            <b:First>Denise</b:First>
            <b:Middle>F.</b:Middle>
          </b:Person>
          <b:Person>
            <b:Last>Hungler</b:Last>
            <b:First>Bernadette</b:First>
            <b:Middle>P.</b:Middle>
          </b:Person>
        </b:NameList>
      </b:Author>
    </b:Author>
    <b:Title>Nursing Research: Principles and Methods</b:Title>
    <b:Year>1999</b:Year>
    <b:City>Philadelphia</b:City>
    <b:Publisher>Lippincott Company</b:Publisher>
    <b:StateProvince>PA</b:StateProvince>
    <b:Edition>7th</b:Edition>
    <b:RefOrder>87</b:RefOrder>
  </b:Source>
  <b:Source>
    <b:Tag>Geo10</b:Tag>
    <b:SourceType>Book</b:SourceType>
    <b:Guid>{9FD85E66-DC1F-4E17-90D9-2E4AAB7DA5F2}</b:Guid>
    <b:Author>
      <b:Author>
        <b:NameList>
          <b:Person>
            <b:Last>George</b:Last>
            <b:First>D.</b:First>
          </b:Person>
          <b:Person>
            <b:Last>Mallery</b:Last>
            <b:First>P.</b:First>
          </b:Person>
        </b:NameList>
      </b:Author>
    </b:Author>
    <b:Title>SPSS for Windows Step by Step: A Simple Guide and Reference</b:Title>
    <b:Year>2010</b:Year>
    <b:City>Boston</b:City>
    <b:Publisher>Pearson</b:Publisher>
    <b:Edition>10th</b:Edition>
    <b:RefOrder>88</b:RefOrder>
  </b:Source>
  <b:Source>
    <b:Tag>Bla97</b:Tag>
    <b:SourceType>JournalArticle</b:SourceType>
    <b:Guid>{906F3078-EBBE-44E0-B374-C003F3BBE0C7}</b:Guid>
    <b:Author>
      <b:Author>
        <b:NameList>
          <b:Person>
            <b:Last>Bland</b:Last>
            <b:First>J.</b:First>
            <b:Middle>Martin</b:Middle>
          </b:Person>
          <b:Person>
            <b:Last>Altman</b:Last>
            <b:First>Douglas</b:First>
            <b:Middle>G.</b:Middle>
          </b:Person>
        </b:NameList>
      </b:Author>
    </b:Author>
    <b:Title>Cronbach's alpha</b:Title>
    <b:JournalName>British Medical Journal</b:JournalName>
    <b:Year>1997</b:Year>
    <b:Pages>572</b:Pages>
    <b:Volume>314</b:Volume>
    <b:Issue>7080</b:Issue>
    <b:RefOrder>89</b:RefOrder>
  </b:Source>
  <b:Source>
    <b:Tag>DeV03</b:Tag>
    <b:SourceType>Book</b:SourceType>
    <b:Guid>{8B551A6B-A15B-4D2E-850D-41C3FF0939A7}</b:Guid>
    <b:Title>Scale Development: Theory and Applications</b:Title>
    <b:Year>2003</b:Year>
    <b:Author>
      <b:Author>
        <b:NameList>
          <b:Person>
            <b:Last>DeVellis</b:Last>
            <b:First>Robert</b:First>
            <b:Middle>F.</b:Middle>
          </b:Person>
        </b:NameList>
      </b:Author>
    </b:Author>
    <b:City>London</b:City>
    <b:Publisher>Sage</b:Publisher>
    <b:RefOrder>90</b:RefOrder>
  </b:Source>
  <b:Source>
    <b:Tag>Zub16</b:Tag>
    <b:SourceType>JournalArticle</b:SourceType>
    <b:Guid>{0768C8C5-E133-4B7F-A5FC-0B6B2327D278}</b:Guid>
    <b:Title>Similarities and Differences Between Organized Crime and Terrorism</b:Title>
    <b:JournalName>Internal Security</b:JournalName>
    <b:Year>2016</b:Year>
    <b:Pages>53-70</b:Pages>
    <b:Volume>7</b:Volume>
    <b:Issue>2</b:Issue>
    <b:Author>
      <b:Author>
        <b:NameList>
          <b:Person>
            <b:Last>Zubrzycki</b:Last>
            <b:First>Waldemar</b:First>
          </b:Person>
        </b:NameList>
      </b:Author>
    </b:Author>
    <b:DOI>10.5604/20805268.1212112</b:DOI>
    <b:RefOrder>91</b:RefOrder>
  </b:Source>
  <b:Source>
    <b:Tag>Yoo16</b:Tag>
    <b:SourceType>JournalArticle</b:SourceType>
    <b:Guid>{03A24B1B-B674-4E0E-80E5-6B56D54ED7EC}</b:Guid>
    <b:Title>Evaluating the readiness of cyber first responders responsible for critical infrastructure protection</b:Title>
    <b:JournalName>International Journal of Critical Infrastructure Protection</b:JournalName>
    <b:Year>2016</b:Year>
    <b:Pages>[article in press]</b:Pages>
    <b:Author>
      <b:Author>
        <b:NameList>
          <b:Person>
            <b:Last>Yoon</b:Last>
            <b:First>Jungsang</b:First>
          </b:Person>
          <b:Person>
            <b:Last>Dunlap</b:Last>
            <b:First>Stephen</b:First>
          </b:Person>
          <b:Person>
            <b:Last>Butts</b:Last>
            <b:First>Jonathan</b:First>
          </b:Person>
          <b:Person>
            <b:Last>Rice</b:Last>
            <b:First>Mason</b:First>
          </b:Person>
          <b:Person>
            <b:Last>Ramsey</b:Last>
            <b:First>Benjamin</b:First>
          </b:Person>
        </b:NameList>
      </b:Author>
    </b:Author>
    <b:StandardNumber>DOI: 10.1016/j.ijcip.2016.02.003</b:StandardNumber>
    <b:RefOrder>92</b:RefOrder>
  </b:Source>
  <b:Source>
    <b:Tag>Woo15</b:Tag>
    <b:SourceType>JournalArticle</b:SourceType>
    <b:Guid>{0518A3D8-423D-40FA-9A92-7EAAC58C09B5}</b:Guid>
    <b:Title>Some Dare Call It Conspiracy: Labeling Something a Conspiracy Theory Does Not Reduce Belief in It</b:Title>
    <b:Year>2015</b:Year>
    <b:JournalName>Political Psychology</b:JournalName>
    <b:Pages>695-705</b:Pages>
    <b:Volume>37</b:Volume>
    <b:Issue>5</b:Issue>
    <b:Author>
      <b:Author>
        <b:NameList>
          <b:Person>
            <b:Last>Wood</b:Last>
            <b:Middle>J</b:Middle>
            <b:First>Michael</b:First>
          </b:Person>
        </b:NameList>
      </b:Author>
    </b:Author>
    <b:DOI>10.1111/pops.12285</b:DOI>
    <b:RefOrder>93</b:RefOrder>
  </b:Source>
  <b:Source>
    <b:Tag>Won14</b:Tag>
    <b:SourceType>JournalArticle</b:SourceType>
    <b:Guid>{D174BB61-8699-4E06-8A03-7688B4CEE428}</b:Guid>
    <b:Title>Corporate sustainability through non-financial risk management</b:Title>
    <b:JournalName>Corporate Governance</b:JournalName>
    <b:Year>2014</b:Year>
    <b:Pages>575-586</b:Pages>
    <b:Volume>14</b:Volume>
    <b:Issue>4</b:Issue>
    <b:Author>
      <b:Author>
        <b:NameList>
          <b:Person>
            <b:Last>Wong</b:Last>
            <b:First>Anson</b:First>
          </b:Person>
        </b:NameList>
      </b:Author>
    </b:Author>
    <b:DOI>10.1108/CG-02-2013-0026</b:DOI>
    <b:RefOrder>94</b:RefOrder>
  </b:Source>
  <b:Source>
    <b:Tag>War16</b:Tag>
    <b:SourceType>JournalArticle</b:SourceType>
    <b:Guid>{CB5910C0-D380-43A5-A061-932C37A8B1D9}</b:Guid>
    <b:Title>Defending Our Data: The Need for Information We Do Not Have</b:Title>
    <b:JournalName>Chicago Kent Law Review</b:JournalName>
    <b:Year>2016</b:Year>
    <b:Pages>Article in Print</b:Pages>
    <b:Volume>Article in Print</b:Volume>
    <b:Issue>Article in Print</b:Issue>
    <b:Author>
      <b:Author>
        <b:NameList>
          <b:Person>
            <b:Last>Warner</b:Last>
            <b:First>Richard</b:First>
          </b:Person>
          <b:Person>
            <b:Last>Sloan</b:Last>
            <b:Middle>H</b:Middle>
            <b:First>Robert</b:First>
          </b:Person>
        </b:NameList>
      </b:Author>
    </b:Author>
    <b:RefOrder>95</b:RefOrder>
  </b:Source>
  <b:Source>
    <b:Tag>Vel10</b:Tag>
    <b:SourceType>Book</b:SourceType>
    <b:Guid>{9FE6D0E4-6EA7-4650-9555-166E5EA42658}</b:Guid>
    <b:Title>Cloud Computing: A Practical Approach</b:Title>
    <b:Year>2010</b:Year>
    <b:City>New York</b:City>
    <b:Publisher>McGraw Hill</b:Publisher>
    <b:Author>
      <b:Author>
        <b:NameList>
          <b:Person>
            <b:Last>Velte</b:Last>
            <b:Middle>T</b:Middle>
            <b:First>Anthony</b:First>
          </b:Person>
          <b:Person>
            <b:Last>Velte</b:Last>
            <b:Middle>J</b:Middle>
            <b:First>Toby</b:First>
          </b:Person>
          <b:Person>
            <b:Last>Elsenpeter</b:Last>
            <b:First>Robert</b:First>
          </b:Person>
        </b:NameList>
      </b:Author>
    </b:Author>
    <b:RefOrder>96</b:RefOrder>
  </b:Source>
  <b:Source>
    <b:Tag>Vas13</b:Tag>
    <b:SourceType>JournalArticle</b:SourceType>
    <b:Guid>{08B0F17A-B8A1-4B8F-9802-6A63DF8F064F}</b:Guid>
    <b:Title>Corporate espionage The insider threat</b:Title>
    <b:JournalName>Business Information Review</b:JournalName>
    <b:Year>2013</b:Year>
    <b:Pages>83-90</b:Pages>
    <b:Volume>30</b:Volume>
    <b:Issue>2</b:Issue>
    <b:Author>
      <b:Author>
        <b:NameList>
          <b:Person>
            <b:Last>Vashisth</b:Last>
            <b:First>Akanksha</b:First>
          </b:Person>
          <b:Person>
            <b:Last>Kumar</b:Last>
            <b:First>Avinash</b:First>
          </b:Person>
        </b:NameList>
      </b:Author>
    </b:Author>
    <b:RefOrder>97</b:RefOrder>
  </b:Source>
  <b:Source>
    <b:Tag>Var16</b:Tag>
    <b:SourceType>JournalArticle</b:SourceType>
    <b:Guid>{A22295A6-6907-431A-8B82-F83B39D29905}</b:Guid>
    <b:Title>When it rains, it pours: protecting student data stored in the cloud</b:Title>
    <b:JournalName>When it rains, it pours: protecting student data stored in the cloud</b:JournalName>
    <b:Year>2016</b:Year>
    <b:Pages>94-119</b:Pages>
    <b:Author>
      <b:Author>
        <b:NameList>
          <b:Person>
            <b:Last>Varella</b:Last>
            <b:First>Loree</b:First>
          </b:Person>
        </b:NameList>
      </b:Author>
    </b:Author>
    <b:Volume>2016</b:Volume>
    <b:Issue>1</b:Issue>
    <b:RefOrder>98</b:RefOrder>
  </b:Source>
  <b:Source>
    <b:Tag>van17</b:Tag>
    <b:SourceType>JournalArticle</b:SourceType>
    <b:Guid>{45A23314-68F4-427E-BBE1-F5BEA5AA34FA}</b:Guid>
    <b:Title>Risk perceptions of cyber-security and precautionary behaviour</b:Title>
    <b:JournalName>Computers in Human Behavior</b:JournalName>
    <b:Year>2017</b:Year>
    <b:Pages>547-559</b:Pages>
    <b:Author>
      <b:Author>
        <b:NameList>
          <b:Person>
            <b:Last>van Schaik</b:Last>
            <b:First>Paul</b:First>
          </b:Person>
          <b:Person>
            <b:Last>Jeske</b:Last>
            <b:First>Debora</b:First>
          </b:Person>
          <b:Person>
            <b:Last>Onibokun</b:Last>
            <b:First>Joseph</b:First>
          </b:Person>
          <b:Person>
            <b:Last>Coventry</b:Last>
            <b:First>Lynne</b:First>
          </b:Person>
          <b:Person>
            <b:Last>Jansen</b:Last>
            <b:First>Jurjen</b:First>
          </b:Person>
          <b:Person>
            <b:Last>Kusev</b:Last>
            <b:First>Petko</b:First>
          </b:Person>
        </b:NameList>
      </b:Author>
    </b:Author>
    <b:Volume>75</b:Volume>
    <b:DOI>10.1016/j.chb.2017.05.038</b:DOI>
    <b:RefOrder>99</b:RefOrder>
  </b:Source>
  <b:Source>
    <b:Tag>Val12</b:Tag>
    <b:SourceType>JournalArticle</b:SourceType>
    <b:Guid>{8AA14E3D-3E99-40ED-9134-E878273419E3}</b:Guid>
    <b:Title>Managing knowledge within networked innovation</b:Title>
    <b:JournalName>Knowledge Management Research &amp; Practice</b:JournalName>
    <b:Year>2012</b:Year>
    <b:Pages>27-40</b:Pages>
    <b:Author>
      <b:Author>
        <b:NameList>
          <b:Person>
            <b:Last>Valkokari</b:Last>
            <b:First>K</b:First>
          </b:Person>
          <b:Person>
            <b:Last>Paasi</b:Last>
            <b:First>J</b:First>
          </b:Person>
          <b:Person>
            <b:Last>Rantala</b:Last>
            <b:First>T</b:First>
          </b:Person>
        </b:NameList>
      </b:Author>
    </b:Author>
    <b:Volume>10</b:Volume>
    <b:Issue>1</b:Issue>
    <b:RefOrder>100</b:RefOrder>
  </b:Source>
  <b:Source>
    <b:Tag>Tur11</b:Tag>
    <b:SourceType>JournalArticle</b:SourceType>
    <b:Guid>{0A4AD567-6165-4081-A063-B2CBF103588B}</b:Guid>
    <b:Title>Empirical study of public sector employee loyalty and satisfaction</b:Title>
    <b:JournalName>Industrial Management &amp; Data Systems</b:JournalName>
    <b:Year>2011</b:Year>
    <b:Pages>675-696</b:Pages>
    <b:Author>
      <b:Author>
        <b:NameList>
          <b:Person>
            <b:Last>Turkyilmaz</b:Last>
            <b:First>Ali</b:First>
          </b:Person>
          <b:Person>
            <b:Last>Akman</b:Last>
            <b:First>Gulsen</b:First>
          </b:Person>
          <b:Person>
            <b:Last>Ozcan</b:Last>
            <b:First>Coskun</b:First>
          </b:Person>
          <b:Person>
            <b:Last>Pastuszak</b:Last>
            <b:First>Zbigniew</b:First>
          </b:Person>
        </b:NameList>
      </b:Author>
    </b:Author>
    <b:Volume>111</b:Volume>
    <b:Issue>5</b:Issue>
    <b:DOI>10.1108/02635571111137250</b:DOI>
    <b:RefOrder>101</b:RefOrder>
  </b:Source>
  <b:Source>
    <b:Tag>Tsi13</b:Tag>
    <b:SourceType>JournalArticle</b:SourceType>
    <b:Guid>{B2E060F9-EA88-4EF4-97C7-7D79C786758E}</b:Guid>
    <b:Title>Assessing the genuineness of events in runtime monitoring of cyber systems</b:Title>
    <b:JournalName>Computers &amp; Security</b:JournalName>
    <b:Year>2013</b:Year>
    <b:Pages>76-96</b:Pages>
    <b:Author>
      <b:Author>
        <b:NameList>
          <b:Person>
            <b:Last>Tsigkritis</b:Last>
            <b:First>Theocharis</b:First>
          </b:Person>
          <b:Person>
            <b:Last>Spanoudakis</b:Last>
            <b:First>George</b:First>
          </b:Person>
        </b:NameList>
      </b:Author>
    </b:Author>
    <b:Volume>38</b:Volume>
    <b:Issue>October</b:Issue>
    <b:DOI>10.1016/j.cose.2013.03.011</b:DOI>
    <b:RefOrder>102</b:RefOrder>
  </b:Source>
  <b:Source>
    <b:Tag>Tra16</b:Tag>
    <b:SourceType>JournalArticle</b:SourceType>
    <b:Guid>{5A6C30C1-4033-4CCD-8EC8-E734140ABD50}</b:Guid>
    <b:Title>Cyber resilience recovery model to combat zero-day malware attacks</b:Title>
    <b:JournalName>computers &amp; security</b:JournalName>
    <b:Year>2016</b:Year>
    <b:Pages>19-31</b:Pages>
    <b:Author>
      <b:Author>
        <b:NameList>
          <b:Person>
            <b:Last>Tran</b:Last>
            <b:First>Hiep</b:First>
          </b:Person>
          <b:Person>
            <b:Last>Campos-Nanez</b:Last>
            <b:First>Enrique</b:First>
          </b:Person>
          <b:Person>
            <b:Last>Fomin</b:Last>
            <b:First>Pavel</b:First>
          </b:Person>
          <b:Person>
            <b:Last>Wasek</b:Last>
            <b:First>James</b:First>
          </b:Person>
        </b:NameList>
      </b:Author>
    </b:Author>
    <b:Volume>61</b:Volume>
    <b:Issue>August</b:Issue>
    <b:DOI>10.1016/j.cose.2016.05.001</b:DOI>
    <b:RefOrder>103</b:RefOrder>
  </b:Source>
  <b:Source>
    <b:Tag>Hel032</b:Tag>
    <b:SourceType>BookSection</b:SourceType>
    <b:Guid>{7A2ACD97-1294-465B-9B77-B3BD30CB89A0}</b:Guid>
    <b:Title>23. Globalization and Cultural Identity</b:Title>
    <b:Year>2003</b:Year>
    <b:City>Malden</b:City>
    <b:Publisher>Polity</b:Publisher>
    <b:BookTitle>The Global Transformations Reader: An Introduction to the Globalisation Debate</b:BookTitle>
    <b:Pages>269-277</b:Pages>
    <b:Author>
      <b:Editor>
        <b:NameList>
          <b:Person>
            <b:Last>Held</b:Last>
            <b:First>D</b:First>
          </b:Person>
          <b:Person>
            <b:Last>McGrew</b:Last>
            <b:First>A</b:First>
          </b:Person>
        </b:NameList>
      </b:Editor>
      <b:Author>
        <b:NameList>
          <b:Person>
            <b:Last>Tomlinson</b:Last>
            <b:First>John</b:First>
          </b:Person>
        </b:NameList>
      </b:Author>
    </b:Author>
    <b:RefOrder>104</b:RefOrder>
  </b:Source>
  <b:Source>
    <b:Tag>Sti16</b:Tag>
    <b:SourceType>JournalArticle</b:SourceType>
    <b:Guid>{0B05E36D-BFA2-4DD1-8D99-1C42FCA59F3B}</b:Guid>
    <b:Title>Using dynamic models to support inferences of insider threat risk</b:Title>
    <b:Year>2016</b:Year>
    <b:JournalName>Computational and Mathematical Organization Theory</b:JournalName>
    <b:Pages>350-381</b:Pages>
    <b:Volume>22</b:Volume>
    <b:Issue>3</b:Issue>
    <b:Author>
      <b:Author>
        <b:NameList>
          <b:Person>
            <b:Last>Sticha</b:Last>
            <b:Middle>J</b:Middle>
            <b:First>Paul</b:First>
          </b:Person>
          <b:Person>
            <b:Last>Axelrad</b:Last>
            <b:Middle>T</b:Middle>
            <b:First>Elise</b:First>
          </b:Person>
        </b:NameList>
      </b:Author>
    </b:Author>
    <b:DOI>10.1007/s10588-016-9209-1</b:DOI>
    <b:RefOrder>105</b:RefOrder>
  </b:Source>
  <b:Source>
    <b:Tag>Ste15</b:Tag>
    <b:SourceType>JournalArticle</b:SourceType>
    <b:Guid>{4A33D6F4-A8D2-422C-AAC0-3CCA48F4E94B}</b:Guid>
    <b:Title>Improving Cybersecurity Incident Response Team Effectiveness Using Teams-Based Research</b:Title>
    <b:JournalName>IEEE Security &amp; Privacy</b:JournalName>
    <b:Year>2015</b:Year>
    <b:Pages>20-29</b:Pages>
    <b:Author>
      <b:Author>
        <b:NameList>
          <b:Person>
            <b:Last>Steinke</b:Last>
            <b:First>Julie</b:First>
          </b:Person>
          <b:Person>
            <b:Last>Bolunmez</b:Last>
            <b:First>Balca</b:First>
          </b:Person>
          <b:Person>
            <b:Last>Fletcher</b:Last>
            <b:First>Laura</b:First>
          </b:Person>
          <b:Person>
            <b:Last>Wang</b:Last>
            <b:First>Vicki</b:First>
          </b:Person>
          <b:Person>
            <b:Last>Tomassetti</b:Last>
            <b:Middle>J</b:Middle>
            <b:First>Alan</b:First>
          </b:Person>
          <b:Person>
            <b:Last>Repchick</b:Last>
            <b:Middle>M</b:Middle>
            <b:First>Kristin</b:First>
          </b:Person>
          <b:Person>
            <b:Last>Zaccaro</b:Last>
            <b:Middle>J</b:Middle>
            <b:First>Stephen</b:First>
          </b:Person>
          <b:Person>
            <b:Last>Dalal</b:Last>
            <b:Middle>S</b:Middle>
            <b:First>Reeshad</b:First>
          </b:Person>
          <b:Person>
            <b:Last>Tetrick</b:Last>
            <b:Middle>E</b:Middle>
            <b:First>Lois</b:First>
          </b:Person>
        </b:NameList>
      </b:Author>
    </b:Author>
    <b:Volume>13</b:Volume>
    <b:Issue>4</b:Issue>
    <b:DOI>10.1109/MSP.2015.71</b:DOI>
    <b:RefOrder>106</b:RefOrder>
  </b:Source>
  <b:Source>
    <b:Tag>Som13</b:Tag>
    <b:SourceType>JournalArticle</b:SourceType>
    <b:Guid>{95509851-2C03-4D97-BD4C-13E5B0CE4FAF}</b:Guid>
    <b:Author>
      <b:Author>
        <b:NameList>
          <b:Person>
            <b:Last>Sommestad</b:Last>
            <b:First>Teodor</b:First>
          </b:Person>
          <b:Person>
            <b:Last>Ekstedt</b:Last>
            <b:First>Mathias</b:First>
          </b:Person>
          <b:Person>
            <b:Last>Holm</b:Last>
            <b:First>Hannes</b:First>
          </b:Person>
        </b:NameList>
      </b:Author>
    </b:Author>
    <b:Title>The Cyber Security Modeling Language: A Tool for Assessing the Vulnerability of Enterprise System Architectures</b:Title>
    <b:JournalName>IEEE Systems Journal</b:JournalName>
    <b:Year>2013</b:Year>
    <b:Pages>363 - 373</b:Pages>
    <b:Volume>7</b:Volume>
    <b:Issue>3</b:Issue>
    <b:DOI>10.1109/JSYST.2012.2221853</b:DOI>
    <b:RefOrder>107</b:RefOrder>
  </b:Source>
  <b:Source>
    <b:Tag>Smi15</b:Tag>
    <b:SourceType>JournalArticle</b:SourceType>
    <b:Guid>{00BFBA67-E222-41B2-81FD-B3BCBF8C1933}</b:Guid>
    <b:Title>Management models for international cybercrime</b:Title>
    <b:JournalName>Journal of Financial Crime</b:JournalName>
    <b:Year>2015</b:Year>
    <b:Pages>104-125</b:Pages>
    <b:Volume>22</b:Volume>
    <b:Issue>1</b:Issue>
    <b:Author>
      <b:Author>
        <b:NameList>
          <b:Person>
            <b:Last>Smith</b:Last>
            <b:Middle>Stevenson</b:Middle>
            <b:First>G</b:First>
          </b:Person>
        </b:NameList>
      </b:Author>
    </b:Author>
    <b:RefOrder>108</b:RefOrder>
  </b:Source>
  <b:Source>
    <b:Tag>Smi02</b:Tag>
    <b:SourceType>JournalArticle</b:SourceType>
    <b:Guid>{E0D08EA6-46F8-4210-BD7B-994AB0F1834E}</b:Guid>
    <b:Title>Issues in cybersecurity; understanding the potential risks associated with hackers/crackers</b:Title>
    <b:JournalName>Information Management &amp; Computer Security</b:JournalName>
    <b:Year>2002</b:Year>
    <b:Pages>178-183</b:Pages>
    <b:Author>
      <b:Author>
        <b:NameList>
          <b:Person>
            <b:Last>Smith</b:Last>
            <b:Middle>D</b:Middle>
            <b:First>Alan</b:First>
          </b:Person>
          <b:Person>
            <b:Last>Rupp</b:Last>
            <b:Middle>T</b:Middle>
            <b:First>William</b:First>
          </b:Person>
        </b:NameList>
      </b:Author>
    </b:Author>
    <b:Volume>10</b:Volume>
    <b:Issue>4</b:Issue>
    <b:DOI>10.1108/09685220210436976</b:DOI>
    <b:RefOrder>109</b:RefOrder>
  </b:Source>
  <b:Source>
    <b:Tag>Sko16</b:Tag>
    <b:SourceType>JournalArticle</b:SourceType>
    <b:Guid>{8C31764B-421B-4541-8999-E4D7101D9502}</b:Guid>
    <b:Title>A problem shared is a problem halved: A survey on the dimensions of collective cyber defense through security information sharing</b:Title>
    <b:JournalName>Computers &amp; Security</b:JournalName>
    <b:Year>2016</b:Year>
    <b:Pages>154-176</b:Pages>
    <b:Author>
      <b:Author>
        <b:NameList>
          <b:Person>
            <b:Last>Skopik</b:Last>
            <b:First>Florian</b:First>
          </b:Person>
          <b:Person>
            <b:Last>Settanni</b:Last>
            <b:First>Giuseppe</b:First>
          </b:Person>
          <b:Person>
            <b:Last>Fiedler</b:Last>
            <b:First>Roman</b:First>
          </b:Person>
        </b:NameList>
      </b:Author>
    </b:Author>
    <b:Volume>60</b:Volume>
    <b:Issue>July</b:Issue>
    <b:DOI>10.1016/j.cose.2016.04.003</b:DOI>
    <b:RefOrder>110</b:RefOrder>
  </b:Source>
  <b:Source>
    <b:Tag>Sil00</b:Tag>
    <b:SourceType>Book</b:SourceType>
    <b:Guid>{AA53F0FB-D8F3-42B8-860E-489248D121C4}</b:Guid>
    <b:Title>Doing Qualitative Research</b:Title>
    <b:Year>2000</b:Year>
    <b:City>London</b:City>
    <b:Publisher>Sage Publications Ltd</b:Publisher>
    <b:Author>
      <b:Author>
        <b:NameList>
          <b:Person>
            <b:Last>Silverman</b:Last>
            <b:First>David</b:First>
          </b:Person>
        </b:NameList>
      </b:Author>
    </b:Author>
    <b:RefOrder>111</b:RefOrder>
  </b:Source>
  <b:Source>
    <b:Tag>Sil16</b:Tag>
    <b:SourceType>JournalArticle</b:SourceType>
    <b:Guid>{E96E45F0-EC9C-47D2-B1A2-EC89D1078F9E}</b:Guid>
    <b:Title>The dark side of social networking sites:Understanding phishing risks</b:Title>
    <b:JournalName>Computers in human behavior</b:JournalName>
    <b:Year>2016</b:Year>
    <b:Pages>35-43</b:Pages>
    <b:Author>
      <b:Author>
        <b:NameList>
          <b:Person>
            <b:Last>Silic</b:Last>
            <b:First>Mario</b:First>
          </b:Person>
          <b:Person>
            <b:Last>Back</b:Last>
            <b:First>Andrea</b:First>
          </b:Person>
        </b:NameList>
      </b:Author>
    </b:Author>
    <b:Volume>60</b:Volume>
    <b:Issue>July</b:Issue>
    <b:DOI>10.1016/j.chb.2016.02.050</b:DOI>
    <b:RefOrder>112</b:RefOrder>
  </b:Source>
  <b:Source>
    <b:Tag>Shu14</b:Tag>
    <b:SourceType>JournalArticle</b:SourceType>
    <b:Guid>{EA6548E2-C459-4CEE-905B-397009EC6273}</b:Guid>
    <b:Title>DNSSEC for cyber forensics</b:Title>
    <b:JournalName>EURASIP Journal on Information Security</b:JournalName>
    <b:Year>2014</b:Year>
    <b:Author>
      <b:Author>
        <b:NameList>
          <b:Person>
            <b:Last>Shulman</b:Last>
            <b:First>Haya</b:First>
          </b:Person>
          <b:Person>
            <b:Last>Waidner</b:Last>
            <b:First>Michael</b:First>
          </b:Person>
        </b:NameList>
      </b:Author>
    </b:Author>
    <b:Volume>2014</b:Volume>
    <b:Issue>16</b:Issue>
    <b:DOI>10.1186%2Fs13635-014-0016-2</b:DOI>
    <b:RefOrder>113</b:RefOrder>
  </b:Source>
  <b:Source>
    <b:Tag>Shi1A</b:Tag>
    <b:SourceType>JournalArticle</b:SourceType>
    <b:Guid>{82CF76AC-0FC8-44D5-B3B4-65132218D9CF}</b:Guid>
    <b:Title>Development of a cyber security risk model using Bayesian networks</b:Title>
    <b:JournalName>Reliability Engineering and System Safety</b:JournalName>
    <b:Year>2015</b:Year>
    <b:Pages>209-217</b:Pages>
    <b:Author>
      <b:Author>
        <b:NameList>
          <b:Person>
            <b:Last>Shin</b:Last>
            <b:First>Jinsoo</b:First>
          </b:Person>
          <b:Person>
            <b:Last>Son</b:Last>
            <b:First>Hanseong</b:First>
          </b:Person>
          <b:Person>
            <b:Last>ur</b:Last>
            <b:Middle>Khalil</b:Middle>
            <b:First>Rahman</b:First>
          </b:Person>
          <b:Person>
            <b:Last>Heo</b:Last>
            <b:First>Gyunyoung</b:First>
          </b:Person>
        </b:NameList>
      </b:Author>
    </b:Author>
    <b:Volume>134</b:Volume>
    <b:Issue>2015</b:Issue>
    <b:DOI>10.1016/j.ress.2014.10.006</b:DOI>
    <b:RefOrder>114</b:RefOrder>
  </b:Source>
  <b:Source>
    <b:Tag>Shi12</b:Tag>
    <b:SourceType>Book</b:SourceType>
    <b:Guid>{240816E2-F0E1-48EC-BC0C-AB4503111736}</b:Guid>
    <b:Title>The Nature of Code</b:Title>
    <b:Year>2012</b:Year>
    <b:Publisher>Shiffman</b:Publisher>
    <b:City>New York</b:City>
    <b:Edition>1st</b:Edition>
    <b:Author>
      <b:Author>
        <b:NameList>
          <b:Person>
            <b:Last>Shiffman</b:Last>
            <b:First>Daniel</b:First>
          </b:Person>
        </b:NameList>
      </b:Author>
    </b:Author>
    <b:StateProvince>NY</b:StateProvince>
    <b:URL>http://natureofcode.com/book/chapter-10-neural-networks/</b:URL>
    <b:RefOrder>115</b:RefOrder>
  </b:Source>
  <b:Source>
    <b:Tag>Sha151</b:Tag>
    <b:SourceType>JournalArticle</b:SourceType>
    <b:Guid>{B735F94B-83CB-4E93-8E75-646A2AD75D7D}</b:Guid>
    <b:Title>Mobile Cloud Computing: Its Challenges and Solutions</b:Title>
    <b:Year>2015</b:Year>
    <b:JournalName>International Journal of Computer Science and Mobile Computing</b:JournalName>
    <b:Pages>287-293</b:Pages>
    <b:Author>
      <b:Author>
        <b:NameList>
          <b:Person>
            <b:Last>Sharma</b:Last>
            <b:Middle>S</b:Middle>
            <b:First>Poonam</b:First>
          </b:Person>
          <b:Person>
            <b:Last>Bohra</b:Last>
            <b:Middle>U</b:Middle>
            <b:First>Sneha</b:First>
          </b:Person>
        </b:NameList>
      </b:Author>
    </b:Author>
    <b:Volume>4</b:Volume>
    <b:Issue>5</b:Issue>
    <b:URL>Available Online at www.ijcsmc.com</b:URL>
    <b:RefOrder>116</b:RefOrder>
  </b:Source>
  <b:Source>
    <b:Tag>Sha14</b:Tag>
    <b:SourceType>JournalArticle</b:SourceType>
    <b:Guid>{C7914EB0-2DA1-4C0C-A6D5-1E6C1E8A02DF}</b:Guid>
    <b:Title>ARITO: Cyber-attack response system using accurate risk impact tolerance</b:Title>
    <b:JournalName>International Journal of Information Security</b:JournalName>
    <b:Year>2014</b:Year>
    <b:Pages>367-390</b:Pages>
    <b:Author>
      <b:Author>
        <b:NameList>
          <b:Person>
            <b:Last>Shameli-Sendi</b:Last>
            <b:First>Alireza</b:First>
          </b:Person>
          <b:Person>
            <b:Last>Dagenais</b:Last>
            <b:First>Michel</b:First>
          </b:Person>
        </b:NameList>
      </b:Author>
    </b:Author>
    <b:Volume>13</b:Volume>
    <b:Issue>4</b:Issue>
    <b:DOI>10.1007/s10207-013-0222-9</b:DOI>
    <b:RefOrder>117</b:RefOrder>
  </b:Source>
  <b:Source>
    <b:Tag>Sha13</b:Tag>
    <b:SourceType>JournalArticle</b:SourceType>
    <b:Guid>{0ADA4278-38D4-4A72-B8CD-E70F6C694F55}</b:Guid>
    <b:Title>The Dragon and the Computer: Why Intellectual Property Theft is Compatible with Chinese Cyber-Warfare Doctrine</b:Title>
    <b:JournalName>Cryptography and Security (cs.CR)</b:JournalName>
    <b:Year>2013</b:Year>
    <b:Pages>1-13</b:Pages>
    <b:Author>
      <b:Author>
        <b:NameList>
          <b:Person>
            <b:Last>Shakarian</b:Last>
            <b:First>Paulo</b:First>
          </b:Person>
          <b:Person>
            <b:Last>Shakarian</b:Last>
            <b:First>Jana</b:First>
          </b:Person>
          <b:Person>
            <b:Last>Ruef</b:Last>
            <b:First>Andrew</b:First>
          </b:Person>
        </b:NameList>
      </b:Author>
    </b:Author>
    <b:Volume>1309</b:Volume>
    <b:Issue>6450v1</b:Issue>
    <b:StandardNumber>arXiv:1309.6450v1 [cs.CR] for this version</b:StandardNumber>
    <b:RefOrder>118</b:RefOrder>
  </b:Source>
  <b:Source>
    <b:Tag>Sha16</b:Tag>
    <b:SourceType>JournalArticle</b:SourceType>
    <b:Guid>{3F6B78B2-416B-420D-B271-794E71D9864C}</b:Guid>
    <b:Title>Sustainable Cybersecurity: Applying Lessons from the Green Movement to Managing Cyber Attacks</b:Title>
    <b:Year>2016</b:Year>
    <b:JournalName>University of Illinois Law Review</b:JournalName>
    <b:Volume>2016</b:Volume>
    <b:Author>
      <b:Author>
        <b:NameList>
          <b:Person>
            <b:Last>Shackelford</b:Last>
            <b:First>Scott</b:First>
          </b:Person>
          <b:Person>
            <b:Last>Fort</b:Last>
            <b:Middle>L</b:Middle>
            <b:First>Timothy</b:First>
          </b:Person>
        </b:NameList>
      </b:Author>
    </b:Author>
    <b:RefOrder>119</b:RefOrder>
  </b:Source>
  <b:Source>
    <b:Tag>Sei16</b:Tag>
    <b:SourceType>JournalArticle</b:SourceType>
    <b:Guid>{BC3058CC-8635-4959-96C5-C7B2DBFB6AFB}</b:Guid>
    <b:Title>A Security Analysis of Cyber-Physical Systems Architecture for Healthcare</b:Title>
    <b:JournalName>Computers</b:JournalName>
    <b:Year>2016</b:Year>
    <b:Pages>1-24</b:Pages>
    <b:Author>
      <b:Author>
        <b:NameList>
          <b:Person>
            <b:Last>Seifert</b:Last>
            <b:First>Darren</b:First>
          </b:Person>
          <b:Person>
            <b:Last>Reza</b:Last>
            <b:First>Hassan</b:First>
          </b:Person>
        </b:NameList>
      </b:Author>
    </b:Author>
    <b:Volume>5</b:Volume>
    <b:Issue>4</b:Issue>
    <b:DOI>10.3390/computers5040027</b:DOI>
    <b:RefOrder>120</b:RefOrder>
  </b:Source>
  <b:Source>
    <b:Tag>Sed17</b:Tag>
    <b:SourceType>JournalArticle</b:SourceType>
    <b:Guid>{F5105F04-B71C-4B2D-AE6A-B627577A2F46}</b:Guid>
    <b:Title>A Hierarchical Detection and Response System to Enhance Security Against Lethal Cyber-Attacks in UAV Networks</b:Title>
    <b:JournalName>IEEE Transactions on Systems, Man, and Cybernetics: Systems</b:JournalName>
    <b:Year>2017</b:Year>
    <b:Pages>1-13</b:Pages>
    <b:Author>
      <b:Author>
        <b:NameList>
          <b:Person>
            <b:Last>Sedjelmaci</b:Last>
            <b:First>Hichem</b:First>
          </b:Person>
          <b:Person>
            <b:Last>Senouci</b:Last>
            <b:First>Sidi</b:First>
            <b:Middle>Mohammed</b:Middle>
          </b:Person>
          <b:Person>
            <b:Last>Ansari</b:Last>
            <b:First>Nirwan</b:First>
          </b:Person>
        </b:NameList>
      </b:Author>
    </b:Author>
    <b:Volume>PP</b:Volume>
    <b:Issue>99</b:Issue>
    <b:DOI>10.1109/TSMC.2017.2681698</b:DOI>
    <b:RefOrder>121</b:RefOrder>
  </b:Source>
  <b:Source>
    <b:Tag>Sau12</b:Tag>
    <b:SourceType>Book</b:SourceType>
    <b:Guid>{46E621D0-B60C-4766-9592-23DC36CE69FF}</b:Guid>
    <b:Title>Research Methods for Business Students</b:Title>
    <b:Year>2012</b:Year>
    <b:City>Harlow</b:City>
    <b:Publisher>Pearson</b:Publisher>
    <b:Author>
      <b:Author>
        <b:NameList>
          <b:Person>
            <b:Last>Saunders</b:Last>
            <b:First>M</b:First>
          </b:Person>
          <b:Person>
            <b:Last>Lewis</b:Last>
            <b:First>P</b:First>
          </b:Person>
          <b:Person>
            <b:Last>Thornhill</b:Last>
            <b:First>A</b:First>
          </b:Person>
        </b:NameList>
      </b:Author>
    </b:Author>
    <b:Edition>6th</b:Edition>
    <b:RefOrder>122</b:RefOrder>
  </b:Source>
  <b:Source>
    <b:Tag>San16</b:Tag>
    <b:SourceType>JournalArticle</b:SourceType>
    <b:Guid>{2DC47346-3F22-4683-9FA7-3323865F0BF1}</b:Guid>
    <b:Title>A cyber attack-resilient server inspired by biological diversity</b:Title>
    <b:JournalName>Artificial Life and Robotics</b:JournalName>
    <b:Year>2016</b:Year>
    <b:Pages>345-350</b:Pages>
    <b:Author>
      <b:Author>
        <b:NameList>
          <b:Person>
            <b:Last>Sano</b:Last>
            <b:First>Fumikazu</b:First>
          </b:Person>
          <b:Person>
            <b:Last>Okamoto</b:Last>
            <b:First>Takeshi</b:First>
          </b:Person>
          <b:Person>
            <b:Last>Winarno</b:Last>
            <b:First>Idris</b:First>
          </b:Person>
          <b:Person>
            <b:Last>Hata</b:Last>
            <b:First>Yoshikazu</b:First>
          </b:Person>
          <b:Person>
            <b:Last>Ishida</b:Last>
            <b:First>Yoshiteru</b:First>
          </b:Person>
        </b:NameList>
      </b:Author>
    </b:Author>
    <b:Volume>21</b:Volume>
    <b:Issue>3</b:Issue>
    <b:DOI>10.1007/s10015-016-0286-5</b:DOI>
    <b:RefOrder>123</b:RefOrder>
  </b:Source>
  <b:Source>
    <b:Tag>Sai12</b:Tag>
    <b:SourceType>JournalArticle</b:SourceType>
    <b:Guid>{C0EA6CEC-1B61-44D1-974F-BB5F655C94AE}</b:Guid>
    <b:Title>Cyber-Crimes and their Impacts: A Review</b:Title>
    <b:JournalName>International Journal of Engineering Research and Applications (IJERA)</b:JournalName>
    <b:Year>2012</b:Year>
    <b:Pages>202-209</b:Pages>
    <b:Author>
      <b:Author>
        <b:NameList>
          <b:Person>
            <b:Last>Saini</b:Last>
            <b:First>Hemraj</b:First>
          </b:Person>
          <b:Person>
            <b:Last>Rao</b:Last>
            <b:Middle>Shankar</b:Middle>
            <b:First>Yerra</b:First>
          </b:Person>
          <b:Person>
            <b:Last>Panda</b:Last>
            <b:Middle>C</b:Middle>
            <b:First>T</b:First>
          </b:Person>
        </b:NameList>
      </b:Author>
    </b:Author>
    <b:Volume>2</b:Volume>
    <b:Issue>2</b:Issue>
    <b:RefOrder>124</b:RefOrder>
  </b:Source>
  <b:Source>
    <b:Tag>Rub17</b:Tag>
    <b:SourceType>JournalArticle</b:SourceType>
    <b:Guid>{DB1D45A4-5125-41F4-B748-C293EEF8E5A4}</b:Guid>
    <b:Title>On the use of watermark-based schemes to detect cyber-physical attacks</b:Title>
    <b:JournalName>EURASIP Journal on Information Security</b:JournalName>
    <b:Year>2017</b:Year>
    <b:Pages>1-25</b:Pages>
    <b:Author>
      <b:Author>
        <b:NameList>
          <b:Person>
            <b:Last>Rubio-Hernan</b:Last>
            <b:First>Jose</b:First>
          </b:Person>
          <b:Person>
            <b:Last>De Cicco</b:Last>
            <b:First>Luca</b:First>
          </b:Person>
          <b:Person>
            <b:Last>Garcia-Alfaro</b:Last>
            <b:First>Joaquin</b:First>
          </b:Person>
        </b:NameList>
      </b:Author>
    </b:Author>
    <b:Volume>2017</b:Volume>
    <b:Issue>1</b:Issue>
    <b:DOI>10.1186/s13635-017-0060-9</b:DOI>
    <b:RefOrder>125</b:RefOrder>
  </b:Source>
  <b:Source>
    <b:Tag>Rua17</b:Tag>
    <b:SourceType>JournalArticle</b:SourceType>
    <b:Guid>{5B055DB8-28C0-4D28-8D9A-07D5E906209E}</b:Guid>
    <b:Title>Introducing cybernomics: A unifying economic framework for measuring cyber risk</b:Title>
    <b:JournalName>Computers and Security</b:JournalName>
    <b:Year>2017</b:Year>
    <b:Pages>77-89</b:Pages>
    <b:Author>
      <b:Author>
        <b:NameList>
          <b:Person>
            <b:Last>Ruan</b:Last>
            <b:First>Keyun</b:First>
          </b:Person>
        </b:NameList>
      </b:Author>
    </b:Author>
    <b:Volume>65</b:Volume>
    <b:DOI>10.1016/j.cose.2016.10.009</b:DOI>
    <b:RefOrder>126</b:RefOrder>
  </b:Source>
  <b:Source>
    <b:Tag>Rox14</b:Tag>
    <b:SourceType>JournalArticle</b:SourceType>
    <b:Guid>{C0BB86D7-6544-4742-ABBA-BA48049C972C}</b:Guid>
    <b:Title>Learning, innovation and firm performance: knowledge management in small firms</b:Title>
    <b:JournalName>Knowledge Management Research &amp; Practice</b:JournalName>
    <b:Year>2014</b:Year>
    <b:Pages>443-453</b:Pages>
    <b:Author>
      <b:Author>
        <b:NameList>
          <b:Person>
            <b:Last>Roxas</b:Last>
            <b:First>Banjo</b:First>
          </b:Person>
          <b:Person>
            <b:Last>Battisti</b:Last>
            <b:First>Martina</b:First>
          </b:Person>
          <b:Person>
            <b:Last>Deakins</b:Last>
            <b:First>David</b:First>
          </b:Person>
        </b:NameList>
      </b:Author>
    </b:Author>
    <b:Issue>12</b:Issue>
    <b:RefOrder>127</b:RefOrder>
  </b:Source>
  <b:Source>
    <b:Tag>Ros151</b:Tag>
    <b:SourceType>DocumentFromInternetSite</b:SourceType>
    <b:Guid>{913F410D-5C4A-4463-8DDE-964B62CA5016}</b:Guid>
    <b:Title>6 critical steps for responding to a cyber attack</b:Title>
    <b:Year>2015</b:Year>
    <b:InternetSiteTitle>Information age</b:InternetSiteTitle>
    <b:Month>June</b:Month>
    <b:URL>http://www.information-age.com/was-tv5monde-hacked-russia-123459640/</b:URL>
    <b:Author>
      <b:Author>
        <b:NameList>
          <b:Person>
            <b:Last>Rossi</b:Last>
            <b:First>Ben</b:First>
          </b:Person>
        </b:NameList>
      </b:Author>
    </b:Author>
    <b:YearAccessed>2017</b:YearAccessed>
    <b:MonthAccessed>October</b:MonthAccessed>
    <b:DayAccessed>03</b:DayAccessed>
    <b:RefOrder>128</b:RefOrder>
  </b:Source>
  <b:Source>
    <b:Tag>Ros00</b:Tag>
    <b:SourceType>JournalArticle</b:SourceType>
    <b:Guid>{83967AD5-6A38-4B8C-80C7-EE7C9AEAFC5E}</b:Guid>
    <b:Title>The decline and fall of high-tech corporate culture</b:Title>
    <b:JournalName>IEEE Software</b:JournalName>
    <b:Year>2000</b:Year>
    <b:Pages>12-15</b:Pages>
    <b:Author>
      <b:Author>
        <b:NameList>
          <b:Person>
            <b:Last>Ross</b:Last>
            <b:First>Nancy</b:First>
          </b:Person>
        </b:NameList>
      </b:Author>
    </b:Author>
    <b:Volume>17</b:Volume>
    <b:Issue>6</b:Issue>
    <b:DOI>10.1109/52.895161</b:DOI>
    <b:RefOrder>129</b:RefOrder>
  </b:Source>
  <b:Source>
    <b:Tag>Ric16</b:Tag>
    <b:SourceType>ConferenceProceedings</b:SourceType>
    <b:Guid>{E1C96857-2D2C-43C3-892E-BB67379876EA}</b:Guid>
    <b:Title>Research Directions in Authentication and Personal Data</b:Title>
    <b:Pages>305-312</b:Pages>
    <b:Year>2016</b:Year>
    <b:ConferenceName>Advances in Human Factors in Cybersecurity</b:ConferenceName>
    <b:City>Basel</b:City>
    <b:Publisher>Springer</b:Publisher>
    <b:Author>
      <b:Author>
        <b:NameList>
          <b:Person>
            <b:Last>Richards</b:Last>
            <b:Middle>E</b:Middle>
            <b:First>Kirsten</b:First>
          </b:Person>
          <b:Person>
            <b:Last>Norcio</b:Last>
            <b:Middle>F</b:Middle>
            <b:First>Anthony</b:First>
          </b:Person>
        </b:NameList>
      </b:Author>
      <b:Editor>
        <b:NameList>
          <b:Person>
            <b:Last>Nicholson</b:Last>
            <b:First>D</b:First>
          </b:Person>
        </b:NameList>
      </b:Editor>
    </b:Author>
    <b:DOI>10.1007/978-3-319-41932-9_25</b:DOI>
    <b:RefOrder>130</b:RefOrder>
  </b:Source>
  <b:Source>
    <b:Tag>Ren13</b:Tag>
    <b:SourceType>DocumentFromInternetSite</b:SourceType>
    <b:Guid>{49E111FC-DF10-49AD-8468-5B757DD4005F}</b:Guid>
    <b:Title>Towards Increased Resilience</b:Title>
    <b:Year>2013</b:Year>
    <b:Author>
      <b:Author>
        <b:NameList>
          <b:Person>
            <b:Last>Renn</b:Last>
            <b:First>Ortwin</b:First>
          </b:Person>
        </b:NameList>
      </b:Author>
    </b:Author>
    <b:Month>August</b:Month>
    <b:Day>30</b:Day>
    <b:YearAccessed>2016</b:YearAccessed>
    <b:MonthAccessed>December</b:MonthAccessed>
    <b:DayAccessed>02</b:DayAccessed>
    <b:URL>http://www.slideshare.net/GRFDavos/ortwinn-renn-towards-increased-resilience-25750367</b:URL>
    <b:RefOrder>131</b:RefOrder>
  </b:Source>
  <b:Source>
    <b:Tag>Ray12</b:Tag>
    <b:SourceType>DocumentFromInternetSite</b:SourceType>
    <b:Guid>{C601E51B-8433-4CB9-82F3-FC3299EC1E6A}</b:Guid>
    <b:Title>The future of IPS, IDS and SIEM</b:Title>
    <b:Year>2012</b:Year>
    <b:Month>July</b:Month>
    <b:Day>10</b:Day>
    <b:YearAccessed>2016</b:YearAccessed>
    <b:MonthAccessed>August</b:MonthAccessed>
    <b:DayAccessed>22</b:DayAccessed>
    <b:URL>http://www.scmagazineuk.com/the-future-of-ips-ids-and-siem/article/249422/</b:URL>
    <b:Author>
      <b:Author>
        <b:NameList>
          <b:Person>
            <b:Last>Raywood</b:Last>
            <b:First>Dan</b:First>
          </b:Person>
        </b:NameList>
      </b:Author>
    </b:Author>
    <b:RefOrder>132</b:RefOrder>
  </b:Source>
  <b:Source>
    <b:Tag>Rat16</b:Tag>
    <b:SourceType>JournalArticle</b:SourceType>
    <b:Guid>{FE038273-744B-49E4-852C-9E2CA0FA057C}</b:Guid>
    <b:Title>Increased Connectivity Brings Cybersecurity Threats to 911 Call Centers</b:Title>
    <b:InternetSiteTitle>Emergency Management</b:InternetSiteTitle>
    <b:Year>2016</b:Year>
    <b:URL>http://www.govtech.com/em/next-gen-911/The-911-Cyber-Challenge.html</b:URL>
    <b:Author>
      <b:Author>
        <b:NameList>
          <b:Person>
            <b:Last>Raths</b:Last>
            <b:First>David</b:First>
          </b:Person>
        </b:NameList>
      </b:Author>
    </b:Author>
    <b:JournalName>Emergency Management (online)</b:JournalName>
    <b:Pages>np</b:Pages>
    <b:Volume>2016</b:Volume>
    <b:Issue>October</b:Issue>
    <b:RefOrder>133</b:RefOrder>
  </b:Source>
  <b:Source>
    <b:Tag>Ras17</b:Tag>
    <b:SourceType>JournalArticle</b:SourceType>
    <b:Guid>{9D7E5B8C-AEC1-4695-B189-27C057B18B44}</b:Guid>
    <b:Title>Defending Against Advanced Persistent Threats Using Game-Theory</b:Title>
    <b:JournalName>PloS One</b:JournalName>
    <b:Year>2017</b:Year>
    <b:Pages>e0168675.</b:Pages>
    <b:Author>
      <b:Author>
        <b:NameList>
          <b:Person>
            <b:Last>Rass</b:Last>
            <b:First>Stefan</b:First>
          </b:Person>
          <b:Person>
            <b:Last>König</b:Last>
            <b:First>Sandra</b:First>
          </b:Person>
          <b:Person>
            <b:Last>Schauer</b:Last>
            <b:First>Stefan</b:First>
          </b:Person>
        </b:NameList>
      </b:Author>
    </b:Author>
    <b:Volume>12</b:Volume>
    <b:Issue>1</b:Issue>
    <b:DOI>10.1371/journal.pone.0168675</b:DOI>
    <b:RefOrder>134</b:RefOrder>
  </b:Source>
  <b:Source>
    <b:Tag>Ral07</b:Tag>
    <b:SourceType>JournalArticle</b:SourceType>
    <b:Guid>{05760642-0EB7-4DCA-935E-045C25C966D3}</b:Guid>
    <b:Title>Cyber security risk assessment for SCADA and DCS networks</b:Title>
    <b:JournalName>ISA Transactions</b:JournalName>
    <b:Year>2007</b:Year>
    <b:Pages>583-594</b:Pages>
    <b:Author>
      <b:Author>
        <b:NameList>
          <b:Person>
            <b:Last>Ralston</b:Last>
            <b:Middle>S</b:Middle>
            <b:First>P. A.</b:First>
          </b:Person>
          <b:Person>
            <b:Last>Graham</b:Last>
            <b:Middle>H</b:Middle>
            <b:First>J</b:First>
          </b:Person>
          <b:Person>
            <b:Last>Hieb</b:Last>
            <b:Middle>L</b:Middle>
            <b:First>J</b:First>
          </b:Person>
        </b:NameList>
      </b:Author>
    </b:Author>
    <b:Volume>46</b:Volume>
    <b:Issue>5</b:Issue>
    <b:StandardNumber>doi:10.1016/j.isatra.2007.04.003</b:StandardNumber>
    <b:RefOrder>135</b:RefOrder>
  </b:Source>
  <b:Source>
    <b:Tag>Rai12</b:Tag>
    <b:SourceType>JournalArticle</b:SourceType>
    <b:Guid>{13AF66A6-3826-494F-B925-0937D837E903}</b:Guid>
    <b:Title>Cyber-Threat Evolution: the Past Year</b:Title>
    <b:JournalName>Computer Fraud and Security</b:JournalName>
    <b:Year>2012</b:Year>
    <b:Pages>5-8</b:Pages>
    <b:Author>
      <b:Author>
        <b:NameList>
          <b:Person>
            <b:Last>Raiu</b:Last>
            <b:First>Costin</b:First>
          </b:Person>
        </b:NameList>
      </b:Author>
    </b:Author>
    <b:RefOrder>136</b:RefOrder>
  </b:Source>
  <b:Source>
    <b:Tag>Rai09</b:Tag>
    <b:SourceType>JournalArticle</b:SourceType>
    <b:Guid>{6A7439F0-D8A5-40C3-8096-1D3E2F71D204}</b:Guid>
    <b:Title>Business reputation potential</b:Title>
    <b:JournalName>Scientific and technical information processing</b:JournalName>
    <b:Year>2009</b:Year>
    <b:Pages>170-176</b:Pages>
    <b:Author>
      <b:Author>
        <b:NameList>
          <b:Person>
            <b:Last>Raikov</b:Last>
            <b:Middle>N</b:Middle>
            <b:First>A</b:First>
          </b:Person>
        </b:NameList>
      </b:Author>
    </b:Author>
    <b:Volume>36</b:Volume>
    <b:Issue>3</b:Issue>
    <b:DOI>10.3103/S0147688209030071</b:DOI>
    <b:RefOrder>137</b:RefOrder>
  </b:Source>
  <b:Source>
    <b:Tag>Pyt15</b:Tag>
    <b:SourceType>JournalArticle</b:SourceType>
    <b:Guid>{0658A0E0-E7F1-416D-8D83-22BE5FFBBEFF}</b:Guid>
    <b:Title>Exploring Reactions to Hacktivism Among STEM College Students</b:Title>
    <b:JournalName>Social Science Computer Review</b:JournalName>
    <b:Year>2015</b:Year>
    <b:Pages>479-497</b:Pages>
    <b:Volume>33</b:Volume>
    <b:Issue>4</b:Issue>
    <b:Author>
      <b:Author>
        <b:NameList>
          <b:Person>
            <b:Last>PytlikZillig</b:Last>
            <b:Middle>M</b:Middle>
            <b:First>Lisa</b:First>
          </b:Person>
          <b:Person>
            <b:Last>Wang</b:Last>
            <b:First>Shiyuan</b:First>
          </b:Person>
          <b:Person>
            <b:Last>Soh</b:Last>
            <b:First>Leen-Kiat</b:First>
          </b:Person>
          <b:Person>
            <b:Last>Tomkins</b:Last>
            <b:Middle>J</b:Middle>
            <b:First>Alan</b:First>
          </b:Person>
          <b:Person>
            <b:Last>Samal</b:Last>
            <b:First>Ashok</b:First>
          </b:Person>
          <b:Person>
            <b:Last>Bernadt</b:Last>
            <b:Middle>K</b:Middle>
            <b:First>Tonya</b:First>
          </b:Person>
          <b:Person>
            <b:Last>Hayes</b:Last>
            <b:Middle>J</b:Middle>
            <b:First>Michael</b:First>
          </b:Person>
        </b:NameList>
      </b:Author>
    </b:Author>
    <b:DOI>10.1177/0894439314546815</b:DOI>
    <b:RefOrder>138</b:RefOrder>
  </b:Source>
  <b:Source>
    <b:Tag>Pur11</b:Tag>
    <b:SourceType>JournalArticle</b:SourceType>
    <b:Guid>{E79D75A9-C7FD-4975-BBD8-B69986A65EAF}</b:Guid>
    <b:Title>The European cooperative approach to securing critical information infrastructure</b:Title>
    <b:Year>2011</b:Year>
    <b:Author>
      <b:Author>
        <b:NameList>
          <b:Person>
            <b:Last>Purser</b:Last>
            <b:First>Steve</b:First>
          </b:Person>
        </b:NameList>
      </b:Author>
    </b:Author>
    <b:JournalName>Journal of Business Continuity &amp; Emergency Planning</b:JournalName>
    <b:Pages>237 - 245</b:Pages>
    <b:Volume>5</b:Volume>
    <b:Issue>3</b:Issue>
    <b:RefOrder>139</b:RefOrder>
  </b:Source>
  <b:Source>
    <b:Tag>Pod12</b:Tag>
    <b:SourceType>JournalArticle</b:SourceType>
    <b:Guid>{4E645175-09A7-4C6D-995F-FDB23181E8D0}</b:Guid>
    <b:Author>
      <b:Author>
        <b:NameList>
          <b:Person>
            <b:Last>Podhorec</b:Last>
            <b:First>Milan</b:First>
          </b:Person>
        </b:NameList>
      </b:Author>
    </b:Author>
    <b:Title>Cyber Security Within The Globalisation Process</b:Title>
    <b:JournalName>Journal of Defense Resources Management</b:JournalName>
    <b:Year>2012</b:Year>
    <b:Pages>19 - 26</b:Pages>
    <b:Volume>3</b:Volume>
    <b:Issue>1</b:Issue>
    <b:RefOrder>140</b:RefOrder>
  </b:Source>
  <b:Source>
    <b:Tag>Phi03</b:Tag>
    <b:SourceType>JournalArticle</b:SourceType>
    <b:Guid>{A792DE25-D2F6-4D75-A2E1-22B74362C8F4}</b:Guid>
    <b:Title>IP Theft &amp; Corporate Espionage: Remedies</b:Title>
    <b:JournalName>Computer Fraud &amp; Security</b:JournalName>
    <b:Year>2003</b:Year>
    <b:Pages>9-12</b:Pages>
    <b:Author>
      <b:Author>
        <b:NameList>
          <b:Person>
            <b:Last>Philippsohn</b:Last>
            <b:First>Steven</b:First>
          </b:Person>
          <b:Person>
            <b:Last>Thomas</b:Last>
            <b:First>Samantha</b:First>
          </b:Person>
        </b:NameList>
      </b:Author>
    </b:Author>
    <b:Volume>2003</b:Volume>
    <b:Issue>9</b:Issue>
    <b:DOI>10.1016/S1361-3723(03)09008-0</b:DOI>
    <b:RefOrder>141</b:RefOrder>
  </b:Source>
  <b:Source>
    <b:Tag>Pet15</b:Tag>
    <b:SourceType>DocumentFromInternetSite</b:SourceType>
    <b:Guid>{B8D6BD8D-D95D-46B9-A8FB-34C883FDABAD}</b:Guid>
    <b:Title>The Guardian.com - Why tech firms pay hackers to hack them</b:Title>
    <b:Year>2015</b:Year>
    <b:Month>November</b:Month>
    <b:Day>14</b:Day>
    <b:YearAccessed>2016</b:YearAccessed>
    <b:MonthAccessed>June</b:MonthAccessed>
    <b:DayAccessed>09</b:DayAccessed>
    <b:URL>https://www.theguardian.com/technology/2015/nov/14/hackers-technology-bounty-discover-flaws</b:URL>
    <b:Author>
      <b:Author>
        <b:NameList>
          <b:Person>
            <b:Last>Peterson</b:Last>
            <b:First>Andrea</b:First>
          </b:Person>
        </b:NameList>
      </b:Author>
    </b:Author>
    <b:RefOrder>142</b:RefOrder>
  </b:Source>
  <b:Source>
    <b:Tag>Pen06</b:Tag>
    <b:SourceType>JournalArticle</b:SourceType>
    <b:Guid>{C3E8926A-5D77-4CD4-B9A8-56C5DC330DBC}</b:Guid>
    <b:Title>An ontology‐based distributed whiteboard to determine legal responses to online cyber attacks</b:Title>
    <b:JournalName>Internet Research</b:JournalName>
    <b:Year>2006</b:Year>
    <b:Pages>475-490</b:Pages>
    <b:Author>
      <b:Author>
        <b:NameList>
          <b:Person>
            <b:Last>Peng</b:Last>
            <b:First>Leisheng</b:First>
          </b:Person>
          <b:Person>
            <b:Last>Wijeskera</b:Last>
            <b:First>Duminda</b:First>
          </b:Person>
          <b:Person>
            <b:Last>Wingfield</b:Last>
            <b:Middle>C</b:Middle>
            <b:First>Thomas</b:First>
          </b:Person>
          <b:Person>
            <b:Last>Michael</b:Last>
            <b:Middle>B</b:Middle>
            <b:First>James</b:First>
          </b:Person>
        </b:NameList>
      </b:Author>
    </b:Author>
    <b:Volume>16</b:Volume>
    <b:Issue>5</b:Issue>
    <b:DOI>10.1108/10662240610710969</b:DOI>
    <b:RefOrder>143</b:RefOrder>
  </b:Source>
  <b:Source>
    <b:Tag>Pay17</b:Tag>
    <b:SourceType>JournalArticle</b:SourceType>
    <b:Guid>{8FAC3BC2-115D-4E3E-B0E7-C39150D87700}</b:Guid>
    <b:Title>Addressing obstacles to cyber-attribution: a model based on state response to cyber-attacks</b:Title>
    <b:JournalName>The George Washington international law review</b:JournalName>
    <b:Year>2017</b:Year>
    <b:Pages>535-568</b:Pages>
    <b:Author>
      <b:Author>
        <b:NameList>
          <b:Person>
            <b:Last>Payne</b:Last>
            <b:First>Christian</b:First>
          </b:Person>
          <b:Person>
            <b:Last>Finlay</b:Last>
            <b:First>Lorainne</b:First>
          </b:Person>
        </b:NameList>
      </b:Author>
    </b:Author>
    <b:Volume>49</b:Volume>
    <b:Issue>3</b:Issue>
    <b:RefOrder>144</b:RefOrder>
  </b:Source>
  <b:Source>
    <b:Tag>Paw15</b:Tag>
    <b:SourceType>JournalArticle</b:SourceType>
    <b:Guid>{11BC7002-3305-4E0C-A87B-BF0C458D5785}</b:Guid>
    <b:Title>Social Representations of Cybersecurity by University Students and Implications for Instructional Design</b:Title>
    <b:JournalName>Journal of Information Systems Education</b:JournalName>
    <b:Year>2015</b:Year>
    <b:Pages>281-294</b:Pages>
    <b:Author>
      <b:Author>
        <b:NameList>
          <b:Person>
            <b:Last>Pawlowski</b:Last>
            <b:Middle>D</b:Middle>
            <b:First>Suzanne</b:First>
          </b:Person>
          <b:Person>
            <b:Last>Jung</b:Last>
            <b:First>Yoonhyuk</b:First>
          </b:Person>
        </b:NameList>
      </b:Author>
    </b:Author>
    <b:Volume>26</b:Volume>
    <b:Issue>4</b:Issue>
    <b:RefOrder>145</b:RefOrder>
  </b:Source>
  <b:Source>
    <b:Tag>Pan11</b:Tag>
    <b:SourceType>JournalArticle</b:SourceType>
    <b:Guid>{9379094E-C7FB-4E3A-965D-8868B13F53CA}</b:Guid>
    <b:Title>Protecting water and wastewater infrastructure from cyber attacks</b:Title>
    <b:Pages>406-413</b:Pages>
    <b:Year>2011</b:Year>
    <b:Author>
      <b:Author>
        <b:NameList>
          <b:Person>
            <b:Last>Panguluri</b:Last>
            <b:First>Srinivas</b:First>
          </b:Person>
          <b:Person>
            <b:Last>Phillips</b:Last>
            <b:First>William</b:First>
          </b:Person>
          <b:Person>
            <b:Last>Cusimano</b:Last>
            <b:First>John</b:First>
          </b:Person>
        </b:NameList>
      </b:Author>
    </b:Author>
    <b:JournalName>Frontiers of Earth Science</b:JournalName>
    <b:Volume>5</b:Volume>
    <b:Issue>4</b:Issue>
    <b:DOI> 10.1007/s11707-011-0199-5</b:DOI>
    <b:RefOrder>146</b:RefOrder>
  </b:Source>
  <b:Source>
    <b:Tag>Ort16</b:Tag>
    <b:SourceType>ConferenceProceedings</b:SourceType>
    <b:Guid>{5C3947D5-53E3-45AB-91E0-BE4ABE8A849C}</b:Guid>
    <b:Title>Developing an Insider Threat Training Environment</b:Title>
    <b:Pages>267-277</b:Pages>
    <b:Year>2016</b:Year>
    <b:ConferenceName>Advances in Human Factors in Cybersecurity</b:ConferenceName>
    <b:City>Basel</b:City>
    <b:Publisher>Springer</b:Publisher>
    <b:Author>
      <b:Author>
        <b:NameList>
          <b:Person>
            <b:Last>Ortiz</b:Last>
            <b:First>Eric</b:First>
          </b:Person>
          <b:Person>
            <b:Last>Reinerman-Jones</b:Last>
            <b:First>Lauren</b:First>
          </b:Person>
          <b:Person>
            <b:Last>Matthews</b:Last>
            <b:First>Gerald</b:First>
          </b:Person>
        </b:NameList>
      </b:Author>
      <b:Editor>
        <b:NameList>
          <b:Person>
            <b:Last>Nicholson</b:Last>
            <b:First>D</b:First>
          </b:Person>
        </b:NameList>
      </b:Editor>
    </b:Author>
    <b:DOI>10.1007/978-3-319-41932-9_22</b:DOI>
    <b:RefOrder>147</b:RefOrder>
  </b:Source>
  <b:Source>
    <b:Tag>ONe16</b:Tag>
    <b:SourceType>Book</b:SourceType>
    <b:Guid>{1634F2FB-C6A8-4FD6-A2E2-9EA85D01EC55}</b:Guid>
    <b:Title>Weapons of Math Destruction: How Big Data Increases Inequality and Threatens Democracy</b:Title>
    <b:Year>2016</b:Year>
    <b:City>London</b:City>
    <b:Publisher>Penguin</b:Publisher>
    <b:Author>
      <b:Author>
        <b:NameList>
          <b:Person>
            <b:Last>O'Neil</b:Last>
            <b:First>Cathy</b:First>
          </b:Person>
        </b:NameList>
      </b:Author>
    </b:Author>
    <b:RefOrder>148</b:RefOrder>
  </b:Source>
  <b:Source>
    <b:Tag>Oli15</b:Tag>
    <b:SourceType>JournalArticle</b:SourceType>
    <b:Guid>{85D757D6-E2EA-47C3-AE32-694E4C5210B0}</b:Guid>
    <b:Title>The structure of unrevealed Bads in Good/Bad risk scores</b:Title>
    <b:JournalName>Journal of the Operational Research Society</b:JournalName>
    <b:Year>2015</b:Year>
    <b:Pages>308-315</b:Pages>
    <b:Author>
      <b:Author>
        <b:NameList>
          <b:Person>
            <b:Last>Oliver</b:Last>
            <b:Middle>M</b:Middle>
            <b:First>Robert</b:First>
          </b:Person>
        </b:NameList>
      </b:Author>
    </b:Author>
    <b:Volume>66</b:Volume>
    <b:Issue>2</b:Issue>
    <b:DOI>10.1057%2Fjors.2013.186</b:DOI>
    <b:RefOrder>149</b:RefOrder>
  </b:Source>
  <b:Source>
    <b:Tag>Nig00</b:Tag>
    <b:SourceType>DocumentFromInternetSite</b:SourceType>
    <b:Guid>{C93C5DC4-0506-4A28-A703-553C0E5CE3E7}</b:Guid>
    <b:Title>Combining quantitative and qualitative approaches</b:Title>
    <b:Year>2000</b:Year>
    <b:InternetSiteTitle>Leeds University</b:InternetSiteTitle>
    <b:Month>September</b:Month>
    <b:Day>20-23</b:Day>
    <b:URL>http://www.leeds.ac.uk/educol/documents/00001544.htm</b:URL>
    <b:Author>
      <b:Author>
        <b:NameList>
          <b:Person>
            <b:Last>Niglas</b:Last>
            <b:First>Katrin</b:First>
          </b:Person>
        </b:NameList>
      </b:Author>
    </b:Author>
    <b:RefOrder>150</b:RefOrder>
  </b:Source>
  <b:Source>
    <b:Tag>Muk13</b:Tag>
    <b:SourceType>JournalArticle</b:SourceType>
    <b:Guid>{FE687B30-516D-4AFC-BF5A-64B2D0DF0852}</b:Guid>
    <b:Title>Cyber-risk decision models: To insure IT or not?</b:Title>
    <b:Pages>11-26</b:Pages>
    <b:Year>2013</b:Year>
    <b:JournalName>Decision Support Systems</b:JournalName>
    <b:Author>
      <b:Author>
        <b:NameList>
          <b:Person>
            <b:Last>Mukhopadhyay</b:Last>
            <b:First>Arunabha</b:First>
          </b:Person>
          <b:Person>
            <b:Last>Chatterjee</b:Last>
            <b:First>Samir</b:First>
          </b:Person>
          <b:Person>
            <b:Last>Saha</b:Last>
            <b:First>Debashis</b:First>
          </b:Person>
          <b:Person>
            <b:Last>Mahanti</b:Last>
            <b:First>Ambuj</b:First>
          </b:Person>
          <b:Person>
            <b:Last>Sadhukhan</b:Last>
            <b:Middle>K</b:Middle>
            <b:First>Samir</b:First>
          </b:Person>
        </b:NameList>
      </b:Author>
    </b:Author>
    <b:Volume>56</b:Volume>
    <b:Issue>1</b:Issue>
    <b:StandardNumber>DOI: 10.1016/j.dss.2013.04.004</b:StandardNumber>
    <b:RefOrder>151</b:RefOrder>
  </b:Source>
  <b:Source>
    <b:Tag>Mor15</b:Tag>
    <b:SourceType>JournalArticle</b:SourceType>
    <b:Guid>{B1010A38-6452-485E-9453-9C3C868F258B}</b:Guid>
    <b:Title>Cybersecurity finally takes center stage in the U.S</b:Title>
    <b:JournalName>Journal of high technology law</b:JournalName>
    <b:Year>2015</b:Year>
    <b:Pages>192-229</b:Pages>
    <b:Volume>15</b:Volume>
    <b:Issue>1</b:Issue>
    <b:Author>
      <b:Author>
        <b:NameList>
          <b:Person>
            <b:Last>Morency</b:Last>
            <b:First>Kayla</b:First>
          </b:Person>
        </b:NameList>
      </b:Author>
    </b:Author>
    <b:RefOrder>152</b:RefOrder>
  </b:Source>
  <b:Source>
    <b:Tag>Mil14</b:Tag>
    <b:SourceType>Book</b:SourceType>
    <b:Guid>{53783AEC-812F-40B1-933C-F27329F9649C}</b:Guid>
    <b:Title>Qualitative Data Analysis</b:Title>
    <b:Year>2014</b:Year>
    <b:Publisher>Sage</b:Publisher>
    <b:City>Thousand Oaks</b:City>
    <b:Author>
      <b:Author>
        <b:NameList>
          <b:Person>
            <b:Last>Miles</b:Last>
            <b:Middle>B</b:Middle>
            <b:First>Matthew</b:First>
          </b:Person>
          <b:Person>
            <b:Last>Huberman</b:Last>
            <b:Middle>Michael</b:Middle>
            <b:First>A</b:First>
          </b:Person>
          <b:Person>
            <b:Last>Saldaña</b:Last>
            <b:First>Johnny</b:First>
          </b:Person>
        </b:NameList>
      </b:Author>
    </b:Author>
    <b:StateProvince>CA</b:StateProvince>
    <b:Edition>3rd</b:Edition>
    <b:RefOrder>153</b:RefOrder>
  </b:Source>
  <b:Source>
    <b:Tag>Mck15</b:Tag>
    <b:SourceType>ConferenceProceedings</b:SourceType>
    <b:Guid>{D9A4C178-CEAA-4728-B4B6-F46D32AB5D97}</b:Guid>
    <b:Title>Unlocking user-centered design methods for building cyber security visualizations</b:Title>
    <b:Year>2015</b:Year>
    <b:City>Chicago, IL</b:City>
    <b:Publisher>IEEE</b:Publisher>
    <b:Author>
      <b:Author>
        <b:NameList>
          <b:Person>
            <b:Last>Mckenna</b:Last>
            <b:First>Sean</b:First>
          </b:Person>
          <b:Person>
            <b:Last>Staheli</b:Last>
            <b:First>Diane</b:First>
          </b:Person>
          <b:Person>
            <b:Last>Meyer</b:Last>
            <b:First>Miriah</b:First>
          </b:Person>
        </b:NameList>
      </b:Author>
    </b:Author>
    <b:Pages>1 - 8</b:Pages>
    <b:ConferenceName>2015 IEEE Symposium on Visualization for Cyber Security (VizSec)</b:ConferenceName>
    <b:DOI>10.1109/VIZSEC.2015.7312771</b:DOI>
    <b:RefOrder>154</b:RefOrder>
  </b:Source>
  <b:Source>
    <b:Tag>McE16</b:Tag>
    <b:SourceType>ConferenceProceedings</b:SourceType>
    <b:Guid>{1B2208DB-FBBC-48D3-848B-9059B8A11DC4}</b:Guid>
    <b:Title>Contextualizing Mnemonic Phrase Passwords</b:Title>
    <b:Pages>295-304</b:Pages>
    <b:Year>2016</b:Year>
    <b:ConferenceName>Advances in Human Factors in Cybersecurity</b:ConferenceName>
    <b:City>Basel</b:City>
    <b:Publisher>Springer</b:Publisher>
    <b:Author>
      <b:Author>
        <b:NameList>
          <b:Person>
            <b:Last>McEvoy</b:Last>
            <b:First>Pete</b:First>
          </b:Person>
          <b:Person>
            <b:Last>Still</b:Last>
            <b:Middle>D</b:Middle>
            <b:First>Jeremiah</b:First>
          </b:Person>
        </b:NameList>
      </b:Author>
      <b:Editor>
        <b:NameList>
          <b:Person>
            <b:Last>Nicholson</b:Last>
            <b:First>D</b:First>
          </b:Person>
        </b:NameList>
      </b:Editor>
    </b:Author>
    <b:DOI>10.1007/978-3-319-41932-9_24</b:DOI>
    <b:RefOrder>155</b:RefOrder>
  </b:Source>
  <b:Source>
    <b:Tag>McC04</b:Tag>
    <b:SourceType>Book</b:SourceType>
    <b:Guid>{E08669F7-1264-4B14-B161-2819C49EC1F4}</b:Guid>
    <b:Title>Assessing and Managing Security Risk in IT Systems: A Structured Methodology</b:Title>
    <b:Year>2004</b:Year>
    <b:City>New York</b:City>
    <b:Publisher>Auerbach Publishers Inc</b:Publisher>
    <b:Author>
      <b:Author>
        <b:NameList>
          <b:Person>
            <b:Last>McCumber</b:Last>
            <b:First>John</b:First>
          </b:Person>
        </b:NameList>
      </b:Author>
    </b:Author>
    <b:Edition>Electronic</b:Edition>
    <b:YearAccessed>2020</b:YearAccessed>
    <b:MonthAccessed>April</b:MonthAccessed>
    <b:DayAccessed>25</b:DayAccessed>
    <b:RefOrder>156</b:RefOrder>
  </b:Source>
  <b:Source>
    <b:Tag>Man161</b:Tag>
    <b:SourceType>JournalArticle</b:SourceType>
    <b:Guid>{C9784635-3114-4FF6-9661-75CE2493C18D}</b:Guid>
    <b:Title>The machine that ate bad people: The ontopolitics of the precrime assemblage</b:Title>
    <b:JournalName>Big Data &amp; Society</b:JournalName>
    <b:Year>2016</b:Year>
    <b:Pages>1-11</b:Pages>
    <b:Author>
      <b:Author>
        <b:NameList>
          <b:Person>
            <b:Last>Mantello</b:Last>
            <b:First>Peter</b:First>
          </b:Person>
        </b:NameList>
      </b:Author>
    </b:Author>
    <b:Volume>2016</b:Volume>
    <b:Issue>3</b:Issue>
    <b:DOI>10.1177/2053951716682538</b:DOI>
    <b:RefOrder>157</b:RefOrder>
  </b:Source>
  <b:Source>
    <b:Tag>Mac15</b:Tag>
    <b:SourceType>JournalArticle</b:SourceType>
    <b:Guid>{4539BAD1-91C2-475A-9E53-CC11722458D4}</b:Guid>
    <b:Title>Measuring the short-term spillover impact of a product recall on a brand ecosystem</b:Title>
    <b:JournalName>Journal of Brand Management</b:JournalName>
    <b:Year>2015</b:Year>
    <b:Pages>323-339</b:Pages>
    <b:Author>
      <b:Author>
        <b:NameList>
          <b:Person>
            <b:Last>Mackalski</b:Last>
            <b:First>Robert</b:First>
          </b:Person>
          <b:Person>
            <b:Last>Belisle</b:Last>
            <b:First>Jean-Francois</b:First>
          </b:Person>
        </b:NameList>
      </b:Author>
    </b:Author>
    <b:Volume>22</b:Volume>
    <b:Issue>4</b:Issue>
    <b:DOI>10.1057%2Fbm.2015.19.pdf</b:DOI>
    <b:RefOrder>158</b:RefOrder>
  </b:Source>
  <b:Source>
    <b:Tag>LuY13</b:Tag>
    <b:SourceType>JournalArticle</b:SourceType>
    <b:Guid>{BAA32B25-32DC-42E4-A437-BF30D9B2E6D3}</b:Guid>
    <b:Title>Exit, voice and loyalty as firm strategic responses to institutional pressures: A comparative case study of Google and Baidu in mainland China</b:Title>
    <b:JournalName>Chinese Management Studies</b:JournalName>
    <b:Year>2013</b:Year>
    <b:Pages>419-446</b:Pages>
    <b:Volume>7</b:Volume>
    <b:Issue>3</b:Issue>
    <b:Author>
      <b:Author>
        <b:NameList>
          <b:Person>
            <b:Last>Lu</b:Last>
            <b:First>Yuan</b:First>
          </b:Person>
          <b:Person>
            <b:Last>Hu</b:Last>
            <b:First>Shaodong</b:First>
          </b:Person>
          <b:Person>
            <b:Last>Liang</b:Last>
            <b:First>Qiang</b:First>
          </b:Person>
          <b:Person>
            <b:Last>Lin</b:Last>
            <b:First>Danming</b:First>
          </b:Person>
          <b:Person>
            <b:Last>Peng</b:Last>
            <b:First>Changgui</b:First>
          </b:Person>
        </b:NameList>
      </b:Author>
    </b:Author>
    <b:DOI>10.1108/CMS-Nov-2011-0095</b:DOI>
    <b:RefOrder>159</b:RefOrder>
  </b:Source>
  <b:Source>
    <b:Tag>Liu121</b:Tag>
    <b:SourceType>JournalArticle</b:SourceType>
    <b:Guid>{D83C9351-1105-4C5D-AF4A-D11B300B270E}</b:Guid>
    <b:Title>Cyber Security and Privacy Issues in Smart Grids</b:Title>
    <b:JournalName>IEEE Communications Surveys &amp; Tutorials</b:JournalName>
    <b:Year>2012</b:Year>
    <b:Volume>14</b:Volume>
    <b:Issue>4</b:Issue>
    <b:Author>
      <b:Author>
        <b:NameList>
          <b:Person>
            <b:Last>Liu</b:Last>
            <b:First>Jing</b:First>
          </b:Person>
          <b:Person>
            <b:Last>Xiao</b:Last>
            <b:First>Yang</b:First>
          </b:Person>
          <b:Person>
            <b:Last>Li</b:Last>
            <b:First>Shuhui</b:First>
          </b:Person>
          <b:Person>
            <b:Last>Liang</b:Last>
            <b:First>Wei</b:First>
          </b:Person>
          <b:Person>
            <b:Last>Chen</b:Last>
            <b:Middle>Phillip</b:Middle>
            <b:First>C. L</b:First>
          </b:Person>
        </b:NameList>
      </b:Author>
    </b:Author>
    <b:RefOrder>160</b:RefOrder>
  </b:Source>
  <b:Source>
    <b:Tag>Les16</b:Tag>
    <b:SourceType>JournalArticle</b:SourceType>
    <b:Guid>{EADA458E-5206-4D25-87D5-698AAEE5467F}</b:Guid>
    <b:Title>Security in industrial IoT – quo vadis?</b:Title>
    <b:JournalName>e &amp; i Elektrotechnik und Informationstechnik</b:JournalName>
    <b:Year>2016</b:Year>
    <b:Pages>324-429</b:Pages>
    <b:Volume>133</b:Volume>
    <b:Issue>7</b:Issue>
    <b:Author>
      <b:Author>
        <b:NameList>
          <b:Person>
            <b:Last>Lesjak</b:Last>
            <b:First>Christian</b:First>
          </b:Person>
          <b:Person>
            <b:Last>Druml</b:Last>
            <b:First>Norbert</b:First>
          </b:Person>
          <b:Person>
            <b:Last>Matischek</b:Last>
            <b:First>Rainer</b:First>
          </b:Person>
          <b:Person>
            <b:Last>Ruprechter</b:Last>
            <b:First>Thomas</b:First>
          </b:Person>
          <b:Person>
            <b:Last>Holweg</b:Last>
            <b:First>Gerald</b:First>
          </b:Person>
        </b:NameList>
      </b:Author>
    </b:Author>
    <b:RefOrder>161</b:RefOrder>
  </b:Source>
  <b:Source>
    <b:Tag>Leo15</b:Tag>
    <b:SourceType>DocumentFromInternetSite</b:SourceType>
    <b:Guid>{7C923654-E78C-4D3D-880E-F57DA06EE2F5}</b:Guid>
    <b:Title>IDS, IPS and UTM - What’s the Difference?</b:Title>
    <b:Year>2015</b:Year>
    <b:Month>May</b:Month>
    <b:Day>28</b:Day>
    <b:YearAccessed>2016</b:YearAccessed>
    <b:MonthAccessed>August</b:MonthAccessed>
    <b:DayAccessed>22</b:DayAccessed>
    <b:URL>https://www.alienvault.com/blogs/security-essentials/ids-ips-and-utm-whats-the-difference</b:URL>
    <b:Author>
      <b:Author>
        <b:NameList>
          <b:Person>
            <b:Last>Leonard</b:Last>
            <b:First>Grant</b:First>
          </b:Person>
        </b:NameList>
      </b:Author>
    </b:Author>
    <b:RefOrder>162</b:RefOrder>
  </b:Source>
  <b:Source>
    <b:Tag>Lat16</b:Tag>
    <b:SourceType>ConferenceProceedings</b:SourceType>
    <b:Guid>{8FF00DF2-6CF2-4A52-8EA3-8D6A7EACE4B6}</b:Guid>
    <b:Title>Applying Human Factors Research Towards Cyberspace Operations: A Practitioner’s Perspective</b:Title>
    <b:Pages>281-293</b:Pages>
    <b:Year>2016</b:Year>
    <b:ConferenceName>Advances in Human Factors in Cybersecurity</b:ConferenceName>
    <b:City>Basel</b:City>
    <b:Publisher>Springer</b:Publisher>
    <b:Author>
      <b:Author>
        <b:NameList>
          <b:Person>
            <b:Last>Lathrop</b:Last>
            <b:Middle>D</b:Middle>
            <b:First>Scott</b:First>
          </b:Person>
          <b:Person>
            <b:Last>Trent</b:Last>
            <b:First>Stoney</b:First>
          </b:Person>
          <b:Person>
            <b:Last>Hoffman</b:Last>
            <b:First>Robert</b:First>
          </b:Person>
        </b:NameList>
      </b:Author>
      <b:Editor>
        <b:NameList>
          <b:Person>
            <b:Last>Nicholson</b:Last>
            <b:First>D</b:First>
          </b:Person>
        </b:NameList>
      </b:Editor>
    </b:Author>
    <b:DOI>10.1007/978-3-319-41932-9_23</b:DOI>
    <b:RefOrder>163</b:RefOrder>
  </b:Source>
  <b:Source>
    <b:Tag>Lar15</b:Tag>
    <b:SourceType>JournalArticle</b:SourceType>
    <b:Guid>{61E8365E-4FFF-4639-9B4C-31A15C525303}</b:Guid>
    <b:Title>The cyber security fair: an effective method for training users to improve their cyber security behaviors?</b:Title>
    <b:JournalName>Information Education Security Journal</b:JournalName>
    <b:Year>2015</b:Year>
    <b:Pages>11-19</b:Pages>
    <b:Author>
      <b:Author>
        <b:NameList>
          <b:Person>
            <b:Last>Larson</b:Last>
            <b:First>Stephen</b:First>
          </b:Person>
        </b:NameList>
      </b:Author>
    </b:Author>
    <b:Volume>2</b:Volume>
    <b:Issue>1</b:Issue>
    <b:RefOrder>164</b:RefOrder>
  </b:Source>
  <b:Source>
    <b:Tag>Kus07</b:Tag>
    <b:SourceType>JournalArticle</b:SourceType>
    <b:Guid>{BFA18716-8DE8-442F-9EF0-0A196046B99C}</b:Guid>
    <b:Title>Risk-aware limited lookahead control for dynamic resource provisioning in enterprise computing systems</b:Title>
    <b:Year>2007</b:Year>
    <b:JournalName>Cluster Computing</b:JournalName>
    <b:Pages>395-408</b:Pages>
    <b:Author>
      <b:Author>
        <b:NameList>
          <b:Person>
            <b:Last>Kusic</b:Last>
            <b:First>Dara</b:First>
          </b:Person>
          <b:Person>
            <b:Last>Kandasamy</b:Last>
            <b:First>Nagarajan</b:First>
          </b:Person>
        </b:NameList>
      </b:Author>
    </b:Author>
    <b:Volume>10</b:Volume>
    <b:Issue>4</b:Issue>
    <b:DOI> 10.1007/s10586-007-0022-y</b:DOI>
    <b:RefOrder>165</b:RefOrder>
  </b:Source>
  <b:Source>
    <b:Tag>Kos15</b:Tag>
    <b:SourceType>JournalArticle</b:SourceType>
    <b:Guid>{3DB31611-BE9B-46E8-970A-804E6FBFAFB4}</b:Guid>
    <b:Title>Components and challenges of integrated cyber risk management</b:Title>
    <b:Year>2015</b:Year>
    <b:JournalName>Zeitschrift für die gesamte Versicherungswissenschaft</b:JournalName>
    <b:Pages>615-634</b:Pages>
    <b:Volume>104</b:Volume>
    <b:Issue>5</b:Issue>
    <b:Author>
      <b:Author>
        <b:NameList>
          <b:Person>
            <b:Last>Kosub</b:Last>
            <b:First>Thomas</b:First>
          </b:Person>
        </b:NameList>
      </b:Author>
    </b:Author>
    <b:DOI>10.1007/s12297-015-0316-8</b:DOI>
    <b:RefOrder>166</b:RefOrder>
  </b:Source>
  <b:Source>
    <b:Tag>Kim15</b:Tag>
    <b:SourceType>JournalArticle</b:SourceType>
    <b:Guid>{A37E4C94-DB21-4165-AD42-77FD44EDF8E2}</b:Guid>
    <b:Title>Vulnerabilities of intelligent automobiles using TPEG update based on T-DMB and its countermeasures</b:Title>
    <b:JournalName>Journal of Computer Virology and Hacking Techniques</b:JournalName>
    <b:Year>2015</b:Year>
    <b:Pages>143-148</b:Pages>
    <b:Author>
      <b:Author>
        <b:NameList>
          <b:Person>
            <b:Last>Kim</b:Last>
            <b:First>Jung-Hoon</b:First>
          </b:Person>
          <b:Person>
            <b:Last>Lee</b:Last>
            <b:First>Keun-Ho</b:First>
          </b:Person>
        </b:NameList>
      </b:Author>
    </b:Author>
    <b:Volume>11</b:Volume>
    <b:Issue>3</b:Issue>
    <b:DOI>10.1007/s11416-015-0243-1</b:DOI>
    <b:RefOrder>167</b:RefOrder>
  </b:Source>
  <b:Source>
    <b:Tag>Kho17</b:Tag>
    <b:SourceType>ArticleInAPeriodical</b:SourceType>
    <b:Guid>{CFAA68B6-CAE9-417E-8D3E-7C7B0253AA5E}</b:Guid>
    <b:Title>More than 70 prisoners released by mistake in 2016-17 amid violence surge</b:Title>
    <b:Year>2017</b:Year>
    <b:Pages>online</b:Pages>
    <b:PeriodicalTitle>The Guardian</b:PeriodicalTitle>
    <b:Month>July</b:Month>
    <b:Day>27</b:Day>
    <b:Author>
      <b:Author>
        <b:NameList>
          <b:Person>
            <b:Last>Khomami</b:Last>
            <b:First>Nadia</b:First>
          </b:Person>
        </b:NameList>
      </b:Author>
    </b:Author>
    <b:YearAccessed>2017</b:YearAccessed>
    <b:MonthAccessed>October</b:MonthAccessed>
    <b:DayAccessed>18</b:DayAccessed>
    <b:URL>https://www.theguardian.com/society/2017/jul/27/prisoners-released-by-mistake-amid-surge-violence-england-wales-prisons</b:URL>
    <b:RefOrder>168</b:RefOrder>
  </b:Source>
  <b:Source>
    <b:Tag>Kau15</b:Tag>
    <b:SourceType>JournalArticle</b:SourceType>
    <b:Guid>{7F908EA0-3CF1-4AA2-B164-D07A90EC4A0E}</b:Guid>
    <b:Title>Social Media: The New Mantra for Managing Reputation</b:Title>
    <b:JournalName>Vikalpa: The Journal for Decision Makers</b:JournalName>
    <b:Year>2015</b:Year>
    <b:Pages>455-491</b:Pages>
    <b:Author>
      <b:Author>
        <b:NameList>
          <b:Person>
            <b:Last>Kaul</b:Last>
            <b:First>Asha</b:First>
          </b:Person>
          <b:Person>
            <b:Last>Chaudhri</b:Last>
            <b:First>Vidhi</b:First>
          </b:Person>
          <b:Person>
            <b:Last>Cherian</b:Last>
            <b:First>Dilip</b:First>
          </b:Person>
          <b:Person>
            <b:Last>Freberg</b:Last>
            <b:First>Karen</b:First>
          </b:Person>
          <b:Person>
            <b:Last>Mishra</b:Last>
            <b:First>Smeeta</b:First>
          </b:Person>
          <b:Person>
            <b:Last>Kumar</b:Last>
            <b:First>Rajeev</b:First>
          </b:Person>
          <b:Person>
            <b:Last>Pridmore</b:Last>
            <b:First>Jason</b:First>
          </b:Person>
          <b:Person>
            <b:Last>Lee</b:Last>
            <b:Middle>Young</b:Middle>
            <b:First>Sun</b:First>
          </b:Person>
          <b:Person>
            <b:Last>Rana</b:Last>
            <b:First>Namrata</b:First>
          </b:Person>
          <b:Person>
            <b:Last>Majmudar</b:Last>
            <b:First>Utkarsh</b:First>
          </b:Person>
          <b:Person>
            <b:Last>Carroll</b:Last>
            <b:Middle>E</b:Middle>
            <b:First>Craig</b:First>
          </b:Person>
        </b:NameList>
      </b:Author>
    </b:Author>
    <b:Volume>40</b:Volume>
    <b:Issue>4</b:Issue>
    <b:DOI>10.1177/0256090915618029</b:DOI>
    <b:RefOrder>169</b:RefOrder>
  </b:Source>
  <b:Source>
    <b:Tag>Kar16</b:Tag>
    <b:SourceType>JournalArticle</b:SourceType>
    <b:Guid>{32FE428D-8590-44CB-AA7D-B53CF443659A}</b:Guid>
    <b:Title>A vulnerability-driven cyber security maturity model for measuring national critical infrastructure protection preparedness</b:Title>
    <b:JournalName>International Journal of Critical Infrastructure Protection</b:JournalName>
    <b:Year>2016</b:Year>
    <b:Pages>47-59</b:Pages>
    <b:Author>
      <b:Author>
        <b:NameList>
          <b:Person>
            <b:Last>Karabacak</b:Last>
            <b:First>Bilge</b:First>
          </b:Person>
          <b:Person>
            <b:Last>Yildirim</b:Last>
            <b:Middle>Ozkan</b:Middle>
            <b:First>Sevgi</b:First>
          </b:Person>
          <b:Person>
            <b:Last>Baykal</b:Last>
            <b:First>Nazife</b:First>
          </b:Person>
        </b:NameList>
      </b:Author>
    </b:Author>
    <b:Publisher>Science Direct/Elsevier</b:Publisher>
    <b:Volume>15</b:Volume>
    <b:Issue>2016</b:Issue>
    <b:DOI>10.1016/j.ijcip.2016.10.001</b:DOI>
    <b:RefOrder>170</b:RefOrder>
  </b:Source>
  <b:Source>
    <b:Tag>Kap151</b:Tag>
    <b:SourceType>Book</b:SourceType>
    <b:Guid>{417F51DE-1C80-4E69-9D30-83698A207FF6}</b:Guid>
    <b:Title>Beyond cybersecurity: protecting your digital business</b:Title>
    <b:Year>2015</b:Year>
    <b:City>online</b:City>
    <b:Publisher>Wiley-Blackwell</b:Publisher>
    <b:Author>
      <b:Author>
        <b:NameList>
          <b:Person>
            <b:Last>Kaplan</b:Last>
            <b:Middle>M</b:Middle>
            <b:First>James</b:First>
          </b:Person>
          <b:Person>
            <b:Last>Bailey</b:Last>
            <b:First>Tucker</b:First>
          </b:Person>
          <b:Person>
            <b:Last>O'Halloran</b:Last>
            <b:First>Derek</b:First>
          </b:Person>
          <b:Person>
            <b:Last>Marcus</b:Last>
            <b:First>Alan</b:First>
          </b:Person>
          <b:Person>
            <b:Last>Rezek</b:Last>
            <b:First>Chris</b:First>
          </b:Person>
        </b:NameList>
      </b:Author>
    </b:Author>
    <b:URL>https://www.vlebooks.com/vleweb/Product/Index/491036?page=0</b:URL>
    <b:RefOrder>171</b:RefOrder>
  </b:Source>
  <b:Source>
    <b:Tag>Jin14</b:Tag>
    <b:SourceType>JournalArticle</b:SourceType>
    <b:Guid>{8D7618BD-A03F-451E-A296-E4FC4486A53C}</b:Guid>
    <b:Title>Security of the Internet of Things: perspectives and challenges</b:Title>
    <b:JournalName>Wireless Networks</b:JournalName>
    <b:Year>2014</b:Year>
    <b:Pages>2481-2501</b:Pages>
    <b:Author>
      <b:Author>
        <b:NameList>
          <b:Person>
            <b:Last>Jing</b:Last>
            <b:First>Qi</b:First>
          </b:Person>
          <b:Person>
            <b:Last>Vasilakos</b:Last>
            <b:Middle>V</b:Middle>
            <b:First>Athanasios</b:First>
          </b:Person>
          <b:Person>
            <b:Last>Wan</b:Last>
            <b:First>Jiafu</b:First>
          </b:Person>
          <b:Person>
            <b:Last>Lu</b:Last>
            <b:First>Jingwei</b:First>
          </b:Person>
          <b:Person>
            <b:Last>Qiu</b:Last>
            <b:First>Dechao</b:First>
          </b:Person>
        </b:NameList>
      </b:Author>
    </b:Author>
    <b:Volume>20</b:Volume>
    <b:Issue>8</b:Issue>
    <b:DOI>10.1007/s11276-014-0761-7</b:DOI>
    <b:RefOrder>172</b:RefOrder>
  </b:Source>
  <b:Source>
    <b:Tag>Hub16</b:Tag>
    <b:SourceType>Book</b:SourceType>
    <b:Guid>{2F268A7B-66C9-4407-BEB8-C44368AA44BF}</b:Guid>
    <b:Title>How to Measure Anything in Cybersecurity Risk</b:Title>
    <b:Year>2016</b:Year>
    <b:City>online</b:City>
    <b:Publisher>Wiley-Blackwell</b:Publisher>
    <b:Author>
      <b:Author>
        <b:NameList>
          <b:Person>
            <b:Last>Hubbard</b:Last>
            <b:Middle>W</b:Middle>
            <b:First>Douglas</b:First>
          </b:Person>
          <b:Person>
            <b:Last>Seiersen</b:Last>
            <b:First>Richard</b:First>
          </b:Person>
        </b:NameList>
      </b:Author>
    </b:Author>
    <b:URL>https://www.vlebooks.com/vleweb/Product/Index/862478?page=0</b:URL>
    <b:RefOrder>173</b:RefOrder>
  </b:Source>
  <b:Source>
    <b:Tag>Hua17</b:Tag>
    <b:SourceType>JournalArticle</b:SourceType>
    <b:Guid>{F05AF142-9E87-433B-8B7C-4E3C53972302}</b:Guid>
    <b:Title>Secret key generation based on private pilot under man-in-the-middle attack</b:Title>
    <b:JournalName>Science China Information Sciences</b:JournalName>
    <b:Year>2017</b:Year>
    <b:Pages>1-14</b:Pages>
    <b:Author>
      <b:Author>
        <b:NameList>
          <b:Person>
            <b:Last>Huang</b:Last>
            <b:First>Yu</b:First>
          </b:Person>
          <b:Person>
            <b:Last>Jin</b:Last>
            <b:First>Liang</b:First>
          </b:Person>
          <b:Person>
            <b:Last>Li</b:Last>
            <b:First>Na</b:First>
          </b:Person>
          <b:Person>
            <b:Last>Zhong</b:Last>
            <b:First>Zhou</b:First>
          </b:Person>
          <b:Person>
            <b:Last>Xu</b:Last>
            <b:First>Xiaoming</b:First>
          </b:Person>
        </b:NameList>
      </b:Author>
    </b:Author>
    <b:Volume>60</b:Volume>
    <b:Issue>100307</b:Issue>
    <b:DOI>10.1007/s11432-017-9195-3</b:DOI>
    <b:RefOrder>174</b:RefOrder>
  </b:Source>
  <b:Source>
    <b:Tag>Hoy16</b:Tag>
    <b:SourceType>JournalArticle</b:SourceType>
    <b:Guid>{DC4BAC42-681E-4BF7-934B-0B6DD3FDE205}</b:Guid>
    <b:Title>From Infrastructural Breakdown to Data Vandalism</b:Title>
    <b:JournalName>Television and New Media</b:JournalName>
    <b:Year>2016</b:Year>
    <b:Pages>397–415</b:Pages>
    <b:Volume>17</b:Volume>
    <b:Issue>5</b:Issue>
    <b:Author>
      <b:Author>
        <b:NameList>
          <b:Person>
            <b:Last>Hoyng</b:Last>
            <b:First>Rolien</b:First>
          </b:Person>
        </b:NameList>
      </b:Author>
    </b:Author>
    <b:DOI>10.1177/1527476415617032</b:DOI>
    <b:RefOrder>175</b:RefOrder>
  </b:Source>
  <b:Source>
    <b:Tag>Hon12</b:Tag>
    <b:SourceType>JournalArticle</b:SourceType>
    <b:Guid>{38FD2472-A20F-4125-B2D2-4008B3DE5E7D}</b:Guid>
    <b:Title>The State of Phishing Attacks</b:Title>
    <b:JournalName>Communications of the ACM</b:JournalName>
    <b:Year>2012</b:Year>
    <b:Pages>74-81</b:Pages>
    <b:Author>
      <b:Author>
        <b:NameList>
          <b:Person>
            <b:Last>Hong</b:Last>
            <b:First>Jason</b:First>
          </b:Person>
        </b:NameList>
      </b:Author>
    </b:Author>
    <b:Volume>55</b:Volume>
    <b:Issue>1</b:Issue>
    <b:DOI>10.1145/2063176.2063197</b:DOI>
    <b:RefOrder>176</b:RefOrder>
  </b:Source>
  <b:Source>
    <b:Tag>Hoe17</b:Tag>
    <b:SourceType>InternetSite</b:SourceType>
    <b:Guid>{9366917C-911F-451C-BEB1-590AF445397C}</b:Guid>
    <b:Title>What Is Phishing?</b:Title>
    <b:InternetSiteTitle>Infosec Institute</b:InternetSiteTitle>
    <b:Year>2017</b:Year>
    <b:URL>http://resources.infosecinstitute.com/category/enterprise/phishing/phishing-variations/</b:URL>
    <b:Author>
      <b:Author>
        <b:NameList>
          <b:Person>
            <b:Last>Hoelscher</b:Last>
            <b:First>Penny</b:First>
          </b:Person>
        </b:NameList>
      </b:Author>
    </b:Author>
    <b:YearAccessed>2017</b:YearAccessed>
    <b:MonthAccessed>May</b:MonthAccessed>
    <b:DayAccessed>27</b:DayAccessed>
    <b:RefOrder>177</b:RefOrder>
  </b:Source>
  <b:Source>
    <b:Tag>Hin13</b:Tag>
    <b:SourceType>JournalArticle</b:SourceType>
    <b:Guid>{C5512289-0517-4741-9943-CCDF96FF0CEB}</b:Guid>
    <b:Title>Curtailing cyber and information security vulnerabilities through situational crime prevention</b:Title>
    <b:JournalName>Security Journal, suppl. Special Issue: Security in a digital world: Understanding</b:JournalName>
    <b:Year>2013</b:Year>
    <b:Pages>383-402</b:Pages>
    <b:Volume>26</b:Volume>
    <b:Issue>4</b:Issue>
    <b:Author>
      <b:Author>
        <b:NameList>
          <b:Person>
            <b:Last>Hinduja</b:Last>
            <b:First>Sameer</b:First>
          </b:Person>
          <b:Person>
            <b:Last>Kooi</b:Last>
            <b:First>Brandon</b:First>
          </b:Person>
        </b:NameList>
      </b:Author>
    </b:Author>
    <b:RefOrder>178</b:RefOrder>
  </b:Source>
  <b:Source>
    <b:Tag>Hin03</b:Tag>
    <b:SourceType>JournalArticle</b:SourceType>
    <b:Guid>{5F90F189-50FD-4569-8F31-41D8F4E18349}</b:Guid>
    <b:Title>The law, cybercrime, risk assessment and cyber protection</b:Title>
    <b:JournalName>Computers &amp; Security</b:JournalName>
    <b:Year>2003</b:Year>
    <b:Pages>90-95</b:Pages>
    <b:Author>
      <b:Author>
        <b:NameList>
          <b:Person>
            <b:Last>Hinde</b:Last>
            <b:First>Stephen</b:First>
          </b:Person>
        </b:NameList>
      </b:Author>
    </b:Author>
    <b:Volume>22</b:Volume>
    <b:Issue>2</b:Issue>
    <b:DOI>10.1016/S0167-4048(03)00203-7</b:DOI>
    <b:RefOrder>179</b:RefOrder>
  </b:Source>
  <b:Source>
    <b:Tag>Hes11</b:Tag>
    <b:SourceType>DocumentFromInternetSite</b:SourceType>
    <b:Guid>{2AB6BF98-C397-47CE-B693-092C6F06E822}</b:Guid>
    <b:Title>Lockheed Martin confirms it came under attack</b:Title>
    <b:Year>2011</b:Year>
    <b:InternetSiteTitle>C|Net</b:InternetSiteTitle>
    <b:URL>http://www.cnet.com/news/lockheed-martin-confirms-itcame-under-attack/</b:URL>
    <b:Author>
      <b:Author>
        <b:NameList>
          <b:Person>
            <b:Last>Hesseldahl</b:Last>
            <b:First>A</b:First>
          </b:Person>
        </b:NameList>
      </b:Author>
    </b:Author>
    <b:YearAccessed>2017</b:YearAccessed>
    <b:MonthAccessed>September</b:MonthAccessed>
    <b:DayAccessed>27</b:DayAccessed>
    <b:RefOrder>180</b:RefOrder>
  </b:Source>
  <b:Source>
    <b:Tag>Hes15</b:Tag>
    <b:SourceType>ConferenceProceedings</b:SourceType>
    <b:Guid>{A8EFE9AE-CA41-4E0B-AAF6-1E8709BCA6CD}</b:Guid>
    <b:Title>Responsive Cyber-Physical Risk Management (RECYPHR)</b:Title>
    <b:Year>2015</b:Year>
    <b:Pages>263-274</b:Pages>
    <b:Author>
      <b:Author>
        <b:NameList>
          <b:Person>
            <b:Last>Hessami</b:Last>
            <b:Middle>G</b:Middle>
            <b:First>A</b:First>
          </b:Person>
          <b:Person>
            <b:Last>Jahankhani</b:Last>
            <b:First>H</b:First>
          </b:Person>
          <b:Person>
            <b:Last>Nkhoma</b:Last>
            <b:First>N</b:First>
          </b:Person>
        </b:NameList>
      </b:Author>
    </b:Author>
    <b:BookTitle>Global Security, Safety and Sustainability: Tomorrow's Challenges of Cyber Security</b:BookTitle>
    <b:City>London</b:City>
    <b:Publisher>10th International Conference, ICGS3 2015</b:Publisher>
    <b:Edition>10.1007/978-3-319-23276-8_24</b:Edition>
    <b:DOI>10.1007/978-3-319-23276-8_24</b:DOI>
    <b:RefOrder>181</b:RefOrder>
  </b:Source>
  <b:Source>
    <b:Tag>Her11</b:Tag>
    <b:SourceType>JournalArticle</b:SourceType>
    <b:Guid>{9E95BC2A-B2A3-42FF-B1D8-A4EE357157A5}</b:Guid>
    <b:Title>Revisiting the Estonian Cyber Attacks: Digital Threats and Multinational Responses</b:Title>
    <b:JournalName>Journal of Strategic Security</b:JournalName>
    <b:Year>2011</b:Year>
    <b:Pages>49-60</b:Pages>
    <b:Author>
      <b:Author>
        <b:NameList>
          <b:Person>
            <b:Last>Herzog</b:Last>
            <b:First>Stephen</b:First>
          </b:Person>
        </b:NameList>
      </b:Author>
    </b:Author>
    <b:Volume>4</b:Volume>
    <b:Issue>2</b:Issue>
    <b:DOI>10.5038/1944-0472.4.2.3</b:DOI>
    <b:RefOrder>182</b:RefOrder>
  </b:Source>
  <b:Source>
    <b:Tag>Placeholder1</b:Tag>
    <b:SourceType>BookSection</b:SourceType>
    <b:Guid>{0A881FB0-456A-402A-97DB-F9CC8F324C94}</b:Guid>
    <b:Title>The Great Globalisation Debate: An Introduction</b:Title>
    <b:Year>2003</b:Year>
    <b:City>Malden</b:City>
    <b:Publisher>Polity</b:Publisher>
    <b:BookTitle>The Global Transformations Reader: An Introduction to the Globalization Debate</b:BookTitle>
    <b:Pages>1-50</b:Pages>
    <b:Author>
      <b:Editor>
        <b:NameList>
          <b:Person>
            <b:Last>Held</b:Last>
            <b:First>D</b:First>
          </b:Person>
          <b:Person>
            <b:Last>McGrew</b:Last>
            <b:First>A</b:First>
          </b:Person>
        </b:NameList>
      </b:Editor>
      <b:Author>
        <b:NameList>
          <b:Person>
            <b:Last>Held</b:Last>
            <b:First>D</b:First>
          </b:Person>
          <b:Person>
            <b:Last>McGrew</b:Last>
            <b:First>A</b:First>
          </b:Person>
        </b:NameList>
      </b:Author>
    </b:Author>
    <b:Edition>2nd</b:Edition>
    <b:RefOrder>183</b:RefOrder>
  </b:Source>
  <b:Source>
    <b:Tag>Hea16</b:Tag>
    <b:SourceType>JournalArticle</b:SourceType>
    <b:Guid>{B12D8063-E1AB-4B16-A49B-5E40C2DFF809}</b:Guid>
    <b:Title>A Taxonomy of Attacks and a Survey of Defence Mechanisms for Semantic Social Engineering Attacks</b:Title>
    <b:JournalName>ACM Computing Surveys (CSUR)</b:JournalName>
    <b:Year>2016</b:Year>
    <b:Pages>37</b:Pages>
    <b:Author>
      <b:Author>
        <b:NameList>
          <b:Person>
            <b:Last>Heartfield</b:Last>
            <b:First>Ryan</b:First>
          </b:Person>
          <b:Person>
            <b:Last>Loukas</b:Last>
            <b:First>George</b:First>
          </b:Person>
        </b:NameList>
      </b:Author>
    </b:Author>
    <b:Volume>48</b:Volume>
    <b:Issue>3</b:Issue>
    <b:DOI>10.1145/2835375</b:DOI>
    <b:RefOrder>184</b:RefOrder>
  </b:Source>
  <b:Source>
    <b:Tag>Hea13</b:Tag>
    <b:SourceType>DocumentFromInternetSite</b:SourceType>
    <b:Guid>{28533B89-F3D1-4547-BFF4-34BF1B4B61C9}</b:Guid>
    <b:Title>China Is a Cyber Victim, Too</b:Title>
    <b:InternetSiteTitle>Foreign Policy</b:InternetSiteTitle>
    <b:Year>2013</b:Year>
    <b:URL>http://foreignpolicy.com/2013/04/16/china-is-a-cyber-victim-too/</b:URL>
    <b:Author>
      <b:Author>
        <b:NameList>
          <b:Person>
            <b:Last>Healey</b:Last>
            <b:First>Jason</b:First>
          </b:Person>
        </b:NameList>
      </b:Author>
    </b:Author>
    <b:YearAccessed>2017</b:YearAccessed>
    <b:MonthAccessed>September</b:MonthAccessed>
    <b:DayAccessed>27</b:DayAccessed>
    <b:RefOrder>185</b:RefOrder>
  </b:Source>
  <b:Source>
    <b:Tag>Hat12</b:Tag>
    <b:SourceType>JournalArticle</b:SourceType>
    <b:Guid>{AE75EA00-B5F7-4A82-AAAE-FB2CFF612D8D}</b:Guid>
    <b:Title>The Law of Cyber-Attack</b:Title>
    <b:JournalName>California law review</b:JournalName>
    <b:Year>2012</b:Year>
    <b:Pages>817-885</b:Pages>
    <b:Author>
      <b:Author>
        <b:NameList>
          <b:Person>
            <b:Last>Hathaway</b:Last>
            <b:Middle>A</b:Middle>
            <b:First>Oona</b:First>
          </b:Person>
          <b:Person>
            <b:Last>Crootof</b:Last>
            <b:First>Rebecca</b:First>
          </b:Person>
          <b:Person>
            <b:Last>Levitz</b:Last>
            <b:First>Philip</b:First>
          </b:Person>
          <b:Person>
            <b:Last>Nix</b:Last>
            <b:First>Haley</b:First>
          </b:Person>
          <b:Person>
            <b:Last>Nowlan</b:Last>
            <b:First>Aileen</b:First>
          </b:Person>
          <b:Person>
            <b:Last>Perdue</b:Last>
            <b:First>William</b:First>
          </b:Person>
          <b:Person>
            <b:Last>Spiegel</b:Last>
            <b:First>Julia</b:First>
          </b:Person>
        </b:NameList>
      </b:Author>
    </b:Author>
    <b:Volume>100</b:Volume>
    <b:Issue>4</b:Issue>
    <b:RefOrder>186</b:RefOrder>
  </b:Source>
  <b:Source>
    <b:Tag>Hat11</b:Tag>
    <b:SourceType>Misc</b:SourceType>
    <b:Guid>{A5A28AFE-5F41-491F-9B7D-01504F16F8BB}</b:Guid>
    <b:Title>Determining the Effects of Technology on Children</b:Title>
    <b:Year>2011</b:Year>
    <b:PublicationTitle>Senior Honors Projects, University of Rhode Island</b:PublicationTitle>
    <b:StateProvince>Rhode Island</b:StateProvince>
    <b:Publisher>University of Rhode Island</b:Publisher>
    <b:Author>
      <b:Author>
        <b:NameList>
          <b:Person>
            <b:Last>Hatch</b:Last>
            <b:Middle>E</b:Middle>
            <b:First>Kristina</b:First>
          </b:Person>
        </b:NameList>
      </b:Author>
    </b:Author>
    <b:RefOrder>187</b:RefOrder>
  </b:Source>
  <b:Source>
    <b:Tag>Has16</b:Tag>
    <b:SourceType>JournalArticle</b:SourceType>
    <b:Guid>{EC2BFA38-7BCE-4BC4-B43A-8E2147CFA24B}</b:Guid>
    <b:Title>The role of big data in smart city</b:Title>
    <b:JournalName>International Journal of Information Management</b:JournalName>
    <b:Year>2016</b:Year>
    <b:Pages>748-758</b:Pages>
    <b:Author>
      <b:Author>
        <b:NameList>
          <b:Person>
            <b:Last>Hashem</b:Last>
            <b:Middle>Abaker Targio</b:Middle>
            <b:First>Ibrahim</b:First>
          </b:Person>
          <b:Person>
            <b:Last>Chang</b:Last>
            <b:First>Victor</b:First>
          </b:Person>
          <b:Person>
            <b:Last>Anuar</b:Last>
            <b:Middle>Badrul</b:Middle>
            <b:First>Nor</b:First>
          </b:Person>
          <b:Person>
            <b:Last>Adewole</b:Last>
            <b:First>Kayode</b:First>
          </b:Person>
          <b:Person>
            <b:Last>Yaqoob</b:Last>
            <b:First>Ibrar</b:First>
          </b:Person>
          <b:Person>
            <b:Last>Gani</b:Last>
            <b:First>Abdullah</b:First>
          </b:Person>
          <b:Person>
            <b:Last>Ahmed</b:Last>
            <b:First>Ejaz</b:First>
          </b:Person>
          <b:Person>
            <b:Last>Chiroma</b:Last>
            <b:First>Hiruna</b:First>
          </b:Person>
        </b:NameList>
      </b:Author>
    </b:Author>
    <b:Volume>36</b:Volume>
    <b:Issue>5</b:Issue>
    <b:DOI>10.1016/j.ijinfomgt.2016.05.002</b:DOI>
    <b:RefOrder>188</b:RefOrder>
  </b:Source>
  <b:Source>
    <b:Tag>Ham12</b:Tag>
    <b:SourceType>Book</b:SourceType>
    <b:Guid>{BEB6BAEF-2762-4B58-93C5-3C0A1C5268BC}</b:Guid>
    <b:Title>Islamic Values and Management Practices</b:Title>
    <b:Year>2012</b:Year>
    <b:City>London</b:City>
    <b:Publisher>Gower (e-book)</b:Publisher>
    <b:Edition>Electronic</b:Edition>
    <b:Author>
      <b:Author>
        <b:NameList>
          <b:Person>
            <b:Last>Hammoudeh</b:Last>
            <b:Middle>M</b:Middle>
            <b:First>Maqbouleh</b:First>
          </b:Person>
        </b:NameList>
      </b:Author>
    </b:Author>
    <b:RefOrder>189</b:RefOrder>
  </b:Source>
  <b:Source>
    <b:Tag>Ham00</b:Tag>
    <b:SourceType>Book</b:SourceType>
    <b:Guid>{72C539C9-75BB-4CBA-AED3-4AB53D2405D3}</b:Guid>
    <b:Title>The Ethics of Cyberspace</b:Title>
    <b:Year>2000</b:Year>
    <b:City>London</b:City>
    <b:Publisher>Sage</b:Publisher>
    <b:Author>
      <b:Author>
        <b:NameList>
          <b:Person>
            <b:Last>Hamelink</b:Last>
            <b:Middle>J</b:Middle>
            <b:First>Cees</b:First>
          </b:Person>
        </b:NameList>
      </b:Author>
      <b:Translator>
        <b:NameList>
          <b:Person>
            <b:Last>Hamelink</b:Last>
            <b:Middle>J</b:Middle>
            <b:First>Cees</b:First>
          </b:Person>
        </b:NameList>
      </b:Translator>
    </b:Author>
    <b:Edition>English Language</b:Edition>
    <b:RefOrder>190</b:RefOrder>
  </b:Source>
  <b:Source>
    <b:Tag>Haj15</b:Tag>
    <b:SourceType>JournalArticle</b:SourceType>
    <b:Guid>{1968B08A-0F09-4BEE-8E7D-3B354C47ACD2}</b:Guid>
    <b:Title>Discrimination- and privacy-aware patterns</b:Title>
    <b:JournalName>Data Mining and Knowledge Discovery</b:JournalName>
    <b:Year>2015</b:Year>
    <b:Pages>1733-1782</b:Pages>
    <b:Author>
      <b:Author>
        <b:NameList>
          <b:Person>
            <b:Last>Hajian</b:Last>
            <b:First>Sara</b:First>
          </b:Person>
          <b:Person>
            <b:Last>Domingo-Ferrer</b:Last>
            <b:First>Josep</b:First>
          </b:Person>
          <b:Person>
            <b:Last>Monreale</b:Last>
            <b:First>Anna</b:First>
          </b:Person>
          <b:Person>
            <b:Last>Pedreschi</b:Last>
            <b:First>Dino</b:First>
          </b:Person>
          <b:Person>
            <b:Last>Giannotti</b:Last>
            <b:First>Fosca</b:First>
          </b:Person>
        </b:NameList>
      </b:Author>
    </b:Author>
    <b:Volume>29</b:Volume>
    <b:Issue>6</b:Issue>
    <b:DOI>10.1007/s10618-014-0393-7</b:DOI>
    <b:RefOrder>191</b:RefOrder>
  </b:Source>
  <b:Source>
    <b:Tag>Hab13</b:Tag>
    <b:SourceType>JournalArticle</b:SourceType>
    <b:Guid>{983C1E86-0B69-43E6-82CD-8C4F99805B0E}</b:Guid>
    <b:Title>Risk Management Framework for the Power Grid Cyber-Physical Security</b:Title>
    <b:JournalName>British journal of applied science &amp; technology</b:JournalName>
    <b:Year>2013</b:Year>
    <b:Pages>1070-1085</b:Pages>
    <b:Volume>3</b:Volume>
    <b:Issue>4</b:Issue>
    <b:Author>
      <b:Author>
        <b:NameList>
          <b:Person>
            <b:Last>Habash</b:Last>
            <b:Middle>W. Y.</b:Middle>
            <b:First>Riadh</b:First>
          </b:Person>
          <b:Person>
            <b:Last>Groza</b:Last>
            <b:First>Voicu</b:First>
          </b:Person>
          <b:Person>
            <b:Last>Burr</b:Last>
            <b:First>Kevin</b:First>
          </b:Person>
        </b:NameList>
      </b:Author>
    </b:Author>
    <b:DOI>10.9734/BJAST/2013/3682</b:DOI>
    <b:RefOrder>192</b:RefOrder>
  </b:Source>
  <b:Source>
    <b:Tag>Gro08</b:Tag>
    <b:SourceType>JournalArticle</b:SourceType>
    <b:Guid>{815BE082-0252-457B-8A89-1335EAD10B01}</b:Guid>
    <b:Title>The New E-Spionage Threat; A BusinessWeek probe of rising attacks on America's most sensitive computer networks uncovers startling security gaps</b:Title>
    <b:JournalName>Bloomberg Business Week</b:JournalName>
    <b:Year>2008</b:Year>
    <b:Pages>033-041</b:Pages>
    <b:Author>
      <b:Author>
        <b:NameList>
          <b:Person>
            <b:Last>Grow</b:Last>
            <b:First>Brian</b:First>
          </b:Person>
          <b:Person>
            <b:Last>Epstien</b:Last>
            <b:First>Keith</b:First>
          </b:Person>
          <b:Person>
            <b:Last>Tschang</b:Last>
            <b:First>Chi-Chu</b:First>
          </b:Person>
        </b:NameList>
      </b:Author>
    </b:Author>
    <b:Volume>April</b:Volume>
    <b:Issue>4080</b:Issue>
    <b:RefOrder>193</b:RefOrder>
  </b:Source>
  <b:Source>
    <b:Tag>Gro16</b:Tag>
    <b:SourceType>JournalArticle</b:SourceType>
    <b:Guid>{48B20E53-A177-4556-99C3-E285BF3A0E77}</b:Guid>
    <b:Title>The psychological effects of cyber terrorism</b:Title>
    <b:Year>2016</b:Year>
    <b:JournalName>Bulletin of the Atomic Scientists</b:JournalName>
    <b:Pages>284-291</b:Pages>
    <b:Author>
      <b:Author>
        <b:NameList>
          <b:Person>
            <b:Last>Gross</b:Last>
            <b:Middle>L</b:Middle>
            <b:First>Michael</b:First>
          </b:Person>
          <b:Person>
            <b:Last>Canetti</b:Last>
            <b:First>Daphna</b:First>
          </b:Person>
          <b:Person>
            <b:Last>Vashdi</b:Last>
            <b:Middle>R</b:Middle>
            <b:First>Dana</b:First>
          </b:Person>
        </b:NameList>
      </b:Author>
    </b:Author>
    <b:Volume>72</b:Volume>
    <b:Issue>5</b:Issue>
    <b:DOI>10.1080/00963402.2016.1216502</b:DOI>
    <b:RefOrder>194</b:RefOrder>
  </b:Source>
  <b:Source>
    <b:Tag>Gri16</b:Tag>
    <b:SourceType>ConferenceProceedings</b:SourceType>
    <b:Guid>{79292B32-8E74-4934-8F33-23766C17F7F6}</b:Guid>
    <b:Title>Biometric-Based Cybersecurity Techniques</b:Title>
    <b:Pages>43-54</b:Pages>
    <b:Year>2016</b:Year>
    <b:ConferenceName>Advances in Human Factors in Cybersecurity</b:ConferenceName>
    <b:Publisher>Springer</b:Publisher>
    <b:Author>
      <b:Author>
        <b:NameList>
          <b:Person>
            <b:Last>Griffin</b:Last>
            <b:Middle>H</b:Middle>
            <b:First>Philip</b:First>
          </b:Person>
        </b:NameList>
      </b:Author>
      <b:Editor>
        <b:NameList>
          <b:Person>
            <b:Last>Nicholson</b:Last>
            <b:First>D</b:First>
          </b:Person>
        </b:NameList>
      </b:Editor>
    </b:Author>
    <b:DOI>10.1007/978-3-319-41932-9_5</b:DOI>
    <b:City>Basel</b:City>
    <b:RefOrder>195</b:RefOrder>
  </b:Source>
  <b:Source>
    <b:Tag>Gri17</b:Tag>
    <b:SourceType>JournalArticle</b:SourceType>
    <b:Guid>{13F80F63-BE9A-4A81-9DA4-2A44BE545AAD}</b:Guid>
    <b:Title>An IoT-based monitoring approach for cultural heritage sites: The Matera case</b:Title>
    <b:JournalName>Concurrency and Computation: Practice and Experience</b:JournalName>
    <b:Year>2017</b:Year>
    <b:Pages>1-13</b:Pages>
    <b:Author>
      <b:Author>
        <b:NameList>
          <b:Person>
            <b:Last>Gribaudo</b:Last>
            <b:First>Marco</b:First>
          </b:Person>
          <b:Person>
            <b:Last>Iacono</b:Last>
            <b:First>Mauro</b:First>
          </b:Person>
          <b:Person>
            <b:Last>Levis</b:Last>
            <b:Middle>H</b:Middle>
            <b:First>Alexander</b:First>
          </b:Person>
        </b:NameList>
      </b:Author>
    </b:Author>
    <b:Volume>29</b:Volume>
    <b:Issue>11</b:Issue>
    <b:DOI>10.1002/cpe.4153</b:DOI>
    <b:RefOrder>196</b:RefOrder>
  </b:Source>
  <b:Source>
    <b:Tag>Gre08</b:Tag>
    <b:SourceType>JournalArticle</b:SourceType>
    <b:Guid>{30C9E821-F7F9-477A-931A-A8CCCADBE158}</b:Guid>
    <b:Title>Combating the Insider Cyber Threat</b:Title>
    <b:JournalName>IEEE Security and Privacy</b:JournalName>
    <b:Year>2008</b:Year>
    <b:Pages>61-64</b:Pages>
    <b:Volume>6</b:Volume>
    <b:Issue>1</b:Issue>
    <b:Author>
      <b:Author>
        <b:NameList>
          <b:Person>
            <b:Last>Greitzer</b:Last>
            <b:Middle>L</b:Middle>
            <b:First>Frank</b:First>
          </b:Person>
          <b:Person>
            <b:Last>Moore</b:Last>
            <b:Middle>P</b:Middle>
            <b:First>Andrew</b:First>
          </b:Person>
          <b:Person>
            <b:Last>Cappelli</b:Last>
            <b:Middle>M</b:Middle>
            <b:First>Dawn</b:First>
          </b:Person>
          <b:Person>
            <b:Last>Andrews</b:Last>
            <b:Middle>H</b:Middle>
            <b:First>Dee</b:First>
          </b:Person>
          <b:Person>
            <b:Last>Carroll</b:Last>
            <b:Middle>A</b:Middle>
            <b:First>Lynn</b:First>
          </b:Person>
          <b:Person>
            <b:Last>Hull</b:Last>
            <b:Middle>D</b:Middle>
            <b:First>Thomas</b:First>
          </b:Person>
        </b:NameList>
      </b:Author>
    </b:Author>
    <b:DOI>10.1109/MSP.2008.8</b:DOI>
    <b:RefOrder>197</b:RefOrder>
  </b:Source>
  <b:Source>
    <b:Tag>Gre161</b:Tag>
    <b:SourceType>InternetSite</b:SourceType>
    <b:Guid>{B9F524AC-2CA7-42B0-ADD5-CDE71E639CD4}</b:Guid>
    <b:Title>The Jeep Hackers Are Back to Prove Car Hacking can get much worse</b:Title>
    <b:Year>2016</b:Year>
    <b:YearAccessed>2017</b:YearAccessed>
    <b:MonthAccessed>September</b:MonthAccessed>
    <b:DayAccessed>26</b:DayAccessed>
    <b:URL>https://www.wired.com/2016/08/jeep-hackers-return-high-speed-steering-acceleration-hacks/</b:URL>
    <b:Author>
      <b:Author>
        <b:NameList>
          <b:Person>
            <b:Last>Greenberg</b:Last>
            <b:First>Andy</b:First>
          </b:Person>
        </b:NameList>
      </b:Author>
    </b:Author>
    <b:RefOrder>198</b:RefOrder>
  </b:Source>
  <b:Source>
    <b:Tag>Gre151</b:Tag>
    <b:SourceType>InternetSite</b:SourceType>
    <b:Guid>{20844E1F-03AD-4BB2-9495-E7D8FFBDA703}</b:Guid>
    <b:Title>Hackers Can Disable a Sniper Rifle—Or Change Its Target</b:Title>
    <b:Year>2015</b:Year>
    <b:YearAccessed>2017</b:YearAccessed>
    <b:MonthAccessed>September</b:MonthAccessed>
    <b:DayAccessed>26</b:DayAccessed>
    <b:URL>https://www.wired.com/2015/07/hackers-can-disable-sniper-rifleor-change-target/</b:URL>
    <b:Author>
      <b:Author>
        <b:NameList>
          <b:Person>
            <b:Last>Greenberg</b:Last>
            <b:First>Andy</b:First>
          </b:Person>
        </b:NameList>
      </b:Author>
    </b:Author>
    <b:RefOrder>199</b:RefOrder>
  </b:Source>
  <b:Source>
    <b:Tag>Goo16</b:Tag>
    <b:SourceType>Book</b:SourceType>
    <b:Guid>{157D75C0-004C-4C89-BFE1-0A5EB7F1CB1B}</b:Guid>
    <b:Title>Future Crimes: Inside The Digital Underground and the Battle For Our Connected World</b:Title>
    <b:Year>2016</b:Year>
    <b:City>London</b:City>
    <b:Publisher>Transworld Press</b:Publisher>
    <b:Author>
      <b:Author>
        <b:NameList>
          <b:Person>
            <b:Last>Goodman</b:Last>
            <b:First>Marc</b:First>
          </b:Person>
        </b:NameList>
      </b:Author>
    </b:Author>
    <b:RefOrder>200</b:RefOrder>
  </b:Source>
  <b:Source>
    <b:Tag>Gon14</b:Tag>
    <b:SourceType>JournalArticle</b:SourceType>
    <b:Guid>{64378E2D-64CB-47A3-B212-E9B2BA4121B1}</b:Guid>
    <b:Title>Knowledge management: an Analysis From the Organisational Development</b:Title>
    <b:JournalName>Journal of Technology Management &amp; Innovation</b:JournalName>
    <b:Year>2014</b:Year>
    <b:Pages>653-663</b:Pages>
    <b:Author>
      <b:Author>
        <b:NameList>
          <b:Person>
            <b:Last>Gonzalez</b:Last>
            <b:Middle>D</b:Middle>
            <b:First>R. V.</b:First>
          </b:Person>
          <b:Person>
            <b:Last>Martins</b:Last>
            <b:Middle>F</b:Middle>
            <b:First>M</b:First>
          </b:Person>
        </b:NameList>
      </b:Author>
    </b:Author>
    <b:Volume>9</b:Volume>
    <b:Issue>1</b:Issue>
    <b:RefOrder>201</b:RefOrder>
  </b:Source>
  <b:Source>
    <b:Tag>Ghe11</b:Tag>
    <b:SourceType>JournalArticle</b:SourceType>
    <b:Guid>{8BD6997C-34A4-4893-AEB2-D9076E91CD67}</b:Guid>
    <b:Title>A BRIEF ANALYSIS OF THE CRIMES FROM THE CATEGORY OF CYBERCRIMES INCRIMINATED BY LAW NO. 161/2003 AND BY THE NEW ROMANIAN CRIMINAL CODE/O SCURTA ANALIZA A INFRACTIUNILOR DIN SFERA CRIMINALITATII INFORMATICE INCRIMINATE ÎN LEGEA NR. 161/2003 SI ÎN NOUL COD</b:Title>
    <b:Year>2011</b:Year>
    <b:JournalName>Romanian Journal of Forensic Science</b:JournalName>
    <b:Pages>673-681</b:Pages>
    <b:Author>
      <b:Author>
        <b:NameList>
          <b:Person>
            <b:Last>Gheorghe-Iulian</b:Last>
            <b:First>Oniţă</b:First>
          </b:Person>
        </b:NameList>
      </b:Author>
    </b:Author>
    <b:Volume>11</b:Volume>
    <b:Issue>74</b:Issue>
    <b:RefOrder>202</b:RefOrder>
  </b:Source>
  <b:Source>
    <b:Tag>Gan17</b:Tag>
    <b:SourceType>JournalArticle</b:SourceType>
    <b:Guid>{9D339D23-FD35-4762-B62F-665569431F39}</b:Guid>
    <b:Title>Multicriteria Decision Framework for Cybersecurity Risk Assessment and Management</b:Title>
    <b:JournalName>Risk Analysis</b:JournalName>
    <b:Year>2017</b:Year>
    <b:Pages>1-16</b:Pages>
    <b:Author>
      <b:Author>
        <b:NameList>
          <b:Person>
            <b:Last>Ganin</b:Last>
            <b:Middle>A</b:Middle>
            <b:First>Alexander</b:First>
          </b:Person>
          <b:Person>
            <b:Last>Quach</b:Last>
            <b:First>Phuoc</b:First>
          </b:Person>
          <b:Person>
            <b:Last>Panwar</b:Last>
            <b:First>Mahesh</b:First>
          </b:Person>
          <b:Person>
            <b:Last>Keisler</b:Last>
            <b:Middle>M</b:Middle>
            <b:First>Jeffrey</b:First>
          </b:Person>
          <b:Person>
            <b:Last>Marchese</b:Last>
            <b:First>Dayton</b:First>
          </b:Person>
          <b:Person>
            <b:Last>Linkov</b:Last>
            <b:First>Igor</b:First>
          </b:Person>
        </b:NameList>
      </b:Author>
    </b:Author>
    <b:DOI>10.1111/risa.12891</b:DOI>
    <b:RefOrder>203</b:RefOrder>
  </b:Source>
  <b:Source>
    <b:Tag>Gam12</b:Tag>
    <b:SourceType>JournalArticle</b:SourceType>
    <b:Guid>{3061B809-D0FF-4DB2-8088-D252DF6F1AFE}</b:Guid>
    <b:Title>Credit risk assessment and the impact of the New Basel Capital Accord on small and medium-sized enterprises: An empirical analysis</b:Title>
    <b:Year>2012</b:Year>
    <b:JournalName>Management Research Review</b:JournalName>
    <b:Pages>727-749</b:Pages>
    <b:Volume>35</b:Volume>
    <b:Issue>8</b:Issue>
    <b:Author>
      <b:Author>
        <b:NameList>
          <b:Person>
            <b:Last>Gama</b:Last>
            <b:Middle>Paula Matius</b:Middle>
            <b:First>Ana</b:First>
          </b:Person>
          <b:Person>
            <b:Last>Geraldes</b:Last>
            <b:Middle>Susana Amaral</b:Middle>
            <b:First>Helena</b:First>
          </b:Person>
        </b:NameList>
      </b:Author>
    </b:Author>
    <b:DOI>10.1108/01409171211247712</b:DOI>
    <b:RefOrder>204</b:RefOrder>
  </b:Source>
  <b:Source>
    <b:Tag>Fre07</b:Tag>
    <b:SourceType>Book</b:SourceType>
    <b:Guid>{5FB4C296-CA25-47A0-9C0A-DCDE9769DDA2}</b:Guid>
    <b:Title>Cross-Cultural Management in Work Organisations</b:Title>
    <b:Year>2007</b:Year>
    <b:City>London</b:City>
    <b:Publisher>CIPD</b:Publisher>
    <b:Author>
      <b:Author>
        <b:NameList>
          <b:Person>
            <b:Last>French</b:Last>
            <b:First>Ray</b:First>
          </b:Person>
        </b:NameList>
      </b:Author>
    </b:Author>
    <b:RefOrder>205</b:RefOrder>
  </b:Source>
  <b:Source>
    <b:Tag>Fra15</b:Tag>
    <b:SourceType>JournalArticle</b:SourceType>
    <b:Guid>{C2B4EB72-CE27-4AD5-85A6-5E321085A3B7}</b:Guid>
    <b:Title>Cyber security information exchange to gain insight into the effects of cyber threats and incidents</b:Title>
    <b:JournalName>Elektrotechnik und Informationstechnik</b:JournalName>
    <b:Year>2015</b:Year>
    <b:Pages>106-112</b:Pages>
    <b:Volume>132</b:Volume>
    <b:Issue>2</b:Issue>
    <b:Author>
      <b:Author>
        <b:NameList>
          <b:Person>
            <b:Last>Fransen</b:Last>
            <b:First>Frank</b:First>
          </b:Person>
          <b:Person>
            <b:Last>Smulders</b:Last>
            <b:First>Andre</b:First>
          </b:Person>
          <b:Person>
            <b:Last>Kerkdijk</b:Last>
            <b:First>Richard</b:First>
          </b:Person>
        </b:NameList>
      </b:Author>
    </b:Author>
    <b:DOI>10.1007/s00502-015-0289-2</b:DOI>
    <b:RefOrder>206</b:RefOrder>
  </b:Source>
  <b:Source>
    <b:Tag>Fis12</b:Tag>
    <b:SourceType>JournalArticle</b:SourceType>
    <b:Guid>{7341C2D0-2BCF-4BD1-9191-ED10ED5114F5}</b:Guid>
    <b:Title>Cyber security, building automation, and the intelligent building</b:Title>
    <b:JournalName>Intelligent Buildings International</b:JournalName>
    <b:Year>2012</b:Year>
    <b:Pages>169-181</b:Pages>
    <b:Author>
      <b:Author>
        <b:NameList>
          <b:Person>
            <b:Last>Fisk</b:Last>
            <b:First>David</b:First>
          </b:Person>
        </b:NameList>
      </b:Author>
    </b:Author>
    <b:Volume>4</b:Volume>
    <b:Issue>3</b:Issue>
    <b:DOI>10.1080/17508975.2012.695277</b:DOI>
    <b:RefOrder>207</b:RefOrder>
  </b:Source>
  <b:Source>
    <b:Tag>Fie16</b:Tag>
    <b:SourceType>JournalArticle</b:SourceType>
    <b:Guid>{86996260-BBD8-444E-A456-9D02D9C30F34}</b:Guid>
    <b:Title>Decision support approaches for cyber security investment</b:Title>
    <b:Year>2016</b:Year>
    <b:Author>
      <b:Author>
        <b:NameList>
          <b:Person>
            <b:Last>Fielder</b:Last>
            <b:First>Andrew</b:First>
          </b:Person>
          <b:Person>
            <b:Last>Panaousis</b:Last>
            <b:First>Emmanouil </b:First>
          </b:Person>
          <b:Person>
            <b:Last>Malacaria</b:Last>
            <b:First>Pasquale</b:First>
          </b:Person>
          <b:Person>
            <b:Last>Hankin</b:Last>
            <b:First>Chris</b:First>
          </b:Person>
          <b:Person>
            <b:Last>Smeraldi</b:Last>
            <b:First>Fabrizio</b:First>
          </b:Person>
        </b:NameList>
      </b:Author>
    </b:Author>
    <b:JournalName>Decision Support Systems</b:JournalName>
    <b:Pages>13-22</b:Pages>
    <b:Volume>86</b:Volume>
    <b:Issue>1</b:Issue>
    <b:DOI>10.1016/j.dss.2016.02.012</b:DOI>
    <b:RefOrder>208</b:RefOrder>
  </b:Source>
  <b:Source>
    <b:Tag>Fer17</b:Tag>
    <b:SourceType>JournalArticle</b:SourceType>
    <b:Guid>{09BAE15F-AF60-4599-9B08-D927FC6C4FBD}</b:Guid>
    <b:Title>Reverse Engineering and Security Evaluation of Commercial Tags for RFID-Based IoT Applications</b:Title>
    <b:JournalName>Sensors (Basel, Switzerland)</b:JournalName>
    <b:Year>2017</b:Year>
    <b:Pages>28-59</b:Pages>
    <b:Author>
      <b:Author>
        <b:NameList>
          <b:Person>
            <b:Last>Fernández-Caramés</b:Last>
            <b:Middle>M</b:Middle>
            <b:First>Tiago</b:First>
          </b:Person>
          <b:Person>
            <b:Last>Fraga-Lamas</b:Last>
            <b:First>Paula</b:First>
          </b:Person>
          <b:Person>
            <b:Last>Suárez-Albela</b:Last>
            <b:First>Manuel</b:First>
          </b:Person>
          <b:Person>
            <b:Last>Castedo</b:Last>
            <b:First>Luis</b:First>
          </b:Person>
        </b:NameList>
      </b:Author>
    </b:Author>
    <b:Volume>17</b:Volume>
    <b:Issue>1</b:Issue>
    <b:DOI>10.3390/s17010028</b:DOI>
    <b:RefOrder>209</b:RefOrder>
  </b:Source>
  <b:Source>
    <b:Tag>Far15</b:Tag>
    <b:SourceType>JournalArticle</b:SourceType>
    <b:Guid>{FED40D2A-5147-4E34-9131-70A11265228F}</b:Guid>
    <b:Title>A Review on Internet of Things (IoT)</b:Title>
    <b:JournalName>International Journal of Computer Applications </b:JournalName>
    <b:Year>2015</b:Year>
    <b:Pages>1-7</b:Pages>
    <b:Volume>113</b:Volume>
    <b:Issue>1</b:Issue>
    <b:Author>
      <b:Author>
        <b:NameList>
          <b:Person>
            <b:Last>Farooq</b:Last>
            <b:Middle>U</b:Middle>
            <b:First>M</b:First>
          </b:Person>
          <b:Person>
            <b:Last>Waseem</b:Last>
            <b:First>Muhammad</b:First>
          </b:Person>
          <b:Person>
            <b:Last>Mazhar</b:Last>
            <b:First>Sadia</b:First>
          </b:Person>
          <b:Person>
            <b:Last>Khairi</b:Last>
            <b:First>Anjum</b:First>
          </b:Person>
          <b:Person>
            <b:Last>Kamal</b:Last>
            <b:First>Talha</b:First>
          </b:Person>
        </b:NameList>
      </b:Author>
    </b:Author>
    <b:RefOrder>210</b:RefOrder>
  </b:Source>
  <b:Source>
    <b:Tag>Fal15</b:Tag>
    <b:SourceType>JournalArticle</b:SourceType>
    <b:Guid>{B754E252-97A5-4107-AC1F-702E01849D18}</b:Guid>
    <b:Title>Risk management in SMEs: a systematic review of available evidence</b:Title>
    <b:JournalName>The journal of risk finance</b:JournalName>
    <b:Year>2015</b:Year>
    <b:Pages>122-144</b:Pages>
    <b:Volume>16</b:Volume>
    <b:Issue>2</b:Issue>
    <b:Author>
      <b:Author>
        <b:NameList>
          <b:Person>
            <b:Last>Falkner</b:Last>
            <b:Middle>Maria</b:Middle>
            <b:First>Eva</b:First>
          </b:Person>
          <b:Person>
            <b:Last>Hiebl</b:Last>
            <b:Middle>R. W.</b:Middle>
            <b:First>Martin</b:First>
          </b:Person>
        </b:NameList>
      </b:Author>
    </b:Author>
    <b:DOI>10.1108/JRF-06-2014-0079</b:DOI>
    <b:RefOrder>211</b:RefOrder>
  </b:Source>
  <b:Source>
    <b:Tag>Eic16</b:Tag>
    <b:SourceType>ConferenceProceedings</b:SourceType>
    <b:Guid>{4505B185-2D60-4034-8DF8-0E7C71CC2362}</b:Guid>
    <b:Title>Extended Password Security via Cloud: CloudPass</b:Title>
    <b:Year>2016</b:Year>
    <b:Pages>33-42</b:Pages>
    <b:ConferenceName>Advances in Human Factors in Cybersecurity</b:ConferenceName>
    <b:Publisher>Springer</b:Publisher>
    <b:Author>
      <b:Author>
        <b:NameList>
          <b:Person>
            <b:Last>Eich</b:Last>
            <b:First>James</b:First>
          </b:Person>
          <b:Person>
            <b:Last>John</b:Last>
            <b:First>Lalu</b:First>
          </b:Person>
          <b:Person>
            <b:Last>Smith</b:Last>
            <b:First>Kolin</b:First>
          </b:Person>
          <b:Person>
            <b:Last>Cankaya</b:Last>
            <b:Middle>Celikel</b:Middle>
            <b:First>Ebru</b:First>
          </b:Person>
        </b:NameList>
      </b:Author>
      <b:Editor>
        <b:NameList>
          <b:Person>
            <b:Last>Nicholson</b:Last>
            <b:First>D</b:First>
          </b:Person>
        </b:NameList>
      </b:Editor>
    </b:Author>
    <b:DOI>10.1007/978-3-319-41932-9_4</b:DOI>
    <b:City>Basel</b:City>
    <b:RefOrder>212</b:RefOrder>
  </b:Source>
  <b:Source>
    <b:Tag>Ehs13</b:Tag>
    <b:SourceType>JournalArticle</b:SourceType>
    <b:Guid>{40552C14-E904-4473-A3F9-6EA5CB02D744}</b:Guid>
    <b:Title>Risk management: the next source of competitive advantage</b:Title>
    <b:JournalName>Foresight</b:JournalName>
    <b:Year>2013</b:Year>
    <b:Pages>117-131</b:Pages>
    <b:Volume>15</b:Volume>
    <b:Issue>2</b:Issue>
    <b:Author>
      <b:Author>
        <b:NameList>
          <b:Person>
            <b:Last>Ehsan</b:Last>
            <b:First>Elahi</b:First>
          </b:Person>
        </b:NameList>
      </b:Author>
    </b:Author>
    <b:DOI>10.1108/14636681311321121</b:DOI>
    <b:RefOrder>213</b:RefOrder>
  </b:Source>
  <b:Source>
    <b:Tag>Eft16</b:Tag>
    <b:SourceType>JournalArticle</b:SourceType>
    <b:Guid>{E48B4BFB-264D-485B-97DA-DF6F738A9AF8}</b:Guid>
    <b:Title>Cyber-Security in smart cities: the case of Dubai	</b:Title>
    <b:JournalName>Journal of Innovation and Entrepreneurship</b:JournalName>
    <b:Year>2016</b:Year>
    <b:Volume>5</b:Volume>
    <b:Issue>1</b:Issue>
    <b:Author>
      <b:Author>
        <b:NameList>
          <b:Person>
            <b:Last>Efthymiopoulos</b:Last>
            <b:First>Marios-Panagiotis</b:First>
          </b:Person>
        </b:NameList>
      </b:Author>
    </b:Author>
    <b:RefOrder>214</b:RefOrder>
  </b:Source>
  <b:Source>
    <b:Tag>Dut16</b:Tag>
    <b:SourceType>ConferenceProceedings</b:SourceType>
    <b:Guid>{3D33B4FB-0ACD-462B-96F2-7AEB0D66FF78}</b:Guid>
    <b:Title>Role of Intrusion-Detection Systems in Cyber-Attack Detection</b:Title>
    <b:Pages>97-109</b:Pages>
    <b:Year>2016</b:Year>
    <b:ConferenceName>Advances in Human Factors in Cybersecurity</b:ConferenceName>
    <b:City>Basel</b:City>
    <b:Publisher>Springer</b:Publisher>
    <b:Author>
      <b:Author>
        <b:NameList>
          <b:Person>
            <b:Last>Dutt</b:Last>
            <b:First>Varun</b:First>
          </b:Person>
          <b:Person>
            <b:Last>Moisan</b:Last>
            <b:First>Frederic</b:First>
          </b:Person>
          <b:Person>
            <b:Last>Gonzalez</b:Last>
            <b:First>Cleotilde</b:First>
          </b:Person>
        </b:NameList>
      </b:Author>
      <b:Editor>
        <b:NameList>
          <b:Person>
            <b:Last>Nicholson</b:Last>
            <b:First>D</b:First>
          </b:Person>
        </b:NameList>
      </b:Editor>
    </b:Author>
    <b:DOI>10.1007/978-3-319-41932-9_9</b:DOI>
    <b:RefOrder>215</b:RefOrder>
  </b:Source>
  <b:Source>
    <b:Tag>Dun141</b:Tag>
    <b:SourceType>JournalArticle</b:SourceType>
    <b:Guid>{A6D0A334-5C5E-4D39-B460-BF54C66321C3}</b:Guid>
    <b:Title>Breaking the Cyber-Security Dilemma: Aligning Security Needs and Removing Vulnerabilities</b:Title>
    <b:Year>2014</b:Year>
    <b:JournalName>Science and Engineering Ethics</b:JournalName>
    <b:Pages>701-715</b:Pages>
    <b:Author>
      <b:Author>
        <b:NameList>
          <b:Person>
            <b:Last>Dunn Cavelty</b:Last>
            <b:First>Myriam</b:First>
          </b:Person>
        </b:NameList>
      </b:Author>
    </b:Author>
    <b:Volume>20</b:Volume>
    <b:Issue>3</b:Issue>
    <b:DOI>10.1007/s11948-014-9551-y</b:DOI>
    <b:RefOrder>216</b:RefOrder>
  </b:Source>
  <b:Source>
    <b:Tag>Drm15</b:Tag>
    <b:SourceType>JournalArticle</b:SourceType>
    <b:Guid>{317D962E-42CE-4762-8A7B-833643185906}</b:Guid>
    <b:Title>Modeling Hacktivism Using System Dynamics</b:Title>
    <b:JournalName>Journal of Applied Security Research</b:JournalName>
    <b:Year>2015</b:Year>
    <b:Pages>238-248</b:Pages>
    <b:Author>
      <b:Author>
        <b:NameList>
          <b:Person>
            <b:Last>Drmola</b:Last>
            <b:First>Jakub</b:First>
          </b:Person>
          <b:Person>
            <b:Last>Bastl</b:Last>
            <b:First>Martin</b:First>
          </b:Person>
          <b:Person>
            <b:Last>Mares</b:Last>
            <b:First>Miroslav</b:First>
          </b:Person>
        </b:NameList>
      </b:Author>
    </b:Author>
    <b:Volume>10</b:Volume>
    <b:Issue>2</b:Issue>
    <b:DOI>10.1080/19361610.2015.1004514</b:DOI>
    <b:RefOrder>217</b:RefOrder>
  </b:Source>
  <b:Source>
    <b:Tag>Dou16</b:Tag>
    <b:SourceType>JournalArticle</b:SourceType>
    <b:Guid>{B3C90DB3-CBD9-4915-B15E-AFAADA4C3725}</b:Guid>
    <b:Title>Doxing: a conceptual analysis</b:Title>
    <b:JournalName>Ethics and Information Technology</b:JournalName>
    <b:Year>2016</b:Year>
    <b:Pages>199-210</b:Pages>
    <b:Volume>18</b:Volume>
    <b:Issue>3</b:Issue>
    <b:Author>
      <b:Author>
        <b:NameList>
          <b:Person>
            <b:Last>Douglas</b:Last>
            <b:Middle>M</b:Middle>
            <b:First>David</b:First>
          </b:Person>
        </b:NameList>
      </b:Author>
    </b:Author>
    <b:DOI>10.1007/s10676-016-9406-0</b:DOI>
    <b:RefOrder>218</b:RefOrder>
  </b:Source>
  <b:Source>
    <b:Tag>Dje11</b:Tag>
    <b:SourceType>JournalArticle</b:SourceType>
    <b:Guid>{AE08E399-E734-465A-858D-3C07FA9A58A9}</b:Guid>
    <b:Title>Brokering of risk-aware service level agreements in grids</b:Title>
    <b:JournalName>Concurrency and Computation - Practice and Experience</b:JournalName>
    <b:Year>2011</b:Year>
    <b:Pages>1558-1582</b:Pages>
    <b:Author>
      <b:Author>
        <b:NameList>
          <b:Person>
            <b:Last>Djemame</b:Last>
            <b:First>K</b:First>
          </b:Person>
          <b:Person>
            <b:Last>Padgett</b:Last>
            <b:First>J</b:First>
          </b:Person>
          <b:Person>
            <b:Last>Gourlay</b:Last>
            <b:First>I</b:First>
          </b:Person>
          <b:Person>
            <b:Last>Armstrong</b:Last>
            <b:First>D</b:First>
          </b:Person>
        </b:NameList>
      </b:Author>
    </b:Author>
    <b:Volume>23</b:Volume>
    <b:Issue>13</b:Issue>
    <b:DOI>10.1002/cpe.1721</b:DOI>
    <b:RefOrder>219</b:RefOrder>
  </b:Source>
  <b:Source>
    <b:Tag>Dja12</b:Tag>
    <b:SourceType>JournalArticle</b:SourceType>
    <b:Guid>{88F31014-A6A2-49C9-99DF-7AE16A93DFF9}</b:Guid>
    <b:Title>Origins of Serious Games</b:Title>
    <b:Year>2012</b:Year>
    <b:JournalName>Ludoscience [online]</b:JournalName>
    <b:Pages>http://www.ludoscience.com/files/ressources/origins_of_serious_games.pdf</b:Pages>
    <b:Author>
      <b:Author>
        <b:NameList>
          <b:Person>
            <b:Last>Djaouti</b:Last>
            <b:First>Damien</b:First>
          </b:Person>
          <b:Person>
            <b:Last>Alvarez</b:Last>
            <b:First>Julian</b:First>
          </b:Person>
          <b:Person>
            <b:Last>Jessel</b:Last>
            <b:First>Jean-Pierre</b:First>
          </b:Person>
          <b:Person>
            <b:Last>Rampnoux</b:Last>
            <b:First>Olivier</b:First>
          </b:Person>
        </b:NameList>
      </b:Author>
    </b:Author>
    <b:RefOrder>220</b:RefOrder>
  </b:Source>
  <b:Source>
    <b:Tag>DeR17</b:Tag>
    <b:SourceType>DocumentFromInternetSite</b:SourceType>
    <b:Guid>{77DC8830-8AA4-4066-9170-53F8D27F0BAB}</b:Guid>
    <b:Title>IoT Security Risks: 4 Types of Cyber Attacks to be Aware Of</b:Title>
    <b:InternetSiteTitle>L-Tron Corporation</b:InternetSiteTitle>
    <b:Year>2017</b:Year>
    <b:URL>https://www.l-tron.com/iot-security-risks-4-types-of-cyber-attacks/</b:URL>
    <b:Author>
      <b:Author>
        <b:NameList>
          <b:Person>
            <b:Last>DeRose</b:Last>
            <b:Middle>A. D</b:Middle>
            <b:First>R</b:First>
          </b:Person>
        </b:NameList>
      </b:Author>
    </b:Author>
    <b:YearAccessed>2017</b:YearAccessed>
    <b:MonthAccessed>September</b:MonthAccessed>
    <b:DayAccessed>29</b:DayAccessed>
    <b:RefOrder>221</b:RefOrder>
  </b:Source>
  <b:Source>
    <b:Tag>Dem00</b:Tag>
    <b:SourceType>Book</b:SourceType>
    <b:Guid>{C8CB586B-8954-4A4A-8D8C-97005DCD6696}</b:Guid>
    <b:Title>Out of the Crisis</b:Title>
    <b:Year>2000</b:Year>
    <b:City>Boston</b:City>
    <b:Publisher>SPC Books</b:Publisher>
    <b:Edition>1</b:Edition>
    <b:Author>
      <b:Author>
        <b:NameList>
          <b:Person>
            <b:Last>Deming</b:Last>
            <b:Middle>Edwards</b:Middle>
            <b:First>W</b:First>
          </b:Person>
        </b:NameList>
      </b:Author>
    </b:Author>
    <b:RefOrder>222</b:RefOrder>
  </b:Source>
  <b:Source>
    <b:Tag>deL15</b:Tag>
    <b:SourceType>JournalArticle</b:SourceType>
    <b:Guid>{2031DCCF-AA7F-4CA1-BE1F-10B2B7EB4A5E}</b:Guid>
    <b:Title>The use of software tools and autonomous bots against vandalism: eroding Wikipedia’s moral order?</b:Title>
    <b:JournalName>Ethics and Information Technology</b:JournalName>
    <b:Year>2015</b:Year>
    <b:Pages>175-188</b:Pages>
    <b:Volume>17</b:Volume>
    <b:Issue>3</b:Issue>
    <b:Author>
      <b:Author>
        <b:NameList>
          <b:Person>
            <b:Last>de Laat</b:Last>
            <b:Middle>B</b:Middle>
            <b:First>Paul</b:First>
          </b:Person>
        </b:NameList>
      </b:Author>
    </b:Author>
    <b:DOI>10.1007/s10676-015-9366-9</b:DOI>
    <b:RefOrder>223</b:RefOrder>
  </b:Source>
  <b:Source>
    <b:Tag>Dal14</b:Tag>
    <b:SourceType>JournalArticle</b:SourceType>
    <b:Guid>{396EC7D4-2350-40D1-9911-2438DF865CBD}</b:Guid>
    <b:Title>Gamification: Making work fun, or Making fun of work?</b:Title>
    <b:JournalName>Business Information Review</b:JournalName>
    <b:Year>2014</b:Year>
    <b:Pages>82-90</b:Pages>
    <b:Volume>31</b:Volume>
    <b:Issue>2</b:Issue>
    <b:Author>
      <b:Author>
        <b:NameList>
          <b:Person>
            <b:Last>Dale</b:Last>
            <b:First>Steve</b:First>
          </b:Person>
        </b:NameList>
      </b:Author>
    </b:Author>
    <b:DOI>10.1177/0266382114538350</b:DOI>
    <b:RefOrder>224</b:RefOrder>
  </b:Source>
  <b:Source>
    <b:Tag>DAm16</b:Tag>
    <b:SourceType>ConferenceProceedings</b:SourceType>
    <b:Guid>{99F2FEF0-578A-410F-AD63-29810CD33614}</b:Guid>
    <b:Title>Cyber Operator Perspectives on Security Visualization</b:Title>
    <b:Pages>69-84</b:Pages>
    <b:Year>2016</b:Year>
    <b:ConferenceName>Advances in Human Factors in Cybersecurity</b:ConferenceName>
    <b:Publisher>Springer</b:Publisher>
    <b:Author>
      <b:Author>
        <b:NameList>
          <b:Person>
            <b:Last>D’Amico</b:Last>
            <b:First>Anita</b:First>
          </b:Person>
          <b:Person>
            <b:Last>Buchanan</b:Last>
            <b:First>Laurin</b:First>
          </b:Person>
          <b:Person>
            <b:Last>Kirkpatrick</b:Last>
            <b:First>Drew</b:First>
          </b:Person>
          <b:Person>
            <b:Last>Walczak</b:Last>
            <b:First>Paul</b:First>
          </b:Person>
        </b:NameList>
      </b:Author>
      <b:Editor>
        <b:NameList>
          <b:Person>
            <b:Last>Nicholson</b:Last>
            <b:First>D</b:First>
          </b:Person>
        </b:NameList>
      </b:Editor>
    </b:Author>
    <b:DOI>10.1007/978-3-319-41932-9_7</b:DOI>
    <b:City>Basel</b:City>
    <b:RefOrder>225</b:RefOrder>
  </b:Source>
  <b:Source>
    <b:Tag>Cro98</b:Tag>
    <b:SourceType>Book</b:SourceType>
    <b:Guid>{CF23CAA4-BCCD-4CBF-A23B-3A74BDB6A882}</b:Guid>
    <b:Title>The Foundations of Social Research: Meaning and Perspective in the Research Process</b:Title>
    <b:Year>1998</b:Year>
    <b:City>London</b:City>
    <b:Publisher>Sage</b:Publisher>
    <b:Author>
      <b:Author>
        <b:NameList>
          <b:Person>
            <b:Last>Crotty</b:Last>
            <b:First>Michael</b:First>
          </b:Person>
        </b:NameList>
      </b:Author>
    </b:Author>
    <b:RefOrder>226</b:RefOrder>
  </b:Source>
  <b:Source>
    <b:Tag>Cro16</b:Tag>
    <b:SourceType>JournalArticle</b:SourceType>
    <b:Guid>{E5CECD05-5CC2-436F-94F6-2DB867706B9C}</b:Guid>
    <b:Title>Banks Especially Must Beware of Tax Season Surge in Phishing Attacks</b:Title>
    <b:JournalName>The American banker</b:JournalName>
    <b:Year>2016</b:Year>
    <b:Volume>1</b:Volume>
    <b:Issue>f358</b:Issue>
    <b:Author>
      <b:Author>
        <b:NameList>
          <b:Person>
            <b:Last>Crosman</b:Last>
            <b:First>Penny</b:First>
          </b:Person>
        </b:NameList>
      </b:Author>
    </b:Author>
    <b:RefOrder>227</b:RefOrder>
  </b:Source>
  <b:Source>
    <b:Tag>Cre03</b:Tag>
    <b:SourceType>Book</b:SourceType>
    <b:Guid>{086C7D87-0C44-4CD0-92AE-4205952E8DF6}</b:Guid>
    <b:Title>Research design: Qualitative, quantitative, and mixed method approaches</b:Title>
    <b:Year>2003</b:Year>
    <b:City>Thousand Oaks</b:City>
    <b:Publisher>Sage</b:Publisher>
    <b:Author>
      <b:Author>
        <b:NameList>
          <b:Person>
            <b:Last>Creswell</b:Last>
            <b:Middle>W</b:Middle>
            <b:First>John</b:First>
          </b:Person>
        </b:NameList>
      </b:Author>
    </b:Author>
    <b:StateProvince>CA</b:StateProvince>
    <b:Edition>2nd</b:Edition>
    <b:RefOrder>228</b:RefOrder>
  </b:Source>
  <b:Source>
    <b:Tag>Cov99</b:Tag>
    <b:SourceType>Book</b:SourceType>
    <b:Guid>{B679E9EB-9A67-41FE-8A95-A96BD80CD25F}</b:Guid>
    <b:Title>The 7 Habits of Highly Effective People: Personal Workbook</b:Title>
    <b:Year>1999</b:Year>
    <b:City>London</b:City>
    <b:Publisher>Simon &amp; Schuster</b:Publisher>
    <b:Author>
      <b:Author>
        <b:NameList>
          <b:Person>
            <b:Last>Covey</b:Last>
            <b:Middle>R</b:Middle>
            <b:First>Steven</b:First>
          </b:Person>
        </b:NameList>
      </b:Author>
    </b:Author>
    <b:RefOrder>229</b:RefOrder>
  </b:Source>
  <b:Source>
    <b:Tag>Cor17</b:Tag>
    <b:SourceType>InternetSite</b:SourceType>
    <b:Guid>{E060AAAF-AA3A-4B02-8752-19E0B056F237}</b:Guid>
    <b:Title>More brilliant Internet of Things gadgetry: A £1,300 mousetrap</b:Title>
    <b:Year>2017</b:Year>
    <b:YearAccessed>2017</b:YearAccessed>
    <b:MonthAccessed>September</b:MonthAccessed>
    <b:DayAccessed>26</b:DayAccessed>
    <b:URL>https://m.theregister.co.uk/2017/02/23/rentokil_1300_pound_iot_mousetrap/</b:URL>
    <b:Author>
      <b:Author>
        <b:NameList>
          <b:Person>
            <b:Last>Corfield</b:Last>
            <b:First>Gareth</b:First>
          </b:Person>
        </b:NameList>
      </b:Author>
    </b:Author>
    <b:InternetSiteTitle>The Register</b:InternetSiteTitle>
    <b:RefOrder>230</b:RefOrder>
  </b:Source>
  <b:Source>
    <b:Tag>css17</b:Tag>
    <b:SourceType>InternetSite</b:SourceType>
    <b:Guid>{DC8D9BFB-CDF1-4383-94D9-E46EC1FEABEF}</b:Guid>
    <b:Author>
      <b:Author>
        <b:NameList>
          <b:Person>
            <b:Last>Colin</b:Last>
            <b:Middle>C</b:Middle>
            <b:First>Barry</b:First>
          </b:Person>
        </b:NameList>
      </b:Author>
    </b:Author>
    <b:Title>Examples of cyberterrorism</b:Title>
    <b:InternetSiteTitle>Stanford.edu</b:InternetSiteTitle>
    <b:Year>2017</b:Year>
    <b:URL>https://cs.stanford.edu/people/eroberts/cs181/projects/2010-11/Hacktivism/cyberterrorism.html</b:URL>
    <b:YearAccessed>2017</b:YearAccessed>
    <b:MonthAccessed>May</b:MonthAccessed>
    <b:DayAccessed>27</b:DayAccessed>
    <b:RefOrder>231</b:RefOrder>
  </b:Source>
  <b:Source>
    <b:Tag>Coh13</b:Tag>
    <b:SourceType>JournalArticle</b:SourceType>
    <b:Guid>{C8B0365E-1FC3-418F-BC2A-A0ECEA97CCBE}</b:Guid>
    <b:Title>Online Fraud Report</b:Title>
    <b:JournalName>N. Y. EMC</b:JournalName>
    <b:Year>2013</b:Year>
    <b:Pages>5</b:Pages>
    <b:Author>
      <b:Author>
        <b:NameList>
          <b:Person>
            <b:Last>Cohen</b:Last>
            <b:First>D</b:First>
          </b:Person>
        </b:NameList>
      </b:Author>
    </b:Author>
    <b:Volume>2013</b:Volume>
    <b:Issue>December</b:Issue>
    <b:RefOrder>232</b:RefOrder>
  </b:Source>
  <b:Source>
    <b:Tag>Cli15</b:Tag>
    <b:SourceType>JournalArticle</b:SourceType>
    <b:Guid>{53F9FDC1-A3CF-44B3-B5F4-D6A8FF1A1BDB}</b:Guid>
    <b:Title>Best Practices for Operating Government-Industry Partnerships in Cyber Security</b:Title>
    <b:JournalName>Journal of Strategic Security</b:JournalName>
    <b:Year>2015</b:Year>
    <b:Pages>53-68</b:Pages>
    <b:Volume>8</b:Volume>
    <b:Issue>4</b:Issue>
    <b:Author>
      <b:Author>
        <b:NameList>
          <b:Person>
            <b:Last>Clinton</b:Last>
            <b:First>Larry</b:First>
          </b:Person>
        </b:NameList>
      </b:Author>
    </b:Author>
    <b:DOI>10.5038/1944-0472.8.4.1456</b:DOI>
    <b:RefOrder>233</b:RefOrder>
  </b:Source>
  <b:Source>
    <b:Tag>Cla16</b:Tag>
    <b:SourceType>JournalArticle</b:SourceType>
    <b:Guid>{0BFEB272-A757-4BA3-9588-440889B02D27}</b:Guid>
    <b:Title>Drugs &amp; Thugs: Funding Terrorism through Narcotics Trafficking</b:Title>
    <b:JournalName>Journal of Strategic Security</b:JournalName>
    <b:Year>2016</b:Year>
    <b:Pages>1-15</b:Pages>
    <b:Volume>9</b:Volume>
    <b:Issue>3 (Fall 2016)</b:Issue>
    <b:Author>
      <b:Author>
        <b:NameList>
          <b:Person>
            <b:Last>Clarke</b:Last>
            <b:Middle>P</b:Middle>
            <b:First>Colin</b:First>
          </b:Person>
        </b:NameList>
      </b:Author>
    </b:Author>
    <b:URL>http://scholarcommons.usf.edu/jss/vol9/iss3/2</b:URL>
    <b:DOI>10.5038/1944-0472.9.3.1536</b:DOI>
    <b:RefOrder>234</b:RefOrder>
  </b:Source>
  <b:Source>
    <b:Tag>Che16</b:Tag>
    <b:SourceType>JournalArticle</b:SourceType>
    <b:Guid>{8220BE9B-092D-4975-8EEB-F6C546BBE1A7}</b:Guid>
    <b:Title>A review of cyber security risk assessment methods for SCADA systems</b:Title>
    <b:JournalName>Computers &amp; Security</b:JournalName>
    <b:Year>2016</b:Year>
    <b:Pages>1-27</b:Pages>
    <b:Author>
      <b:Author>
        <b:NameList>
          <b:Person>
            <b:Last>Cherdantseva</b:Last>
            <b:First>Yulia</b:First>
          </b:Person>
          <b:Person>
            <b:Last>Burnap</b:Last>
            <b:First>Pete</b:First>
          </b:Person>
          <b:Person>
            <b:Last>Blyth</b:Last>
            <b:First>Andrew</b:First>
          </b:Person>
          <b:Person>
            <b:Last>Eden</b:Last>
            <b:First>Peter</b:First>
          </b:Person>
          <b:Person>
            <b:Last>Jones</b:Last>
            <b:First>Kevin</b:First>
          </b:Person>
          <b:Person>
            <b:Last>Soulsby</b:Last>
            <b:First>Hugh</b:First>
          </b:Person>
          <b:Person>
            <b:Last>Stoddart</b:Last>
            <b:First>Kristan</b:First>
          </b:Person>
        </b:NameList>
      </b:Author>
    </b:Author>
    <b:Volume>56</b:Volume>
    <b:Issue>1</b:Issue>
    <b:StandardNumber>DOI: 10.1016/j.cose.2015.09.009</b:StandardNumber>
    <b:RefOrder>235</b:RefOrder>
  </b:Source>
  <b:Source>
    <b:Tag>Che15</b:Tag>
    <b:SourceType>JournalArticle</b:SourceType>
    <b:Guid>{77B87DB1-A22F-4A52-8891-3CE3647F1715}</b:Guid>
    <b:Title>Data Mining for the Internet of Things: Literature Review and Challenges</b:Title>
    <b:JournalName>International Journal of Distributed Sensor Networks</b:JournalName>
    <b:Year>2015</b:Year>
    <b:Pages>431047</b:Pages>
    <b:Volume>11</b:Volume>
    <b:Issue>8</b:Issue>
    <b:Author>
      <b:Author>
        <b:NameList>
          <b:Person>
            <b:Last>Chen</b:Last>
            <b:First>Feng</b:First>
          </b:Person>
          <b:Person>
            <b:Last>Deng</b:Last>
            <b:First>Pan</b:First>
          </b:Person>
          <b:Person>
            <b:Last>Wan</b:Last>
            <b:First>Jaifu</b:First>
          </b:Person>
          <b:Person>
            <b:Last>Zhang</b:Last>
            <b:First>Daqiang</b:First>
          </b:Person>
          <b:Person>
            <b:Last>Vasilakos</b:Last>
            <b:Middle>V</b:Middle>
            <b:First>Athanasios</b:First>
          </b:Person>
          <b:Person>
            <b:Last>Rong</b:Last>
            <b:First>Xiaohui</b:First>
          </b:Person>
        </b:NameList>
      </b:Author>
    </b:Author>
    <b:Medium>E-Journal</b:Medium>
    <b:YearAccessed>2016</b:YearAccessed>
    <b:MonthAccessed>August</b:MonthAccessed>
    <b:DayAccessed>23</b:DayAccessed>
    <b:URL>http://dsn.sagepub.com/content/11/8/431047.full</b:URL>
    <b:DOI>10.1155/2015/431047</b:DOI>
    <b:RefOrder>236</b:RefOrder>
  </b:Source>
  <b:Source>
    <b:Tag>Cal16</b:Tag>
    <b:SourceType>JournalArticle</b:SourceType>
    <b:Guid>{EC6DE2F3-901A-4D5D-9FFE-7631C995E755}</b:Guid>
    <b:Title>The eagle has landed – what happens next?</b:Title>
    <b:JournalName>Computer Fraud &amp; Security</b:JournalName>
    <b:Year>2016</b:Year>
    <b:Pages>8-13</b:Pages>
    <b:Author>
      <b:Author>
        <b:NameList>
          <b:Person>
            <b:Last>Caldwell</b:Last>
            <b:First>Tracey</b:First>
          </b:Person>
        </b:NameList>
      </b:Author>
    </b:Author>
    <b:Volume>2016</b:Volume>
    <b:Issue>1</b:Issue>
    <b:DOI>10.1016/S1361-3723(16)30007-0</b:DOI>
    <b:RefOrder>237</b:RefOrder>
  </b:Source>
  <b:Source>
    <b:Tag>Cai16</b:Tag>
    <b:SourceType>ConferenceProceedings</b:SourceType>
    <b:Guid>{FB3D34D6-4B03-4DF9-9878-625E790DFBBA}</b:Guid>
    <b:Title>Swipe Authentication: Exploring Over-the-Shoulder Attack Performance</b:Title>
    <b:Pages>327-336</b:Pages>
    <b:Year>2016</b:Year>
    <b:ConferenceName>Advances in Human Factors in Cybersecurity</b:ConferenceName>
    <b:City>Basel</b:City>
    <b:Publisher>Springer</b:Publisher>
    <b:Author>
      <b:Author>
        <b:NameList>
          <b:Person>
            <b:Last>Cain</b:Last>
            <b:Middle>A</b:Middle>
            <b:First>Ashley</b:First>
          </b:Person>
          <b:Person>
            <b:Last>Chiu</b:Last>
            <b:First>Liya</b:First>
          </b:Person>
          <b:Person>
            <b:Last>Santiago</b:Last>
            <b:First>Felicia</b:First>
          </b:Person>
          <b:Person>
            <b:Last>Still</b:Last>
            <b:Middle>D</b:Middle>
            <b:First>Jeremiah</b:First>
          </b:Person>
        </b:NameList>
      </b:Author>
      <b:Editor>
        <b:NameList>
          <b:Person>
            <b:Last>Nicholson</b:Last>
            <b:First>D</b:First>
          </b:Person>
        </b:NameList>
      </b:Editor>
    </b:Author>
    <b:DOI>10.1007/978-3-319-41932-9_27</b:DOI>
    <b:RefOrder>238</b:RefOrder>
  </b:Source>
  <b:Source>
    <b:Tag>But17</b:Tag>
    <b:SourceType>Book</b:SourceType>
    <b:Guid>{7D67EFFB-3286-40A1-931D-76A732C8976D}</b:Guid>
    <b:Title>Cyber frauds, scams and their victims</b:Title>
    <b:Year>2017</b:Year>
    <b:City>Abingdon</b:City>
    <b:Publisher>Routledge</b:Publisher>
    <b:Author>
      <b:Author>
        <b:NameList>
          <b:Person>
            <b:Last>Button</b:Last>
            <b:First>Mark</b:First>
          </b:Person>
          <b:Person>
            <b:Last>Cross</b:Last>
            <b:First>Cassandra</b:First>
          </b:Person>
        </b:NameList>
      </b:Author>
    </b:Author>
    <b:Medium>e-book</b:Medium>
    <b:YearAccessed>2017</b:YearAccessed>
    <b:MonthAccessed>October</b:MonthAccessed>
    <b:DayAccessed>14</b:DayAccessed>
    <b:URL>http://reader.vlebooks.com/reader/open?accId=10417&amp;bookmark=0&amp;cite=0&amp;isbn=9781317395492&amp;maxCopy=0&amp;maxPrint=0&amp;mmLimit=5&amp;notes=0&amp;pageLimit=50&amp;shareLink=&amp;startPage=1&amp;timestamp=2017-10-14T19%3A09%3A27&amp;userId=270464&amp;watermark=++++++++++++++++++++++++++++++%2F+</b:URL>
    <b:RefOrder>239</b:RefOrder>
  </b:Source>
  <b:Source>
    <b:Tag>Bor15</b:Tag>
    <b:SourceType>JournalArticle</b:SourceType>
    <b:Guid>{435143DD-5E97-499E-B590-28208F95AE9C}</b:Guid>
    <b:Title>Strategic cyber intelligence</b:Title>
    <b:Year>2015</b:Year>
    <b:JournalName>Information and Computer Security</b:JournalName>
    <b:Pages>317-322</b:Pages>
    <b:Volume>23</b:Volume>
    <b:Issue>3</b:Issue>
    <b:Author>
      <b:Author>
        <b:NameList>
          <b:Person>
            <b:Last>Borum</b:Last>
            <b:First>Randy</b:First>
          </b:Person>
          <b:Person>
            <b:Last>Felker</b:Last>
            <b:First>John</b:First>
          </b:Person>
          <b:Person>
            <b:Last>Kern</b:Last>
            <b:First>Sean</b:First>
          </b:Person>
          <b:Person>
            <b:Last>Dennesen</b:Last>
            <b:First>Kristen</b:First>
          </b:Person>
          <b:Person>
            <b:Last>Feyes</b:Last>
            <b:First>Tonya</b:First>
          </b:Person>
        </b:NameList>
      </b:Author>
    </b:Author>
    <b:URL>http://ezproxy.uwe.ac.uk/login?url=http://search.proquest.com.ezproxy.uwe.ac.uk/docview/1786145781?accountid=14785</b:URL>
    <b:RefOrder>240</b:RefOrder>
  </b:Source>
  <b:Source>
    <b:Tag>Boo15</b:Tag>
    <b:SourceType>ArticleInAPeriodical</b:SourceType>
    <b:Guid>{DBBE810B-26CE-4125-9A8E-F4A14DE42AE4}</b:Guid>
    <b:Title>The Sony hack: One year later</b:Title>
    <b:Year>2015</b:Year>
    <b:Pages>"http://www.cnbc.com/2015/11/24/the-sony-hack-one-year-later.html"</b:Pages>
    <b:PeriodicalTitle>CNBC</b:PeriodicalTitle>
    <b:Month>November</b:Month>
    <b:Day>24</b:Day>
    <b:Author>
      <b:Author>
        <b:NameList>
          <b:Person>
            <b:Last>Boorstin</b:Last>
            <b:First>Julia</b:First>
          </b:Person>
        </b:NameList>
      </b:Author>
    </b:Author>
    <b:RefOrder>241</b:RefOrder>
  </b:Source>
  <b:Source>
    <b:Tag>Bod15</b:Tag>
    <b:SourceType>InternetSite</b:SourceType>
    <b:Guid>{5C4E6EC2-77BD-4252-81C9-E940DDD9591D}</b:Guid>
    <b:Title>Easily Hacked Tea Kettle Latest To Highlight Pathetic Internet Of Things 'Security'</b:Title>
    <b:Year>2015</b:Year>
    <b:YearAccessed>2017</b:YearAccessed>
    <b:MonthAccessed>September</b:MonthAccessed>
    <b:DayAccessed>26</b:DayAccessed>
    <b:URL>https://www.techdirt.com/articles/20151015/13551232547/easily-hacked-tea-kettle-latest-to-highlight-pathetic-internet-things-security.shtml</b:URL>
    <b:Author>
      <b:Author>
        <b:NameList>
          <b:Person>
            <b:Last>Bode</b:Last>
            <b:First>Karl</b:First>
          </b:Person>
        </b:NameList>
      </b:Author>
    </b:Author>
    <b:InternetSiteTitle>techdirt</b:InternetSiteTitle>
    <b:RefOrder>242</b:RefOrder>
  </b:Source>
  <b:Source>
    <b:Tag>Bet16</b:Tag>
    <b:SourceType>Book</b:SourceType>
    <b:Guid>{47E0C419-8B5A-40DD-A044-F35105A304CB}</b:Guid>
    <b:Title>Cyberbullying; Approaches, Consequences and Interventions</b:Title>
    <b:Year>2016</b:Year>
    <b:City>Nottingham</b:City>
    <b:Publisher>Palgrave</b:Publisher>
    <b:Author>
      <b:Author>
        <b:NameList>
          <b:Person>
            <b:Last>Betts</b:Last>
            <b:Middle>R</b:Middle>
            <b:First>Lucy</b:First>
          </b:Person>
        </b:NameList>
      </b:Author>
    </b:Author>
    <b:Medium>e-book</b:Medium>
    <b:YearAccessed>2017</b:YearAccessed>
    <b:MonthAccessed>October</b:MonthAccessed>
    <b:DayAccessed>14</b:DayAccessed>
    <b:URL>http://reader.vlebooks.com/reader/open?accId=10417&amp;cite=1&amp;isbn=9781137500090&amp;maxCopy=14&amp;maxPrint=14&amp;mmLimit=0&amp;notes=1&amp;pageLimit=0&amp;shareLink=%2F%2FWWW.VLEBOOKS.COM%2FVLEWEB%2FPRODUCT%2FINDEX%2F894538&amp;startPage=0&amp;timestamp=2017-10-14T18%3A42%3A59&amp;userId=270</b:URL>
    <b:RefOrder>243</b:RefOrder>
  </b:Source>
  <b:Source>
    <b:Tag>Ben151</b:Tag>
    <b:SourceType>ConferenceProceedings</b:SourceType>
    <b:Guid>{5D19B2D6-12B0-4965-ACA5-70ABC57866C9}</b:Guid>
    <b:Title>Cyber-Attacks – Trends, Patterns and Security Countermeasures</b:Title>
    <b:Year>2015</b:Year>
    <b:Pages>24-31</b:Pages>
    <b:Author>
      <b:Author>
        <b:NameList>
          <b:Person>
            <b:Last>Bendovschi</b:Last>
            <b:First>Andreea</b:First>
          </b:Person>
        </b:NameList>
      </b:Author>
    </b:Author>
    <b:ConferenceName>7th International Conference on Financial Criminology 2015</b:ConferenceName>
    <b:City>Oxford</b:City>
    <b:Publisher>Procedia Economics and Finance 28</b:Publisher>
    <b:RefOrder>244</b:RefOrder>
  </b:Source>
  <b:Source>
    <b:Tag>Bau09</b:Tag>
    <b:SourceType>JournalArticle</b:SourceType>
    <b:Guid>{D83F6B8C-34A0-4CBF-8DCD-9556254EAF85}</b:Guid>
    <b:Title>The Porous Prison</b:Title>
    <b:JournalName>The Prison Journal</b:JournalName>
    <b:Year>2009</b:Year>
    <b:Pages>119-126</b:Pages>
    <b:Author>
      <b:Author>
        <b:NameList>
          <b:Person>
            <b:Last>Baumer</b:Last>
            <b:Middle>P</b:Middle>
            <b:First>Eric</b:First>
          </b:Person>
          <b:Person>
            <b:Last>O'Donnell</b:Last>
            <b:First>Ian</b:First>
          </b:Person>
          <b:Person>
            <b:Last>Hughes</b:Last>
            <b:First>Nicola</b:First>
          </b:Person>
        </b:NameList>
      </b:Author>
    </b:Author>
    <b:Volume>89</b:Volume>
    <b:Issue>1</b:Issue>
    <b:DOI>10.1177/0032885508330430</b:DOI>
    <b:RefOrder>245</b:RefOrder>
  </b:Source>
  <b:Source>
    <b:Tag>Ban09</b:Tag>
    <b:SourceType>JournalArticle</b:SourceType>
    <b:Guid>{CBF3A42D-DE9D-4E5D-93CB-4B98824622C3}</b:Guid>
    <b:Title>Reliability and Validity in a nutshell (Methodological paper)</b:Title>
    <b:JournalName>Journal of Clinical Nursing</b:JournalName>
    <b:Year>2009</b:Year>
    <b:Pages>3237-3242</b:Pages>
    <b:Author>
      <b:Author>
        <b:NameList>
          <b:Person>
            <b:Last>Bannigan</b:Last>
            <b:First>Katrina</b:First>
          </b:Person>
          <b:Person>
            <b:Last>Watson</b:Last>
            <b:First>Roger</b:First>
          </b:Person>
        </b:NameList>
      </b:Author>
    </b:Author>
    <b:Volume>18</b:Volume>
    <b:Issue>23</b:Issue>
    <b:RefOrder>246</b:RefOrder>
  </b:Source>
  <b:Source>
    <b:Tag>Bal17</b:Tag>
    <b:SourceType>JournalArticle</b:SourceType>
    <b:Guid>{F7B82CC8-85C0-4B5B-9DFC-E9690ADAA48D}</b:Guid>
    <b:Title>Contagion in cyber security attacks</b:Title>
    <b:JournalName>Journal of the Operational Research Society</b:JournalName>
    <b:Year>2017</b:Year>
    <b:Pages>780-791</b:Pages>
    <b:Author>
      <b:Author>
        <b:NameList>
          <b:Person>
            <b:Last>Baldwin</b:Last>
            <b:First>Adrian </b:First>
          </b:Person>
          <b:Person>
            <b:Last>Gheyas</b:Last>
            <b:First>Iffat</b:First>
          </b:Person>
          <b:Person>
            <b:Last>Ioannidis</b:Last>
            <b:First>Christos</b:First>
          </b:Person>
          <b:Person>
            <b:Last>Pym</b:Last>
            <b:First>David</b:First>
          </b:Person>
          <b:Person>
            <b:Last>Williams</b:Last>
            <b:First>Julian</b:First>
          </b:Person>
        </b:NameList>
      </b:Author>
    </b:Author>
    <b:Volume>68</b:Volume>
    <b:Issue>7</b:Issue>
    <b:DOI>10.1057/jors.2016.37</b:DOI>
    <b:RefOrder>247</b:RefOrder>
  </b:Source>
  <b:Source>
    <b:Tag>Awa15</b:Tag>
    <b:SourceType>JournalArticle</b:SourceType>
    <b:Guid>{F6E7EB1A-CD0F-4EA9-A05E-EAF1C9B86A3E}</b:Guid>
    <b:Title>Identifying cyber risk hotspots: A framework for measuring temporal variance in computer network risk</b:Title>
    <b:JournalName>Computers &amp; security</b:JournalName>
    <b:Year>2015</b:Year>
    <b:Pages>31-46</b:Pages>
    <b:Author>
      <b:Author>
        <b:NameList>
          <b:Person>
            <b:Last>Awan</b:Last>
            <b:Middle>Shahzad. Kaleem</b:Middle>
            <b:First>Malik</b:First>
          </b:Person>
          <b:Person>
            <b:Last>Burnap</b:Last>
            <b:First>Pete</b:First>
          </b:Person>
          <b:Person>
            <b:Last>Rana</b:Last>
            <b:First>Omer</b:First>
          </b:Person>
        </b:NameList>
      </b:Author>
    </b:Author>
    <b:Volume>57</b:Volume>
    <b:Issue>March</b:Issue>
    <b:DOI>10.1016/j.cose.2015.11.003</b:DOI>
    <b:RefOrder>248</b:RefOrder>
  </b:Source>
  <b:Source>
    <b:Tag>Ash09</b:Tag>
    <b:SourceType>JournalArticle</b:SourceType>
    <b:Guid>{F6C971CB-9C4B-4987-8C94-A9BB2ABFBBF4}</b:Guid>
    <b:Title>Privacy-preserving e-payments using one-time payment details</b:Title>
    <b:JournalName>Computer Standards &amp; Interfaces</b:JournalName>
    <b:Year>2009</b:Year>
    <b:Pages>321-328</b:Pages>
    <b:Author>
      <b:Author>
        <b:NameList>
          <b:Person>
            <b:Last>Ashrafi</b:Last>
            <b:Middle>Zaman</b:Middle>
            <b:First>Mafruz</b:First>
          </b:Person>
          <b:Person>
            <b:Last>Ng</b:Last>
            <b:Middle>Keong</b:Middle>
            <b:First>See</b:First>
          </b:Person>
        </b:NameList>
      </b:Author>
    </b:Author>
    <b:Volume>31</b:Volume>
    <b:Issue>2</b:Issue>
    <b:DOI>10.1016/j.csi.2008.04.001</b:DOI>
    <b:RefOrder>249</b:RefOrder>
  </b:Source>
  <b:Source>
    <b:Tag>Ami17</b:Tag>
    <b:SourceType>JournalArticle</b:SourceType>
    <b:Guid>{4ED81FD5-0938-4B9D-8AEB-4234B31D3754}</b:Guid>
    <b:Title>A practical road map for assessing cyber risk</b:Title>
    <b:JournalName>Journal of Risk Research</b:JournalName>
    <b:Year>2017</b:Year>
    <b:Pages>1-12</b:Pages>
    <b:Author>
      <b:Author>
        <b:NameList>
          <b:Person>
            <b:Last>Amin</b:Last>
            <b:First>Zeinab</b:First>
          </b:Person>
        </b:NameList>
      </b:Author>
    </b:Author>
    <b:DOI>10.1080/13669877.2017.1351467</b:DOI>
    <b:RefOrder>250</b:RefOrder>
  </b:Source>
  <b:Source>
    <b:Tag>AlG07</b:Tag>
    <b:SourceType>JournalArticle</b:SourceType>
    <b:Guid>{23793719-E799-4FDB-AEFB-41ED365F479F}</b:Guid>
    <b:Title>Information technology (IT) in Saudi Arabia: Culture and the acceptance and use of IT</b:Title>
    <b:JournalName>Information &amp; Management</b:JournalName>
    <b:Year>2007</b:Year>
    <b:Pages>681-691</b:Pages>
    <b:Volume>44</b:Volume>
    <b:Issue>8</b:Issue>
    <b:Author>
      <b:Author>
        <b:NameList>
          <b:Person>
            <b:Last>Al-Gahtani</b:Last>
            <b:Middle>S</b:Middle>
            <b:First>Said</b:First>
          </b:Person>
          <b:Person>
            <b:Last>Hubona</b:Last>
            <b:Middle>S</b:Middle>
            <b:First>Geoffrey</b:First>
          </b:Person>
          <b:Person>
            <b:Last>Wang</b:Last>
            <b:First>Jijie</b:First>
          </b:Person>
        </b:NameList>
      </b:Author>
    </b:Author>
    <b:DOI>10.1016/j.im.2007.09.002</b:DOI>
    <b:RefOrder>251</b:RefOrder>
  </b:Source>
  <b:Source>
    <b:Tag>AlM16</b:Tag>
    <b:SourceType>JournalArticle</b:SourceType>
    <b:Guid>{7478023C-E887-4EF6-A928-1718D4CCC550}</b:Guid>
    <b:Title>Cyber Terrorism Taxonomies: Definition, Targets, Patterns, Risk Factors, and Mitigation Strategies</b:Title>
    <b:JournalName>International Journal of Cyber Warfare and Terrorism (IJCWT)</b:JournalName>
    <b:Year>2016</b:Year>
    <b:Pages>1-12</b:Pages>
    <b:Author>
      <b:Author>
        <b:NameList>
          <b:Person>
            <b:Last>Al Mazari</b:Last>
            <b:First>Ali</b:First>
          </b:Person>
          <b:Person>
            <b:Last>Anjariny</b:Last>
            <b:Middle>H</b:Middle>
            <b:First>Ahmed</b:First>
          </b:Person>
          <b:Person>
            <b:Last>Habib</b:Last>
            <b:Middle>A</b:Middle>
            <b:First>Shakeel</b:First>
          </b:Person>
          <b:Person>
            <b:Last>Nyakwende</b:Last>
            <b:First>Emmanuel</b:First>
          </b:Person>
        </b:NameList>
      </b:Author>
    </b:Author>
    <b:Volume>6</b:Volume>
    <b:Issue>1</b:Issue>
    <b:DOI>10.4018/IJCWT.2016010101</b:DOI>
    <b:RefOrder>252</b:RefOrder>
  </b:Source>
  <b:Source>
    <b:Tag>Ahm15</b:Tag>
    <b:SourceType>JournalArticle</b:SourceType>
    <b:Guid>{824DDCD3-69A3-4181-849A-78A4424DA423}</b:Guid>
    <b:Title>Modelling cyber security for software-defined networks those grow strong when exposed to threats</b:Title>
    <b:JournalName>Journal of reliable intelligent environments</b:JournalName>
    <b:Year>2015</b:Year>
    <b:Pages>123-146</b:Pages>
    <b:Volume>1</b:Volume>
    <b:Issue>2</b:Issue>
    <b:Author>
      <b:Author>
        <b:NameList>
          <b:Person>
            <b:Last>Ahmed</b:Last>
            <b:First>Usama</b:First>
          </b:Person>
          <b:Person>
            <b:Last>Raza</b:Last>
            <b:First>Imran</b:First>
          </b:Person>
          <b:Person>
            <b:Last>Hussain</b:Last>
            <b:Middle>Asad</b:Middle>
            <b:First>Syed</b:First>
          </b:Person>
          <b:Person>
            <b:Last>Ali</b:Last>
            <b:First>Amjad</b:First>
          </b:Person>
          <b:Person>
            <b:Last>Iqbal</b:Last>
            <b:First>Muddesar</b:First>
          </b:Person>
          <b:Person>
            <b:Last>Wang</b:Last>
            <b:First>Xinheng</b:First>
          </b:Person>
        </b:NameList>
      </b:Author>
    </b:Author>
    <b:DOI>10.1007/s40860-015-0008-0</b:DOI>
    <b:RefOrder>253</b:RefOrder>
  </b:Source>
  <b:Source>
    <b:Tag>Ahm10</b:Tag>
    <b:SourceType>JournalArticle</b:SourceType>
    <b:Guid>{82B2CA29-4172-4D95-B6C9-39D034B8DCFD}</b:Guid>
    <b:Title>Towards the realisation of context-risk-aware access control in pervasive computing</b:Title>
    <b:JournalName>Telecommunication Systems</b:JournalName>
    <b:Year>2010</b:Year>
    <b:Pages>127-137</b:Pages>
    <b:Author>
      <b:Author>
        <b:NameList>
          <b:Person>
            <b:Last>Ahmed</b:Last>
            <b:First>Ali</b:First>
          </b:Person>
          <b:Person>
            <b:Last>Zhang</b:Last>
            <b:First>Ning</b:First>
          </b:Person>
        </b:NameList>
      </b:Author>
    </b:Author>
    <b:Volume>45</b:Volume>
    <b:Issue>2-3</b:Issue>
    <b:DOI>10.1007/s11235-009-9240-3</b:DOI>
    <b:RefOrder>254</b:RefOrder>
  </b:Source>
  <b:Source>
    <b:Tag>Ada15</b:Tag>
    <b:SourceType>JournalArticle</b:SourceType>
    <b:Guid>{54DF5B08-6A1F-4B11-A823-D72D6B5E27D9}</b:Guid>
    <b:Title>Cybersecurity Skills Training: An Attacker-Centric Gamified Approach</b:Title>
    <b:JournalName>Technology Innovation Management Review</b:JournalName>
    <b:Year>2015</b:Year>
    <b:Pages>5-14</b:Pages>
    <b:Volume>5</b:Volume>
    <b:Issue>1</b:Issue>
    <b:Author>
      <b:Author>
        <b:NameList>
          <b:Person>
            <b:Last>Adams</b:Last>
            <b:First>Mackenzie</b:First>
          </b:Person>
          <b:Person>
            <b:Last>Makramalla</b:Last>
            <b:First>Maged</b:First>
          </b:Person>
        </b:NameList>
      </b:Author>
    </b:Author>
    <b:RefOrder>255</b:RefOrder>
  </b:Source>
  <b:Source>
    <b:Tag>Abu10</b:Tag>
    <b:SourceType>JournalArticle</b:SourceType>
    <b:Guid>{D8ECB991-8DC8-42E5-A7D5-5DBCB15D8EE1}</b:Guid>
    <b:Title>Information security governance in Saudi organizations: an empirical study</b:Title>
    <b:JournalName>Information Management &amp; Computer Security</b:JournalName>
    <b:Year>2010</b:Year>
    <b:Pages>226-276</b:Pages>
    <b:Author>
      <b:Author>
        <b:NameList>
          <b:Person>
            <b:Last>Abu‐Musa</b:Last>
            <b:First>Ahmad</b:First>
          </b:Person>
        </b:NameList>
      </b:Author>
    </b:Author>
    <b:Volume>18</b:Volume>
    <b:Issue>4</b:Issue>
    <b:DOI>10.1108/09685221011079180</b:DOI>
    <b:RefOrder>256</b:RefOrder>
  </b:Source>
  <b:Source>
    <b:Tag>PWC14</b:Tag>
    <b:SourceType>Report</b:SourceType>
    <b:Guid>{0A91BA4C-585E-4B8F-9A01-82C33BE0D92C}</b:Guid>
    <b:Title>Threats to the Financial Services Sector</b:Title>
    <b:Year>2014</b:Year>
    <b:City>London</b:City>
    <b:Publisher>Price-Waterhouse Cooper</b:Publisher>
    <b:Author>
      <b:Author>
        <b:Corporate>PWC</b:Corporate>
      </b:Author>
    </b:Author>
    <b:RefOrder>257</b:RefOrder>
  </b:Source>
  <b:Source>
    <b:Tag>Inf16</b:Tag>
    <b:SourceType>InternetSite</b:SourceType>
    <b:Guid>{AFF88E47-F1CB-4209-A1CE-5211E7983898}</b:Guid>
    <b:Title>The Ferizi Case: The First Man Charged with Cyber Terrorism</b:Title>
    <b:Year>2016</b:Year>
    <b:Month>March</b:Month>
    <b:Day>09</b:Day>
    <b:Author>
      <b:Author>
        <b:Corporate>Infosec institute</b:Corporate>
      </b:Author>
    </b:Author>
    <b:InternetSiteTitle>Infosec Institute</b:InternetSiteTitle>
    <b:URL>http://resources.infosecinstitute.com/the-ferizi-case-the-first-man-charged-with-cyber-terrorism/#gref</b:URL>
    <b:YearAccessed>2017</b:YearAccessed>
    <b:MonthAccessed>May</b:MonthAccessed>
    <b:DayAccessed>27</b:DayAccessed>
    <b:RefOrder>258</b:RefOrder>
  </b:Source>
  <b:Source>
    <b:Tag>BSI16</b:Tag>
    <b:SourceType>InternetSite</b:SourceType>
    <b:Guid>{B3B8ABB6-943F-4173-BA72-37252A5FF3A2}</b:Guid>
    <b:Title>Standards.UK</b:Title>
    <b:Year>2016</b:Year>
    <b:Author>
      <b:Author>
        <b:Corporate>BSI/ISO</b:Corporate>
      </b:Author>
    </b:Author>
    <b:YearAccessed>2016</b:YearAccessed>
    <b:MonthAccessed>May</b:MonthAccessed>
    <b:DayAccessed>16</b:DayAccessed>
    <b:URL>https://www.standardsuk.com/?gclid=CK7n8tfR3swCFUa4Gwod3fEDiQ</b:URL>
    <b:RefOrder>259</b:RefOrder>
  </b:Source>
  <b:Source>
    <b:Tag>Dar20</b:Tag>
    <b:SourceType>InternetSite</b:SourceType>
    <b:Guid>{78DEE7B9-793D-45D0-88EE-2F9921BA256D}</b:Guid>
    <b:Author>
      <b:Author>
        <b:Corporate>Darkmatter</b:Corporate>
      </b:Author>
    </b:Author>
    <b:Title>Smart and Safe Digital</b:Title>
    <b:InternetSiteTitle>DarkMatter</b:InternetSiteTitle>
    <b:Year>2020</b:Year>
    <b:URL>https://www.darkmatter.ae/</b:URL>
    <b:YearAccessed>2020</b:YearAccessed>
    <b:MonthAccessed>April</b:MonthAccessed>
    <b:DayAccessed>20</b:DayAccessed>
    <b:RefOrder>260</b:RefOrder>
  </b:Source>
  <b:Source>
    <b:Tag>Con16</b:Tag>
    <b:SourceType>Book</b:SourceType>
    <b:Guid>{2AB63DA3-A337-4AD5-8086-8B067FA84D63}</b:Guid>
    <b:Title>Riskmap Report 2016</b:Title>
    <b:Year>2016</b:Year>
    <b:Author>
      <b:Author>
        <b:Corporate>Contol Risks</b:Corporate>
      </b:Author>
    </b:Author>
    <b:City>London</b:City>
    <b:Publisher>Control Risks Group</b:Publisher>
    <b:Edition>2016</b:Edition>
    <b:RefOrder>261</b:RefOrder>
  </b:Source>
  <b:Source>
    <b:Tag>Del11</b:Tag>
    <b:SourceType>Report</b:SourceType>
    <b:Guid>{51675763-2E79-49AC-98A9-8DBEDF60D3CC}</b:Guid>
    <b:Author>
      <b:Author>
        <b:Corporate>Deloitte</b:Corporate>
      </b:Author>
    </b:Author>
    <b:Title>Risk Intelligent governance in the age of cyber threats: What you don't know could hurt you</b:Title>
    <b:Year>2011</b:Year>
    <b:Publisher>Deloitte Development LLC</b:Publisher>
    <b:City>London</b:City>
    <b:ThesisType>available online from https://www2.deloitte.com/content/dam/Deloitte/us/Documents/risk/us-aers-risk-intelligent-governance-in-the-age-of-cyber-threats.pdf</b:ThesisType>
    <b:RefOrder>262</b:RefOrder>
  </b:Source>
  <b:Source>
    <b:Tag>WEF12</b:Tag>
    <b:SourceType>Report</b:SourceType>
    <b:Guid>{4A7F3E1C-4386-474F-8680-00CFA8C5FF21}</b:Guid>
    <b:Title>Risk and Responsibility in a Hyperconnected World: Pathways to Global Cyber Resilience</b:Title>
    <b:Year>2012</b:Year>
    <b:City>Geneva</b:City>
    <b:Publisher>World Economic Forum</b:Publisher>
    <b:Author>
      <b:Author>
        <b:Corporate>WEF</b:Corporate>
      </b:Author>
    </b:Author>
    <b:RefOrder>263</b:RefOrder>
  </b:Source>
  <b:Source>
    <b:Tag>BBC11</b:Tag>
    <b:SourceType>DocumentFromInternetSite</b:SourceType>
    <b:Guid>{A8E198CE-2E4A-44E0-A2A2-46B9D8F26369}</b:Guid>
    <b:Title>PlayStation outage caused by hacking attack</b:Title>
    <b:Year>2011</b:Year>
    <b:Month>April</b:Month>
    <b:Day>25</b:Day>
    <b:Author>
      <b:Author>
        <b:Corporate>BBC</b:Corporate>
      </b:Author>
    </b:Author>
    <b:YearAccessed>2016</b:YearAccessed>
    <b:MonthAccessed>June</b:MonthAccessed>
    <b:DayAccessed>09</b:DayAccessed>
    <b:URL>http://www.bbc.co.uk/news/technology-13169518</b:URL>
    <b:RefOrder>264</b:RefOrder>
  </b:Source>
  <b:Source>
    <b:Tag>ONS17</b:Tag>
    <b:SourceType>DocumentFromInternetSite</b:SourceType>
    <b:Guid>{1F50B1E0-3DE0-4B7B-A9ED-2772E9501539}</b:Guid>
    <b:Title>Overview of fraud statistics: year ending Mar 2016</b:Title>
    <b:Year>2017</b:Year>
    <b:Author>
      <b:Author>
        <b:Corporate>ONS</b:Corporate>
      </b:Author>
    </b:Author>
    <b:YearAccessed>2017</b:YearAccessed>
    <b:MonthAccessed>May</b:MonthAccessed>
    <b:DayAccessed>15</b:DayAccessed>
    <b:URL>https://www.ons.gov.uk/peoplepopulationandcommunity/crimeandjustice/articles/overviewoffraudstatistics/yearendingmarch2016#what-are-the-long-term-trends-in-fraud</b:URL>
    <b:RefOrder>265</b:RefOrder>
  </b:Source>
  <b:Source>
    <b:Tag>Mic17</b:Tag>
    <b:SourceType>DocumentFromInternetSite</b:SourceType>
    <b:Guid>{83AE0E35-BB37-4ED3-B9E9-03E8B4580F45}</b:Guid>
    <b:Title>Microsoft Security Advisory 4025685</b:Title>
    <b:Year>2017</b:Year>
    <b:Month>June</b:Month>
    <b:Day>13</b:Day>
    <b:Author>
      <b:Author>
        <b:Corporate>Microsoft</b:Corporate>
      </b:Author>
    </b:Author>
    <b:InternetSiteTitle>Security Tech Center</b:InternetSiteTitle>
    <b:URL>https://technet.microsoft.com/en-us/library/security/4025685.aspx</b:URL>
    <b:YearAccessed>2017</b:YearAccessed>
    <b:MonthAccessed>October</b:MonthAccessed>
    <b:DayAccessed>19</b:DayAccessed>
    <b:RefOrder>266</b:RefOrder>
  </b:Source>
  <b:Source>
    <b:Tag>Kas18</b:Tag>
    <b:SourceType>InternetSite</b:SourceType>
    <b:Guid>{FF2E6DF2-8FDD-4B3C-A4CA-B6923A07E514}</b:Guid>
    <b:Author>
      <b:Author>
        <b:Corporate>Kaspersky</b:Corporate>
      </b:Author>
    </b:Author>
    <b:Title>Kaspersky Security Bulletin 2018. Statistics</b:Title>
    <b:Year>2018</b:Year>
    <b:Month>December</b:Month>
    <b:Day>4</b:Day>
    <b:URL>https://securelist.com/kaspersky-security-bulletin-2018-statistics/89145/</b:URL>
    <b:RefOrder>267</b:RefOrder>
  </b:Source>
  <b:Source>
    <b:Tag>ISO12</b:Tag>
    <b:SourceType>Misc</b:SourceType>
    <b:Guid>{E6869CA8-E4EF-4DB8-8415-AD40A9EB9CA4}</b:Guid>
    <b:Title>ISO/IEC 27032:2012 Information technology -- Security techniques -- Guidelines for cybersecurity</b:Title>
    <b:Year>2012</b:Year>
    <b:Author>
      <b:Author>
        <b:Corporate>ISO/IEC</b:Corporate>
      </b:Author>
    </b:Author>
    <b:City>Geneva</b:City>
    <b:Publisher>ISO/IEC</b:Publisher>
    <b:RefOrder>268</b:RefOrder>
  </b:Source>
  <b:Source>
    <b:Tag>IRM14</b:Tag>
    <b:SourceType>Book</b:SourceType>
    <b:Guid>{5332DAA6-60B6-4717-B9C0-24C0905220FF}</b:Guid>
    <b:Title>IRM Cyber Risk: Executive Summary</b:Title>
    <b:Year>2014</b:Year>
    <b:Author>
      <b:Author>
        <b:Corporate>IRM</b:Corporate>
      </b:Author>
    </b:Author>
    <b:City>London</b:City>
    <b:Publisher>The Institute of Risk Management</b:Publisher>
    <b:RefOrder>269</b:RefOrder>
  </b:Source>
  <b:Source>
    <b:Tag>TRA20</b:Tag>
    <b:SourceType>InternetSite</b:SourceType>
    <b:Guid>{DA2A1B91-FD50-48BE-AE0E-33879BD4A701}</b:Guid>
    <b:Author>
      <b:Author>
        <b:Corporate>TRA</b:Corporate>
      </b:Author>
    </b:Author>
    <b:Title>Home</b:Title>
    <b:Year>2020</b:Year>
    <b:InternetSiteTitle>Telecommunication Regulatory Authority</b:InternetSiteTitle>
    <b:URL>https://www.tra.gov.ae/en/home.aspx</b:URL>
    <b:YearAccessed>2020</b:YearAccessed>
    <b:MonthAccessed>April</b:MonthAccessed>
    <b:DayAccessed>25</b:DayAccessed>
    <b:RefOrder>270</b:RefOrder>
  </b:Source>
  <b:Source>
    <b:Tag>Ris</b:Tag>
    <b:SourceType>Report</b:SourceType>
    <b:Guid>{FC47E3D3-03C2-4E26-9E48-13001D879670}</b:Guid>
    <b:Title>Global cyber governance: preparing for new business risks</b:Title>
    <b:City>Zurich</b:City>
    <b:Publisher>ESADE/Zurich Insurance</b:Publisher>
    <b:Author>
      <b:Author>
        <b:Corporate>Risk Nexus</b:Corporate>
      </b:Author>
    </b:Author>
    <b:ThesisType>Risk Nexus</b:ThesisType>
    <b:Year>2014</b:Year>
    <b:RefOrder>271</b:RefOrder>
  </b:Source>
  <b:Source>
    <b:Tag>Dub17</b:Tag>
    <b:SourceType>Book</b:SourceType>
    <b:Guid>{797E04BD-7342-47E4-ACFD-46407776BDA7}</b:Guid>
    <b:Title>Dubai Cyber Security Strategy</b:Title>
    <b:Year>2017</b:Year>
    <b:Author>
      <b:Author>
        <b:Corporate>Dubai Electronic Security Center</b:Corporate>
      </b:Author>
    </b:Author>
    <b:City>Dubai</b:City>
    <b:Publisher>Dubai Electronic Security Center</b:Publisher>
    <b:Edition> Version 2.0</b:Edition>
    <b:RefOrder>272</b:RefOrder>
  </b:Source>
  <b:Source>
    <b:Tag>MIT17</b:Tag>
    <b:SourceType>InternetSite</b:SourceType>
    <b:Guid>{3D601FBB-3A66-4051-95C2-086778A29987}</b:Guid>
    <b:Title>CVE Overview</b:Title>
    <b:InternetSiteTitle>The MITRE Corporation</b:InternetSiteTitle>
    <b:Year>2017</b:Year>
    <b:URL>https://www.first.org/resources/papers/raleigh2017/FIRSTPSIRT-CVE_and_CNA_program.pdf</b:URL>
    <b:Author>
      <b:Author>
        <b:Corporate>MITRE</b:Corporate>
      </b:Author>
    </b:Author>
    <b:YearAccessed>2017</b:YearAccessed>
    <b:MonthAccessed>June</b:MonthAccessed>
    <b:DayAccessed>05</b:DayAccessed>
    <b:RefOrder>273</b:RefOrder>
  </b:Source>
  <b:Source>
    <b:Tag>Sky16</b:Tag>
    <b:SourceType>DocumentFromInternetSite</b:SourceType>
    <b:Guid>{5997EC1E-4488-4A9D-A961-0FE40B6D3501}</b:Guid>
    <b:Author>
      <b:Author>
        <b:Corporate>Sky News</b:Corporate>
      </b:Author>
    </b:Author>
    <b:Title>Bank Heists Linked To Sony Hack And North Korea</b:Title>
    <b:Year>2016</b:Year>
    <b:Month>May</b:Month>
    <b:Day>27</b:Day>
    <b:YearAccessed>2016</b:YearAccessed>
    <b:MonthAccessed>June</b:MonthAccessed>
    <b:DayAccessed>09</b:DayAccessed>
    <b:URL>http://news.sky.com/story/1703191/bank-heists-linked-to-sony-hack-and-north-korea</b:URL>
    <b:RefOrder>274</b:RefOrder>
  </b:Source>
  <b:Source>
    <b:Tag>Rec15</b:Tag>
    <b:SourceType>InternetSite</b:SourceType>
    <b:Guid>{84474902-0834-41BC-9EA7-B484CA08419E}</b:Guid>
    <b:Title>Analyzing Attack Vector Trends by Industry, Country, and More</b:Title>
    <b:Year>2015</b:Year>
    <b:Author>
      <b:Author>
        <b:Corporate>Recorded Future</b:Corporate>
      </b:Author>
    </b:Author>
    <b:YearAccessed>2016</b:YearAccessed>
    <b:MonthAccessed>December</b:MonthAccessed>
    <b:DayAccessed>01</b:DayAccessed>
    <b:URL>https://www.recordedfuture.com/attack-vector-trends/</b:URL>
    <b:RefOrder>275</b:RefOrder>
  </b:Source>
  <b:Source>
    <b:Tag>Pol17</b:Tag>
    <b:SourceType>DocumentFromInternetSite</b:SourceType>
    <b:Guid>{68450173-AA4C-4D81-8094-BE222CFE7641}</b:Guid>
    <b:Title>9 cyberattacks that threatened officer safety and obstructed justice</b:Title>
    <b:Year>2017</b:Year>
    <b:Author>
      <b:Author>
        <b:Corporate>Police 1</b:Corporate>
      </b:Author>
    </b:Author>
    <b:InternetSiteTitle>police 1.com</b:InternetSiteTitle>
    <b:URL>https://www.policeone.com/cyber-attack/articles/371392006--9-cyberattacks-that-threatened-officer-safety-and-obstructed-justice/</b:URL>
    <b:YearAccessed>2017</b:YearAccessed>
    <b:MonthAccessed>September</b:MonthAccessed>
    <b:DayAccessed>29</b:DayAccessed>
    <b:RefOrder>276</b:RefOrder>
  </b:Source>
  <b:Source>
    <b:Tag>IMF19</b:Tag>
    <b:SourceType>DocumentFromInternetSite</b:SourceType>
    <b:Guid>{3AFE8076-E2EB-4314-B485-1CB185D4BA82}</b:Guid>
    <b:Title>List of developed and developing economies</b:Title>
    <b:Year>2019</b:Year>
    <b:Author>
      <b:Author>
        <b:Corporate>IMF</b:Corporate>
      </b:Author>
    </b:Author>
    <b:InternetSiteTitle>International Monetary Fund (IMF)</b:InternetSiteTitle>
    <b:URL>https://www.imf.org/~/media/Files/Publications/WEO/2019/October/English/TableA.ashx</b:URL>
    <b:YearAccessed>2020</b:YearAccessed>
    <b:MonthAccessed>June</b:MonthAccessed>
    <b:DayAccessed>5</b:DayAccessed>
    <b:RefOrder>277</b:RefOrder>
  </b:Source>
  <b:Source>
    <b:Tag>LiX20</b:Tag>
    <b:SourceType>JournalArticle</b:SourceType>
    <b:Guid>{E10B0C2C-1D62-45FC-B90E-2C82A0A0804A}</b:Guid>
    <b:Title>Analysis of the development trends and innovation characteristics of Internet of Things technology - based on patentometrics and bibliometrics</b:Title>
    <b:Year>2020</b:Year>
    <b:Author>
      <b:Author>
        <b:NameList>
          <b:Person>
            <b:Last>Li</b:Last>
            <b:First>Xiang</b:First>
          </b:Person>
          <b:Person>
            <b:Last>Pak</b:Last>
            <b:First>Chanil</b:First>
          </b:Person>
          <b:Person>
            <b:Last>Bi</b:Last>
            <b:First>Kexin</b:First>
          </b:Person>
        </b:NameList>
      </b:Author>
    </b:Author>
    <b:JournalName>Technology Analysis &amp; Strategic Management</b:JournalName>
    <b:Pages>104-118</b:Pages>
    <b:Volume>32</b:Volume>
    <b:Issue>1</b:Issue>
    <b:DOI>10.1080/09537325.2019.1636960</b:DOI>
    <b:RefOrder>278</b:RefOrder>
  </b:Source>
  <b:Source>
    <b:Tag>LvK19</b:Tag>
    <b:SourceType>JournalArticle</b:SourceType>
    <b:Guid>{AFE94471-50A1-447E-A1EE-BAAD2FF36580}</b:Guid>
    <b:Author>
      <b:Author>
        <b:NameList>
          <b:Person>
            <b:Last>Lv</b:Last>
            <b:First>Kun</b:First>
          </b:Person>
          <b:Person>
            <b:Last>Chen</b:Last>
            <b:First>Yun</b:First>
          </b:Person>
          <b:Person>
            <b:Last>Hu</b:Last>
            <b:First>Changzhen</b:First>
          </b:Person>
        </b:NameList>
      </b:Author>
    </b:Author>
    <b:Title>Dynamic defense strategy against advanced persistent threat under heterogeneous networks</b:Title>
    <b:JournalName>Information Fusion</b:JournalName>
    <b:Year>2019</b:Year>
    <b:Pages>216-226</b:Pages>
    <b:Volume>49</b:Volume>
    <b:Issue>1</b:Issue>
    <b:DOI>10.1016/j.inffus.2019.01.001</b:DOI>
    <b:RefOrder>279</b:RefOrder>
  </b:Source>
  <b:Source>
    <b:Tag>Oba09</b:Tag>
    <b:SourceType>DocumentFromInternetSite</b:SourceType>
    <b:Guid>{3B3CD72D-27BE-4EEA-83C5-02EE6E8BF883}</b:Guid>
    <b:Title>Cyberspace Policy Review, Assuring a Trusted and Resikient Information and Communications Infrastructure</b:Title>
    <b:Year>2009</b:Year>
    <b:Author>
      <b:Author>
        <b:NameList>
          <b:Person>
            <b:Last>Obama</b:Last>
            <b:First>Barack</b:First>
          </b:Person>
        </b:NameList>
      </b:Author>
    </b:Author>
    <b:InternetSiteTitle>Executive Office of the President White House,gov</b:InternetSiteTitle>
    <b:URL>https://www.whitehouse.gov/assets/documents/Cyberspace_Policy_Review_final.pdf</b:URL>
    <b:RefOrder>280</b:RefOrder>
  </b:Source>
  <b:Source>
    <b:Tag>Lin85</b:Tag>
    <b:SourceType>Book</b:SourceType>
    <b:Guid>{7EA9DC66-6F9C-460F-818C-77D65F2152A4}</b:Guid>
    <b:Author>
      <b:Author>
        <b:NameList>
          <b:Person>
            <b:Last>Lincoln</b:Last>
            <b:First>Yvonna</b:First>
            <b:Middle>S</b:Middle>
          </b:Person>
          <b:Person>
            <b:Last>Guba</b:Last>
            <b:Middle>G</b:Middle>
            <b:First>Egon</b:First>
          </b:Person>
        </b:NameList>
      </b:Author>
    </b:Author>
    <b:Title>Naturalistic Inquiry</b:Title>
    <b:Year>1985</b:Year>
    <b:City>Newbury Park</b:City>
    <b:Publisher>Sage</b:Publisher>
    <b:StateProvince>CA</b:StateProvince>
    <b:RefOrder>281</b:RefOrder>
  </b:Source>
  <b:Source>
    <b:Tag>Gub94</b:Tag>
    <b:SourceType>Book</b:SourceType>
    <b:Guid>{7EB8C960-EDDF-4FB5-A277-462BD3036F45}</b:Guid>
    <b:Author>
      <b:Author>
        <b:NameList>
          <b:Person>
            <b:Last>Guba</b:Last>
            <b:First>Egon</b:First>
            <b:Middle>G</b:Middle>
          </b:Person>
          <b:Person>
            <b:Last>Lincoln</b:Last>
            <b:First>Yvonna</b:First>
            <b:Middle>S</b:Middle>
          </b:Person>
        </b:NameList>
      </b:Author>
      <b:Editor>
        <b:NameList>
          <b:Person>
            <b:Last>Denzin</b:Last>
            <b:Middle>K</b:Middle>
            <b:First>N</b:First>
          </b:Person>
          <b:Person>
            <b:Last>Lincoln</b:Last>
            <b:Middle>S</b:Middle>
            <b:First>Y</b:First>
          </b:Person>
        </b:NameList>
      </b:Editor>
    </b:Author>
    <b:Title>Competing Paradigms in Qualitative Research</b:Title>
    <b:Year>1994</b:Year>
    <b:City>Thousand Oaks</b:City>
    <b:Publisher>Sage</b:Publisher>
    <b:StateProvince>CA</b:StateProvince>
    <b:Pages>105 - 117</b:Pages>
    <b:RefOrder>282</b:RefOrder>
  </b:Source>
  <b:Source>
    <b:Tag>Cha17</b:Tag>
    <b:SourceType>JournalArticle</b:SourceType>
    <b:Guid>{CBD5B5E1-41EA-4B89-B279-BEC8EEED86AF}</b:Guid>
    <b:Author>
      <b:Author>
        <b:NameList>
          <b:Person>
            <b:Last>Chang</b:Last>
            <b:First>Yu-Hsin</b:First>
          </b:Person>
          <b:Person>
            <b:Last>Lai</b:Last>
            <b:First>Kuei-Kuei</b:First>
          </b:Person>
          <b:Person>
            <b:Last>Lin</b:Last>
            <b:First>Chien-Yu</b:First>
          </b:Person>
          <b:Person>
            <b:Last>Su</b:Last>
            <b:First>Fang-Pei</b:First>
          </b:Person>
          <b:Person>
            <b:Last>Yang</b:Last>
            <b:First>Ming-Chung</b:First>
          </b:Person>
        </b:NameList>
      </b:Author>
    </b:Author>
    <b:Title>A hybrid clustering approach to identify network positions and roles through social network and multivariate analysis</b:Title>
    <b:JournalName>Scientometrics</b:JournalName>
    <b:Year>2017</b:Year>
    <b:Pages>1733 - 1755</b:Pages>
    <b:Volume>113</b:Volume>
    <b:Issue>3</b:Issue>
    <b:DOI>10.1007/s11192-017-2556-y</b:DOI>
    <b:RefOrder>283</b:RefOrder>
  </b:Source>
  <b:Source>
    <b:Tag>Pel17</b:Tag>
    <b:SourceType>JournalArticle</b:SourceType>
    <b:Guid>{A8168931-1F23-46E2-8C97-C64C4550219D}</b:Guid>
    <b:Title>On temporal-constrained sub-trajectory cluster analysis</b:Title>
    <b:Year>2017</b:Year>
    <b:Author>
      <b:Author>
        <b:NameList>
          <b:Person>
            <b:Last>Pelekis</b:Last>
            <b:First>Nikos</b:First>
          </b:Person>
          <b:Person>
            <b:Last>Tampakis</b:Last>
            <b:First>Panagiotis</b:First>
          </b:Person>
          <b:Person>
            <b:Last>Vodas</b:Last>
            <b:First>Marios</b:First>
          </b:Person>
          <b:Person>
            <b:Last>Doulkeridis</b:Last>
            <b:First>Christos</b:First>
          </b:Person>
          <b:Person>
            <b:Last>Theodoridis</b:Last>
            <b:First>Yannis</b:First>
          </b:Person>
        </b:NameList>
      </b:Author>
    </b:Author>
    <b:JournalName>Data Mining and Knowledge Discovery</b:JournalName>
    <b:Pages>1294 - 1330</b:Pages>
    <b:Volume>31</b:Volume>
    <b:Issue>5</b:Issue>
    <b:DOI>10.1007/s10618-017-0503-4</b:DOI>
    <b:RefOrder>284</b:RefOrder>
  </b:Source>
  <b:Source>
    <b:Tag>Yin13</b:Tag>
    <b:SourceType>Book</b:SourceType>
    <b:Guid>{7163EA5D-661D-43E1-9957-484FC2F62140}</b:Guid>
    <b:Title>Case Study Research: Design and Methods</b:Title>
    <b:Year>2013</b:Year>
    <b:City>Thousand Oaks</b:City>
    <b:Publisher>Sage Publications Inc</b:Publisher>
    <b:Author>
      <b:Author>
        <b:NameList>
          <b:Person>
            <b:Last>Yin</b:Last>
            <b:Middle>K</b:Middle>
            <b:First>Robert</b:First>
          </b:Person>
        </b:NameList>
      </b:Author>
    </b:Author>
    <b:StateProvince>CA</b:StateProvince>
    <b:Edition>5th</b:Edition>
    <b:RefOrder>285</b:RefOrder>
  </b:Source>
  <b:Source>
    <b:Tag>Had20</b:Tag>
    <b:SourceType>JournalArticle</b:SourceType>
    <b:Guid>{12407068-7CE9-46F3-9C01-B6DECB108696}</b:Guid>
    <b:Author>
      <b:Author>
        <b:NameList>
          <b:Person>
            <b:Last>Hadlington</b:Last>
            <b:First>Lee</b:First>
          </b:Person>
          <b:Person>
            <b:Last>Chivers</b:Last>
            <b:First>Sally</b:First>
          </b:Person>
        </b:NameList>
      </b:Author>
    </b:Author>
    <b:Title>Segmentation Analysis of Susceptibility to Cybercrime: Exploring Individual Differences in Information Security Awareness and Personality Factors</b:Title>
    <b:JournalName>Policing : a journal of policy and practice</b:JournalName>
    <b:Year>2020</b:Year>
    <b:Pages>479-492</b:Pages>
    <b:Volume>14</b:Volume>
    <b:Issue>2</b:Issue>
    <b:DOI>10.1093/police/pay027</b:DOI>
    <b:RefOrder>286</b:RefOrder>
  </b:Source>
  <b:Source>
    <b:Tag>Reh20</b:Tag>
    <b:SourceType>JournalArticle</b:SourceType>
    <b:Guid>{037EA61D-5B90-4DB2-A2C0-F855427BEA65}</b:Guid>
    <b:Author>
      <b:Author>
        <b:NameList>
          <b:Person>
            <b:Last>Rehak</b:Last>
            <b:First>David</b:First>
          </b:Person>
        </b:NameList>
      </b:Author>
    </b:Author>
    <b:Title>Assessing and strengthening organisational resilience in a critical infrastructure system: Case study of the Slovak Republic</b:Title>
    <b:JournalName>Safety Science</b:JournalName>
    <b:Year>2020</b:Year>
    <b:Pages>104573</b:Pages>
    <b:Volume>123</b:Volume>
    <b:Issue>-</b:Issue>
    <b:DOI>10.1016/j.ssci.2019.104573</b:DOI>
    <b:RefOrder>287</b:RefOrder>
  </b:Source>
  <b:Source>
    <b:Tag>Owe20</b:Tag>
    <b:SourceType>JournalArticle</b:SourceType>
    <b:Guid>{5A7E129F-59E0-4267-BEAF-0466343508D0}</b:Guid>
    <b:Author>
      <b:Author>
        <b:NameList>
          <b:Person>
            <b:Last>Owens</b:Last>
            <b:First>Brian</b:First>
          </b:Person>
        </b:NameList>
      </b:Author>
    </b:Author>
    <b:Title>How hospitals can protect themselves from cyber attack</b:Title>
    <b:JournalName>Canadian Medical Association journal (CMAJ)</b:JournalName>
    <b:Year>2020</b:Year>
    <b:Pages>E101-E102</b:Pages>
    <b:Volume>192</b:Volume>
    <b:Issue>4</b:Issue>
    <b:DOI>10.1503/cmaj.1095841</b:DOI>
    <b:RefOrder>288</b:RefOrder>
  </b:Source>
  <b:Source>
    <b:Tag>Mie19</b:Tag>
    <b:SourceType>JournalArticle</b:SourceType>
    <b:Guid>{1E11CBB4-1C92-49B6-952A-24527B5E836C}</b:Guid>
    <b:Author>
      <b:Author>
        <b:NameList>
          <b:Person>
            <b:Last>Mierzejewska</b:Last>
            <b:First>Lidia</b:First>
          </b:Person>
          <b:Person>
            <b:Last>Wdowicka</b:Last>
            <b:First>Magdalena</b:First>
          </b:Person>
        </b:NameList>
      </b:Author>
    </b:Author>
    <b:Title>City Resilience vs. Resilient City: Terminological Intricacies and Concept Inaccuracies</b:Title>
    <b:JournalName>Quaestiones Geographicae</b:JournalName>
    <b:Year>2019</b:Year>
    <b:Pages>7-15</b:Pages>
    <b:Month>December</b:Month>
    <b:Volume>37</b:Volume>
    <b:Issue>2</b:Issue>
    <b:DOI>10.2478/quageo-2018-0018</b:DOI>
    <b:RefOrder>2</b:RefOrder>
  </b:Source>
  <b:Source>
    <b:Tag>Alq15</b:Tag>
    <b:SourceType>JournalArticle</b:SourceType>
    <b:Guid>{9F2493DF-985B-496C-B377-6EF98FD2CF11}</b:Guid>
    <b:Title>Towards a framework for the potential cyber-terrorist threat to critical national infrastructure: A quantitative study</b:Title>
    <b:Year>2015</b:Year>
    <b:JournalName>Information &amp; Computer Security</b:JournalName>
    <b:Pages>532-569</b:Pages>
    <b:Author>
      <b:Author>
        <b:NameList>
          <b:Person>
            <b:Last>Alqahtani</b:Last>
            <b:First>Abdulrahman</b:First>
          </b:Person>
        </b:NameList>
      </b:Author>
    </b:Author>
    <b:Volume>23</b:Volume>
    <b:Issue>5</b:Issue>
    <b:DOI>10.1108/ICS-09-2014-0060</b:DOI>
    <b:RefOrder>289</b:RefOrder>
  </b:Source>
  <b:Source>
    <b:Tag>Kle15</b:Tag>
    <b:SourceType>JournalArticle</b:SourceType>
    <b:Guid>{8E27BD91-D523-47D1-A1E1-BB6A398CC0BF}</b:Guid>
    <b:Title>Deterring and Dissuading Cyberterrorism</b:Title>
    <b:JournalName>Journal of Strategic Security</b:JournalName>
    <b:Year>2015</b:Year>
    <b:Pages>23-38</b:Pages>
    <b:Author>
      <b:Author>
        <b:NameList>
          <b:Person>
            <b:Last>Klein</b:Last>
            <b:Middle>J</b:Middle>
            <b:First>John</b:First>
          </b:Person>
        </b:NameList>
      </b:Author>
    </b:Author>
    <b:Volume>8</b:Volume>
    <b:Issue>4</b:Issue>
    <b:URL>http://scholarcommons.usf.edu/jss/vol8/iss4/2</b:URL>
    <b:DOI>10.5038/1944-0472.8.4.1460</b:DOI>
    <b:RefOrder>290</b:RefOrder>
  </b:Source>
  <b:Source>
    <b:Tag>Arg19</b:Tag>
    <b:SourceType>JournalArticle</b:SourceType>
    <b:Guid>{F396D022-0367-417F-BB1B-142E245BF92F}</b:Guid>
    <b:Author>
      <b:Author>
        <b:NameList>
          <b:Person>
            <b:Last>Argaw</b:Last>
            <b:First>Salem</b:First>
            <b:Middle>T.</b:Middle>
          </b:Person>
          <b:Person>
            <b:Last>Bempong</b:Last>
            <b:First>Nefti-Eboni</b:First>
          </b:Person>
          <b:Person>
            <b:Last>Eshaya-Chauvin</b:Last>
            <b:First>Bruce</b:First>
          </b:Person>
          <b:Person>
            <b:Last>Flahault</b:Last>
            <b:First>Antoine</b:First>
          </b:Person>
        </b:NameList>
      </b:Author>
    </b:Author>
    <b:Title>The state of research on cyberattacks against hospitals and available best practice recommendations: a scoping review</b:Title>
    <b:JournalName>BMC medical informatics and decision making</b:JournalName>
    <b:Year>2019</b:Year>
    <b:Pages>10-11</b:Pages>
    <b:Volume>19</b:Volume>
    <b:Issue>1</b:Issue>
    <b:DOI>10.1186/s12911-018-0724-5</b:DOI>
    <b:RefOrder>291</b:RefOrder>
  </b:Source>
  <b:Source>
    <b:Tag>Lau19</b:Tag>
    <b:SourceType>JournalArticle</b:SourceType>
    <b:Guid>{D2800399-A6DE-49E3-BEEF-153D4E0B4771}</b:Guid>
    <b:Author>
      <b:Author>
        <b:NameList>
          <b:Person>
            <b:Last>Ciavaglia</b:Last>
            <b:First>Laurent</b:First>
          </b:Person>
          <b:Person>
            <b:Last>Chemouil</b:Last>
            <b:First>Prosper</b:First>
          </b:Person>
          <b:Person>
            <b:Last>Maggs</b:Last>
            <b:First>Bruce</b:First>
          </b:Person>
        </b:NameList>
      </b:Author>
    </b:Author>
    <b:Title>Techniques for smart and secure 5G softwarized networks</b:Title>
    <b:JournalName>Annales des télécommunications</b:JournalName>
    <b:Year>2019</b:Year>
    <b:Pages>543-544</b:Pages>
    <b:Issue>74</b:Issue>
    <b:ShortTitle>9-10</b:ShortTitle>
    <b:DOI>10.1007/s12243-019-00732-8</b:DOI>
    <b:RefOrder>292</b:RefOrder>
  </b:Source>
  <b:Source>
    <b:Tag>Ito16</b:Tag>
    <b:SourceType>Book</b:SourceType>
    <b:Guid>{B086768F-A2C9-4CC9-B05D-DC7C63996039}</b:Guid>
    <b:Title>Good Practices of Accessible Urban Development</b:Title>
    <b:Year>2016</b:Year>
    <b:City>New York</b:City>
    <b:Publisher>UN Secretariat for the Convention on the Rights of Persons with Disabilities, Division of Social Policy and Development, Department of Economic and Social Affairs of the United Nations (SCRPD/DSPD/DESA)</b:Publisher>
    <b:Author>
      <b:Author>
        <b:NameList>
          <b:Person>
            <b:Last>Ito</b:Last>
            <b:First>Akiko</b:First>
          </b:Person>
          <b:Person>
            <b:Last>Zhang</b:Last>
            <b:First>Guozhong</b:First>
          </b:Person>
          <b:Person>
            <b:Last>Martinho</b:Last>
            <b:First>Maria</b:First>
          </b:Person>
          <b:Person>
            <b:Last>Venne</b:Last>
            <b:First>Robert</b:First>
          </b:Person>
          <b:Person>
            <b:Last>Fajerman</b:Last>
            <b:First>Miranda</b:First>
          </b:Person>
          <b:Person>
            <b:Last>Pewitt</b:Last>
            <b:First>Julie</b:First>
          </b:Person>
          <b:Person>
            <b:Last>Avades</b:Last>
            <b:First>Talin</b:First>
          </b:Person>
          <b:Person>
            <b:Last>Odom.</b:Last>
            <b:First>Claire</b:First>
          </b:Person>
        </b:NameList>
      </b:Author>
    </b:Author>
    <b:StateProvince>NY</b:StateProvince>
    <b:CountryRegion>USA</b:CountryRegion>
    <b:RefOrder>293</b:RefOrder>
  </b:Source>
  <b:Source>
    <b:Tag>Gha19</b:Tag>
    <b:SourceType>JournalArticle</b:SourceType>
    <b:Guid>{C4B8D82C-4E2E-4399-966D-0366E664225D}</b:Guid>
    <b:Author>
      <b:Author>
        <b:NameList>
          <b:Person>
            <b:Last>Ghadge</b:Last>
            <b:First>Abhijeet</b:First>
          </b:Person>
          <b:Person>
            <b:Last>Weiß</b:Last>
            <b:First>Maximilian</b:First>
          </b:Person>
          <b:Person>
            <b:Last>Caldwell</b:Last>
            <b:First>Nigel</b:First>
            <b:Middle>D.</b:Middle>
          </b:Person>
          <b:Person>
            <b:Last>Wilding</b:Last>
            <b:First>Richard</b:First>
          </b:Person>
        </b:NameList>
      </b:Author>
    </b:Author>
    <b:Title>Managing cyber risk in supply chains: a review and research agenda</b:Title>
    <b:JournalName>Supply chain management</b:JournalName>
    <b:Year>2019</b:Year>
    <b:Pages>223-240</b:Pages>
    <b:Volume>25</b:Volume>
    <b:Issue>2</b:Issue>
    <b:DOI>10.1108/scm-10-2018-0357</b:DOI>
    <b:RefOrder>294</b:RefOrder>
  </b:Source>
  <b:Source>
    <b:Tag>Kan20</b:Tag>
    <b:SourceType>JournalArticle</b:SourceType>
    <b:Guid>{174CE554-2AF1-4C08-BE9B-0A84FA7564E8}</b:Guid>
    <b:Author>
      <b:Author>
        <b:NameList>
          <b:Person>
            <b:Last>Kandasamy</b:Last>
            <b:First>Kamalanathan</b:First>
          </b:Person>
          <b:Person>
            <b:Last>Srinivas</b:Last>
            <b:First>Sethuraman</b:First>
          </b:Person>
          <b:Person>
            <b:Last>Achuthan</b:Last>
            <b:First>Krishnashree</b:First>
          </b:Person>
          <b:Person>
            <b:Last>Rangan</b:Last>
            <b:First>Venkat</b:First>
            <b:Middle>P.</b:Middle>
          </b:Person>
        </b:NameList>
      </b:Author>
    </b:Author>
    <b:Title>IoT cyber risk: a holistic analysis of cyber risk assessment frameworks, risk vectors, and risk ranking process</b:Title>
    <b:JournalName>EURASIP Journal on Information Security</b:JournalName>
    <b:Year>2020</b:Year>
    <b:Pages>1-18</b:Pages>
    <b:Volume>2020</b:Volume>
    <b:Issue>1</b:Issue>
    <b:DOI>10.1186/s13635-020-00111-0</b:DOI>
    <b:RefOrder>295</b:RefOrder>
  </b:Source>
  <b:Source>
    <b:Tag>Rad20</b:Tag>
    <b:SourceType>JournalArticle</b:SourceType>
    <b:Guid>{B8A78B55-3357-4B98-8BDD-B3BC8C0E7079}</b:Guid>
    <b:Author>
      <b:Author>
        <b:NameList>
          <b:Person>
            <b:Last>Radanliev</b:Last>
            <b:First>Petar</b:First>
          </b:Person>
          <b:Person>
            <b:Last>De Roure</b:Last>
            <b:First>David</b:First>
          </b:Person>
          <b:Person>
            <b:Last>Page</b:Last>
            <b:First>Kevin</b:First>
          </b:Person>
          <b:Person>
            <b:Last>Nurse</b:Last>
            <b:First>Jason</b:First>
            <b:Middle>R. C.</b:Middle>
          </b:Person>
          <b:Person>
            <b:Last>Montalvo</b:Last>
            <b:First>Rafael</b:First>
            <b:Middle>Mantilla</b:Middle>
          </b:Person>
          <b:Person>
            <b:Last>Santos</b:Last>
            <b:First>Omar</b:First>
          </b:Person>
          <b:Person>
            <b:Last>Maddox</b:Last>
            <b:First>La’Treall</b:First>
          </b:Person>
          <b:Person>
            <b:Last>Burnap</b:Last>
            <b:First>Pete</b:First>
          </b:Person>
        </b:NameList>
      </b:Author>
    </b:Author>
    <b:Title>Cyber risk at the edge: current and future trends on cyber risk analytics and artificial intelligence in the industrial internet of things and industry 4.0 supply chains</b:Title>
    <b:JournalName>Cybersecurity</b:JournalName>
    <b:Year>2020</b:Year>
    <b:Pages>1-21</b:Pages>
    <b:Volume>3</b:Volume>
    <b:Issue>1</b:Issue>
    <b:DOI>10.1186/s42400-020-00052-8</b:DOI>
    <b:RefOrder>296</b:RefOrder>
  </b:Source>
  <b:Source>
    <b:Tag>Béc20</b:Tag>
    <b:SourceType>JournalArticle</b:SourceType>
    <b:Guid>{C7691CE7-66BD-4633-AFF7-736B67E5F793}</b:Guid>
    <b:Author>
      <b:Author>
        <b:NameList>
          <b:Person>
            <b:Last>Bécue</b:Last>
            <b:First>Adrien</b:First>
          </b:Person>
          <b:Person>
            <b:Last>Maia</b:Last>
            <b:First>Eva</b:First>
          </b:Person>
          <b:Person>
            <b:Last>Feeken</b:Last>
            <b:First>Linda</b:First>
          </b:Person>
          <b:Person>
            <b:Last>Borchers</b:Last>
            <b:First>Philipp</b:First>
          </b:Person>
          <b:Person>
            <b:Last>Praça</b:Last>
            <b:First>Isabel</b:First>
          </b:Person>
        </b:NameList>
      </b:Author>
    </b:Author>
    <b:Title>A New Concept of Digital Twin Supporting Optimization and Resilience of Factories of the Future</b:Title>
    <b:JournalName>Applied sciences</b:JournalName>
    <b:Year>2020</b:Year>
    <b:Pages>4482</b:Pages>
    <b:Volume>10</b:Volume>
    <b:Issue>13</b:Issue>
    <b:DOI>10.3390/app10134482</b:DOI>
    <b:RefOrder>297</b:RefOrder>
  </b:Source>
  <b:Source>
    <b:Tag>Mad20</b:Tag>
    <b:SourceType>JournalArticle</b:SourceType>
    <b:Guid>{0DD44F98-5EDB-4566-B17B-960BFBDB4206}</b:Guid>
    <b:Author>
      <b:Author>
        <b:NameList>
          <b:Person>
            <b:Last>Madni</b:Last>
            <b:First>Azad</b:First>
            <b:Middle>M.</b:Middle>
          </b:Person>
          <b:Person>
            <b:Last>Erwin</b:Last>
            <b:First>Dan</b:First>
          </b:Person>
          <b:Person>
            <b:Last>Sievers</b:Last>
            <b:First>Michael</b:First>
          </b:Person>
        </b:NameList>
      </b:Author>
    </b:Author>
    <b:Title>Constructing Models for Systems Resilience: Challenges, Concepts, and Formal Methods</b:Title>
    <b:JournalName>Systems (Basel)</b:JournalName>
    <b:Year>2020</b:Year>
    <b:Pages>3</b:Pages>
    <b:Volume>8</b:Volume>
    <b:Issue>1</b:Issue>
    <b:DOI>10.3390/systems8010003</b:DOI>
    <b:RefOrder>298</b:RefOrder>
  </b:Source>
  <b:Source>
    <b:Tag>Lew20</b:Tag>
    <b:SourceType>JournalArticle</b:SourceType>
    <b:Guid>{0F0BE807-2CD5-4FF1-BB39-D50C4108B8CB}</b:Guid>
    <b:Author>
      <b:Author>
        <b:NameList>
          <b:Person>
            <b:Last>Lewallen</b:Last>
            <b:First>Jonathan</b:First>
          </b:Person>
        </b:NameList>
      </b:Author>
    </b:Author>
    <b:Title>Emerging technologies and problem definition uncertainty: The case of cybersecurity</b:Title>
    <b:JournalName>Regulation &amp; governance</b:JournalName>
    <b:Year>2020</b:Year>
    <b:Pages>-</b:Pages>
    <b:Volume>2020</b:Volume>
    <b:Issue>-</b:Issue>
    <b:DOI>10.1111/rego.12341</b:DOI>
    <b:RefOrder>299</b:RefOrder>
  </b:Source>
  <b:Source>
    <b:Tag>Sch17a</b:Tag>
    <b:SourceType>JournalArticle</b:SourceType>
    <b:Guid>{F1EE7123-163C-4AA3-B9D6-78F48CD34842}</b:Guid>
    <b:Author>
      <b:Author>
        <b:NameList>
          <b:Person>
            <b:Last>Schatz</b:Last>
            <b:First>Daniel</b:First>
          </b:Person>
          <b:Person>
            <b:Last>Bashroush</b:Last>
            <b:First>Rabih</b:First>
          </b:Person>
          <b:Person>
            <b:Last>Wall</b:Last>
            <b:First>Julie</b:First>
          </b:Person>
        </b:NameList>
      </b:Author>
    </b:Author>
    <b:Title>Towards a More Representative Definition of Cyber Security</b:Title>
    <b:JournalName>The journal of digital forensics, security and law</b:JournalName>
    <b:Year>2017</b:Year>
    <b:Pages>53-74</b:Pages>
    <b:Volume>12</b:Volume>
    <b:Issue>2</b:Issue>
    <b:DOI>10.15394/jdfsl.2017.1476</b:DOI>
    <b:RefOrder>300</b:RefOrder>
  </b:Source>
  <b:Source>
    <b:Tag>Ari20</b:Tag>
    <b:SourceType>JournalArticle</b:SourceType>
    <b:Guid>{57EBD048-39F2-465D-9B02-52C115293737}</b:Guid>
    <b:Author>
      <b:Author>
        <b:NameList>
          <b:Person>
            <b:Last>Zhang</b:Last>
            <b:First>Aria</b:First>
          </b:Person>
          <b:Person>
            <b:Last>Collins</b:Last>
            <b:First>Rosie</b:First>
          </b:Person>
          <b:Person>
            <b:Last>O'Connor-Close</b:Last>
            <b:First>Cavan</b:First>
          </b:Person>
        </b:NameList>
      </b:Author>
    </b:Author>
    <b:Title>Cyber incident cost estimates and the importance of building resilience</b:Title>
    <b:JournalName>Reserve Bank of New Zealand bulletin</b:JournalName>
    <b:Year>2020</b:Year>
    <b:Pages>iii-12</b:Pages>
    <b:Volume>84</b:Volume>
    <b:Issue>2</b:Issue>
    <b:URL>uwe.summon.serialssolutions.com</b:URL>
    <b:RefOrder>301</b:RefOrder>
  </b:Source>
  <b:Source>
    <b:Tag>Hop171</b:Tag>
    <b:SourceType>Misc</b:SourceType>
    <b:Guid>{0A9066F0-39E3-4850-B639-54FC1609554A}</b:Guid>
    <b:Title>A Conflict of Desires: Global English and its effects on cultural identity in the United Arab Emirates</b:Title>
    <b:PublicationTitle>PhD Thesis</b:PublicationTitle>
    <b:Year>2017</b:Year>
    <b:City>Leicester</b:City>
    <b:Publisher>University of Leicester</b:Publisher>
    <b:Author>
      <b:Author>
        <b:NameList>
          <b:Person>
            <b:Last>Hopkyns</b:Last>
            <b:First>Sarah</b:First>
          </b:Person>
        </b:NameList>
      </b:Author>
    </b:Author>
    <b:YearAccessed>2020</b:YearAccessed>
    <b:MonthAccessed>August</b:MonthAccessed>
    <b:DayAccessed>19</b:DayAccessed>
    <b:URL>https://www.researchgate.net/publication/321747060_A_Conflict_of_Desires_Global_English_and_its_Effects_on_Cultural_Identity_in_the_United_Arab_Emirates</b:URL>
    <b:RefOrder>302</b:RefOrder>
  </b:Source>
  <b:Source>
    <b:Tag>Sul181</b:Tag>
    <b:SourceType>JournalArticle</b:SourceType>
    <b:Guid>{D5AE6AE7-F74E-4773-844C-3D9F16649580}</b:Guid>
    <b:Author>
      <b:Author>
        <b:NameList>
          <b:Person>
            <b:Last>Sulaymani</b:Last>
            <b:First>Omar</b:First>
          </b:Person>
          <b:Person>
            <b:Last>Fleer</b:Last>
            <b:First>Marilyn</b:First>
          </b:Person>
          <b:Person>
            <b:Last>Chapman</b:Last>
            <b:First>Denise</b:First>
          </b:Person>
        </b:NameList>
      </b:Author>
    </b:Author>
    <b:Title>A Reciprocal Digital Relationship Between Home and School: A Case Study from Saudi Arabia Using Cultural–Historical Theory.</b:Title>
    <b:Year>2018</b:Year>
    <b:JournalName>International Journal of Early Childhood,</b:JournalName>
    <b:Pages>227 - 240</b:Pages>
    <b:Volume>50</b:Volume>
    <b:Issue>2</b:Issue>
    <b:DOI>10.1007/s13158-018-0217-9</b:DOI>
    <b:RefOrder>303</b:RefOrder>
  </b:Source>
  <b:Source>
    <b:Tag>Cro97</b:Tag>
    <b:SourceType>JournalArticle</b:SourceType>
    <b:Guid>{43F636C2-0565-4F9C-8553-6AD1CF82F388}</b:Guid>
    <b:Author>
      <b:Author>
        <b:NameList>
          <b:Person>
            <b:Last>Cross</b:Last>
            <b:First>Frank</b:First>
            <b:Middle>B</b:Middle>
          </b:Person>
        </b:NameList>
      </b:Author>
    </b:Author>
    <b:Title>The Positivist/Realist Perspective</b:Title>
    <b:JournalName>Journal of Leagal Studies Education</b:JournalName>
    <b:Year>1997</b:Year>
    <b:Pages>10-13</b:Pages>
    <b:Volume>15</b:Volume>
    <b:Issue>1</b:Issue>
    <b:DOI>10.1111/j.1744-1722.1997.tb00057.x.</b:DOI>
    <b:RefOrder>304</b:RefOrder>
  </b:Source>
  <b:Source>
    <b:Tag>Cup01</b:Tag>
    <b:SourceType>JournalArticle</b:SourceType>
    <b:Guid>{04525FD4-D92F-465E-83F9-2B5E146EE7CC}</b:Guid>
    <b:Author>
      <b:Author>
        <b:NameList>
          <b:Person>
            <b:Last>Cupchick</b:Last>
            <b:First>Gerald</b:First>
          </b:Person>
        </b:NameList>
      </b:Author>
    </b:Author>
    <b:Title>Constructive Realism: An Ontology That Encompasses Positivist and Constructivist Approaches to the Social Sciences</b:Title>
    <b:JournalName>Forum, Qualitative Social Research</b:JournalName>
    <b:Year>2001</b:Year>
    <b:Pages>art 7.</b:Pages>
    <b:Volume>2</b:Volume>
    <b:Issue>1</b:Issue>
    <b:URL>http://nbnresolving.de/urn:nbn:de:0114-fqs01017</b:URL>
    <b:RefOrder>305</b:RefOrder>
  </b:Source>
  <b:Source>
    <b:Tag>deB18</b:Tag>
    <b:SourceType>JournalArticle</b:SourceType>
    <b:Guid>{8EFC6418-3059-4ED3-8827-3AA5FF1F2373}</b:Guid>
    <b:Author>
      <b:Author>
        <b:NameList>
          <b:Person>
            <b:Last>de Bernardi</b:Last>
            <b:First>Cecilia</b:First>
          </b:Person>
        </b:NameList>
      </b:Author>
    </b:Author>
    <b:Title>Reflections on the hegemonic exclusion of critical realism from academic settings: alone in a room full of people</b:Title>
    <b:JournalName>Journal of critical realism</b:JournalName>
    <b:Year>2018</b:Year>
    <b:Pages>374-389</b:Pages>
    <b:Volume>17</b:Volume>
    <b:Issue>4</b:Issue>
    <b:DOI>10.1080/14767430.2018.1497316</b:DOI>
    <b:RefOrder>306</b:RefOrder>
  </b:Source>
  <b:Source>
    <b:Tag>Fer15</b:Tag>
    <b:SourceType>JournalArticle</b:SourceType>
    <b:Guid>{594EC8E0-010D-416E-8964-7EC0B8719BEA}</b:Guid>
    <b:Author>
      <b:Author>
        <b:NameList>
          <b:Person>
            <b:Last>Ferraris</b:Last>
            <b:First>Maurizio</b:First>
          </b:Person>
        </b:NameList>
      </b:Author>
    </b:Author>
    <b:Title>Transcendental Realism</b:Title>
    <b:JournalName>The Monist</b:JournalName>
    <b:Year>2015</b:Year>
    <b:Pages>215-232</b:Pages>
    <b:Volume>98</b:Volume>
    <b:Issue>2</b:Issue>
    <b:DOI>10.1093/monist/onv007</b:DOI>
    <b:RefOrder>307</b:RefOrder>
  </b:Source>
  <b:Source>
    <b:Tag>Hay18</b:Tag>
    <b:SourceType>JournalArticle</b:SourceType>
    <b:Guid>{CBE4192F-5262-4B46-A74D-4C4CF76C571F}</b:Guid>
    <b:Author>
      <b:Author>
        <b:NameList>
          <b:Person>
            <b:Last>Hayes</b:Last>
            <b:First>Andrew</b:First>
            <b:Middle>F</b:Middle>
          </b:Person>
        </b:NameList>
      </b:Author>
    </b:Author>
    <b:Title>Partial, conditional, and moderated moderated mediation: Quantification, inference, and interpretation</b:Title>
    <b:JournalName>Communication monographs</b:JournalName>
    <b:Year>2018</b:Year>
    <b:Pages>4-40</b:Pages>
    <b:Volume>85</b:Volume>
    <b:Issue>1</b:Issue>
    <b:DOI>10.1080/03637751.2017.1352100</b:DOI>
    <b:RefOrder>308</b:RefOrder>
  </b:Source>
  <b:Source>
    <b:Tag>van01</b:Tag>
    <b:SourceType>JournalArticle</b:SourceType>
    <b:Guid>{FC3A00DA-A35F-4B8D-8616-BD56CBAA4901}</b:Guid>
    <b:Title>The Importance of pilot studies</b:Title>
    <b:Year>2001</b:Year>
    <b:Author>
      <b:Author>
        <b:NameList>
          <b:Person>
            <b:Last>van Teijlingen</b:Last>
            <b:Middle>R</b:Middle>
            <b:First>Edwin</b:First>
          </b:Person>
          <b:Person>
            <b:Last>Hundley</b:Last>
            <b:First>Vanora</b:First>
          </b:Person>
        </b:NameList>
      </b:Author>
    </b:Author>
    <b:JournalName>Social Reasearch UPDATE</b:JournalName>
    <b:Volume>35</b:Volume>
    <b:Issue>Winter</b:Issue>
    <b:RefOrder>309</b:RefOrder>
  </b:Source>
  <b:Source>
    <b:Tag>UAE20</b:Tag>
    <b:SourceType>InternetSite</b:SourceType>
    <b:Guid>{567558B3-2548-4B25-B9AA-04430C115015}</b:Guid>
    <b:Author>
      <b:Author>
        <b:Corporate>UAE Government</b:Corporate>
      </b:Author>
    </b:Author>
    <b:Title>Cyber safety and digital security</b:Title>
    <b:InternetSiteTitle>Information and Service</b:InternetSiteTitle>
    <b:Year>2020a</b:Year>
    <b:URL>https://u.ae/en/information-and-services/justice-safety-and-the-law/cyber-safety-and-digital-security</b:URL>
    <b:YearAccessed>2020</b:YearAccessed>
    <b:MonthAccessed>Jan</b:MonthAccessed>
    <b:DayAccessed>04</b:DayAccessed>
    <b:RefOrder>1</b:RefOrder>
  </b:Source>
  <b:Source>
    <b:Tag>UAE201</b:Tag>
    <b:SourceType>InternetSite</b:SourceType>
    <b:Guid>{D8383D8A-A708-4351-92E7-D5C90D7C6304}</b:Guid>
    <b:Title>e-Government Portal</b:Title>
    <b:Year>2020b</b:Year>
    <b:Author>
      <b:Author>
        <b:Corporate>UAE Government</b:Corporate>
      </b:Author>
    </b:Author>
    <b:InternetSiteTitle>UAE Government</b:InternetSiteTitle>
    <b:URL>https://u.ae/en/information-and-services/home</b:URL>
    <b:YearAccessed>2020</b:YearAccessed>
    <b:MonthAccessed>August</b:MonthAccessed>
    <b:DayAccessed>31</b:DayAccessed>
    <b:RefOrder>310</b:RefOrder>
  </b:Source>
</b:Sources>
</file>

<file path=customXml/itemProps1.xml><?xml version="1.0" encoding="utf-8"?>
<ds:datastoreItem xmlns:ds="http://schemas.openxmlformats.org/officeDocument/2006/customXml" ds:itemID="{91661D88-CF4B-42CC-979C-12CFAF86C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296</Pages>
  <Words>92598</Words>
  <Characters>527810</Characters>
  <Application>Microsoft Office Word</Application>
  <DocSecurity>0</DocSecurity>
  <Lines>4398</Lines>
  <Paragraphs>1238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Saeed Alshehhi</dc:creator>
  <cp:keywords/>
  <dc:description/>
  <cp:lastModifiedBy>Grace Rico</cp:lastModifiedBy>
  <cp:revision>2</cp:revision>
  <cp:lastPrinted>2020-07-17T10:43:00Z</cp:lastPrinted>
  <dcterms:created xsi:type="dcterms:W3CDTF">2021-01-24T08:24:00Z</dcterms:created>
  <dcterms:modified xsi:type="dcterms:W3CDTF">2021-01-24T08:24:00Z</dcterms:modified>
</cp:coreProperties>
</file>