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2.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15A806" w14:textId="77777777" w:rsidR="007B6EE3" w:rsidRPr="00E673DC" w:rsidRDefault="007A0031" w:rsidP="00FD7179">
      <w:pPr>
        <w:spacing w:line="360" w:lineRule="auto"/>
        <w:ind w:firstLine="0"/>
        <w:jc w:val="center"/>
        <w:rPr>
          <w:b/>
          <w:sz w:val="36"/>
          <w:szCs w:val="36"/>
          <w:lang w:val="en-GB"/>
        </w:rPr>
      </w:pPr>
      <w:r w:rsidRPr="00E673DC">
        <w:rPr>
          <w:b/>
          <w:sz w:val="36"/>
          <w:szCs w:val="36"/>
          <w:lang w:val="en-GB"/>
        </w:rPr>
        <w:t xml:space="preserve"> </w:t>
      </w:r>
      <w:r w:rsidR="007B6EE3" w:rsidRPr="00E673DC">
        <w:rPr>
          <w:b/>
          <w:noProof/>
          <w:shd w:val="clear" w:color="auto" w:fill="FFFFFF"/>
          <w:lang w:val="en-GB"/>
        </w:rPr>
        <w:drawing>
          <wp:inline distT="0" distB="0" distL="0" distR="0" wp14:anchorId="65CADBC3" wp14:editId="325DB17D">
            <wp:extent cx="4343400" cy="883920"/>
            <wp:effectExtent l="0" t="0" r="0" b="0"/>
            <wp:docPr id="13" name="Picture 13" descr="BUiD-Logo-with-Web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descr="BUiD-Logo-with-Website"/>
                    <pic:cNvPicPr>
                      <a:picLocks noChangeAspect="1" noChangeArrowheads="1"/>
                    </pic:cNvPicPr>
                  </pic:nvPicPr>
                  <pic:blipFill>
                    <a:blip r:embed="rId8">
                      <a:extLst>
                        <a:ext uri="{28A0092B-C50C-407E-A947-70E740481C1C}">
                          <a14:useLocalDpi xmlns:a14="http://schemas.microsoft.com/office/drawing/2010/main" val="0"/>
                        </a:ext>
                      </a:extLst>
                    </a:blip>
                    <a:srcRect b="21519"/>
                    <a:stretch>
                      <a:fillRect/>
                    </a:stretch>
                  </pic:blipFill>
                  <pic:spPr bwMode="auto">
                    <a:xfrm>
                      <a:off x="0" y="0"/>
                      <a:ext cx="4343400" cy="883920"/>
                    </a:xfrm>
                    <a:prstGeom prst="rect">
                      <a:avLst/>
                    </a:prstGeom>
                    <a:noFill/>
                    <a:ln>
                      <a:noFill/>
                    </a:ln>
                  </pic:spPr>
                </pic:pic>
              </a:graphicData>
            </a:graphic>
          </wp:inline>
        </w:drawing>
      </w:r>
    </w:p>
    <w:p w14:paraId="342AB2C4" w14:textId="70F99E7D" w:rsidR="006F1282" w:rsidRPr="00E673DC" w:rsidRDefault="0053333D" w:rsidP="00D77795">
      <w:pPr>
        <w:spacing w:after="0" w:line="360" w:lineRule="auto"/>
        <w:ind w:firstLine="0"/>
        <w:jc w:val="center"/>
        <w:rPr>
          <w:rFonts w:asciiTheme="majorBidi" w:hAnsiTheme="majorBidi" w:cstheme="majorBidi"/>
          <w:b/>
          <w:bCs/>
          <w:sz w:val="36"/>
          <w:szCs w:val="36"/>
          <w:lang w:val="en-GB"/>
        </w:rPr>
      </w:pPr>
      <w:r w:rsidRPr="00E673DC">
        <w:rPr>
          <w:rFonts w:asciiTheme="majorBidi" w:hAnsiTheme="majorBidi" w:cstheme="majorBidi"/>
          <w:b/>
          <w:bCs/>
          <w:sz w:val="36"/>
          <w:szCs w:val="36"/>
          <w:lang w:val="en-GB"/>
        </w:rPr>
        <w:t>T</w:t>
      </w:r>
      <w:r w:rsidR="004F0F09" w:rsidRPr="00E673DC">
        <w:rPr>
          <w:rFonts w:asciiTheme="majorBidi" w:hAnsiTheme="majorBidi" w:cstheme="majorBidi"/>
          <w:b/>
          <w:bCs/>
          <w:sz w:val="36"/>
          <w:szCs w:val="36"/>
          <w:lang w:val="en-GB"/>
        </w:rPr>
        <w:t xml:space="preserve">he Influence of Green Human Resources Management (GHRM) Practices on </w:t>
      </w:r>
      <w:r w:rsidRPr="00E673DC">
        <w:rPr>
          <w:rFonts w:asciiTheme="majorBidi" w:hAnsiTheme="majorBidi" w:cstheme="majorBidi"/>
          <w:b/>
          <w:bCs/>
          <w:sz w:val="36"/>
          <w:szCs w:val="36"/>
          <w:lang w:val="en-GB"/>
        </w:rPr>
        <w:t>O</w:t>
      </w:r>
      <w:r w:rsidR="004F0F09" w:rsidRPr="00E673DC">
        <w:rPr>
          <w:rFonts w:asciiTheme="majorBidi" w:hAnsiTheme="majorBidi" w:cstheme="majorBidi"/>
          <w:b/>
          <w:bCs/>
          <w:sz w:val="36"/>
          <w:szCs w:val="36"/>
          <w:lang w:val="en-GB"/>
        </w:rPr>
        <w:t>rgani</w:t>
      </w:r>
      <w:r w:rsidR="00FA6564">
        <w:rPr>
          <w:rFonts w:asciiTheme="majorBidi" w:hAnsiTheme="majorBidi" w:cstheme="majorBidi"/>
          <w:b/>
          <w:bCs/>
          <w:sz w:val="36"/>
          <w:szCs w:val="36"/>
          <w:lang w:val="en-GB"/>
        </w:rPr>
        <w:t>s</w:t>
      </w:r>
      <w:r w:rsidR="004F0F09" w:rsidRPr="00E673DC">
        <w:rPr>
          <w:rFonts w:asciiTheme="majorBidi" w:hAnsiTheme="majorBidi" w:cstheme="majorBidi"/>
          <w:b/>
          <w:bCs/>
          <w:sz w:val="36"/>
          <w:szCs w:val="36"/>
          <w:lang w:val="en-GB"/>
        </w:rPr>
        <w:t xml:space="preserve">ational </w:t>
      </w:r>
      <w:r w:rsidRPr="00E673DC">
        <w:rPr>
          <w:rFonts w:asciiTheme="majorBidi" w:hAnsiTheme="majorBidi" w:cstheme="majorBidi"/>
          <w:b/>
          <w:bCs/>
          <w:sz w:val="36"/>
          <w:szCs w:val="36"/>
          <w:lang w:val="en-GB"/>
        </w:rPr>
        <w:t>C</w:t>
      </w:r>
      <w:r w:rsidR="004F0F09" w:rsidRPr="00E673DC">
        <w:rPr>
          <w:rFonts w:asciiTheme="majorBidi" w:hAnsiTheme="majorBidi" w:cstheme="majorBidi"/>
          <w:b/>
          <w:bCs/>
          <w:sz w:val="36"/>
          <w:szCs w:val="36"/>
          <w:lang w:val="en-GB"/>
        </w:rPr>
        <w:t xml:space="preserve">itizenship </w:t>
      </w:r>
      <w:r w:rsidRPr="00E673DC">
        <w:rPr>
          <w:rFonts w:asciiTheme="majorBidi" w:hAnsiTheme="majorBidi" w:cstheme="majorBidi"/>
          <w:b/>
          <w:bCs/>
          <w:sz w:val="36"/>
          <w:szCs w:val="36"/>
          <w:lang w:val="en-GB"/>
        </w:rPr>
        <w:t>B</w:t>
      </w:r>
      <w:r w:rsidR="004F0F09" w:rsidRPr="00E673DC">
        <w:rPr>
          <w:rFonts w:asciiTheme="majorBidi" w:hAnsiTheme="majorBidi" w:cstheme="majorBidi"/>
          <w:b/>
          <w:bCs/>
          <w:sz w:val="36"/>
          <w:szCs w:val="36"/>
          <w:lang w:val="en-GB"/>
        </w:rPr>
        <w:t>ehavio</w:t>
      </w:r>
      <w:r w:rsidR="00FA6564">
        <w:rPr>
          <w:rFonts w:asciiTheme="majorBidi" w:hAnsiTheme="majorBidi" w:cstheme="majorBidi"/>
          <w:b/>
          <w:bCs/>
          <w:sz w:val="36"/>
          <w:szCs w:val="36"/>
          <w:lang w:val="en-GB"/>
        </w:rPr>
        <w:t>u</w:t>
      </w:r>
      <w:r w:rsidR="004F0F09" w:rsidRPr="00E673DC">
        <w:rPr>
          <w:rFonts w:asciiTheme="majorBidi" w:hAnsiTheme="majorBidi" w:cstheme="majorBidi"/>
          <w:b/>
          <w:bCs/>
          <w:sz w:val="36"/>
          <w:szCs w:val="36"/>
          <w:lang w:val="en-GB"/>
        </w:rPr>
        <w:t xml:space="preserve">r </w:t>
      </w:r>
      <w:r w:rsidR="00FA6564">
        <w:rPr>
          <w:rFonts w:asciiTheme="majorBidi" w:hAnsiTheme="majorBidi" w:cstheme="majorBidi"/>
          <w:b/>
          <w:bCs/>
          <w:sz w:val="36"/>
          <w:szCs w:val="36"/>
          <w:lang w:val="en-GB"/>
        </w:rPr>
        <w:t>T</w:t>
      </w:r>
      <w:r w:rsidR="004F0F09" w:rsidRPr="00E673DC">
        <w:rPr>
          <w:rFonts w:asciiTheme="majorBidi" w:hAnsiTheme="majorBidi" w:cstheme="majorBidi"/>
          <w:b/>
          <w:bCs/>
          <w:sz w:val="36"/>
          <w:szCs w:val="36"/>
          <w:lang w:val="en-GB"/>
        </w:rPr>
        <w:t xml:space="preserve">owards </w:t>
      </w:r>
      <w:r w:rsidR="00965313">
        <w:rPr>
          <w:rFonts w:asciiTheme="majorBidi" w:hAnsiTheme="majorBidi" w:cstheme="majorBidi"/>
          <w:b/>
          <w:bCs/>
          <w:sz w:val="36"/>
          <w:szCs w:val="36"/>
          <w:lang w:val="en-GB"/>
        </w:rPr>
        <w:t xml:space="preserve">the </w:t>
      </w:r>
      <w:r w:rsidRPr="00E673DC">
        <w:rPr>
          <w:rFonts w:asciiTheme="majorBidi" w:hAnsiTheme="majorBidi" w:cstheme="majorBidi"/>
          <w:b/>
          <w:bCs/>
          <w:sz w:val="36"/>
          <w:szCs w:val="36"/>
          <w:lang w:val="en-GB"/>
        </w:rPr>
        <w:t>E</w:t>
      </w:r>
      <w:r w:rsidR="004F0F09" w:rsidRPr="00E673DC">
        <w:rPr>
          <w:rFonts w:asciiTheme="majorBidi" w:hAnsiTheme="majorBidi" w:cstheme="majorBidi"/>
          <w:b/>
          <w:bCs/>
          <w:sz w:val="36"/>
          <w:szCs w:val="36"/>
          <w:lang w:val="en-GB"/>
        </w:rPr>
        <w:t>nvironment (OCBE) in Dubai Government Organi</w:t>
      </w:r>
      <w:r w:rsidR="00FA6564">
        <w:rPr>
          <w:rFonts w:asciiTheme="majorBidi" w:hAnsiTheme="majorBidi" w:cstheme="majorBidi"/>
          <w:b/>
          <w:bCs/>
          <w:sz w:val="36"/>
          <w:szCs w:val="36"/>
          <w:lang w:val="en-GB"/>
        </w:rPr>
        <w:t>s</w:t>
      </w:r>
      <w:r w:rsidR="004F0F09" w:rsidRPr="00E673DC">
        <w:rPr>
          <w:rFonts w:asciiTheme="majorBidi" w:hAnsiTheme="majorBidi" w:cstheme="majorBidi"/>
          <w:b/>
          <w:bCs/>
          <w:sz w:val="36"/>
          <w:szCs w:val="36"/>
          <w:lang w:val="en-GB"/>
        </w:rPr>
        <w:t xml:space="preserve">ations: The </w:t>
      </w:r>
      <w:r w:rsidR="009B7A90">
        <w:rPr>
          <w:rFonts w:asciiTheme="majorBidi" w:hAnsiTheme="majorBidi" w:cstheme="majorBidi"/>
          <w:b/>
          <w:bCs/>
          <w:sz w:val="36"/>
          <w:szCs w:val="36"/>
          <w:lang w:val="en-GB"/>
        </w:rPr>
        <w:t>M</w:t>
      </w:r>
      <w:r w:rsidR="004F0F09" w:rsidRPr="00E673DC">
        <w:rPr>
          <w:rFonts w:asciiTheme="majorBidi" w:hAnsiTheme="majorBidi" w:cstheme="majorBidi"/>
          <w:b/>
          <w:bCs/>
          <w:sz w:val="36"/>
          <w:szCs w:val="36"/>
          <w:lang w:val="en-GB"/>
        </w:rPr>
        <w:t xml:space="preserve">ediating </w:t>
      </w:r>
      <w:r w:rsidR="009B7A90">
        <w:rPr>
          <w:rFonts w:asciiTheme="majorBidi" w:hAnsiTheme="majorBidi" w:cstheme="majorBidi"/>
          <w:b/>
          <w:bCs/>
          <w:sz w:val="36"/>
          <w:szCs w:val="36"/>
          <w:lang w:val="en-GB"/>
        </w:rPr>
        <w:t>R</w:t>
      </w:r>
      <w:r w:rsidR="004F0F09" w:rsidRPr="00E673DC">
        <w:rPr>
          <w:rFonts w:asciiTheme="majorBidi" w:hAnsiTheme="majorBidi" w:cstheme="majorBidi"/>
          <w:b/>
          <w:bCs/>
          <w:sz w:val="36"/>
          <w:szCs w:val="36"/>
          <w:lang w:val="en-GB"/>
        </w:rPr>
        <w:t>ole of Green Innovative Behavio</w:t>
      </w:r>
      <w:r w:rsidR="00FA6564">
        <w:rPr>
          <w:rFonts w:asciiTheme="majorBidi" w:hAnsiTheme="majorBidi" w:cstheme="majorBidi"/>
          <w:b/>
          <w:bCs/>
          <w:sz w:val="36"/>
          <w:szCs w:val="36"/>
          <w:lang w:val="en-GB"/>
        </w:rPr>
        <w:t>u</w:t>
      </w:r>
      <w:r w:rsidR="004F0F09" w:rsidRPr="00E673DC">
        <w:rPr>
          <w:rFonts w:asciiTheme="majorBidi" w:hAnsiTheme="majorBidi" w:cstheme="majorBidi"/>
          <w:b/>
          <w:bCs/>
          <w:sz w:val="36"/>
          <w:szCs w:val="36"/>
          <w:lang w:val="en-GB"/>
        </w:rPr>
        <w:t>r (GIB)</w:t>
      </w:r>
    </w:p>
    <w:p w14:paraId="035B563F" w14:textId="77777777" w:rsidR="00BA28B9" w:rsidRPr="00E673DC" w:rsidRDefault="00BA28B9" w:rsidP="00AD544A">
      <w:pPr>
        <w:spacing w:after="0" w:line="240" w:lineRule="auto"/>
        <w:ind w:firstLine="0"/>
        <w:jc w:val="center"/>
        <w:rPr>
          <w:rFonts w:asciiTheme="majorBidi" w:hAnsiTheme="majorBidi" w:cstheme="majorBidi"/>
          <w:b/>
          <w:bCs/>
          <w:sz w:val="18"/>
          <w:szCs w:val="18"/>
          <w:lang w:val="en-GB"/>
        </w:rPr>
      </w:pPr>
      <w:bookmarkStart w:id="0" w:name="_Toc424048386"/>
    </w:p>
    <w:p w14:paraId="62085CF7" w14:textId="77777777" w:rsidR="00BA28B9" w:rsidRPr="00E673DC" w:rsidRDefault="00BA28B9" w:rsidP="009B7A90">
      <w:pPr>
        <w:spacing w:line="240" w:lineRule="auto"/>
        <w:ind w:firstLine="0"/>
        <w:jc w:val="center"/>
        <w:rPr>
          <w:rFonts w:asciiTheme="majorBidi" w:hAnsiTheme="majorBidi" w:cstheme="majorBidi"/>
          <w:b/>
          <w:bCs/>
          <w:sz w:val="36"/>
          <w:szCs w:val="36"/>
          <w:lang w:val="en-GB"/>
        </w:rPr>
      </w:pPr>
    </w:p>
    <w:p w14:paraId="03E04F88" w14:textId="33421A45" w:rsidR="0053333D" w:rsidRPr="00E673DC" w:rsidRDefault="004F0F09" w:rsidP="00D77795">
      <w:pPr>
        <w:bidi/>
        <w:spacing w:after="0" w:line="360" w:lineRule="auto"/>
        <w:ind w:firstLine="0"/>
        <w:jc w:val="center"/>
        <w:rPr>
          <w:rFonts w:asciiTheme="majorBidi" w:hAnsiTheme="majorBidi"/>
          <w:b/>
          <w:bCs/>
          <w:sz w:val="36"/>
          <w:szCs w:val="36"/>
          <w:lang w:val="en-GB"/>
        </w:rPr>
      </w:pPr>
      <w:r w:rsidRPr="00E673DC">
        <w:rPr>
          <w:rFonts w:asciiTheme="majorBidi" w:hAnsiTheme="majorBidi"/>
          <w:b/>
          <w:bCs/>
          <w:sz w:val="36"/>
          <w:szCs w:val="36"/>
          <w:rtl/>
          <w:lang w:val="en-GB"/>
        </w:rPr>
        <w:t xml:space="preserve">تأثير ممارسات إدارة الموارد البشرية الخضراء على سلوك المواطنة </w:t>
      </w:r>
      <w:r w:rsidR="007938BA" w:rsidRPr="00E673DC">
        <w:rPr>
          <w:rFonts w:asciiTheme="majorBidi" w:hAnsiTheme="majorBidi"/>
          <w:b/>
          <w:bCs/>
          <w:sz w:val="36"/>
          <w:szCs w:val="36"/>
          <w:rtl/>
          <w:lang w:val="en-GB"/>
        </w:rPr>
        <w:t>المؤسسية</w:t>
      </w:r>
      <w:r w:rsidRPr="00E673DC">
        <w:rPr>
          <w:rFonts w:asciiTheme="majorBidi" w:hAnsiTheme="majorBidi"/>
          <w:b/>
          <w:bCs/>
          <w:sz w:val="36"/>
          <w:szCs w:val="36"/>
          <w:rtl/>
          <w:lang w:val="en-GB"/>
        </w:rPr>
        <w:t xml:space="preserve"> تجاه البيئة في مؤسسات حكومة دبي: </w:t>
      </w:r>
    </w:p>
    <w:p w14:paraId="75E364C4" w14:textId="19C70A3C" w:rsidR="00AD544A" w:rsidRPr="00E673DC" w:rsidRDefault="004F0F09" w:rsidP="00D77795">
      <w:pPr>
        <w:bidi/>
        <w:spacing w:after="0" w:line="360" w:lineRule="auto"/>
        <w:ind w:firstLine="0"/>
        <w:jc w:val="center"/>
        <w:rPr>
          <w:rFonts w:asciiTheme="majorBidi" w:hAnsiTheme="majorBidi" w:cstheme="majorBidi"/>
          <w:b/>
          <w:bCs/>
          <w:sz w:val="36"/>
          <w:szCs w:val="36"/>
          <w:lang w:val="en-GB"/>
        </w:rPr>
      </w:pPr>
      <w:r w:rsidRPr="00E673DC">
        <w:rPr>
          <w:rFonts w:asciiTheme="majorBidi" w:hAnsiTheme="majorBidi"/>
          <w:b/>
          <w:bCs/>
          <w:sz w:val="36"/>
          <w:szCs w:val="36"/>
          <w:rtl/>
          <w:lang w:val="en-GB"/>
        </w:rPr>
        <w:t>الدور الوسيط للسلوك الإبداعي الأخضر</w:t>
      </w:r>
      <w:r w:rsidRPr="00E673DC">
        <w:rPr>
          <w:rFonts w:asciiTheme="majorBidi" w:hAnsiTheme="majorBidi" w:cstheme="majorBidi"/>
          <w:b/>
          <w:bCs/>
          <w:sz w:val="36"/>
          <w:szCs w:val="36"/>
          <w:lang w:val="en-GB"/>
        </w:rPr>
        <w:t>.</w:t>
      </w:r>
    </w:p>
    <w:p w14:paraId="2F9DA8C4" w14:textId="77777777" w:rsidR="00216DD8" w:rsidRPr="00E673DC" w:rsidRDefault="00216DD8" w:rsidP="005F5D0B">
      <w:pPr>
        <w:spacing w:after="0" w:line="360" w:lineRule="auto"/>
        <w:ind w:firstLine="0"/>
        <w:jc w:val="center"/>
        <w:rPr>
          <w:b/>
          <w:sz w:val="28"/>
          <w:szCs w:val="28"/>
          <w:lang w:val="en-GB"/>
        </w:rPr>
      </w:pPr>
    </w:p>
    <w:bookmarkEnd w:id="0"/>
    <w:p w14:paraId="0F6E4012" w14:textId="77777777" w:rsidR="00AC3941" w:rsidRPr="00E673DC" w:rsidRDefault="00AC3941" w:rsidP="00AC3941">
      <w:pPr>
        <w:spacing w:after="0"/>
        <w:ind w:firstLine="0"/>
        <w:jc w:val="center"/>
        <w:rPr>
          <w:b/>
          <w:bCs/>
          <w:sz w:val="36"/>
          <w:szCs w:val="36"/>
          <w:lang w:val="en-GB"/>
        </w:rPr>
      </w:pPr>
      <w:r w:rsidRPr="00E673DC">
        <w:rPr>
          <w:b/>
          <w:sz w:val="36"/>
          <w:szCs w:val="36"/>
          <w:lang w:val="en-GB"/>
        </w:rPr>
        <w:t>by</w:t>
      </w:r>
    </w:p>
    <w:p w14:paraId="139CB4C7" w14:textId="77777777" w:rsidR="00AC3941" w:rsidRPr="00E673DC" w:rsidRDefault="00AC3941" w:rsidP="00AC3941">
      <w:pPr>
        <w:spacing w:after="0"/>
        <w:ind w:firstLine="0"/>
        <w:jc w:val="center"/>
        <w:rPr>
          <w:b/>
          <w:sz w:val="36"/>
          <w:szCs w:val="36"/>
          <w:lang w:val="en-GB"/>
        </w:rPr>
      </w:pPr>
      <w:r w:rsidRPr="00E673DC">
        <w:rPr>
          <w:b/>
          <w:sz w:val="36"/>
          <w:szCs w:val="36"/>
          <w:lang w:val="en-GB"/>
        </w:rPr>
        <w:t>AHMED MOHAMED ELSAYED MOHAMED AMER</w:t>
      </w:r>
    </w:p>
    <w:p w14:paraId="78B326F0" w14:textId="4970F2CD" w:rsidR="0070393C" w:rsidRPr="00E673DC" w:rsidRDefault="00FF4E35" w:rsidP="00BA28B9">
      <w:pPr>
        <w:spacing w:after="0" w:line="360" w:lineRule="auto"/>
        <w:ind w:firstLine="0"/>
        <w:jc w:val="center"/>
        <w:rPr>
          <w:b/>
          <w:sz w:val="32"/>
          <w:szCs w:val="32"/>
          <w:lang w:val="en-GB"/>
        </w:rPr>
      </w:pPr>
      <w:r>
        <w:rPr>
          <w:b/>
          <w:sz w:val="32"/>
          <w:szCs w:val="32"/>
          <w:lang w:val="en-GB"/>
        </w:rPr>
        <w:t>A d</w:t>
      </w:r>
      <w:r w:rsidR="0070393C" w:rsidRPr="00E673DC">
        <w:rPr>
          <w:b/>
          <w:sz w:val="32"/>
          <w:szCs w:val="32"/>
          <w:lang w:val="en-GB"/>
        </w:rPr>
        <w:t>issertation submitted in partial fulfilment</w:t>
      </w:r>
    </w:p>
    <w:p w14:paraId="0BE9BA61" w14:textId="77777777" w:rsidR="0070393C" w:rsidRPr="00E673DC" w:rsidRDefault="0070393C" w:rsidP="00BA28B9">
      <w:pPr>
        <w:spacing w:after="0" w:line="360" w:lineRule="auto"/>
        <w:ind w:firstLine="0"/>
        <w:jc w:val="center"/>
        <w:rPr>
          <w:b/>
          <w:sz w:val="32"/>
          <w:szCs w:val="32"/>
          <w:lang w:val="en-GB"/>
        </w:rPr>
      </w:pPr>
      <w:r w:rsidRPr="00E673DC">
        <w:rPr>
          <w:b/>
          <w:sz w:val="32"/>
          <w:szCs w:val="32"/>
          <w:lang w:val="en-GB"/>
        </w:rPr>
        <w:t>of the requirements for the degree of</w:t>
      </w:r>
    </w:p>
    <w:p w14:paraId="209FD203" w14:textId="5D32525D" w:rsidR="0070393C" w:rsidRPr="00E673DC" w:rsidRDefault="004F0F09" w:rsidP="00BA28B9">
      <w:pPr>
        <w:spacing w:after="0" w:line="360" w:lineRule="auto"/>
        <w:ind w:firstLine="0"/>
        <w:jc w:val="center"/>
        <w:rPr>
          <w:b/>
          <w:bCs/>
          <w:sz w:val="32"/>
          <w:szCs w:val="32"/>
          <w:lang w:val="en-GB"/>
        </w:rPr>
      </w:pPr>
      <w:r w:rsidRPr="00E673DC">
        <w:rPr>
          <w:b/>
          <w:bCs/>
          <w:sz w:val="32"/>
          <w:szCs w:val="32"/>
          <w:lang w:val="en-GB"/>
        </w:rPr>
        <w:t>MASTER OF BUSINESS ADMINISTRATION</w:t>
      </w:r>
    </w:p>
    <w:p w14:paraId="2E488E77" w14:textId="77777777" w:rsidR="0070393C" w:rsidRPr="00E673DC" w:rsidRDefault="0070393C" w:rsidP="00BA28B9">
      <w:pPr>
        <w:spacing w:after="0" w:line="360" w:lineRule="auto"/>
        <w:ind w:firstLine="0"/>
        <w:jc w:val="center"/>
        <w:rPr>
          <w:b/>
          <w:bCs/>
          <w:sz w:val="32"/>
          <w:szCs w:val="32"/>
          <w:lang w:val="en-GB"/>
        </w:rPr>
      </w:pPr>
      <w:r w:rsidRPr="00E673DC">
        <w:rPr>
          <w:b/>
          <w:sz w:val="32"/>
          <w:szCs w:val="32"/>
          <w:lang w:val="en-GB"/>
        </w:rPr>
        <w:t>at</w:t>
      </w:r>
    </w:p>
    <w:p w14:paraId="308E28BF" w14:textId="77777777" w:rsidR="0070393C" w:rsidRPr="00E673DC" w:rsidRDefault="0070393C" w:rsidP="00BA28B9">
      <w:pPr>
        <w:spacing w:after="0" w:line="360" w:lineRule="auto"/>
        <w:ind w:firstLine="0"/>
        <w:jc w:val="center"/>
        <w:rPr>
          <w:b/>
          <w:bCs/>
          <w:sz w:val="32"/>
          <w:szCs w:val="32"/>
          <w:lang w:val="en-GB"/>
        </w:rPr>
      </w:pPr>
      <w:r w:rsidRPr="00E673DC">
        <w:rPr>
          <w:b/>
          <w:sz w:val="32"/>
          <w:szCs w:val="32"/>
          <w:lang w:val="en-GB"/>
        </w:rPr>
        <w:t>The British University in Dubai</w:t>
      </w:r>
    </w:p>
    <w:p w14:paraId="5612384E" w14:textId="315FA9E5" w:rsidR="0070393C" w:rsidRPr="00E673DC" w:rsidRDefault="004F0F09" w:rsidP="00BA28B9">
      <w:pPr>
        <w:spacing w:after="0"/>
        <w:ind w:firstLine="0"/>
        <w:jc w:val="center"/>
        <w:rPr>
          <w:b/>
          <w:sz w:val="32"/>
          <w:szCs w:val="32"/>
          <w:lang w:val="en-GB"/>
        </w:rPr>
      </w:pPr>
      <w:r w:rsidRPr="00E673DC">
        <w:rPr>
          <w:b/>
          <w:sz w:val="32"/>
          <w:szCs w:val="32"/>
          <w:lang w:val="en-GB"/>
        </w:rPr>
        <w:t>M</w:t>
      </w:r>
      <w:r w:rsidR="00FF4E35">
        <w:rPr>
          <w:b/>
          <w:sz w:val="32"/>
          <w:szCs w:val="32"/>
          <w:lang w:val="en-GB"/>
        </w:rPr>
        <w:t>arch</w:t>
      </w:r>
      <w:r w:rsidR="0070393C" w:rsidRPr="00E673DC">
        <w:rPr>
          <w:b/>
          <w:sz w:val="32"/>
          <w:szCs w:val="32"/>
          <w:lang w:val="en-GB"/>
        </w:rPr>
        <w:t xml:space="preserve"> </w:t>
      </w:r>
      <w:r w:rsidRPr="00E673DC">
        <w:rPr>
          <w:b/>
          <w:sz w:val="32"/>
          <w:szCs w:val="32"/>
          <w:lang w:val="en-GB"/>
        </w:rPr>
        <w:t>2025</w:t>
      </w:r>
    </w:p>
    <w:p w14:paraId="69085408" w14:textId="33FAA820" w:rsidR="00AC7225" w:rsidRPr="00E673DC" w:rsidRDefault="00E10ED1" w:rsidP="00D77795">
      <w:pPr>
        <w:spacing w:before="0" w:beforeAutospacing="0" w:after="160" w:afterAutospacing="0" w:line="360" w:lineRule="auto"/>
        <w:ind w:firstLine="0"/>
        <w:contextualSpacing w:val="0"/>
        <w:jc w:val="center"/>
        <w:rPr>
          <w:b/>
          <w:lang w:val="en-GB"/>
        </w:rPr>
      </w:pPr>
      <w:r w:rsidRPr="00E673DC">
        <w:rPr>
          <w:b/>
          <w:lang w:val="en-GB"/>
        </w:rPr>
        <w:br w:type="page"/>
      </w:r>
      <w:r w:rsidR="005A12DE" w:rsidRPr="00E673DC">
        <w:rPr>
          <w:b/>
          <w:lang w:val="en-GB"/>
        </w:rPr>
        <w:lastRenderedPageBreak/>
        <w:t>Declaration</w:t>
      </w:r>
    </w:p>
    <w:p w14:paraId="52C710F3" w14:textId="77777777" w:rsidR="003D6426" w:rsidRPr="00E673DC" w:rsidRDefault="007B6EE3" w:rsidP="007E1414">
      <w:pPr>
        <w:rPr>
          <w:lang w:val="en-GB"/>
        </w:rPr>
      </w:pPr>
      <w:r w:rsidRPr="00E673DC">
        <w:rPr>
          <w:lang w:val="en-GB"/>
        </w:rPr>
        <w:t>I warrant that the content of this research is the direct result of my own work and that any use made in it of published or unpublished copyright material falls within the limits permitted by international copyright conventions.</w:t>
      </w:r>
    </w:p>
    <w:p w14:paraId="39E21551" w14:textId="77777777" w:rsidR="003D6426" w:rsidRPr="00E673DC" w:rsidRDefault="007B6EE3" w:rsidP="007E1414">
      <w:pPr>
        <w:rPr>
          <w:lang w:val="en-GB"/>
        </w:rPr>
      </w:pPr>
      <w:r w:rsidRPr="00E673DC">
        <w:rPr>
          <w:lang w:val="en-GB"/>
        </w:rPr>
        <w:t>I understand that a copy of my research will be deposited in the University Library for permanent retention.</w:t>
      </w:r>
      <w:r w:rsidR="003D6426" w:rsidRPr="00E673DC">
        <w:rPr>
          <w:lang w:val="en-GB"/>
        </w:rPr>
        <w:t xml:space="preserve"> </w:t>
      </w:r>
    </w:p>
    <w:p w14:paraId="31589281" w14:textId="661C254E" w:rsidR="007B6EE3" w:rsidRPr="00E673DC" w:rsidRDefault="007B6EE3" w:rsidP="007E1414">
      <w:pPr>
        <w:rPr>
          <w:lang w:val="en-GB"/>
        </w:rPr>
      </w:pPr>
      <w:r w:rsidRPr="00E673DC">
        <w:rPr>
          <w:lang w:val="en-GB"/>
        </w:rPr>
        <w:t xml:space="preserve">I hereby agree that the </w:t>
      </w:r>
      <w:r w:rsidR="00EE404F" w:rsidRPr="00E673DC">
        <w:rPr>
          <w:lang w:val="en-GB"/>
        </w:rPr>
        <w:t xml:space="preserve">contents of this dissertation for </w:t>
      </w:r>
      <w:r w:rsidRPr="00E673DC">
        <w:rPr>
          <w:lang w:val="en-GB"/>
        </w:rPr>
        <w:t>which I am author and copyright holder may be copied and distributed by The British University in Dubai for the purposes of research, private study</w:t>
      </w:r>
      <w:r w:rsidR="00FA6564">
        <w:rPr>
          <w:lang w:val="en-GB"/>
        </w:rPr>
        <w:t>,</w:t>
      </w:r>
      <w:r w:rsidRPr="00E673DC">
        <w:rPr>
          <w:lang w:val="en-GB"/>
        </w:rPr>
        <w:t xml:space="preserve"> or education</w:t>
      </w:r>
      <w:r w:rsidR="00FA6564">
        <w:rPr>
          <w:lang w:val="en-GB"/>
        </w:rPr>
        <w:t>,</w:t>
      </w:r>
      <w:r w:rsidRPr="00E673DC">
        <w:rPr>
          <w:lang w:val="en-GB"/>
        </w:rPr>
        <w:t xml:space="preserve"> and that The British University in Dubai may recover from purchasers the costs incurred in such copying and distribution, where appropriate. </w:t>
      </w:r>
    </w:p>
    <w:p w14:paraId="2DF91CAE" w14:textId="77777777" w:rsidR="007B6EE3" w:rsidRPr="00E673DC" w:rsidRDefault="007B6EE3" w:rsidP="007E1414">
      <w:pPr>
        <w:rPr>
          <w:lang w:val="en-GB"/>
        </w:rPr>
      </w:pPr>
      <w:r w:rsidRPr="00E673DC">
        <w:rPr>
          <w:lang w:val="en-GB"/>
        </w:rPr>
        <w:t>I understand that The British University in Dubai may make a digital copy available in the institutional repository.</w:t>
      </w:r>
    </w:p>
    <w:p w14:paraId="48CE136E" w14:textId="48585029" w:rsidR="007B6EE3" w:rsidRPr="00E673DC" w:rsidRDefault="007B6EE3" w:rsidP="007E1414">
      <w:pPr>
        <w:rPr>
          <w:lang w:val="en-GB"/>
        </w:rPr>
      </w:pPr>
      <w:r w:rsidRPr="00E673DC">
        <w:rPr>
          <w:lang w:val="en-GB"/>
        </w:rPr>
        <w:t xml:space="preserve">I understand that I may apply to the University to retain the right to withhold or to restrict access to my </w:t>
      </w:r>
      <w:r w:rsidR="00FA6564">
        <w:rPr>
          <w:lang w:val="en-GB"/>
        </w:rPr>
        <w:t>dissertation</w:t>
      </w:r>
      <w:r w:rsidRPr="00E673DC">
        <w:rPr>
          <w:lang w:val="en-GB"/>
        </w:rPr>
        <w:t xml:space="preserve"> for a period which shall not normally exceed four calendar years from the congregation at which the degree is conferred, the length of the period to be specified in the application, together with the precise reasons for making that application.</w:t>
      </w:r>
    </w:p>
    <w:p w14:paraId="24CC4319" w14:textId="172B533C" w:rsidR="001F3E8E" w:rsidRPr="00E673DC" w:rsidRDefault="00614B8D" w:rsidP="00F804A7">
      <w:pPr>
        <w:jc w:val="both"/>
        <w:rPr>
          <w:noProof/>
          <w:lang w:val="en-GB"/>
        </w:rPr>
      </w:pPr>
      <w:r w:rsidRPr="00E673DC">
        <w:rPr>
          <w:noProof/>
          <w:lang w:val="en-GB"/>
        </w:rPr>
        <w:t xml:space="preserve"> </w:t>
      </w:r>
      <w:r w:rsidR="004F0F09" w:rsidRPr="00E673DC">
        <w:rPr>
          <w:noProof/>
          <w:lang w:val="en-GB"/>
        </w:rPr>
        <w:drawing>
          <wp:inline distT="0" distB="0" distL="0" distR="0" wp14:anchorId="7424EE60" wp14:editId="27B502E5">
            <wp:extent cx="845942" cy="663739"/>
            <wp:effectExtent l="0" t="0" r="0" b="3175"/>
            <wp:docPr id="1617783233" name="Picture 1" descr="A black line drawing of a speech bub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7783233" name="Picture 1" descr="A black line drawing of a speech bubble&#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857723" cy="672982"/>
                    </a:xfrm>
                    <a:prstGeom prst="rect">
                      <a:avLst/>
                    </a:prstGeom>
                  </pic:spPr>
                </pic:pic>
              </a:graphicData>
            </a:graphic>
          </wp:inline>
        </w:drawing>
      </w:r>
    </w:p>
    <w:p w14:paraId="102161A6" w14:textId="77777777" w:rsidR="007B6EE3" w:rsidRPr="00E673DC" w:rsidRDefault="007B6EE3" w:rsidP="00614B8D">
      <w:pPr>
        <w:autoSpaceDE w:val="0"/>
        <w:autoSpaceDN w:val="0"/>
        <w:adjustRightInd w:val="0"/>
        <w:spacing w:before="0" w:beforeAutospacing="0" w:after="0" w:line="240" w:lineRule="auto"/>
        <w:ind w:firstLine="0"/>
        <w:jc w:val="both"/>
        <w:rPr>
          <w:lang w:val="en-GB"/>
        </w:rPr>
      </w:pPr>
      <w:r w:rsidRPr="00E673DC">
        <w:rPr>
          <w:lang w:val="en-GB"/>
        </w:rPr>
        <w:t>_______________________</w:t>
      </w:r>
    </w:p>
    <w:p w14:paraId="6BABE4A2" w14:textId="77777777" w:rsidR="007B6EE3" w:rsidRPr="00E673DC" w:rsidRDefault="007B6EE3" w:rsidP="00614B8D">
      <w:pPr>
        <w:autoSpaceDE w:val="0"/>
        <w:autoSpaceDN w:val="0"/>
        <w:adjustRightInd w:val="0"/>
        <w:spacing w:before="0" w:beforeAutospacing="0" w:after="0" w:line="240" w:lineRule="auto"/>
        <w:ind w:firstLine="0"/>
        <w:jc w:val="both"/>
        <w:rPr>
          <w:lang w:val="en-GB"/>
        </w:rPr>
      </w:pPr>
      <w:r w:rsidRPr="00E673DC">
        <w:rPr>
          <w:lang w:val="en-GB"/>
        </w:rPr>
        <w:t>Signature of the student</w:t>
      </w:r>
    </w:p>
    <w:p w14:paraId="3C6F180F" w14:textId="77777777" w:rsidR="007B6EE3" w:rsidRPr="00E673DC" w:rsidRDefault="005A12DE" w:rsidP="00992C6A">
      <w:pPr>
        <w:ind w:firstLine="0"/>
        <w:jc w:val="center"/>
        <w:rPr>
          <w:b/>
          <w:lang w:val="en-GB"/>
        </w:rPr>
      </w:pPr>
      <w:r w:rsidRPr="00E673DC">
        <w:rPr>
          <w:b/>
          <w:lang w:val="en-GB"/>
        </w:rPr>
        <w:br w:type="page"/>
      </w:r>
      <w:r w:rsidRPr="00E673DC">
        <w:rPr>
          <w:b/>
          <w:lang w:val="en-GB"/>
        </w:rPr>
        <w:lastRenderedPageBreak/>
        <w:t>Copyright and Information to Users</w:t>
      </w:r>
    </w:p>
    <w:p w14:paraId="0CFABF02" w14:textId="018089AC" w:rsidR="007B6EE3" w:rsidRPr="00E673DC" w:rsidRDefault="007B6EE3" w:rsidP="00D77795">
      <w:pPr>
        <w:rPr>
          <w:lang w:val="en-GB"/>
        </w:rPr>
      </w:pPr>
      <w:r w:rsidRPr="00E673DC">
        <w:rPr>
          <w:lang w:val="en-GB"/>
        </w:rPr>
        <w:t xml:space="preserve">The author whose copyright is declared on the title page of the work has granted to </w:t>
      </w:r>
      <w:r w:rsidR="00FA6564">
        <w:rPr>
          <w:lang w:val="en-GB"/>
        </w:rPr>
        <w:t>T</w:t>
      </w:r>
      <w:r w:rsidRPr="00E673DC">
        <w:rPr>
          <w:lang w:val="en-GB"/>
        </w:rPr>
        <w:t xml:space="preserve">he British University in Dubai the right to lend his/her research work to users of its library </w:t>
      </w:r>
      <w:r w:rsidR="00DD760D" w:rsidRPr="00E673DC">
        <w:rPr>
          <w:lang w:val="en-GB"/>
        </w:rPr>
        <w:t>and as an open source</w:t>
      </w:r>
      <w:r w:rsidR="00FA6564">
        <w:rPr>
          <w:lang w:val="en-GB"/>
        </w:rPr>
        <w:t>,</w:t>
      </w:r>
      <w:r w:rsidR="00DD760D" w:rsidRPr="00E673DC">
        <w:rPr>
          <w:lang w:val="en-GB"/>
        </w:rPr>
        <w:t xml:space="preserve"> </w:t>
      </w:r>
      <w:r w:rsidRPr="00E673DC">
        <w:rPr>
          <w:lang w:val="en-GB"/>
        </w:rPr>
        <w:t>and to make partial or single copies for educational and research use.</w:t>
      </w:r>
    </w:p>
    <w:p w14:paraId="0A7E751D" w14:textId="6996D1D7" w:rsidR="007B6EE3" w:rsidRPr="00E673DC" w:rsidRDefault="007B6EE3" w:rsidP="00D77795">
      <w:pPr>
        <w:rPr>
          <w:lang w:val="en-GB"/>
        </w:rPr>
      </w:pPr>
      <w:r w:rsidRPr="00E673DC">
        <w:rPr>
          <w:lang w:val="en-GB"/>
        </w:rPr>
        <w:t xml:space="preserve">The author has also granted permission to the University to keep or make a digital copy for similar use and for the purpose of </w:t>
      </w:r>
      <w:r w:rsidR="00F8610F" w:rsidRPr="00E673DC">
        <w:rPr>
          <w:lang w:val="en-GB"/>
        </w:rPr>
        <w:t>preserving</w:t>
      </w:r>
      <w:r w:rsidRPr="00E673DC">
        <w:rPr>
          <w:lang w:val="en-GB"/>
        </w:rPr>
        <w:t xml:space="preserve"> the work digitally.</w:t>
      </w:r>
    </w:p>
    <w:p w14:paraId="305F94A8" w14:textId="33DC0A64" w:rsidR="007B6EE3" w:rsidRPr="00E673DC" w:rsidRDefault="007B6EE3" w:rsidP="00D77795">
      <w:pPr>
        <w:rPr>
          <w:lang w:val="en-GB"/>
        </w:rPr>
      </w:pPr>
      <w:r w:rsidRPr="00E673DC">
        <w:rPr>
          <w:lang w:val="en-GB"/>
        </w:rPr>
        <w:t xml:space="preserve">Multiple copying of this work for scholarly purposes may be granted by either the author, the </w:t>
      </w:r>
      <w:r w:rsidR="00F8610F" w:rsidRPr="00E673DC">
        <w:rPr>
          <w:lang w:val="en-GB"/>
        </w:rPr>
        <w:t>Registrar,</w:t>
      </w:r>
      <w:r w:rsidRPr="00E673DC">
        <w:rPr>
          <w:lang w:val="en-GB"/>
        </w:rPr>
        <w:t xml:space="preserve"> or the Dean only.</w:t>
      </w:r>
    </w:p>
    <w:p w14:paraId="5DD6B092" w14:textId="75DF2FCF" w:rsidR="007B6EE3" w:rsidRPr="00E673DC" w:rsidRDefault="007B6EE3" w:rsidP="00D77795">
      <w:pPr>
        <w:rPr>
          <w:lang w:val="en-GB"/>
        </w:rPr>
      </w:pPr>
      <w:r w:rsidRPr="00E673DC">
        <w:rPr>
          <w:lang w:val="en-GB"/>
        </w:rPr>
        <w:t>Copying for financial gain shall only be allowed with the author</w:t>
      </w:r>
      <w:r w:rsidR="00FA6564">
        <w:rPr>
          <w:lang w:val="en-GB"/>
        </w:rPr>
        <w:t>'</w:t>
      </w:r>
      <w:r w:rsidRPr="00E673DC">
        <w:rPr>
          <w:lang w:val="en-GB"/>
        </w:rPr>
        <w:t>s express permission.</w:t>
      </w:r>
    </w:p>
    <w:p w14:paraId="1040AC15" w14:textId="77777777" w:rsidR="007B6EE3" w:rsidRPr="00E673DC" w:rsidRDefault="007B6EE3" w:rsidP="00D77795">
      <w:pPr>
        <w:rPr>
          <w:lang w:val="en-GB"/>
        </w:rPr>
      </w:pPr>
      <w:r w:rsidRPr="00E673DC">
        <w:rPr>
          <w:lang w:val="en-GB"/>
        </w:rPr>
        <w:t>Any use of this work in whole or in part shall respect the moral rights of the author to be acknowledged and to reflect in good faith and without detriment the meaning of the content, and the original authorship.</w:t>
      </w:r>
    </w:p>
    <w:p w14:paraId="1C164958" w14:textId="77777777" w:rsidR="007B6EE3" w:rsidRPr="00E673DC" w:rsidRDefault="007B6EE3" w:rsidP="005A12DE">
      <w:pPr>
        <w:rPr>
          <w:lang w:val="en-GB"/>
        </w:rPr>
      </w:pPr>
    </w:p>
    <w:p w14:paraId="1E0872C9" w14:textId="77777777" w:rsidR="007B6EE3" w:rsidRPr="00E673DC" w:rsidRDefault="007B6EE3" w:rsidP="005A12DE">
      <w:pPr>
        <w:rPr>
          <w:lang w:val="en-GB"/>
        </w:rPr>
      </w:pPr>
    </w:p>
    <w:p w14:paraId="45285D3D" w14:textId="77777777" w:rsidR="007B6EE3" w:rsidRPr="00E673DC" w:rsidRDefault="007B6EE3" w:rsidP="005A12DE">
      <w:pPr>
        <w:spacing w:before="0" w:after="160"/>
        <w:rPr>
          <w:lang w:val="en-GB"/>
        </w:rPr>
      </w:pPr>
      <w:r w:rsidRPr="00E673DC">
        <w:rPr>
          <w:lang w:val="en-GB"/>
        </w:rPr>
        <w:br w:type="page"/>
      </w:r>
    </w:p>
    <w:p w14:paraId="388DCD4B" w14:textId="77777777" w:rsidR="007B6EE3" w:rsidRPr="00E673DC" w:rsidRDefault="0055371E" w:rsidP="00992C6A">
      <w:pPr>
        <w:ind w:firstLine="0"/>
        <w:jc w:val="center"/>
        <w:rPr>
          <w:b/>
          <w:lang w:val="en-GB"/>
        </w:rPr>
      </w:pPr>
      <w:r w:rsidRPr="00E673DC">
        <w:rPr>
          <w:b/>
          <w:lang w:val="en-GB"/>
        </w:rPr>
        <w:lastRenderedPageBreak/>
        <w:t xml:space="preserve">Abstract </w:t>
      </w:r>
    </w:p>
    <w:p w14:paraId="534897E7" w14:textId="05038A37" w:rsidR="004162FF" w:rsidRPr="00E673DC" w:rsidRDefault="004162FF" w:rsidP="00064A5E">
      <w:pPr>
        <w:ind w:firstLine="0"/>
        <w:rPr>
          <w:lang w:val="en-GB"/>
        </w:rPr>
      </w:pPr>
      <w:r w:rsidRPr="00E673DC">
        <w:rPr>
          <w:lang w:val="en-GB"/>
        </w:rPr>
        <w:t xml:space="preserve">This study </w:t>
      </w:r>
      <w:r w:rsidR="00423F3B" w:rsidRPr="00E673DC">
        <w:rPr>
          <w:lang w:val="en-GB"/>
        </w:rPr>
        <w:t>investigates</w:t>
      </w:r>
      <w:r w:rsidRPr="00E673DC">
        <w:rPr>
          <w:lang w:val="en-GB"/>
        </w:rPr>
        <w:t xml:space="preserve"> the impact of Green Human Resource Management (GHRM) practices on Organi</w:t>
      </w:r>
      <w:r w:rsidR="00FA6564">
        <w:rPr>
          <w:lang w:val="en-GB"/>
        </w:rPr>
        <w:t>s</w:t>
      </w:r>
      <w:r w:rsidRPr="00E673DC">
        <w:rPr>
          <w:lang w:val="en-GB"/>
        </w:rPr>
        <w:t>ational Citizenship Behavio</w:t>
      </w:r>
      <w:r w:rsidR="00FA6564">
        <w:rPr>
          <w:lang w:val="en-GB"/>
        </w:rPr>
        <w:t>u</w:t>
      </w:r>
      <w:r w:rsidRPr="00E673DC">
        <w:rPr>
          <w:lang w:val="en-GB"/>
        </w:rPr>
        <w:t xml:space="preserve">r towards the Environment (OCBE) in Dubai </w:t>
      </w:r>
      <w:r w:rsidR="00720C30">
        <w:rPr>
          <w:lang w:val="en-GB"/>
        </w:rPr>
        <w:t>G</w:t>
      </w:r>
      <w:r w:rsidR="00FA6564" w:rsidRPr="00E673DC">
        <w:rPr>
          <w:lang w:val="en-GB"/>
        </w:rPr>
        <w:t>overnment organi</w:t>
      </w:r>
      <w:r w:rsidR="00FA6564">
        <w:rPr>
          <w:lang w:val="en-GB"/>
        </w:rPr>
        <w:t>s</w:t>
      </w:r>
      <w:r w:rsidR="00FA6564" w:rsidRPr="00E673DC">
        <w:rPr>
          <w:lang w:val="en-GB"/>
        </w:rPr>
        <w:t>ations</w:t>
      </w:r>
      <w:r w:rsidRPr="00E673DC">
        <w:rPr>
          <w:lang w:val="en-GB"/>
        </w:rPr>
        <w:t>, focusing on the mediating role of Green Innovative Behavio</w:t>
      </w:r>
      <w:r w:rsidR="00EF21C2">
        <w:rPr>
          <w:lang w:val="en-GB"/>
        </w:rPr>
        <w:t>u</w:t>
      </w:r>
      <w:r w:rsidRPr="00E673DC">
        <w:rPr>
          <w:lang w:val="en-GB"/>
        </w:rPr>
        <w:t xml:space="preserve">r (GIB). As sustainability gains priority, integrating </w:t>
      </w:r>
      <w:r w:rsidR="003231DD">
        <w:rPr>
          <w:lang w:val="en-GB"/>
        </w:rPr>
        <w:t>G</w:t>
      </w:r>
      <w:r w:rsidRPr="00E673DC">
        <w:rPr>
          <w:lang w:val="en-GB"/>
        </w:rPr>
        <w:t xml:space="preserve">reen HR </w:t>
      </w:r>
      <w:r w:rsidR="003231DD">
        <w:rPr>
          <w:lang w:val="en-GB"/>
        </w:rPr>
        <w:t>P</w:t>
      </w:r>
      <w:r w:rsidRPr="00E673DC">
        <w:rPr>
          <w:lang w:val="en-GB"/>
        </w:rPr>
        <w:t>ractices is crucial for fostering an environmentally responsible workforce.</w:t>
      </w:r>
      <w:r w:rsidR="00064A5E">
        <w:rPr>
          <w:lang w:val="en-GB"/>
        </w:rPr>
        <w:t xml:space="preserve"> </w:t>
      </w:r>
      <w:r w:rsidRPr="00E673DC">
        <w:rPr>
          <w:lang w:val="en-GB"/>
        </w:rPr>
        <w:t>The research explores two key GHRM practices: Green Learning and Development (GL&amp;D) and Green Rewards and Compensation (GR&amp;C). While GL&amp;D enhances employees</w:t>
      </w:r>
      <w:r w:rsidR="00EF21C2">
        <w:rPr>
          <w:lang w:val="en-GB"/>
        </w:rPr>
        <w:t>'</w:t>
      </w:r>
      <w:r w:rsidRPr="00E673DC">
        <w:rPr>
          <w:lang w:val="en-GB"/>
        </w:rPr>
        <w:t xml:space="preserve"> environmental knowledge, GR&amp;C incentivi</w:t>
      </w:r>
      <w:r w:rsidR="00EF21C2">
        <w:rPr>
          <w:lang w:val="en-GB"/>
        </w:rPr>
        <w:t>s</w:t>
      </w:r>
      <w:r w:rsidRPr="00E673DC">
        <w:rPr>
          <w:lang w:val="en-GB"/>
        </w:rPr>
        <w:t>es pro-environmental behavi</w:t>
      </w:r>
      <w:r w:rsidR="00DC79D6">
        <w:rPr>
          <w:lang w:val="en-GB"/>
        </w:rPr>
        <w:t>ou</w:t>
      </w:r>
      <w:r w:rsidRPr="00E673DC">
        <w:rPr>
          <w:lang w:val="en-GB"/>
        </w:rPr>
        <w:t xml:space="preserve">r. Using a quantitative approach, 309 survey responses from Dubai </w:t>
      </w:r>
      <w:r w:rsidR="00720C30">
        <w:rPr>
          <w:lang w:val="en-GB"/>
        </w:rPr>
        <w:t>G</w:t>
      </w:r>
      <w:r w:rsidRPr="00E673DC">
        <w:rPr>
          <w:lang w:val="en-GB"/>
        </w:rPr>
        <w:t xml:space="preserve">overnment employees were </w:t>
      </w:r>
      <w:r w:rsidR="00DC79D6">
        <w:rPr>
          <w:lang w:val="en-GB"/>
        </w:rPr>
        <w:t>analys</w:t>
      </w:r>
      <w:r w:rsidRPr="00E673DC">
        <w:rPr>
          <w:lang w:val="en-GB"/>
        </w:rPr>
        <w:t>ed through Partial Least Squares Structural Equation Model</w:t>
      </w:r>
      <w:r w:rsidR="00DC79D6">
        <w:rPr>
          <w:lang w:val="en-GB"/>
        </w:rPr>
        <w:t>l</w:t>
      </w:r>
      <w:r w:rsidRPr="00E673DC">
        <w:rPr>
          <w:lang w:val="en-GB"/>
        </w:rPr>
        <w:t>ing (PLS-SEM). The findings confirm a strong positive relationship between GHRM practices and OCBE, with GIB serving as a key mediator. GR&amp;C had a stronger direct effect on OCBE than GL&amp;D, while GL&amp;D did not significantly impact GIB, suggesting that training alone is insufficient to drive green innovation without organi</w:t>
      </w:r>
      <w:r w:rsidR="00DC79D6">
        <w:rPr>
          <w:lang w:val="en-GB"/>
        </w:rPr>
        <w:t>s</w:t>
      </w:r>
      <w:r w:rsidRPr="00E673DC">
        <w:rPr>
          <w:lang w:val="en-GB"/>
        </w:rPr>
        <w:t>ational support.</w:t>
      </w:r>
      <w:r w:rsidR="00064A5E">
        <w:rPr>
          <w:lang w:val="en-GB"/>
        </w:rPr>
        <w:t xml:space="preserve"> </w:t>
      </w:r>
      <w:r w:rsidRPr="00E673DC">
        <w:rPr>
          <w:lang w:val="en-GB"/>
        </w:rPr>
        <w:t>The study extends Social Exchange Theory (SET), Social Learning Theory (SLT), and the Ability</w:t>
      </w:r>
      <w:r w:rsidR="00600608">
        <w:rPr>
          <w:lang w:val="en-GB"/>
        </w:rPr>
        <w:t>–</w:t>
      </w:r>
      <w:r w:rsidRPr="00E673DC">
        <w:rPr>
          <w:lang w:val="en-GB"/>
        </w:rPr>
        <w:t>Motivation</w:t>
      </w:r>
      <w:r w:rsidR="00600608">
        <w:rPr>
          <w:lang w:val="en-GB"/>
        </w:rPr>
        <w:t>–</w:t>
      </w:r>
      <w:r w:rsidRPr="00E673DC">
        <w:rPr>
          <w:lang w:val="en-GB"/>
        </w:rPr>
        <w:t>Opportunity (AMO) framework in the GHRM</w:t>
      </w:r>
      <w:r w:rsidR="00EB200E">
        <w:rPr>
          <w:lang w:val="en-GB"/>
        </w:rPr>
        <w:t>–</w:t>
      </w:r>
      <w:r w:rsidRPr="00E673DC">
        <w:rPr>
          <w:lang w:val="en-GB"/>
        </w:rPr>
        <w:t xml:space="preserve">OCBE context. Practically, Dubai </w:t>
      </w:r>
      <w:r w:rsidR="00720C30">
        <w:rPr>
          <w:lang w:val="en-GB"/>
        </w:rPr>
        <w:t>G</w:t>
      </w:r>
      <w:r w:rsidRPr="00E673DC">
        <w:rPr>
          <w:lang w:val="en-GB"/>
        </w:rPr>
        <w:t xml:space="preserve">overnment entities should enhance green training, align rewards with sustainability goals, and create innovation platforms to embed sustainability into </w:t>
      </w:r>
      <w:r w:rsidR="00FD7179">
        <w:rPr>
          <w:lang w:val="en-GB"/>
        </w:rPr>
        <w:t xml:space="preserve">the </w:t>
      </w:r>
      <w:r w:rsidR="00DC79D6">
        <w:rPr>
          <w:lang w:val="en-GB"/>
        </w:rPr>
        <w:t>organis</w:t>
      </w:r>
      <w:r w:rsidRPr="00E673DC">
        <w:rPr>
          <w:lang w:val="en-GB"/>
        </w:rPr>
        <w:t>ational culture.</w:t>
      </w:r>
      <w:r w:rsidR="00064A5E">
        <w:rPr>
          <w:lang w:val="en-GB"/>
        </w:rPr>
        <w:t xml:space="preserve"> </w:t>
      </w:r>
      <w:r w:rsidRPr="00E673DC">
        <w:rPr>
          <w:lang w:val="en-GB"/>
        </w:rPr>
        <w:t>While limited to two GHRM practices in Dubai</w:t>
      </w:r>
      <w:r w:rsidR="00DC79D6">
        <w:rPr>
          <w:lang w:val="en-GB"/>
        </w:rPr>
        <w:t>'</w:t>
      </w:r>
      <w:r w:rsidRPr="00E673DC">
        <w:rPr>
          <w:lang w:val="en-GB"/>
        </w:rPr>
        <w:t xml:space="preserve">s public sector, future research should explore additional HR dimensions and conduct cross-country comparisons. By implementing these findings, Dubai </w:t>
      </w:r>
      <w:r w:rsidR="00720C30">
        <w:rPr>
          <w:lang w:val="en-GB"/>
        </w:rPr>
        <w:t>G</w:t>
      </w:r>
      <w:r w:rsidRPr="00E673DC">
        <w:rPr>
          <w:lang w:val="en-GB"/>
        </w:rPr>
        <w:t xml:space="preserve">overnment </w:t>
      </w:r>
      <w:r w:rsidR="00DC79D6">
        <w:rPr>
          <w:lang w:val="en-GB"/>
        </w:rPr>
        <w:t>organis</w:t>
      </w:r>
      <w:r w:rsidRPr="00E673DC">
        <w:rPr>
          <w:lang w:val="en-GB"/>
        </w:rPr>
        <w:t xml:space="preserve">ations can strengthen sustainability efforts and position themselves as leaders in green </w:t>
      </w:r>
      <w:r w:rsidR="00F8610F" w:rsidRPr="00E673DC">
        <w:rPr>
          <w:lang w:val="en-GB"/>
        </w:rPr>
        <w:t>governance.</w:t>
      </w:r>
    </w:p>
    <w:p w14:paraId="112B8AB1" w14:textId="6D23FE4E" w:rsidR="00804DE6" w:rsidRPr="00E673DC" w:rsidRDefault="00804DE6" w:rsidP="00134F3A">
      <w:pPr>
        <w:rPr>
          <w:lang w:val="en-GB"/>
        </w:rPr>
      </w:pPr>
      <w:r w:rsidRPr="00E673DC">
        <w:rPr>
          <w:i/>
          <w:lang w:val="en-GB"/>
        </w:rPr>
        <w:t>Keywords</w:t>
      </w:r>
      <w:r w:rsidRPr="00E673DC">
        <w:rPr>
          <w:lang w:val="en-GB"/>
        </w:rPr>
        <w:t xml:space="preserve">: </w:t>
      </w:r>
      <w:r w:rsidR="00DC79D6">
        <w:rPr>
          <w:lang w:val="en-GB"/>
        </w:rPr>
        <w:t>s</w:t>
      </w:r>
      <w:r w:rsidR="004F0F09" w:rsidRPr="00E673DC">
        <w:rPr>
          <w:lang w:val="en-GB"/>
        </w:rPr>
        <w:t xml:space="preserve">ustainability, OCBE, </w:t>
      </w:r>
      <w:r w:rsidR="00DC79D6" w:rsidRPr="00E673DC">
        <w:rPr>
          <w:lang w:val="en-GB"/>
        </w:rPr>
        <w:t>green human resources management, environment, green innovative</w:t>
      </w:r>
      <w:r w:rsidR="004F0F09" w:rsidRPr="00E673DC">
        <w:rPr>
          <w:lang w:val="en-GB"/>
        </w:rPr>
        <w:t xml:space="preserve">, Dubai </w:t>
      </w:r>
      <w:r w:rsidR="00720C30">
        <w:rPr>
          <w:lang w:val="en-GB"/>
        </w:rPr>
        <w:t>G</w:t>
      </w:r>
      <w:r w:rsidR="004F0F09" w:rsidRPr="00E673DC">
        <w:rPr>
          <w:lang w:val="en-GB"/>
        </w:rPr>
        <w:t>overnment</w:t>
      </w:r>
    </w:p>
    <w:p w14:paraId="0A9F979D" w14:textId="77777777" w:rsidR="00676E10" w:rsidRPr="00E673DC" w:rsidRDefault="005441AB" w:rsidP="00756DD1">
      <w:pPr>
        <w:bidi/>
        <w:ind w:firstLine="0"/>
        <w:jc w:val="center"/>
        <w:rPr>
          <w:b/>
          <w:lang w:val="en-GB"/>
        </w:rPr>
      </w:pPr>
      <w:r w:rsidRPr="00E673DC">
        <w:rPr>
          <w:b/>
          <w:rtl/>
          <w:lang w:val="en-GB"/>
        </w:rPr>
        <w:lastRenderedPageBreak/>
        <w:t>خلاصة</w:t>
      </w:r>
    </w:p>
    <w:p w14:paraId="6F3B6416" w14:textId="27903B2C" w:rsidR="00756DD1" w:rsidRPr="00756DD1" w:rsidRDefault="00756DD1" w:rsidP="00756DD1">
      <w:pPr>
        <w:bidi/>
        <w:ind w:firstLine="0"/>
        <w:rPr>
          <w:rtl/>
          <w:lang w:val="en-GB"/>
        </w:rPr>
      </w:pPr>
      <w:r w:rsidRPr="00756DD1">
        <w:rPr>
          <w:rtl/>
          <w:lang w:val="en-GB"/>
        </w:rPr>
        <w:t>تبحث هذه الدراسة في تأثير ممارسات إدارة الموارد البشرية الخضراء على سلوك المواطنة المؤسسية تجاه البيئة في مؤسسات حكومة دبي، مع التركيز على الدور الوسيط للسلوك المبتكر الأخضر. مع اكتساب الاستدامة الأولوية، يعد نهج ممارسات الموارد البشرية الخضراء أمرا بالغ الأهمية لتعزيز المسؤولية البيئية لدى القوى العاملة</w:t>
      </w:r>
      <w:r>
        <w:rPr>
          <w:rFonts w:hint="cs"/>
          <w:rtl/>
          <w:lang w:val="en-GB" w:bidi="ar-AE"/>
        </w:rPr>
        <w:t xml:space="preserve">، </w:t>
      </w:r>
      <w:r w:rsidRPr="00756DD1">
        <w:rPr>
          <w:rtl/>
          <w:lang w:val="en-GB"/>
        </w:rPr>
        <w:t>تستكشف الدراسة ممارستين رئيسيتين لنظام إدارة الموارد البشرية: التعليم والتطوير الأخضر، والمكافآت والتعويضات الخضراء. بينما تعزز إدارة التعليم والتطوير الأخضر المعرفة البيئية للموظفين، تحفز المكافآت والتعويضات الخضراء السلوكيات المؤيدة للبيئة</w:t>
      </w:r>
      <w:r>
        <w:rPr>
          <w:rFonts w:hint="cs"/>
          <w:rtl/>
          <w:lang w:val="en-GB"/>
        </w:rPr>
        <w:t xml:space="preserve">. </w:t>
      </w:r>
      <w:r w:rsidRPr="00756DD1">
        <w:rPr>
          <w:rtl/>
          <w:lang w:val="en-GB"/>
        </w:rPr>
        <w:t>تم تحليل 309 استبياناً والتي قام بملئها موظفي حكومة دبي باستخدام النهج الكمي ومن خلال</w:t>
      </w:r>
      <w:r w:rsidRPr="00756DD1">
        <w:rPr>
          <w:lang w:val="en-GB"/>
        </w:rPr>
        <w:t xml:space="preserve"> (PLS-SEM) </w:t>
      </w:r>
      <w:r w:rsidRPr="00756DD1">
        <w:rPr>
          <w:rtl/>
          <w:lang w:val="en-GB"/>
        </w:rPr>
        <w:t>تؤكد النتائج وجود علاقة إيجابية قوية بين ممارسات إدارة الموارد البشرية الخضراء وسلوك المواطنة المؤسسية تجاه البيئة، حيث يعمل السلوك المبتكر الأخضر كوسيط رئيسي. كان للمكافآت والتعويضات الخضراء تأثير مباشر على سلوك المواطنة المؤسسية تجاه البيئة أقوى من التعليم والتطوير الأخضر، في حين أن التعليم والتطوير الأخضر لم يؤثر بشكل كبير على السلوك المبتكر الأخضر، مما يشير إلى أن التدريب وحده غير كاف لدفع الابتكار الأخضر دون وجود دعم تنظيمي</w:t>
      </w:r>
      <w:r>
        <w:rPr>
          <w:rFonts w:hint="cs"/>
          <w:rtl/>
          <w:lang w:val="en-GB"/>
        </w:rPr>
        <w:t xml:space="preserve">. </w:t>
      </w:r>
      <w:r w:rsidRPr="00756DD1">
        <w:rPr>
          <w:rtl/>
          <w:lang w:val="en-GB"/>
        </w:rPr>
        <w:t>تتطرق الدراسة إلى نظرية التبادل الاجتماعي ونظرية التعلم الاجتماعي وإطار القدرة والدافع والفرصة في سياق تأثير ممارسات إدارة الموارد البشرية الخضراء على سلوك المواطنة المؤسسية تجاه البيئة من الناحية العملية، يجب على الجهات الحكومية في دبي تعزيز التعليم والتطوير الأخضر، وربط المكافآت والتعويضات الوظيفية مع أهداف الاستدامة، وإنشاء منصات ابتكار لترسيخ الاستدامة في الثقافة المؤسسية</w:t>
      </w:r>
      <w:r>
        <w:rPr>
          <w:rFonts w:hint="cs"/>
          <w:rtl/>
          <w:lang w:val="en-GB"/>
        </w:rPr>
        <w:t xml:space="preserve">. </w:t>
      </w:r>
      <w:r w:rsidRPr="00756DD1">
        <w:rPr>
          <w:rtl/>
          <w:lang w:val="en-GB"/>
        </w:rPr>
        <w:t>على الرغم من أن الدراسة تقتصر على ممارستين خضراوين لإدارة الموارد البشرية في القطاع العام في دبي، إلا أن الدراسات المستقبلية يجب أن تستكشف أبعاداً إضافية للموارد البشرية وإجراء مقارنات عبر البلدان. ومن خلال تنفيذ نتائج هذه الدراسة، يمكن للمؤسسات الحكومية في دبي تعزيز جهود الاستدامة ووضع نفسها كرائدة في مجال الحوكمة الخضراء</w:t>
      </w:r>
      <w:r w:rsidRPr="00756DD1">
        <w:rPr>
          <w:lang w:val="en-GB"/>
        </w:rPr>
        <w:t>.</w:t>
      </w:r>
    </w:p>
    <w:p w14:paraId="47C0F6D4" w14:textId="547B80B0" w:rsidR="00AC7225" w:rsidRPr="00E673DC" w:rsidRDefault="00756DD1" w:rsidP="00756DD1">
      <w:pPr>
        <w:bidi/>
        <w:rPr>
          <w:lang w:val="en-GB"/>
        </w:rPr>
      </w:pPr>
      <w:r w:rsidRPr="00756DD1">
        <w:rPr>
          <w:lang w:val="en-GB"/>
        </w:rPr>
        <w:t xml:space="preserve"> </w:t>
      </w:r>
      <w:r w:rsidRPr="00756DD1">
        <w:rPr>
          <w:rtl/>
          <w:lang w:val="en-GB"/>
        </w:rPr>
        <w:t>الكلمات المفتاحية: الاستدامة ، سلوك المواطنة المؤسسية تجاه البيئة، إدارة الموارد البشرية الخضراء، البيئة، الابتكار الأخضر ، حكومة دبي</w:t>
      </w:r>
      <w:r w:rsidRPr="00756DD1">
        <w:rPr>
          <w:lang w:val="en-GB"/>
        </w:rPr>
        <w:t>.</w:t>
      </w:r>
    </w:p>
    <w:p w14:paraId="6F18D930" w14:textId="0FF19D76" w:rsidR="00B869ED" w:rsidRPr="00E673DC" w:rsidRDefault="009829F1" w:rsidP="0053333D">
      <w:pPr>
        <w:ind w:firstLine="0"/>
        <w:jc w:val="center"/>
        <w:rPr>
          <w:lang w:val="en-GB"/>
        </w:rPr>
      </w:pPr>
      <w:r w:rsidRPr="00E673DC">
        <w:rPr>
          <w:b/>
          <w:lang w:val="en-GB"/>
        </w:rPr>
        <w:br w:type="page"/>
      </w:r>
    </w:p>
    <w:p w14:paraId="31E3DD9D" w14:textId="77777777" w:rsidR="00A066C8" w:rsidRPr="00E673DC" w:rsidRDefault="00A066C8" w:rsidP="005A12DE">
      <w:pPr>
        <w:spacing w:before="0" w:after="160"/>
        <w:rPr>
          <w:lang w:val="en-GB"/>
        </w:rPr>
        <w:sectPr w:rsidR="00A066C8" w:rsidRPr="00E673DC" w:rsidSect="00F4431E">
          <w:footerReference w:type="even" r:id="rId10"/>
          <w:footerReference w:type="first" r:id="rId11"/>
          <w:pgSz w:w="12240" w:h="15840"/>
          <w:pgMar w:top="1701" w:right="1701" w:bottom="1134" w:left="1418" w:header="709" w:footer="709" w:gutter="0"/>
          <w:cols w:space="708"/>
          <w:docGrid w:linePitch="360"/>
        </w:sectPr>
      </w:pPr>
    </w:p>
    <w:sdt>
      <w:sdtPr>
        <w:rPr>
          <w:rFonts w:cs="Times New Roman"/>
          <w:b w:val="0"/>
          <w:sz w:val="22"/>
          <w:lang w:val="en-GB"/>
        </w:rPr>
        <w:id w:val="-1675260463"/>
        <w:docPartObj>
          <w:docPartGallery w:val="Table of Contents"/>
          <w:docPartUnique/>
        </w:docPartObj>
      </w:sdtPr>
      <w:sdtEndPr>
        <w:rPr>
          <w:noProof/>
        </w:rPr>
      </w:sdtEndPr>
      <w:sdtContent>
        <w:p w14:paraId="0DB9A335" w14:textId="77777777" w:rsidR="00A64BE5" w:rsidRPr="00E673DC" w:rsidRDefault="00A64BE5" w:rsidP="00CD6E34">
          <w:pPr>
            <w:pStyle w:val="TOCHeading"/>
            <w:spacing w:line="480" w:lineRule="auto"/>
            <w:rPr>
              <w:b w:val="0"/>
              <w:lang w:val="en-GB"/>
            </w:rPr>
          </w:pPr>
          <w:r w:rsidRPr="00E673DC">
            <w:rPr>
              <w:lang w:val="en-GB"/>
            </w:rPr>
            <w:t>Table of Contents</w:t>
          </w:r>
        </w:p>
        <w:p w14:paraId="352E4F0B" w14:textId="67943F60" w:rsidR="00064A5E" w:rsidRDefault="00BC13EC" w:rsidP="00CD6E34">
          <w:pPr>
            <w:pStyle w:val="TOC1"/>
            <w:spacing w:line="480" w:lineRule="auto"/>
            <w:rPr>
              <w:rFonts w:asciiTheme="minorHAnsi" w:eastAsiaTheme="minorEastAsia" w:hAnsiTheme="minorHAnsi" w:cstheme="minorBidi"/>
              <w:kern w:val="2"/>
              <w:lang w:val="en-US"/>
              <w14:ligatures w14:val="standardContextual"/>
            </w:rPr>
          </w:pPr>
          <w:r w:rsidRPr="00E673DC">
            <w:fldChar w:fldCharType="begin"/>
          </w:r>
          <w:r w:rsidRPr="00E673DC">
            <w:instrText xml:space="preserve"> TOC \o "1-3" \h \z \t "References,4,Appendices,5" </w:instrText>
          </w:r>
          <w:r w:rsidRPr="00E673DC">
            <w:fldChar w:fldCharType="separate"/>
          </w:r>
          <w:hyperlink w:anchor="_Toc197952386" w:history="1">
            <w:r w:rsidR="00064A5E" w:rsidRPr="00917F9E">
              <w:rPr>
                <w:rStyle w:val="Hyperlink"/>
              </w:rPr>
              <w:t>Chapter 1: Introduction</w:t>
            </w:r>
            <w:r w:rsidR="00064A5E">
              <w:rPr>
                <w:webHidden/>
              </w:rPr>
              <w:tab/>
            </w:r>
            <w:r w:rsidR="00064A5E">
              <w:rPr>
                <w:webHidden/>
              </w:rPr>
              <w:fldChar w:fldCharType="begin"/>
            </w:r>
            <w:r w:rsidR="00064A5E">
              <w:rPr>
                <w:webHidden/>
              </w:rPr>
              <w:instrText xml:space="preserve"> PAGEREF _Toc197952386 \h </w:instrText>
            </w:r>
            <w:r w:rsidR="00064A5E">
              <w:rPr>
                <w:webHidden/>
              </w:rPr>
            </w:r>
            <w:r w:rsidR="00064A5E">
              <w:rPr>
                <w:webHidden/>
              </w:rPr>
              <w:fldChar w:fldCharType="separate"/>
            </w:r>
            <w:r w:rsidR="00064A5E">
              <w:rPr>
                <w:webHidden/>
              </w:rPr>
              <w:t>1</w:t>
            </w:r>
            <w:r w:rsidR="00064A5E">
              <w:rPr>
                <w:webHidden/>
              </w:rPr>
              <w:fldChar w:fldCharType="end"/>
            </w:r>
          </w:hyperlink>
        </w:p>
        <w:p w14:paraId="4C9B2A98" w14:textId="7689407E" w:rsidR="00064A5E" w:rsidRDefault="00064A5E" w:rsidP="00CD6E34">
          <w:pPr>
            <w:pStyle w:val="TOC1"/>
            <w:spacing w:line="480" w:lineRule="auto"/>
            <w:rPr>
              <w:rFonts w:asciiTheme="minorHAnsi" w:eastAsiaTheme="minorEastAsia" w:hAnsiTheme="minorHAnsi" w:cstheme="minorBidi"/>
              <w:kern w:val="2"/>
              <w:lang w:val="en-US"/>
              <w14:ligatures w14:val="standardContextual"/>
            </w:rPr>
          </w:pPr>
          <w:hyperlink w:anchor="_Toc197952387" w:history="1">
            <w:r w:rsidRPr="00917F9E">
              <w:rPr>
                <w:rStyle w:val="Hyperlink"/>
              </w:rPr>
              <w:t>Chapter 2: Literature Review and Hypotheses Formulation</w:t>
            </w:r>
            <w:r>
              <w:rPr>
                <w:webHidden/>
              </w:rPr>
              <w:tab/>
            </w:r>
            <w:r>
              <w:rPr>
                <w:webHidden/>
              </w:rPr>
              <w:fldChar w:fldCharType="begin"/>
            </w:r>
            <w:r>
              <w:rPr>
                <w:webHidden/>
              </w:rPr>
              <w:instrText xml:space="preserve"> PAGEREF _Toc197952387 \h </w:instrText>
            </w:r>
            <w:r>
              <w:rPr>
                <w:webHidden/>
              </w:rPr>
            </w:r>
            <w:r>
              <w:rPr>
                <w:webHidden/>
              </w:rPr>
              <w:fldChar w:fldCharType="separate"/>
            </w:r>
            <w:r>
              <w:rPr>
                <w:webHidden/>
              </w:rPr>
              <w:t>8</w:t>
            </w:r>
            <w:r>
              <w:rPr>
                <w:webHidden/>
              </w:rPr>
              <w:fldChar w:fldCharType="end"/>
            </w:r>
          </w:hyperlink>
        </w:p>
        <w:p w14:paraId="77BDDBA3" w14:textId="7633E896" w:rsidR="00064A5E" w:rsidRDefault="00064A5E" w:rsidP="00CD6E34">
          <w:pPr>
            <w:pStyle w:val="TOC2"/>
            <w:spacing w:line="480" w:lineRule="auto"/>
            <w:rPr>
              <w:rFonts w:asciiTheme="minorHAnsi" w:eastAsiaTheme="minorEastAsia" w:hAnsiTheme="minorHAnsi" w:cstheme="minorBidi"/>
              <w:noProof/>
              <w:kern w:val="2"/>
              <w14:ligatures w14:val="standardContextual"/>
            </w:rPr>
          </w:pPr>
          <w:hyperlink w:anchor="_Toc197952388" w:history="1">
            <w:r w:rsidRPr="00917F9E">
              <w:rPr>
                <w:rStyle w:val="Hyperlink"/>
                <w:noProof/>
                <w:lang w:val="en-GB"/>
              </w:rPr>
              <w:t>2.1</w:t>
            </w:r>
            <w:r>
              <w:rPr>
                <w:rFonts w:asciiTheme="minorHAnsi" w:eastAsiaTheme="minorEastAsia" w:hAnsiTheme="minorHAnsi" w:cstheme="minorBidi"/>
                <w:noProof/>
                <w:kern w:val="2"/>
                <w14:ligatures w14:val="standardContextual"/>
              </w:rPr>
              <w:tab/>
            </w:r>
            <w:r w:rsidRPr="00917F9E">
              <w:rPr>
                <w:rStyle w:val="Hyperlink"/>
                <w:noProof/>
                <w:lang w:val="en-GB"/>
              </w:rPr>
              <w:t>Theoretical Framework</w:t>
            </w:r>
            <w:r>
              <w:rPr>
                <w:noProof/>
                <w:webHidden/>
              </w:rPr>
              <w:tab/>
            </w:r>
            <w:r>
              <w:rPr>
                <w:noProof/>
                <w:webHidden/>
              </w:rPr>
              <w:fldChar w:fldCharType="begin"/>
            </w:r>
            <w:r>
              <w:rPr>
                <w:noProof/>
                <w:webHidden/>
              </w:rPr>
              <w:instrText xml:space="preserve"> PAGEREF _Toc197952388 \h </w:instrText>
            </w:r>
            <w:r>
              <w:rPr>
                <w:noProof/>
                <w:webHidden/>
              </w:rPr>
            </w:r>
            <w:r>
              <w:rPr>
                <w:noProof/>
                <w:webHidden/>
              </w:rPr>
              <w:fldChar w:fldCharType="separate"/>
            </w:r>
            <w:r>
              <w:rPr>
                <w:noProof/>
                <w:webHidden/>
              </w:rPr>
              <w:t>9</w:t>
            </w:r>
            <w:r>
              <w:rPr>
                <w:noProof/>
                <w:webHidden/>
              </w:rPr>
              <w:fldChar w:fldCharType="end"/>
            </w:r>
          </w:hyperlink>
        </w:p>
        <w:p w14:paraId="499FF4ED" w14:textId="28B19648" w:rsidR="00064A5E" w:rsidRDefault="00064A5E" w:rsidP="00CD6E34">
          <w:pPr>
            <w:pStyle w:val="TOC2"/>
            <w:spacing w:line="480" w:lineRule="auto"/>
            <w:rPr>
              <w:rFonts w:asciiTheme="minorHAnsi" w:eastAsiaTheme="minorEastAsia" w:hAnsiTheme="minorHAnsi" w:cstheme="minorBidi"/>
              <w:noProof/>
              <w:kern w:val="2"/>
              <w14:ligatures w14:val="standardContextual"/>
            </w:rPr>
          </w:pPr>
          <w:hyperlink w:anchor="_Toc197952389" w:history="1">
            <w:r w:rsidRPr="00917F9E">
              <w:rPr>
                <w:rStyle w:val="Hyperlink"/>
                <w:rFonts w:asciiTheme="majorBidi" w:hAnsiTheme="majorBidi" w:cstheme="majorBidi"/>
                <w:noProof/>
                <w:lang w:val="en-GB"/>
              </w:rPr>
              <w:t>2.2</w:t>
            </w:r>
            <w:r>
              <w:rPr>
                <w:rFonts w:asciiTheme="minorHAnsi" w:eastAsiaTheme="minorEastAsia" w:hAnsiTheme="minorHAnsi" w:cstheme="minorBidi"/>
                <w:noProof/>
                <w:kern w:val="2"/>
                <w14:ligatures w14:val="standardContextual"/>
              </w:rPr>
              <w:tab/>
            </w:r>
            <w:r w:rsidRPr="00917F9E">
              <w:rPr>
                <w:rStyle w:val="Hyperlink"/>
                <w:rFonts w:asciiTheme="majorBidi" w:hAnsiTheme="majorBidi" w:cstheme="majorBidi"/>
                <w:noProof/>
                <w:lang w:val="en-GB"/>
              </w:rPr>
              <w:t>Hypotheses Development</w:t>
            </w:r>
            <w:r>
              <w:rPr>
                <w:noProof/>
                <w:webHidden/>
              </w:rPr>
              <w:tab/>
            </w:r>
            <w:r>
              <w:rPr>
                <w:noProof/>
                <w:webHidden/>
              </w:rPr>
              <w:fldChar w:fldCharType="begin"/>
            </w:r>
            <w:r>
              <w:rPr>
                <w:noProof/>
                <w:webHidden/>
              </w:rPr>
              <w:instrText xml:space="preserve"> PAGEREF _Toc197952389 \h </w:instrText>
            </w:r>
            <w:r>
              <w:rPr>
                <w:noProof/>
                <w:webHidden/>
              </w:rPr>
            </w:r>
            <w:r>
              <w:rPr>
                <w:noProof/>
                <w:webHidden/>
              </w:rPr>
              <w:fldChar w:fldCharType="separate"/>
            </w:r>
            <w:r>
              <w:rPr>
                <w:noProof/>
                <w:webHidden/>
              </w:rPr>
              <w:t>10</w:t>
            </w:r>
            <w:r>
              <w:rPr>
                <w:noProof/>
                <w:webHidden/>
              </w:rPr>
              <w:fldChar w:fldCharType="end"/>
            </w:r>
          </w:hyperlink>
        </w:p>
        <w:p w14:paraId="1883F38E" w14:textId="4628D4F3" w:rsidR="00064A5E" w:rsidRDefault="00064A5E" w:rsidP="00CD6E34">
          <w:pPr>
            <w:pStyle w:val="TOC3"/>
            <w:rPr>
              <w:rFonts w:asciiTheme="minorHAnsi" w:eastAsiaTheme="minorEastAsia" w:hAnsiTheme="minorHAnsi" w:cstheme="minorBidi"/>
              <w:noProof/>
              <w:kern w:val="2"/>
              <w:sz w:val="24"/>
              <w14:ligatures w14:val="standardContextual"/>
            </w:rPr>
          </w:pPr>
          <w:hyperlink w:anchor="_Toc197952390" w:history="1">
            <w:r w:rsidRPr="00917F9E">
              <w:rPr>
                <w:rStyle w:val="Hyperlink"/>
                <w:noProof/>
                <w:lang w:val="en-GB"/>
              </w:rPr>
              <w:t>2.2.1</w:t>
            </w:r>
            <w:r>
              <w:rPr>
                <w:rFonts w:asciiTheme="minorHAnsi" w:eastAsiaTheme="minorEastAsia" w:hAnsiTheme="minorHAnsi" w:cstheme="minorBidi"/>
                <w:noProof/>
                <w:kern w:val="2"/>
                <w:sz w:val="24"/>
                <w14:ligatures w14:val="standardContextual"/>
              </w:rPr>
              <w:tab/>
            </w:r>
            <w:r w:rsidRPr="00917F9E">
              <w:rPr>
                <w:rStyle w:val="Hyperlink"/>
                <w:noProof/>
                <w:lang w:val="en-GB"/>
              </w:rPr>
              <w:t>Green Human Resource Management and Organisational Citizenship Behaviour Towards the Environment (OCBE)</w:t>
            </w:r>
            <w:r>
              <w:rPr>
                <w:noProof/>
                <w:webHidden/>
              </w:rPr>
              <w:tab/>
            </w:r>
            <w:r>
              <w:rPr>
                <w:noProof/>
                <w:webHidden/>
              </w:rPr>
              <w:fldChar w:fldCharType="begin"/>
            </w:r>
            <w:r>
              <w:rPr>
                <w:noProof/>
                <w:webHidden/>
              </w:rPr>
              <w:instrText xml:space="preserve"> PAGEREF _Toc197952390 \h </w:instrText>
            </w:r>
            <w:r>
              <w:rPr>
                <w:noProof/>
                <w:webHidden/>
              </w:rPr>
            </w:r>
            <w:r>
              <w:rPr>
                <w:noProof/>
                <w:webHidden/>
              </w:rPr>
              <w:fldChar w:fldCharType="separate"/>
            </w:r>
            <w:r>
              <w:rPr>
                <w:noProof/>
                <w:webHidden/>
              </w:rPr>
              <w:t>10</w:t>
            </w:r>
            <w:r>
              <w:rPr>
                <w:noProof/>
                <w:webHidden/>
              </w:rPr>
              <w:fldChar w:fldCharType="end"/>
            </w:r>
          </w:hyperlink>
        </w:p>
        <w:p w14:paraId="19233EB1" w14:textId="7331F8C3" w:rsidR="00064A5E" w:rsidRDefault="00064A5E" w:rsidP="00CD6E34">
          <w:pPr>
            <w:pStyle w:val="TOC3"/>
            <w:rPr>
              <w:rFonts w:asciiTheme="minorHAnsi" w:eastAsiaTheme="minorEastAsia" w:hAnsiTheme="minorHAnsi" w:cstheme="minorBidi"/>
              <w:noProof/>
              <w:kern w:val="2"/>
              <w:sz w:val="24"/>
              <w14:ligatures w14:val="standardContextual"/>
            </w:rPr>
          </w:pPr>
          <w:hyperlink w:anchor="_Toc197952391" w:history="1">
            <w:r w:rsidRPr="00917F9E">
              <w:rPr>
                <w:rStyle w:val="Hyperlink"/>
                <w:noProof/>
                <w:lang w:val="en-GB"/>
              </w:rPr>
              <w:t>2.2.2</w:t>
            </w:r>
            <w:r>
              <w:rPr>
                <w:rFonts w:asciiTheme="minorHAnsi" w:eastAsiaTheme="minorEastAsia" w:hAnsiTheme="minorHAnsi" w:cstheme="minorBidi"/>
                <w:noProof/>
                <w:kern w:val="2"/>
                <w:sz w:val="24"/>
                <w14:ligatures w14:val="standardContextual"/>
              </w:rPr>
              <w:tab/>
            </w:r>
            <w:r w:rsidRPr="00917F9E">
              <w:rPr>
                <w:rStyle w:val="Hyperlink"/>
                <w:noProof/>
                <w:lang w:val="en-GB"/>
              </w:rPr>
              <w:t>GHRM Practices and OCBE</w:t>
            </w:r>
            <w:r>
              <w:rPr>
                <w:noProof/>
                <w:webHidden/>
              </w:rPr>
              <w:tab/>
            </w:r>
            <w:r>
              <w:rPr>
                <w:noProof/>
                <w:webHidden/>
              </w:rPr>
              <w:fldChar w:fldCharType="begin"/>
            </w:r>
            <w:r>
              <w:rPr>
                <w:noProof/>
                <w:webHidden/>
              </w:rPr>
              <w:instrText xml:space="preserve"> PAGEREF _Toc197952391 \h </w:instrText>
            </w:r>
            <w:r>
              <w:rPr>
                <w:noProof/>
                <w:webHidden/>
              </w:rPr>
            </w:r>
            <w:r>
              <w:rPr>
                <w:noProof/>
                <w:webHidden/>
              </w:rPr>
              <w:fldChar w:fldCharType="separate"/>
            </w:r>
            <w:r>
              <w:rPr>
                <w:noProof/>
                <w:webHidden/>
              </w:rPr>
              <w:t>11</w:t>
            </w:r>
            <w:r>
              <w:rPr>
                <w:noProof/>
                <w:webHidden/>
              </w:rPr>
              <w:fldChar w:fldCharType="end"/>
            </w:r>
          </w:hyperlink>
        </w:p>
        <w:p w14:paraId="7828D74D" w14:textId="59B1BFFA" w:rsidR="00064A5E" w:rsidRDefault="00064A5E" w:rsidP="00CD6E34">
          <w:pPr>
            <w:pStyle w:val="TOC3"/>
            <w:rPr>
              <w:rFonts w:asciiTheme="minorHAnsi" w:eastAsiaTheme="minorEastAsia" w:hAnsiTheme="minorHAnsi" w:cstheme="minorBidi"/>
              <w:noProof/>
              <w:kern w:val="2"/>
              <w:sz w:val="24"/>
              <w14:ligatures w14:val="standardContextual"/>
            </w:rPr>
          </w:pPr>
          <w:hyperlink w:anchor="_Toc197952392" w:history="1">
            <w:r w:rsidRPr="00917F9E">
              <w:rPr>
                <w:rStyle w:val="Hyperlink"/>
                <w:noProof/>
                <w:lang w:val="en-GB"/>
              </w:rPr>
              <w:t>2.2.3</w:t>
            </w:r>
            <w:r>
              <w:rPr>
                <w:rFonts w:asciiTheme="minorHAnsi" w:eastAsiaTheme="minorEastAsia" w:hAnsiTheme="minorHAnsi" w:cstheme="minorBidi"/>
                <w:noProof/>
                <w:kern w:val="2"/>
                <w:sz w:val="24"/>
                <w14:ligatures w14:val="standardContextual"/>
              </w:rPr>
              <w:tab/>
            </w:r>
            <w:r w:rsidRPr="00917F9E">
              <w:rPr>
                <w:rStyle w:val="Hyperlink"/>
                <w:noProof/>
                <w:lang w:val="en-GB"/>
              </w:rPr>
              <w:t>Green Human Resource Management and Green Innovative Behaviour</w:t>
            </w:r>
            <w:r>
              <w:rPr>
                <w:noProof/>
                <w:webHidden/>
              </w:rPr>
              <w:tab/>
            </w:r>
            <w:r>
              <w:rPr>
                <w:noProof/>
                <w:webHidden/>
              </w:rPr>
              <w:fldChar w:fldCharType="begin"/>
            </w:r>
            <w:r>
              <w:rPr>
                <w:noProof/>
                <w:webHidden/>
              </w:rPr>
              <w:instrText xml:space="preserve"> PAGEREF _Toc197952392 \h </w:instrText>
            </w:r>
            <w:r>
              <w:rPr>
                <w:noProof/>
                <w:webHidden/>
              </w:rPr>
            </w:r>
            <w:r>
              <w:rPr>
                <w:noProof/>
                <w:webHidden/>
              </w:rPr>
              <w:fldChar w:fldCharType="separate"/>
            </w:r>
            <w:r>
              <w:rPr>
                <w:noProof/>
                <w:webHidden/>
              </w:rPr>
              <w:t>14</w:t>
            </w:r>
            <w:r>
              <w:rPr>
                <w:noProof/>
                <w:webHidden/>
              </w:rPr>
              <w:fldChar w:fldCharType="end"/>
            </w:r>
          </w:hyperlink>
        </w:p>
        <w:p w14:paraId="51D89E5B" w14:textId="202D6183" w:rsidR="00064A5E" w:rsidRDefault="00064A5E" w:rsidP="00CD6E34">
          <w:pPr>
            <w:pStyle w:val="TOC3"/>
            <w:rPr>
              <w:rFonts w:asciiTheme="minorHAnsi" w:eastAsiaTheme="minorEastAsia" w:hAnsiTheme="minorHAnsi" w:cstheme="minorBidi"/>
              <w:noProof/>
              <w:kern w:val="2"/>
              <w:sz w:val="24"/>
              <w14:ligatures w14:val="standardContextual"/>
            </w:rPr>
          </w:pPr>
          <w:hyperlink w:anchor="_Toc197952393" w:history="1">
            <w:r w:rsidRPr="00917F9E">
              <w:rPr>
                <w:rStyle w:val="Hyperlink"/>
                <w:noProof/>
                <w:lang w:val="en-GB"/>
              </w:rPr>
              <w:t>2.2.4</w:t>
            </w:r>
            <w:r>
              <w:rPr>
                <w:rFonts w:asciiTheme="minorHAnsi" w:eastAsiaTheme="minorEastAsia" w:hAnsiTheme="minorHAnsi" w:cstheme="minorBidi"/>
                <w:noProof/>
                <w:kern w:val="2"/>
                <w:sz w:val="24"/>
                <w14:ligatures w14:val="standardContextual"/>
              </w:rPr>
              <w:tab/>
            </w:r>
            <w:r w:rsidRPr="00917F9E">
              <w:rPr>
                <w:rStyle w:val="Hyperlink"/>
                <w:noProof/>
                <w:lang w:val="en-GB"/>
              </w:rPr>
              <w:t>The Role of GIB as a Mediator in the Relationship Between GHRM Practices and OCBE</w:t>
            </w:r>
            <w:r>
              <w:rPr>
                <w:noProof/>
                <w:webHidden/>
              </w:rPr>
              <w:tab/>
            </w:r>
            <w:r>
              <w:rPr>
                <w:noProof/>
                <w:webHidden/>
              </w:rPr>
              <w:fldChar w:fldCharType="begin"/>
            </w:r>
            <w:r>
              <w:rPr>
                <w:noProof/>
                <w:webHidden/>
              </w:rPr>
              <w:instrText xml:space="preserve"> PAGEREF _Toc197952393 \h </w:instrText>
            </w:r>
            <w:r>
              <w:rPr>
                <w:noProof/>
                <w:webHidden/>
              </w:rPr>
            </w:r>
            <w:r>
              <w:rPr>
                <w:noProof/>
                <w:webHidden/>
              </w:rPr>
              <w:fldChar w:fldCharType="separate"/>
            </w:r>
            <w:r>
              <w:rPr>
                <w:noProof/>
                <w:webHidden/>
              </w:rPr>
              <w:t>15</w:t>
            </w:r>
            <w:r>
              <w:rPr>
                <w:noProof/>
                <w:webHidden/>
              </w:rPr>
              <w:fldChar w:fldCharType="end"/>
            </w:r>
          </w:hyperlink>
        </w:p>
        <w:p w14:paraId="7E3FECC9" w14:textId="5A77E3E1" w:rsidR="00064A5E" w:rsidRDefault="00064A5E" w:rsidP="00CD6E34">
          <w:pPr>
            <w:pStyle w:val="TOC1"/>
            <w:spacing w:line="480" w:lineRule="auto"/>
            <w:rPr>
              <w:rFonts w:asciiTheme="minorHAnsi" w:eastAsiaTheme="minorEastAsia" w:hAnsiTheme="minorHAnsi" w:cstheme="minorBidi"/>
              <w:kern w:val="2"/>
              <w:lang w:val="en-US"/>
              <w14:ligatures w14:val="standardContextual"/>
            </w:rPr>
          </w:pPr>
          <w:hyperlink w:anchor="_Toc197952394" w:history="1">
            <w:r w:rsidRPr="00917F9E">
              <w:rPr>
                <w:rStyle w:val="Hyperlink"/>
              </w:rPr>
              <w:t>Chapter 3: Materials and Methods</w:t>
            </w:r>
            <w:r>
              <w:rPr>
                <w:webHidden/>
              </w:rPr>
              <w:tab/>
            </w:r>
            <w:r>
              <w:rPr>
                <w:webHidden/>
              </w:rPr>
              <w:fldChar w:fldCharType="begin"/>
            </w:r>
            <w:r>
              <w:rPr>
                <w:webHidden/>
              </w:rPr>
              <w:instrText xml:space="preserve"> PAGEREF _Toc197952394 \h </w:instrText>
            </w:r>
            <w:r>
              <w:rPr>
                <w:webHidden/>
              </w:rPr>
            </w:r>
            <w:r>
              <w:rPr>
                <w:webHidden/>
              </w:rPr>
              <w:fldChar w:fldCharType="separate"/>
            </w:r>
            <w:r>
              <w:rPr>
                <w:webHidden/>
              </w:rPr>
              <w:t>17</w:t>
            </w:r>
            <w:r>
              <w:rPr>
                <w:webHidden/>
              </w:rPr>
              <w:fldChar w:fldCharType="end"/>
            </w:r>
          </w:hyperlink>
        </w:p>
        <w:p w14:paraId="756BD227" w14:textId="3886D53C" w:rsidR="00064A5E" w:rsidRDefault="00064A5E" w:rsidP="00CD6E34">
          <w:pPr>
            <w:pStyle w:val="TOC2"/>
            <w:spacing w:line="480" w:lineRule="auto"/>
            <w:rPr>
              <w:rFonts w:asciiTheme="minorHAnsi" w:eastAsiaTheme="minorEastAsia" w:hAnsiTheme="minorHAnsi" w:cstheme="minorBidi"/>
              <w:noProof/>
              <w:kern w:val="2"/>
              <w14:ligatures w14:val="standardContextual"/>
            </w:rPr>
          </w:pPr>
          <w:hyperlink w:anchor="_Toc197952395" w:history="1">
            <w:r w:rsidRPr="00917F9E">
              <w:rPr>
                <w:rStyle w:val="Hyperlink"/>
                <w:rFonts w:asciiTheme="majorBidi" w:hAnsiTheme="majorBidi" w:cstheme="majorBidi"/>
                <w:noProof/>
                <w:lang w:val="en-GB"/>
              </w:rPr>
              <w:t>3.1</w:t>
            </w:r>
            <w:r>
              <w:rPr>
                <w:rFonts w:asciiTheme="minorHAnsi" w:eastAsiaTheme="minorEastAsia" w:hAnsiTheme="minorHAnsi" w:cstheme="minorBidi"/>
                <w:noProof/>
                <w:kern w:val="2"/>
                <w14:ligatures w14:val="standardContextual"/>
              </w:rPr>
              <w:tab/>
            </w:r>
            <w:r w:rsidRPr="00917F9E">
              <w:rPr>
                <w:rStyle w:val="Hyperlink"/>
                <w:rFonts w:asciiTheme="majorBidi" w:hAnsiTheme="majorBidi" w:cstheme="majorBidi"/>
                <w:noProof/>
                <w:lang w:val="en-GB"/>
              </w:rPr>
              <w:t>Research Onion</w:t>
            </w:r>
            <w:r>
              <w:rPr>
                <w:noProof/>
                <w:webHidden/>
              </w:rPr>
              <w:tab/>
            </w:r>
            <w:r>
              <w:rPr>
                <w:noProof/>
                <w:webHidden/>
              </w:rPr>
              <w:fldChar w:fldCharType="begin"/>
            </w:r>
            <w:r>
              <w:rPr>
                <w:noProof/>
                <w:webHidden/>
              </w:rPr>
              <w:instrText xml:space="preserve"> PAGEREF _Toc197952395 \h </w:instrText>
            </w:r>
            <w:r>
              <w:rPr>
                <w:noProof/>
                <w:webHidden/>
              </w:rPr>
            </w:r>
            <w:r>
              <w:rPr>
                <w:noProof/>
                <w:webHidden/>
              </w:rPr>
              <w:fldChar w:fldCharType="separate"/>
            </w:r>
            <w:r>
              <w:rPr>
                <w:noProof/>
                <w:webHidden/>
              </w:rPr>
              <w:t>17</w:t>
            </w:r>
            <w:r>
              <w:rPr>
                <w:noProof/>
                <w:webHidden/>
              </w:rPr>
              <w:fldChar w:fldCharType="end"/>
            </w:r>
          </w:hyperlink>
        </w:p>
        <w:p w14:paraId="446A1B2D" w14:textId="2EF0A794" w:rsidR="00064A5E" w:rsidRDefault="00064A5E" w:rsidP="00CD6E34">
          <w:pPr>
            <w:pStyle w:val="TOC2"/>
            <w:spacing w:line="480" w:lineRule="auto"/>
            <w:rPr>
              <w:rFonts w:asciiTheme="minorHAnsi" w:eastAsiaTheme="minorEastAsia" w:hAnsiTheme="minorHAnsi" w:cstheme="minorBidi"/>
              <w:noProof/>
              <w:kern w:val="2"/>
              <w14:ligatures w14:val="standardContextual"/>
            </w:rPr>
          </w:pPr>
          <w:hyperlink w:anchor="_Toc197952396" w:history="1">
            <w:r w:rsidRPr="00917F9E">
              <w:rPr>
                <w:rStyle w:val="Hyperlink"/>
                <w:rFonts w:asciiTheme="majorBidi" w:hAnsiTheme="majorBidi" w:cstheme="majorBidi"/>
                <w:noProof/>
                <w:lang w:val="en-GB"/>
              </w:rPr>
              <w:t>3.2</w:t>
            </w:r>
            <w:r>
              <w:rPr>
                <w:rFonts w:asciiTheme="minorHAnsi" w:eastAsiaTheme="minorEastAsia" w:hAnsiTheme="minorHAnsi" w:cstheme="minorBidi"/>
                <w:noProof/>
                <w:kern w:val="2"/>
                <w14:ligatures w14:val="standardContextual"/>
              </w:rPr>
              <w:tab/>
            </w:r>
            <w:r w:rsidRPr="00917F9E">
              <w:rPr>
                <w:rStyle w:val="Hyperlink"/>
                <w:rFonts w:asciiTheme="majorBidi" w:hAnsiTheme="majorBidi" w:cstheme="majorBidi"/>
                <w:noProof/>
                <w:lang w:val="en-GB"/>
              </w:rPr>
              <w:t>Research Philosophy</w:t>
            </w:r>
            <w:r>
              <w:rPr>
                <w:noProof/>
                <w:webHidden/>
              </w:rPr>
              <w:tab/>
            </w:r>
            <w:r>
              <w:rPr>
                <w:noProof/>
                <w:webHidden/>
              </w:rPr>
              <w:fldChar w:fldCharType="begin"/>
            </w:r>
            <w:r>
              <w:rPr>
                <w:noProof/>
                <w:webHidden/>
              </w:rPr>
              <w:instrText xml:space="preserve"> PAGEREF _Toc197952396 \h </w:instrText>
            </w:r>
            <w:r>
              <w:rPr>
                <w:noProof/>
                <w:webHidden/>
              </w:rPr>
            </w:r>
            <w:r>
              <w:rPr>
                <w:noProof/>
                <w:webHidden/>
              </w:rPr>
              <w:fldChar w:fldCharType="separate"/>
            </w:r>
            <w:r>
              <w:rPr>
                <w:noProof/>
                <w:webHidden/>
              </w:rPr>
              <w:t>17</w:t>
            </w:r>
            <w:r>
              <w:rPr>
                <w:noProof/>
                <w:webHidden/>
              </w:rPr>
              <w:fldChar w:fldCharType="end"/>
            </w:r>
          </w:hyperlink>
        </w:p>
        <w:p w14:paraId="35A174AD" w14:textId="1824ED30" w:rsidR="00064A5E" w:rsidRDefault="00064A5E" w:rsidP="00CD6E34">
          <w:pPr>
            <w:pStyle w:val="TOC2"/>
            <w:spacing w:line="480" w:lineRule="auto"/>
            <w:rPr>
              <w:rFonts w:asciiTheme="minorHAnsi" w:eastAsiaTheme="minorEastAsia" w:hAnsiTheme="minorHAnsi" w:cstheme="minorBidi"/>
              <w:noProof/>
              <w:kern w:val="2"/>
              <w14:ligatures w14:val="standardContextual"/>
            </w:rPr>
          </w:pPr>
          <w:hyperlink w:anchor="_Toc197952397" w:history="1">
            <w:r w:rsidRPr="00917F9E">
              <w:rPr>
                <w:rStyle w:val="Hyperlink"/>
                <w:rFonts w:asciiTheme="majorBidi" w:hAnsiTheme="majorBidi" w:cstheme="majorBidi"/>
                <w:noProof/>
                <w:lang w:val="en-GB"/>
              </w:rPr>
              <w:t>3.3</w:t>
            </w:r>
            <w:r>
              <w:rPr>
                <w:rFonts w:asciiTheme="minorHAnsi" w:eastAsiaTheme="minorEastAsia" w:hAnsiTheme="minorHAnsi" w:cstheme="minorBidi"/>
                <w:noProof/>
                <w:kern w:val="2"/>
                <w14:ligatures w14:val="standardContextual"/>
              </w:rPr>
              <w:tab/>
            </w:r>
            <w:r w:rsidRPr="00917F9E">
              <w:rPr>
                <w:rStyle w:val="Hyperlink"/>
                <w:rFonts w:asciiTheme="majorBidi" w:hAnsiTheme="majorBidi" w:cstheme="majorBidi"/>
                <w:noProof/>
                <w:lang w:val="en-GB"/>
              </w:rPr>
              <w:t>Research Design</w:t>
            </w:r>
            <w:r>
              <w:rPr>
                <w:noProof/>
                <w:webHidden/>
              </w:rPr>
              <w:tab/>
            </w:r>
            <w:r>
              <w:rPr>
                <w:noProof/>
                <w:webHidden/>
              </w:rPr>
              <w:fldChar w:fldCharType="begin"/>
            </w:r>
            <w:r>
              <w:rPr>
                <w:noProof/>
                <w:webHidden/>
              </w:rPr>
              <w:instrText xml:space="preserve"> PAGEREF _Toc197952397 \h </w:instrText>
            </w:r>
            <w:r>
              <w:rPr>
                <w:noProof/>
                <w:webHidden/>
              </w:rPr>
            </w:r>
            <w:r>
              <w:rPr>
                <w:noProof/>
                <w:webHidden/>
              </w:rPr>
              <w:fldChar w:fldCharType="separate"/>
            </w:r>
            <w:r>
              <w:rPr>
                <w:noProof/>
                <w:webHidden/>
              </w:rPr>
              <w:t>18</w:t>
            </w:r>
            <w:r>
              <w:rPr>
                <w:noProof/>
                <w:webHidden/>
              </w:rPr>
              <w:fldChar w:fldCharType="end"/>
            </w:r>
          </w:hyperlink>
        </w:p>
        <w:p w14:paraId="0E05D6D6" w14:textId="53803AAF" w:rsidR="00064A5E" w:rsidRDefault="00064A5E" w:rsidP="00CD6E34">
          <w:pPr>
            <w:pStyle w:val="TOC2"/>
            <w:spacing w:line="480" w:lineRule="auto"/>
            <w:rPr>
              <w:rFonts w:asciiTheme="minorHAnsi" w:eastAsiaTheme="minorEastAsia" w:hAnsiTheme="minorHAnsi" w:cstheme="minorBidi"/>
              <w:noProof/>
              <w:kern w:val="2"/>
              <w14:ligatures w14:val="standardContextual"/>
            </w:rPr>
          </w:pPr>
          <w:hyperlink w:anchor="_Toc197952398" w:history="1">
            <w:r w:rsidRPr="00917F9E">
              <w:rPr>
                <w:rStyle w:val="Hyperlink"/>
                <w:rFonts w:asciiTheme="majorBidi" w:hAnsiTheme="majorBidi" w:cstheme="majorBidi"/>
                <w:noProof/>
                <w:lang w:val="en-GB"/>
              </w:rPr>
              <w:t>3.4</w:t>
            </w:r>
            <w:r>
              <w:rPr>
                <w:rFonts w:asciiTheme="minorHAnsi" w:eastAsiaTheme="minorEastAsia" w:hAnsiTheme="minorHAnsi" w:cstheme="minorBidi"/>
                <w:noProof/>
                <w:kern w:val="2"/>
                <w14:ligatures w14:val="standardContextual"/>
              </w:rPr>
              <w:tab/>
            </w:r>
            <w:r w:rsidRPr="00917F9E">
              <w:rPr>
                <w:rStyle w:val="Hyperlink"/>
                <w:rFonts w:asciiTheme="majorBidi" w:hAnsiTheme="majorBidi" w:cstheme="majorBidi"/>
                <w:noProof/>
                <w:lang w:val="en-GB"/>
              </w:rPr>
              <w:t>Research Methodology</w:t>
            </w:r>
            <w:r>
              <w:rPr>
                <w:noProof/>
                <w:webHidden/>
              </w:rPr>
              <w:tab/>
            </w:r>
            <w:r>
              <w:rPr>
                <w:noProof/>
                <w:webHidden/>
              </w:rPr>
              <w:fldChar w:fldCharType="begin"/>
            </w:r>
            <w:r>
              <w:rPr>
                <w:noProof/>
                <w:webHidden/>
              </w:rPr>
              <w:instrText xml:space="preserve"> PAGEREF _Toc197952398 \h </w:instrText>
            </w:r>
            <w:r>
              <w:rPr>
                <w:noProof/>
                <w:webHidden/>
              </w:rPr>
            </w:r>
            <w:r>
              <w:rPr>
                <w:noProof/>
                <w:webHidden/>
              </w:rPr>
              <w:fldChar w:fldCharType="separate"/>
            </w:r>
            <w:r>
              <w:rPr>
                <w:noProof/>
                <w:webHidden/>
              </w:rPr>
              <w:t>18</w:t>
            </w:r>
            <w:r>
              <w:rPr>
                <w:noProof/>
                <w:webHidden/>
              </w:rPr>
              <w:fldChar w:fldCharType="end"/>
            </w:r>
          </w:hyperlink>
        </w:p>
        <w:p w14:paraId="110F75E2" w14:textId="52C1E962" w:rsidR="00064A5E" w:rsidRDefault="00064A5E" w:rsidP="00CD6E34">
          <w:pPr>
            <w:pStyle w:val="TOC2"/>
            <w:spacing w:line="480" w:lineRule="auto"/>
            <w:rPr>
              <w:rFonts w:asciiTheme="minorHAnsi" w:eastAsiaTheme="minorEastAsia" w:hAnsiTheme="minorHAnsi" w:cstheme="minorBidi"/>
              <w:noProof/>
              <w:kern w:val="2"/>
              <w14:ligatures w14:val="standardContextual"/>
            </w:rPr>
          </w:pPr>
          <w:hyperlink w:anchor="_Toc197952399" w:history="1">
            <w:r w:rsidRPr="00917F9E">
              <w:rPr>
                <w:rStyle w:val="Hyperlink"/>
                <w:rFonts w:asciiTheme="majorBidi" w:hAnsiTheme="majorBidi" w:cstheme="majorBidi"/>
                <w:noProof/>
                <w:lang w:val="en-GB"/>
              </w:rPr>
              <w:t>3.5</w:t>
            </w:r>
            <w:r>
              <w:rPr>
                <w:rFonts w:asciiTheme="minorHAnsi" w:eastAsiaTheme="minorEastAsia" w:hAnsiTheme="minorHAnsi" w:cstheme="minorBidi"/>
                <w:noProof/>
                <w:kern w:val="2"/>
                <w14:ligatures w14:val="standardContextual"/>
              </w:rPr>
              <w:tab/>
            </w:r>
            <w:r w:rsidRPr="00917F9E">
              <w:rPr>
                <w:rStyle w:val="Hyperlink"/>
                <w:rFonts w:asciiTheme="majorBidi" w:hAnsiTheme="majorBidi" w:cstheme="majorBidi"/>
                <w:noProof/>
                <w:lang w:val="en-GB"/>
              </w:rPr>
              <w:t>Sampling Techniques</w:t>
            </w:r>
            <w:r>
              <w:rPr>
                <w:noProof/>
                <w:webHidden/>
              </w:rPr>
              <w:tab/>
            </w:r>
            <w:r>
              <w:rPr>
                <w:noProof/>
                <w:webHidden/>
              </w:rPr>
              <w:fldChar w:fldCharType="begin"/>
            </w:r>
            <w:r>
              <w:rPr>
                <w:noProof/>
                <w:webHidden/>
              </w:rPr>
              <w:instrText xml:space="preserve"> PAGEREF _Toc197952399 \h </w:instrText>
            </w:r>
            <w:r>
              <w:rPr>
                <w:noProof/>
                <w:webHidden/>
              </w:rPr>
            </w:r>
            <w:r>
              <w:rPr>
                <w:noProof/>
                <w:webHidden/>
              </w:rPr>
              <w:fldChar w:fldCharType="separate"/>
            </w:r>
            <w:r>
              <w:rPr>
                <w:noProof/>
                <w:webHidden/>
              </w:rPr>
              <w:t>18</w:t>
            </w:r>
            <w:r>
              <w:rPr>
                <w:noProof/>
                <w:webHidden/>
              </w:rPr>
              <w:fldChar w:fldCharType="end"/>
            </w:r>
          </w:hyperlink>
        </w:p>
        <w:p w14:paraId="192A240A" w14:textId="5DF955E8" w:rsidR="00064A5E" w:rsidRDefault="00064A5E" w:rsidP="00CD6E34">
          <w:pPr>
            <w:pStyle w:val="TOC2"/>
            <w:spacing w:line="480" w:lineRule="auto"/>
            <w:rPr>
              <w:rFonts w:asciiTheme="minorHAnsi" w:eastAsiaTheme="minorEastAsia" w:hAnsiTheme="minorHAnsi" w:cstheme="minorBidi"/>
              <w:noProof/>
              <w:kern w:val="2"/>
              <w14:ligatures w14:val="standardContextual"/>
            </w:rPr>
          </w:pPr>
          <w:hyperlink w:anchor="_Toc197952400" w:history="1">
            <w:r w:rsidRPr="00917F9E">
              <w:rPr>
                <w:rStyle w:val="Hyperlink"/>
                <w:rFonts w:asciiTheme="majorBidi" w:hAnsiTheme="majorBidi" w:cstheme="majorBidi"/>
                <w:noProof/>
                <w:lang w:val="en-GB"/>
              </w:rPr>
              <w:t>3.6</w:t>
            </w:r>
            <w:r>
              <w:rPr>
                <w:rFonts w:asciiTheme="minorHAnsi" w:eastAsiaTheme="minorEastAsia" w:hAnsiTheme="minorHAnsi" w:cstheme="minorBidi"/>
                <w:noProof/>
                <w:kern w:val="2"/>
                <w14:ligatures w14:val="standardContextual"/>
              </w:rPr>
              <w:tab/>
            </w:r>
            <w:r w:rsidRPr="00917F9E">
              <w:rPr>
                <w:rStyle w:val="Hyperlink"/>
                <w:rFonts w:asciiTheme="majorBidi" w:hAnsiTheme="majorBidi" w:cstheme="majorBidi"/>
                <w:noProof/>
                <w:lang w:val="en-GB"/>
              </w:rPr>
              <w:t>Data Collection</w:t>
            </w:r>
            <w:r>
              <w:rPr>
                <w:noProof/>
                <w:webHidden/>
              </w:rPr>
              <w:tab/>
            </w:r>
            <w:r>
              <w:rPr>
                <w:noProof/>
                <w:webHidden/>
              </w:rPr>
              <w:fldChar w:fldCharType="begin"/>
            </w:r>
            <w:r>
              <w:rPr>
                <w:noProof/>
                <w:webHidden/>
              </w:rPr>
              <w:instrText xml:space="preserve"> PAGEREF _Toc197952400 \h </w:instrText>
            </w:r>
            <w:r>
              <w:rPr>
                <w:noProof/>
                <w:webHidden/>
              </w:rPr>
            </w:r>
            <w:r>
              <w:rPr>
                <w:noProof/>
                <w:webHidden/>
              </w:rPr>
              <w:fldChar w:fldCharType="separate"/>
            </w:r>
            <w:r>
              <w:rPr>
                <w:noProof/>
                <w:webHidden/>
              </w:rPr>
              <w:t>19</w:t>
            </w:r>
            <w:r>
              <w:rPr>
                <w:noProof/>
                <w:webHidden/>
              </w:rPr>
              <w:fldChar w:fldCharType="end"/>
            </w:r>
          </w:hyperlink>
        </w:p>
        <w:p w14:paraId="00B54B4F" w14:textId="77EF142A" w:rsidR="00064A5E" w:rsidRDefault="00064A5E" w:rsidP="00CD6E34">
          <w:pPr>
            <w:pStyle w:val="TOC2"/>
            <w:spacing w:line="480" w:lineRule="auto"/>
            <w:rPr>
              <w:rFonts w:asciiTheme="minorHAnsi" w:eastAsiaTheme="minorEastAsia" w:hAnsiTheme="minorHAnsi" w:cstheme="minorBidi"/>
              <w:noProof/>
              <w:kern w:val="2"/>
              <w14:ligatures w14:val="standardContextual"/>
            </w:rPr>
          </w:pPr>
          <w:hyperlink w:anchor="_Toc197952401" w:history="1">
            <w:r w:rsidRPr="00917F9E">
              <w:rPr>
                <w:rStyle w:val="Hyperlink"/>
                <w:rFonts w:asciiTheme="majorBidi" w:hAnsiTheme="majorBidi" w:cstheme="majorBidi"/>
                <w:noProof/>
                <w:lang w:val="en-GB"/>
              </w:rPr>
              <w:t>3.7</w:t>
            </w:r>
            <w:r>
              <w:rPr>
                <w:rFonts w:asciiTheme="minorHAnsi" w:eastAsiaTheme="minorEastAsia" w:hAnsiTheme="minorHAnsi" w:cstheme="minorBidi"/>
                <w:noProof/>
                <w:kern w:val="2"/>
                <w14:ligatures w14:val="standardContextual"/>
              </w:rPr>
              <w:tab/>
            </w:r>
            <w:r w:rsidRPr="00917F9E">
              <w:rPr>
                <w:rStyle w:val="Hyperlink"/>
                <w:rFonts w:asciiTheme="majorBidi" w:hAnsiTheme="majorBidi" w:cstheme="majorBidi"/>
                <w:noProof/>
                <w:lang w:val="en-GB"/>
              </w:rPr>
              <w:t>Data Analysis</w:t>
            </w:r>
            <w:r>
              <w:rPr>
                <w:noProof/>
                <w:webHidden/>
              </w:rPr>
              <w:tab/>
            </w:r>
            <w:r>
              <w:rPr>
                <w:noProof/>
                <w:webHidden/>
              </w:rPr>
              <w:fldChar w:fldCharType="begin"/>
            </w:r>
            <w:r>
              <w:rPr>
                <w:noProof/>
                <w:webHidden/>
              </w:rPr>
              <w:instrText xml:space="preserve"> PAGEREF _Toc197952401 \h </w:instrText>
            </w:r>
            <w:r>
              <w:rPr>
                <w:noProof/>
                <w:webHidden/>
              </w:rPr>
            </w:r>
            <w:r>
              <w:rPr>
                <w:noProof/>
                <w:webHidden/>
              </w:rPr>
              <w:fldChar w:fldCharType="separate"/>
            </w:r>
            <w:r>
              <w:rPr>
                <w:noProof/>
                <w:webHidden/>
              </w:rPr>
              <w:t>20</w:t>
            </w:r>
            <w:r>
              <w:rPr>
                <w:noProof/>
                <w:webHidden/>
              </w:rPr>
              <w:fldChar w:fldCharType="end"/>
            </w:r>
          </w:hyperlink>
        </w:p>
        <w:p w14:paraId="4616C79A" w14:textId="21453A1A" w:rsidR="00064A5E" w:rsidRDefault="00064A5E" w:rsidP="00CD6E34">
          <w:pPr>
            <w:pStyle w:val="TOC2"/>
            <w:spacing w:line="480" w:lineRule="auto"/>
            <w:rPr>
              <w:rFonts w:asciiTheme="minorHAnsi" w:eastAsiaTheme="minorEastAsia" w:hAnsiTheme="minorHAnsi" w:cstheme="minorBidi"/>
              <w:noProof/>
              <w:kern w:val="2"/>
              <w14:ligatures w14:val="standardContextual"/>
            </w:rPr>
          </w:pPr>
          <w:hyperlink w:anchor="_Toc197952402" w:history="1">
            <w:r w:rsidRPr="00917F9E">
              <w:rPr>
                <w:rStyle w:val="Hyperlink"/>
                <w:rFonts w:asciiTheme="majorBidi" w:hAnsiTheme="majorBidi" w:cstheme="majorBidi"/>
                <w:noProof/>
                <w:lang w:val="en-GB"/>
              </w:rPr>
              <w:t>3.8</w:t>
            </w:r>
            <w:r>
              <w:rPr>
                <w:rFonts w:asciiTheme="minorHAnsi" w:eastAsiaTheme="minorEastAsia" w:hAnsiTheme="minorHAnsi" w:cstheme="minorBidi"/>
                <w:noProof/>
                <w:kern w:val="2"/>
                <w14:ligatures w14:val="standardContextual"/>
              </w:rPr>
              <w:tab/>
            </w:r>
            <w:r w:rsidRPr="00917F9E">
              <w:rPr>
                <w:rStyle w:val="Hyperlink"/>
                <w:rFonts w:asciiTheme="majorBidi" w:hAnsiTheme="majorBidi" w:cstheme="majorBidi"/>
                <w:noProof/>
                <w:lang w:val="en-GB"/>
              </w:rPr>
              <w:t>Ethical Considerations</w:t>
            </w:r>
            <w:r>
              <w:rPr>
                <w:noProof/>
                <w:webHidden/>
              </w:rPr>
              <w:tab/>
            </w:r>
            <w:r>
              <w:rPr>
                <w:noProof/>
                <w:webHidden/>
              </w:rPr>
              <w:fldChar w:fldCharType="begin"/>
            </w:r>
            <w:r>
              <w:rPr>
                <w:noProof/>
                <w:webHidden/>
              </w:rPr>
              <w:instrText xml:space="preserve"> PAGEREF _Toc197952402 \h </w:instrText>
            </w:r>
            <w:r>
              <w:rPr>
                <w:noProof/>
                <w:webHidden/>
              </w:rPr>
            </w:r>
            <w:r>
              <w:rPr>
                <w:noProof/>
                <w:webHidden/>
              </w:rPr>
              <w:fldChar w:fldCharType="separate"/>
            </w:r>
            <w:r>
              <w:rPr>
                <w:noProof/>
                <w:webHidden/>
              </w:rPr>
              <w:t>20</w:t>
            </w:r>
            <w:r>
              <w:rPr>
                <w:noProof/>
                <w:webHidden/>
              </w:rPr>
              <w:fldChar w:fldCharType="end"/>
            </w:r>
          </w:hyperlink>
        </w:p>
        <w:p w14:paraId="72F437BC" w14:textId="373979E6" w:rsidR="00064A5E" w:rsidRDefault="00064A5E" w:rsidP="00CD6E34">
          <w:pPr>
            <w:pStyle w:val="TOC2"/>
            <w:spacing w:line="480" w:lineRule="auto"/>
            <w:rPr>
              <w:rFonts w:asciiTheme="minorHAnsi" w:eastAsiaTheme="minorEastAsia" w:hAnsiTheme="minorHAnsi" w:cstheme="minorBidi"/>
              <w:noProof/>
              <w:kern w:val="2"/>
              <w14:ligatures w14:val="standardContextual"/>
            </w:rPr>
          </w:pPr>
          <w:hyperlink w:anchor="_Toc197952403" w:history="1">
            <w:r w:rsidRPr="00917F9E">
              <w:rPr>
                <w:rStyle w:val="Hyperlink"/>
                <w:rFonts w:asciiTheme="majorBidi" w:hAnsiTheme="majorBidi" w:cstheme="majorBidi"/>
                <w:noProof/>
                <w:lang w:val="en-GB"/>
              </w:rPr>
              <w:t>3.9</w:t>
            </w:r>
            <w:r>
              <w:rPr>
                <w:rFonts w:asciiTheme="minorHAnsi" w:eastAsiaTheme="minorEastAsia" w:hAnsiTheme="minorHAnsi" w:cstheme="minorBidi"/>
                <w:noProof/>
                <w:kern w:val="2"/>
                <w14:ligatures w14:val="standardContextual"/>
              </w:rPr>
              <w:tab/>
            </w:r>
            <w:r w:rsidRPr="00917F9E">
              <w:rPr>
                <w:rStyle w:val="Hyperlink"/>
                <w:rFonts w:asciiTheme="majorBidi" w:hAnsiTheme="majorBidi" w:cstheme="majorBidi"/>
                <w:noProof/>
                <w:lang w:val="en-GB"/>
              </w:rPr>
              <w:t>Measures</w:t>
            </w:r>
            <w:r>
              <w:rPr>
                <w:noProof/>
                <w:webHidden/>
              </w:rPr>
              <w:tab/>
            </w:r>
            <w:r>
              <w:rPr>
                <w:noProof/>
                <w:webHidden/>
              </w:rPr>
              <w:fldChar w:fldCharType="begin"/>
            </w:r>
            <w:r>
              <w:rPr>
                <w:noProof/>
                <w:webHidden/>
              </w:rPr>
              <w:instrText xml:space="preserve"> PAGEREF _Toc197952403 \h </w:instrText>
            </w:r>
            <w:r>
              <w:rPr>
                <w:noProof/>
                <w:webHidden/>
              </w:rPr>
            </w:r>
            <w:r>
              <w:rPr>
                <w:noProof/>
                <w:webHidden/>
              </w:rPr>
              <w:fldChar w:fldCharType="separate"/>
            </w:r>
            <w:r>
              <w:rPr>
                <w:noProof/>
                <w:webHidden/>
              </w:rPr>
              <w:t>21</w:t>
            </w:r>
            <w:r>
              <w:rPr>
                <w:noProof/>
                <w:webHidden/>
              </w:rPr>
              <w:fldChar w:fldCharType="end"/>
            </w:r>
          </w:hyperlink>
        </w:p>
        <w:p w14:paraId="1E0B15F8" w14:textId="492DF37C" w:rsidR="00064A5E" w:rsidRDefault="00064A5E" w:rsidP="00CD6E34">
          <w:pPr>
            <w:pStyle w:val="TOC2"/>
            <w:spacing w:line="480" w:lineRule="auto"/>
            <w:rPr>
              <w:rFonts w:asciiTheme="minorHAnsi" w:eastAsiaTheme="minorEastAsia" w:hAnsiTheme="minorHAnsi" w:cstheme="minorBidi"/>
              <w:noProof/>
              <w:kern w:val="2"/>
              <w14:ligatures w14:val="standardContextual"/>
            </w:rPr>
          </w:pPr>
          <w:hyperlink w:anchor="_Toc197952404" w:history="1">
            <w:r w:rsidRPr="00917F9E">
              <w:rPr>
                <w:rStyle w:val="Hyperlink"/>
                <w:rFonts w:asciiTheme="majorBidi" w:hAnsiTheme="majorBidi" w:cstheme="majorBidi"/>
                <w:noProof/>
                <w:lang w:val="en-GB"/>
              </w:rPr>
              <w:t>3.10</w:t>
            </w:r>
            <w:r>
              <w:rPr>
                <w:rFonts w:asciiTheme="minorHAnsi" w:eastAsiaTheme="minorEastAsia" w:hAnsiTheme="minorHAnsi" w:cstheme="minorBidi"/>
                <w:noProof/>
                <w:kern w:val="2"/>
                <w14:ligatures w14:val="standardContextual"/>
              </w:rPr>
              <w:tab/>
            </w:r>
            <w:r w:rsidRPr="00917F9E">
              <w:rPr>
                <w:rStyle w:val="Hyperlink"/>
                <w:rFonts w:asciiTheme="majorBidi" w:hAnsiTheme="majorBidi" w:cstheme="majorBidi"/>
                <w:noProof/>
                <w:lang w:val="en-GB"/>
              </w:rPr>
              <w:t>The Study Variables</w:t>
            </w:r>
            <w:r>
              <w:rPr>
                <w:noProof/>
                <w:webHidden/>
              </w:rPr>
              <w:tab/>
            </w:r>
            <w:r>
              <w:rPr>
                <w:noProof/>
                <w:webHidden/>
              </w:rPr>
              <w:fldChar w:fldCharType="begin"/>
            </w:r>
            <w:r>
              <w:rPr>
                <w:noProof/>
                <w:webHidden/>
              </w:rPr>
              <w:instrText xml:space="preserve"> PAGEREF _Toc197952404 \h </w:instrText>
            </w:r>
            <w:r>
              <w:rPr>
                <w:noProof/>
                <w:webHidden/>
              </w:rPr>
            </w:r>
            <w:r>
              <w:rPr>
                <w:noProof/>
                <w:webHidden/>
              </w:rPr>
              <w:fldChar w:fldCharType="separate"/>
            </w:r>
            <w:r>
              <w:rPr>
                <w:noProof/>
                <w:webHidden/>
              </w:rPr>
              <w:t>21</w:t>
            </w:r>
            <w:r>
              <w:rPr>
                <w:noProof/>
                <w:webHidden/>
              </w:rPr>
              <w:fldChar w:fldCharType="end"/>
            </w:r>
          </w:hyperlink>
        </w:p>
        <w:p w14:paraId="2A568983" w14:textId="35276F9F" w:rsidR="00064A5E" w:rsidRDefault="00064A5E" w:rsidP="00CD6E34">
          <w:pPr>
            <w:pStyle w:val="TOC1"/>
            <w:spacing w:line="480" w:lineRule="auto"/>
            <w:rPr>
              <w:rFonts w:asciiTheme="minorHAnsi" w:eastAsiaTheme="minorEastAsia" w:hAnsiTheme="minorHAnsi" w:cstheme="minorBidi"/>
              <w:kern w:val="2"/>
              <w:lang w:val="en-US"/>
              <w14:ligatures w14:val="standardContextual"/>
            </w:rPr>
          </w:pPr>
          <w:hyperlink w:anchor="_Toc197952405" w:history="1">
            <w:r w:rsidRPr="00917F9E">
              <w:rPr>
                <w:rStyle w:val="Hyperlink"/>
              </w:rPr>
              <w:t>Chapter 4: Data Analysis and Results</w:t>
            </w:r>
            <w:r>
              <w:rPr>
                <w:webHidden/>
              </w:rPr>
              <w:tab/>
            </w:r>
            <w:r>
              <w:rPr>
                <w:webHidden/>
              </w:rPr>
              <w:fldChar w:fldCharType="begin"/>
            </w:r>
            <w:r>
              <w:rPr>
                <w:webHidden/>
              </w:rPr>
              <w:instrText xml:space="preserve"> PAGEREF _Toc197952405 \h </w:instrText>
            </w:r>
            <w:r>
              <w:rPr>
                <w:webHidden/>
              </w:rPr>
            </w:r>
            <w:r>
              <w:rPr>
                <w:webHidden/>
              </w:rPr>
              <w:fldChar w:fldCharType="separate"/>
            </w:r>
            <w:r>
              <w:rPr>
                <w:webHidden/>
              </w:rPr>
              <w:t>22</w:t>
            </w:r>
            <w:r>
              <w:rPr>
                <w:webHidden/>
              </w:rPr>
              <w:fldChar w:fldCharType="end"/>
            </w:r>
          </w:hyperlink>
        </w:p>
        <w:p w14:paraId="54E625D4" w14:textId="075C05BF" w:rsidR="00064A5E" w:rsidRDefault="00064A5E" w:rsidP="00CD6E34">
          <w:pPr>
            <w:pStyle w:val="TOC2"/>
            <w:spacing w:line="480" w:lineRule="auto"/>
            <w:rPr>
              <w:rFonts w:asciiTheme="minorHAnsi" w:eastAsiaTheme="minorEastAsia" w:hAnsiTheme="minorHAnsi" w:cstheme="minorBidi"/>
              <w:noProof/>
              <w:kern w:val="2"/>
              <w14:ligatures w14:val="standardContextual"/>
            </w:rPr>
          </w:pPr>
          <w:hyperlink w:anchor="_Toc197952406" w:history="1">
            <w:r w:rsidRPr="00917F9E">
              <w:rPr>
                <w:rStyle w:val="Hyperlink"/>
                <w:noProof/>
                <w:lang w:val="en-GB"/>
              </w:rPr>
              <w:t>4.1</w:t>
            </w:r>
            <w:r>
              <w:rPr>
                <w:rFonts w:asciiTheme="minorHAnsi" w:eastAsiaTheme="minorEastAsia" w:hAnsiTheme="minorHAnsi" w:cstheme="minorBidi"/>
                <w:noProof/>
                <w:kern w:val="2"/>
                <w14:ligatures w14:val="standardContextual"/>
              </w:rPr>
              <w:tab/>
            </w:r>
            <w:r w:rsidRPr="00917F9E">
              <w:rPr>
                <w:rStyle w:val="Hyperlink"/>
                <w:noProof/>
                <w:lang w:val="en-GB"/>
              </w:rPr>
              <w:t>The Demographics of the Respondents</w:t>
            </w:r>
            <w:r>
              <w:rPr>
                <w:noProof/>
                <w:webHidden/>
              </w:rPr>
              <w:tab/>
            </w:r>
            <w:r>
              <w:rPr>
                <w:noProof/>
                <w:webHidden/>
              </w:rPr>
              <w:fldChar w:fldCharType="begin"/>
            </w:r>
            <w:r>
              <w:rPr>
                <w:noProof/>
                <w:webHidden/>
              </w:rPr>
              <w:instrText xml:space="preserve"> PAGEREF _Toc197952406 \h </w:instrText>
            </w:r>
            <w:r>
              <w:rPr>
                <w:noProof/>
                <w:webHidden/>
              </w:rPr>
            </w:r>
            <w:r>
              <w:rPr>
                <w:noProof/>
                <w:webHidden/>
              </w:rPr>
              <w:fldChar w:fldCharType="separate"/>
            </w:r>
            <w:r>
              <w:rPr>
                <w:noProof/>
                <w:webHidden/>
              </w:rPr>
              <w:t>22</w:t>
            </w:r>
            <w:r>
              <w:rPr>
                <w:noProof/>
                <w:webHidden/>
              </w:rPr>
              <w:fldChar w:fldCharType="end"/>
            </w:r>
          </w:hyperlink>
        </w:p>
        <w:p w14:paraId="1C461B8C" w14:textId="634B471D" w:rsidR="00064A5E" w:rsidRDefault="00064A5E" w:rsidP="00CD6E34">
          <w:pPr>
            <w:pStyle w:val="TOC2"/>
            <w:spacing w:line="480" w:lineRule="auto"/>
            <w:rPr>
              <w:rFonts w:asciiTheme="minorHAnsi" w:eastAsiaTheme="minorEastAsia" w:hAnsiTheme="minorHAnsi" w:cstheme="minorBidi"/>
              <w:noProof/>
              <w:kern w:val="2"/>
              <w14:ligatures w14:val="standardContextual"/>
            </w:rPr>
          </w:pPr>
          <w:hyperlink w:anchor="_Toc197952407" w:history="1">
            <w:r w:rsidRPr="00917F9E">
              <w:rPr>
                <w:rStyle w:val="Hyperlink"/>
                <w:noProof/>
                <w:lang w:val="en-GB"/>
              </w:rPr>
              <w:t>4.2</w:t>
            </w:r>
            <w:r>
              <w:rPr>
                <w:rFonts w:asciiTheme="minorHAnsi" w:eastAsiaTheme="minorEastAsia" w:hAnsiTheme="minorHAnsi" w:cstheme="minorBidi"/>
                <w:noProof/>
                <w:kern w:val="2"/>
                <w14:ligatures w14:val="standardContextual"/>
              </w:rPr>
              <w:tab/>
            </w:r>
            <w:r w:rsidRPr="00917F9E">
              <w:rPr>
                <w:rStyle w:val="Hyperlink"/>
                <w:noProof/>
                <w:lang w:val="en-GB"/>
              </w:rPr>
              <w:t>Structural Equation Modelling</w:t>
            </w:r>
            <w:r>
              <w:rPr>
                <w:noProof/>
                <w:webHidden/>
              </w:rPr>
              <w:tab/>
            </w:r>
            <w:r>
              <w:rPr>
                <w:noProof/>
                <w:webHidden/>
              </w:rPr>
              <w:fldChar w:fldCharType="begin"/>
            </w:r>
            <w:r>
              <w:rPr>
                <w:noProof/>
                <w:webHidden/>
              </w:rPr>
              <w:instrText xml:space="preserve"> PAGEREF _Toc197952407 \h </w:instrText>
            </w:r>
            <w:r>
              <w:rPr>
                <w:noProof/>
                <w:webHidden/>
              </w:rPr>
            </w:r>
            <w:r>
              <w:rPr>
                <w:noProof/>
                <w:webHidden/>
              </w:rPr>
              <w:fldChar w:fldCharType="separate"/>
            </w:r>
            <w:r>
              <w:rPr>
                <w:noProof/>
                <w:webHidden/>
              </w:rPr>
              <w:t>22</w:t>
            </w:r>
            <w:r>
              <w:rPr>
                <w:noProof/>
                <w:webHidden/>
              </w:rPr>
              <w:fldChar w:fldCharType="end"/>
            </w:r>
          </w:hyperlink>
        </w:p>
        <w:p w14:paraId="489B820E" w14:textId="5BB64BCB" w:rsidR="00064A5E" w:rsidRDefault="00064A5E" w:rsidP="00CD6E34">
          <w:pPr>
            <w:pStyle w:val="TOC2"/>
            <w:spacing w:line="480" w:lineRule="auto"/>
            <w:rPr>
              <w:rFonts w:asciiTheme="minorHAnsi" w:eastAsiaTheme="minorEastAsia" w:hAnsiTheme="minorHAnsi" w:cstheme="minorBidi"/>
              <w:noProof/>
              <w:kern w:val="2"/>
              <w14:ligatures w14:val="standardContextual"/>
            </w:rPr>
          </w:pPr>
          <w:hyperlink w:anchor="_Toc197952408" w:history="1">
            <w:r w:rsidRPr="00917F9E">
              <w:rPr>
                <w:rStyle w:val="Hyperlink"/>
                <w:rFonts w:asciiTheme="majorBidi" w:hAnsiTheme="majorBidi" w:cstheme="majorBidi"/>
                <w:noProof/>
                <w:lang w:val="en-GB"/>
              </w:rPr>
              <w:t>4.2.1</w:t>
            </w:r>
            <w:r>
              <w:rPr>
                <w:rFonts w:asciiTheme="minorHAnsi" w:eastAsiaTheme="minorEastAsia" w:hAnsiTheme="minorHAnsi" w:cstheme="minorBidi"/>
                <w:noProof/>
                <w:kern w:val="2"/>
                <w14:ligatures w14:val="standardContextual"/>
              </w:rPr>
              <w:tab/>
            </w:r>
            <w:r w:rsidRPr="00917F9E">
              <w:rPr>
                <w:rStyle w:val="Hyperlink"/>
                <w:rFonts w:asciiTheme="majorBidi" w:hAnsiTheme="majorBidi" w:cstheme="majorBidi"/>
                <w:noProof/>
                <w:lang w:val="en-GB"/>
              </w:rPr>
              <w:t>Measurement Model</w:t>
            </w:r>
            <w:r>
              <w:rPr>
                <w:noProof/>
                <w:webHidden/>
              </w:rPr>
              <w:tab/>
            </w:r>
            <w:r>
              <w:rPr>
                <w:noProof/>
                <w:webHidden/>
              </w:rPr>
              <w:fldChar w:fldCharType="begin"/>
            </w:r>
            <w:r>
              <w:rPr>
                <w:noProof/>
                <w:webHidden/>
              </w:rPr>
              <w:instrText xml:space="preserve"> PAGEREF _Toc197952408 \h </w:instrText>
            </w:r>
            <w:r>
              <w:rPr>
                <w:noProof/>
                <w:webHidden/>
              </w:rPr>
            </w:r>
            <w:r>
              <w:rPr>
                <w:noProof/>
                <w:webHidden/>
              </w:rPr>
              <w:fldChar w:fldCharType="separate"/>
            </w:r>
            <w:r>
              <w:rPr>
                <w:noProof/>
                <w:webHidden/>
              </w:rPr>
              <w:t>23</w:t>
            </w:r>
            <w:r>
              <w:rPr>
                <w:noProof/>
                <w:webHidden/>
              </w:rPr>
              <w:fldChar w:fldCharType="end"/>
            </w:r>
          </w:hyperlink>
        </w:p>
        <w:p w14:paraId="10D935C5" w14:textId="01B89FAC" w:rsidR="00064A5E" w:rsidRDefault="00064A5E" w:rsidP="00CD6E34">
          <w:pPr>
            <w:pStyle w:val="TOC2"/>
            <w:spacing w:line="480" w:lineRule="auto"/>
            <w:rPr>
              <w:rFonts w:asciiTheme="minorHAnsi" w:eastAsiaTheme="minorEastAsia" w:hAnsiTheme="minorHAnsi" w:cstheme="minorBidi"/>
              <w:noProof/>
              <w:kern w:val="2"/>
              <w14:ligatures w14:val="standardContextual"/>
            </w:rPr>
          </w:pPr>
          <w:hyperlink w:anchor="_Toc197952409" w:history="1">
            <w:r w:rsidRPr="00917F9E">
              <w:rPr>
                <w:rStyle w:val="Hyperlink"/>
                <w:rFonts w:asciiTheme="majorBidi" w:hAnsiTheme="majorBidi" w:cstheme="majorBidi"/>
                <w:noProof/>
                <w:lang w:val="en-GB"/>
              </w:rPr>
              <w:t>4.2.2</w:t>
            </w:r>
            <w:r>
              <w:rPr>
                <w:rFonts w:asciiTheme="minorHAnsi" w:eastAsiaTheme="minorEastAsia" w:hAnsiTheme="minorHAnsi" w:cstheme="minorBidi"/>
                <w:noProof/>
                <w:kern w:val="2"/>
                <w14:ligatures w14:val="standardContextual"/>
              </w:rPr>
              <w:tab/>
            </w:r>
            <w:r w:rsidRPr="00917F9E">
              <w:rPr>
                <w:rStyle w:val="Hyperlink"/>
                <w:rFonts w:asciiTheme="majorBidi" w:hAnsiTheme="majorBidi" w:cstheme="majorBidi"/>
                <w:noProof/>
                <w:lang w:val="en-GB"/>
              </w:rPr>
              <w:t>Structural Model</w:t>
            </w:r>
            <w:r>
              <w:rPr>
                <w:noProof/>
                <w:webHidden/>
              </w:rPr>
              <w:tab/>
            </w:r>
            <w:r>
              <w:rPr>
                <w:noProof/>
                <w:webHidden/>
              </w:rPr>
              <w:fldChar w:fldCharType="begin"/>
            </w:r>
            <w:r>
              <w:rPr>
                <w:noProof/>
                <w:webHidden/>
              </w:rPr>
              <w:instrText xml:space="preserve"> PAGEREF _Toc197952409 \h </w:instrText>
            </w:r>
            <w:r>
              <w:rPr>
                <w:noProof/>
                <w:webHidden/>
              </w:rPr>
            </w:r>
            <w:r>
              <w:rPr>
                <w:noProof/>
                <w:webHidden/>
              </w:rPr>
              <w:fldChar w:fldCharType="separate"/>
            </w:r>
            <w:r>
              <w:rPr>
                <w:noProof/>
                <w:webHidden/>
              </w:rPr>
              <w:t>27</w:t>
            </w:r>
            <w:r>
              <w:rPr>
                <w:noProof/>
                <w:webHidden/>
              </w:rPr>
              <w:fldChar w:fldCharType="end"/>
            </w:r>
          </w:hyperlink>
        </w:p>
        <w:p w14:paraId="77F08282" w14:textId="085648F6" w:rsidR="00064A5E" w:rsidRDefault="00064A5E" w:rsidP="00CD6E34">
          <w:pPr>
            <w:pStyle w:val="TOC1"/>
            <w:spacing w:line="480" w:lineRule="auto"/>
            <w:rPr>
              <w:rFonts w:asciiTheme="minorHAnsi" w:eastAsiaTheme="minorEastAsia" w:hAnsiTheme="minorHAnsi" w:cstheme="minorBidi"/>
              <w:kern w:val="2"/>
              <w:lang w:val="en-US"/>
              <w14:ligatures w14:val="standardContextual"/>
            </w:rPr>
          </w:pPr>
          <w:hyperlink w:anchor="_Toc197952410" w:history="1">
            <w:r w:rsidRPr="00917F9E">
              <w:rPr>
                <w:rStyle w:val="Hyperlink"/>
              </w:rPr>
              <w:t>Chapter 5: Discussion</w:t>
            </w:r>
            <w:r>
              <w:rPr>
                <w:webHidden/>
              </w:rPr>
              <w:tab/>
            </w:r>
            <w:r>
              <w:rPr>
                <w:webHidden/>
              </w:rPr>
              <w:fldChar w:fldCharType="begin"/>
            </w:r>
            <w:r>
              <w:rPr>
                <w:webHidden/>
              </w:rPr>
              <w:instrText xml:space="preserve"> PAGEREF _Toc197952410 \h </w:instrText>
            </w:r>
            <w:r>
              <w:rPr>
                <w:webHidden/>
              </w:rPr>
            </w:r>
            <w:r>
              <w:rPr>
                <w:webHidden/>
              </w:rPr>
              <w:fldChar w:fldCharType="separate"/>
            </w:r>
            <w:r>
              <w:rPr>
                <w:webHidden/>
              </w:rPr>
              <w:t>34</w:t>
            </w:r>
            <w:r>
              <w:rPr>
                <w:webHidden/>
              </w:rPr>
              <w:fldChar w:fldCharType="end"/>
            </w:r>
          </w:hyperlink>
        </w:p>
        <w:p w14:paraId="60CB9B0D" w14:textId="76F85E7D" w:rsidR="00064A5E" w:rsidRDefault="00064A5E" w:rsidP="00CD6E34">
          <w:pPr>
            <w:pStyle w:val="TOC1"/>
            <w:spacing w:line="480" w:lineRule="auto"/>
            <w:rPr>
              <w:rFonts w:asciiTheme="minorHAnsi" w:eastAsiaTheme="minorEastAsia" w:hAnsiTheme="minorHAnsi" w:cstheme="minorBidi"/>
              <w:kern w:val="2"/>
              <w:lang w:val="en-US"/>
              <w14:ligatures w14:val="standardContextual"/>
            </w:rPr>
          </w:pPr>
          <w:hyperlink w:anchor="_Toc197952411" w:history="1">
            <w:r w:rsidRPr="00917F9E">
              <w:rPr>
                <w:rStyle w:val="Hyperlink"/>
              </w:rPr>
              <w:t>Chapter 6: Theoretical and Practical Implications</w:t>
            </w:r>
            <w:r>
              <w:rPr>
                <w:webHidden/>
              </w:rPr>
              <w:tab/>
            </w:r>
            <w:r>
              <w:rPr>
                <w:webHidden/>
              </w:rPr>
              <w:fldChar w:fldCharType="begin"/>
            </w:r>
            <w:r>
              <w:rPr>
                <w:webHidden/>
              </w:rPr>
              <w:instrText xml:space="preserve"> PAGEREF _Toc197952411 \h </w:instrText>
            </w:r>
            <w:r>
              <w:rPr>
                <w:webHidden/>
              </w:rPr>
            </w:r>
            <w:r>
              <w:rPr>
                <w:webHidden/>
              </w:rPr>
              <w:fldChar w:fldCharType="separate"/>
            </w:r>
            <w:r>
              <w:rPr>
                <w:webHidden/>
              </w:rPr>
              <w:t>36</w:t>
            </w:r>
            <w:r>
              <w:rPr>
                <w:webHidden/>
              </w:rPr>
              <w:fldChar w:fldCharType="end"/>
            </w:r>
          </w:hyperlink>
        </w:p>
        <w:p w14:paraId="7E083C3A" w14:textId="383643DB" w:rsidR="00064A5E" w:rsidRPr="00064A5E" w:rsidRDefault="00064A5E" w:rsidP="00CD6E34">
          <w:pPr>
            <w:pStyle w:val="TOC1"/>
            <w:spacing w:line="480" w:lineRule="auto"/>
            <w:rPr>
              <w:rFonts w:asciiTheme="minorHAnsi" w:eastAsiaTheme="minorEastAsia" w:hAnsiTheme="minorHAnsi" w:cstheme="minorBidi"/>
              <w:kern w:val="2"/>
              <w:lang w:val="en-US"/>
              <w14:ligatures w14:val="standardContextual"/>
            </w:rPr>
          </w:pPr>
          <w:hyperlink w:anchor="_Toc197952412" w:history="1">
            <w:r w:rsidRPr="00064A5E">
              <w:rPr>
                <w:rStyle w:val="Hyperlink"/>
              </w:rPr>
              <w:t>Chapter 7: Conclusions, Recommendations, and Limitations</w:t>
            </w:r>
            <w:r w:rsidRPr="00064A5E">
              <w:rPr>
                <w:webHidden/>
              </w:rPr>
              <w:tab/>
            </w:r>
            <w:r w:rsidRPr="00064A5E">
              <w:rPr>
                <w:webHidden/>
              </w:rPr>
              <w:fldChar w:fldCharType="begin"/>
            </w:r>
            <w:r w:rsidRPr="00064A5E">
              <w:rPr>
                <w:webHidden/>
              </w:rPr>
              <w:instrText xml:space="preserve"> PAGEREF _Toc197952412 \h </w:instrText>
            </w:r>
            <w:r w:rsidRPr="00064A5E">
              <w:rPr>
                <w:webHidden/>
              </w:rPr>
            </w:r>
            <w:r w:rsidRPr="00064A5E">
              <w:rPr>
                <w:webHidden/>
              </w:rPr>
              <w:fldChar w:fldCharType="separate"/>
            </w:r>
            <w:r w:rsidRPr="00064A5E">
              <w:rPr>
                <w:webHidden/>
              </w:rPr>
              <w:t>38</w:t>
            </w:r>
            <w:r w:rsidRPr="00064A5E">
              <w:rPr>
                <w:webHidden/>
              </w:rPr>
              <w:fldChar w:fldCharType="end"/>
            </w:r>
          </w:hyperlink>
        </w:p>
        <w:p w14:paraId="1CFB7C9A" w14:textId="6BB0D1DE" w:rsidR="00064A5E" w:rsidRDefault="00064A5E" w:rsidP="00CD6E34">
          <w:pPr>
            <w:pStyle w:val="TOC2"/>
            <w:spacing w:line="480" w:lineRule="auto"/>
            <w:rPr>
              <w:rFonts w:asciiTheme="minorHAnsi" w:eastAsiaTheme="minorEastAsia" w:hAnsiTheme="minorHAnsi" w:cstheme="minorBidi"/>
              <w:noProof/>
              <w:kern w:val="2"/>
              <w14:ligatures w14:val="standardContextual"/>
            </w:rPr>
          </w:pPr>
          <w:hyperlink w:anchor="_Toc197952413" w:history="1">
            <w:r w:rsidRPr="00917F9E">
              <w:rPr>
                <w:rStyle w:val="Hyperlink"/>
                <w:noProof/>
                <w:lang w:val="en-GB"/>
              </w:rPr>
              <w:t>7.1</w:t>
            </w:r>
            <w:r>
              <w:rPr>
                <w:rFonts w:asciiTheme="minorHAnsi" w:eastAsiaTheme="minorEastAsia" w:hAnsiTheme="minorHAnsi" w:cstheme="minorBidi"/>
                <w:noProof/>
                <w:kern w:val="2"/>
                <w14:ligatures w14:val="standardContextual"/>
              </w:rPr>
              <w:tab/>
            </w:r>
            <w:r w:rsidRPr="00917F9E">
              <w:rPr>
                <w:rStyle w:val="Hyperlink"/>
                <w:noProof/>
                <w:lang w:val="en-GB"/>
              </w:rPr>
              <w:t>Conclusions and Recommendations</w:t>
            </w:r>
            <w:r>
              <w:rPr>
                <w:noProof/>
                <w:webHidden/>
              </w:rPr>
              <w:tab/>
            </w:r>
            <w:r>
              <w:rPr>
                <w:noProof/>
                <w:webHidden/>
              </w:rPr>
              <w:fldChar w:fldCharType="begin"/>
            </w:r>
            <w:r>
              <w:rPr>
                <w:noProof/>
                <w:webHidden/>
              </w:rPr>
              <w:instrText xml:space="preserve"> PAGEREF _Toc197952413 \h </w:instrText>
            </w:r>
            <w:r>
              <w:rPr>
                <w:noProof/>
                <w:webHidden/>
              </w:rPr>
            </w:r>
            <w:r>
              <w:rPr>
                <w:noProof/>
                <w:webHidden/>
              </w:rPr>
              <w:fldChar w:fldCharType="separate"/>
            </w:r>
            <w:r>
              <w:rPr>
                <w:noProof/>
                <w:webHidden/>
              </w:rPr>
              <w:t>38</w:t>
            </w:r>
            <w:r>
              <w:rPr>
                <w:noProof/>
                <w:webHidden/>
              </w:rPr>
              <w:fldChar w:fldCharType="end"/>
            </w:r>
          </w:hyperlink>
        </w:p>
        <w:p w14:paraId="76E7D96A" w14:textId="4DFC705C" w:rsidR="00064A5E" w:rsidRDefault="00064A5E" w:rsidP="00CD6E34">
          <w:pPr>
            <w:pStyle w:val="TOC2"/>
            <w:spacing w:line="480" w:lineRule="auto"/>
            <w:rPr>
              <w:rFonts w:asciiTheme="minorHAnsi" w:eastAsiaTheme="minorEastAsia" w:hAnsiTheme="minorHAnsi" w:cstheme="minorBidi"/>
              <w:noProof/>
              <w:kern w:val="2"/>
              <w14:ligatures w14:val="standardContextual"/>
            </w:rPr>
          </w:pPr>
          <w:hyperlink w:anchor="_Toc197952414" w:history="1">
            <w:r w:rsidRPr="00917F9E">
              <w:rPr>
                <w:rStyle w:val="Hyperlink"/>
                <w:noProof/>
                <w:lang w:val="en-GB"/>
              </w:rPr>
              <w:t>7.2</w:t>
            </w:r>
            <w:r>
              <w:rPr>
                <w:rFonts w:asciiTheme="minorHAnsi" w:eastAsiaTheme="minorEastAsia" w:hAnsiTheme="minorHAnsi" w:cstheme="minorBidi"/>
                <w:noProof/>
                <w:kern w:val="2"/>
                <w14:ligatures w14:val="standardContextual"/>
              </w:rPr>
              <w:tab/>
            </w:r>
            <w:r w:rsidRPr="00917F9E">
              <w:rPr>
                <w:rStyle w:val="Hyperlink"/>
                <w:noProof/>
                <w:lang w:val="en-GB"/>
              </w:rPr>
              <w:t>Limitations</w:t>
            </w:r>
            <w:r>
              <w:rPr>
                <w:noProof/>
                <w:webHidden/>
              </w:rPr>
              <w:tab/>
            </w:r>
            <w:r>
              <w:rPr>
                <w:noProof/>
                <w:webHidden/>
              </w:rPr>
              <w:fldChar w:fldCharType="begin"/>
            </w:r>
            <w:r>
              <w:rPr>
                <w:noProof/>
                <w:webHidden/>
              </w:rPr>
              <w:instrText xml:space="preserve"> PAGEREF _Toc197952414 \h </w:instrText>
            </w:r>
            <w:r>
              <w:rPr>
                <w:noProof/>
                <w:webHidden/>
              </w:rPr>
            </w:r>
            <w:r>
              <w:rPr>
                <w:noProof/>
                <w:webHidden/>
              </w:rPr>
              <w:fldChar w:fldCharType="separate"/>
            </w:r>
            <w:r>
              <w:rPr>
                <w:noProof/>
                <w:webHidden/>
              </w:rPr>
              <w:t>41</w:t>
            </w:r>
            <w:r>
              <w:rPr>
                <w:noProof/>
                <w:webHidden/>
              </w:rPr>
              <w:fldChar w:fldCharType="end"/>
            </w:r>
          </w:hyperlink>
        </w:p>
        <w:p w14:paraId="378C9D90" w14:textId="3E85A127" w:rsidR="00064A5E" w:rsidRPr="00064A5E" w:rsidRDefault="00064A5E" w:rsidP="00CD6E34">
          <w:pPr>
            <w:pStyle w:val="TOC4"/>
            <w:rPr>
              <w:rFonts w:asciiTheme="minorHAnsi" w:eastAsiaTheme="minorEastAsia" w:hAnsiTheme="minorHAnsi" w:cstheme="minorBidi"/>
              <w:kern w:val="2"/>
              <w14:ligatures w14:val="standardContextual"/>
            </w:rPr>
          </w:pPr>
          <w:hyperlink w:anchor="_Toc197952415" w:history="1">
            <w:r w:rsidRPr="00064A5E">
              <w:rPr>
                <w:rStyle w:val="Hyperlink"/>
              </w:rPr>
              <w:t>References</w:t>
            </w:r>
            <w:r w:rsidRPr="00064A5E">
              <w:rPr>
                <w:webHidden/>
              </w:rPr>
              <w:tab/>
            </w:r>
            <w:r w:rsidRPr="00064A5E">
              <w:rPr>
                <w:webHidden/>
              </w:rPr>
              <w:fldChar w:fldCharType="begin"/>
            </w:r>
            <w:r w:rsidRPr="00064A5E">
              <w:rPr>
                <w:webHidden/>
              </w:rPr>
              <w:instrText xml:space="preserve"> PAGEREF _Toc197952415 \h </w:instrText>
            </w:r>
            <w:r w:rsidRPr="00064A5E">
              <w:rPr>
                <w:webHidden/>
              </w:rPr>
            </w:r>
            <w:r w:rsidRPr="00064A5E">
              <w:rPr>
                <w:webHidden/>
              </w:rPr>
              <w:fldChar w:fldCharType="separate"/>
            </w:r>
            <w:r w:rsidRPr="00064A5E">
              <w:rPr>
                <w:webHidden/>
              </w:rPr>
              <w:t>42</w:t>
            </w:r>
            <w:r w:rsidRPr="00064A5E">
              <w:rPr>
                <w:webHidden/>
              </w:rPr>
              <w:fldChar w:fldCharType="end"/>
            </w:r>
          </w:hyperlink>
        </w:p>
        <w:p w14:paraId="74588DA9" w14:textId="28856013" w:rsidR="00A64BE5" w:rsidRPr="00E673DC" w:rsidRDefault="00BC13EC" w:rsidP="00CD6E34">
          <w:pPr>
            <w:pStyle w:val="TOC3"/>
            <w:rPr>
              <w:lang w:val="en-GB"/>
            </w:rPr>
          </w:pPr>
          <w:r w:rsidRPr="00E673DC">
            <w:rPr>
              <w:noProof/>
              <w:sz w:val="24"/>
              <w:lang w:val="en-GB"/>
            </w:rPr>
            <w:fldChar w:fldCharType="end"/>
          </w:r>
        </w:p>
      </w:sdtContent>
    </w:sdt>
    <w:p w14:paraId="043F73A7" w14:textId="77777777" w:rsidR="00FD203C" w:rsidRPr="00E673DC" w:rsidRDefault="00FD203C" w:rsidP="00AD1722">
      <w:pPr>
        <w:ind w:firstLine="0"/>
        <w:rPr>
          <w:highlight w:val="yellow"/>
          <w:lang w:val="en-GB"/>
        </w:rPr>
      </w:pPr>
    </w:p>
    <w:p w14:paraId="3E17BFF5" w14:textId="77777777" w:rsidR="005C575E" w:rsidRPr="00E673DC" w:rsidRDefault="005C575E" w:rsidP="00697E8C">
      <w:pPr>
        <w:ind w:firstLine="0"/>
        <w:rPr>
          <w:b/>
          <w:sz w:val="28"/>
          <w:szCs w:val="28"/>
          <w:lang w:val="en-GB"/>
        </w:rPr>
      </w:pPr>
    </w:p>
    <w:p w14:paraId="302C01A2" w14:textId="77777777" w:rsidR="0045722D" w:rsidRPr="00E673DC" w:rsidRDefault="0045722D" w:rsidP="0045722D">
      <w:pPr>
        <w:ind w:firstLine="0"/>
        <w:jc w:val="center"/>
        <w:rPr>
          <w:b/>
          <w:lang w:val="en-GB"/>
        </w:rPr>
      </w:pPr>
      <w:r w:rsidRPr="00E673DC">
        <w:rPr>
          <w:b/>
          <w:lang w:val="en-GB"/>
        </w:rPr>
        <w:br w:type="page"/>
      </w:r>
    </w:p>
    <w:p w14:paraId="23475F59" w14:textId="77777777" w:rsidR="007B6EE3" w:rsidRPr="00E673DC" w:rsidRDefault="00786C02" w:rsidP="00600608">
      <w:pPr>
        <w:ind w:firstLine="0"/>
        <w:jc w:val="center"/>
        <w:rPr>
          <w:b/>
          <w:lang w:val="en-GB"/>
        </w:rPr>
      </w:pPr>
      <w:r w:rsidRPr="00E673DC">
        <w:rPr>
          <w:b/>
          <w:lang w:val="en-GB"/>
        </w:rPr>
        <w:lastRenderedPageBreak/>
        <w:t>List of Tables</w:t>
      </w:r>
    </w:p>
    <w:p w14:paraId="36B6392D" w14:textId="183E1D39" w:rsidR="00DD32DE" w:rsidRPr="00E673DC" w:rsidRDefault="002041DE" w:rsidP="003A7565">
      <w:pPr>
        <w:pStyle w:val="TableofFigures"/>
        <w:rPr>
          <w:rFonts w:asciiTheme="minorHAnsi" w:eastAsiaTheme="minorEastAsia" w:hAnsiTheme="minorHAnsi" w:cstheme="minorBidi"/>
          <w:kern w:val="2"/>
          <w:lang w:val="en-GB"/>
          <w14:ligatures w14:val="standardContextual"/>
        </w:rPr>
      </w:pPr>
      <w:r w:rsidRPr="00E673DC">
        <w:rPr>
          <w:lang w:val="en-GB"/>
        </w:rPr>
        <w:fldChar w:fldCharType="begin"/>
      </w:r>
      <w:r w:rsidRPr="00E673DC">
        <w:rPr>
          <w:lang w:val="en-GB"/>
        </w:rPr>
        <w:instrText xml:space="preserve"> TOC \h \z \c "Table" </w:instrText>
      </w:r>
      <w:r w:rsidRPr="00E673DC">
        <w:rPr>
          <w:lang w:val="en-GB"/>
        </w:rPr>
        <w:fldChar w:fldCharType="separate"/>
      </w:r>
      <w:hyperlink w:anchor="_Toc193015452" w:history="1">
        <w:r w:rsidR="00DD32DE" w:rsidRPr="00E673DC">
          <w:rPr>
            <w:rStyle w:val="Hyperlink"/>
            <w:lang w:val="en-GB"/>
          </w:rPr>
          <w:t>Table 1</w:t>
        </w:r>
        <w:r w:rsidR="003A7565">
          <w:rPr>
            <w:rStyle w:val="Hyperlink"/>
            <w:lang w:val="en-GB"/>
          </w:rPr>
          <w:t>:</w:t>
        </w:r>
        <w:r w:rsidR="00DD32DE" w:rsidRPr="00E673DC">
          <w:rPr>
            <w:rStyle w:val="Hyperlink"/>
            <w:lang w:val="en-GB"/>
          </w:rPr>
          <w:t xml:space="preserve"> The Profile of </w:t>
        </w:r>
        <w:r w:rsidR="00600608">
          <w:rPr>
            <w:rStyle w:val="Hyperlink"/>
            <w:lang w:val="en-GB"/>
          </w:rPr>
          <w:t xml:space="preserve">the </w:t>
        </w:r>
        <w:r w:rsidR="00DD32DE" w:rsidRPr="00E673DC">
          <w:rPr>
            <w:rStyle w:val="Hyperlink"/>
            <w:lang w:val="en-GB"/>
          </w:rPr>
          <w:t>Respondents</w:t>
        </w:r>
        <w:r w:rsidR="00DD32DE" w:rsidRPr="00E673DC">
          <w:rPr>
            <w:webHidden/>
            <w:lang w:val="en-GB"/>
          </w:rPr>
          <w:tab/>
        </w:r>
        <w:r w:rsidR="00DD32DE" w:rsidRPr="00E673DC">
          <w:rPr>
            <w:webHidden/>
            <w:lang w:val="en-GB"/>
          </w:rPr>
          <w:fldChar w:fldCharType="begin"/>
        </w:r>
        <w:r w:rsidR="00DD32DE" w:rsidRPr="00E673DC">
          <w:rPr>
            <w:webHidden/>
            <w:lang w:val="en-GB"/>
          </w:rPr>
          <w:instrText xml:space="preserve"> PAGEREF _Toc193015452 \h </w:instrText>
        </w:r>
        <w:r w:rsidR="00DD32DE" w:rsidRPr="00E673DC">
          <w:rPr>
            <w:webHidden/>
            <w:lang w:val="en-GB"/>
          </w:rPr>
        </w:r>
        <w:r w:rsidR="00DD32DE" w:rsidRPr="00E673DC">
          <w:rPr>
            <w:webHidden/>
            <w:lang w:val="en-GB"/>
          </w:rPr>
          <w:fldChar w:fldCharType="separate"/>
        </w:r>
        <w:r w:rsidR="00DD32DE" w:rsidRPr="00E673DC">
          <w:rPr>
            <w:webHidden/>
            <w:lang w:val="en-GB"/>
          </w:rPr>
          <w:t>18</w:t>
        </w:r>
        <w:r w:rsidR="00DD32DE" w:rsidRPr="00E673DC">
          <w:rPr>
            <w:webHidden/>
            <w:lang w:val="en-GB"/>
          </w:rPr>
          <w:fldChar w:fldCharType="end"/>
        </w:r>
      </w:hyperlink>
    </w:p>
    <w:p w14:paraId="07BC470C" w14:textId="46923209" w:rsidR="00DD32DE" w:rsidRPr="00E673DC" w:rsidRDefault="00DD32DE">
      <w:pPr>
        <w:pStyle w:val="TableofFigures"/>
        <w:rPr>
          <w:rFonts w:asciiTheme="minorHAnsi" w:eastAsiaTheme="minorEastAsia" w:hAnsiTheme="minorHAnsi" w:cstheme="minorBidi"/>
          <w:kern w:val="2"/>
          <w:lang w:val="en-GB"/>
          <w14:ligatures w14:val="standardContextual"/>
        </w:rPr>
      </w:pPr>
      <w:hyperlink w:anchor="_Toc193015453" w:history="1">
        <w:r w:rsidRPr="00E673DC">
          <w:rPr>
            <w:rStyle w:val="Hyperlink"/>
            <w:lang w:val="en-GB"/>
          </w:rPr>
          <w:t>Table 2: Measurement</w:t>
        </w:r>
        <w:r w:rsidR="00600608" w:rsidRPr="00E673DC">
          <w:rPr>
            <w:rStyle w:val="Hyperlink"/>
            <w:lang w:val="en-GB"/>
          </w:rPr>
          <w:t xml:space="preserve"> Model (Stage</w:t>
        </w:r>
        <w:r w:rsidRPr="00E673DC">
          <w:rPr>
            <w:rStyle w:val="Hyperlink"/>
            <w:lang w:val="en-GB"/>
          </w:rPr>
          <w:t xml:space="preserve"> 1)</w:t>
        </w:r>
        <w:r w:rsidRPr="00E673DC">
          <w:rPr>
            <w:webHidden/>
            <w:lang w:val="en-GB"/>
          </w:rPr>
          <w:tab/>
        </w:r>
        <w:r w:rsidRPr="00E673DC">
          <w:rPr>
            <w:webHidden/>
            <w:lang w:val="en-GB"/>
          </w:rPr>
          <w:fldChar w:fldCharType="begin"/>
        </w:r>
        <w:r w:rsidRPr="00E673DC">
          <w:rPr>
            <w:webHidden/>
            <w:lang w:val="en-GB"/>
          </w:rPr>
          <w:instrText xml:space="preserve"> PAGEREF _Toc193015453 \h </w:instrText>
        </w:r>
        <w:r w:rsidRPr="00E673DC">
          <w:rPr>
            <w:webHidden/>
            <w:lang w:val="en-GB"/>
          </w:rPr>
        </w:r>
        <w:r w:rsidRPr="00E673DC">
          <w:rPr>
            <w:webHidden/>
            <w:lang w:val="en-GB"/>
          </w:rPr>
          <w:fldChar w:fldCharType="separate"/>
        </w:r>
        <w:r w:rsidRPr="00E673DC">
          <w:rPr>
            <w:webHidden/>
            <w:lang w:val="en-GB"/>
          </w:rPr>
          <w:t>21</w:t>
        </w:r>
        <w:r w:rsidRPr="00E673DC">
          <w:rPr>
            <w:webHidden/>
            <w:lang w:val="en-GB"/>
          </w:rPr>
          <w:fldChar w:fldCharType="end"/>
        </w:r>
      </w:hyperlink>
    </w:p>
    <w:p w14:paraId="5CFE46B6" w14:textId="1FB9106E" w:rsidR="00DD32DE" w:rsidRPr="00E673DC" w:rsidRDefault="00DD32DE">
      <w:pPr>
        <w:pStyle w:val="TableofFigures"/>
        <w:rPr>
          <w:rFonts w:asciiTheme="minorHAnsi" w:eastAsiaTheme="minorEastAsia" w:hAnsiTheme="minorHAnsi" w:cstheme="minorBidi"/>
          <w:kern w:val="2"/>
          <w:lang w:val="en-GB"/>
          <w14:ligatures w14:val="standardContextual"/>
        </w:rPr>
      </w:pPr>
      <w:hyperlink w:anchor="_Toc193015454" w:history="1">
        <w:r w:rsidRPr="00E673DC">
          <w:rPr>
            <w:rStyle w:val="Hyperlink"/>
            <w:lang w:val="en-GB"/>
          </w:rPr>
          <w:t xml:space="preserve">Table 3: HTMT </w:t>
        </w:r>
        <w:r w:rsidR="00600608" w:rsidRPr="00E673DC">
          <w:rPr>
            <w:rStyle w:val="Hyperlink"/>
            <w:lang w:val="en-GB"/>
          </w:rPr>
          <w:t>Criterion (Stage</w:t>
        </w:r>
        <w:r w:rsidRPr="00E673DC">
          <w:rPr>
            <w:rStyle w:val="Hyperlink"/>
            <w:lang w:val="en-GB"/>
          </w:rPr>
          <w:t xml:space="preserve"> 1)</w:t>
        </w:r>
        <w:r w:rsidRPr="00E673DC">
          <w:rPr>
            <w:webHidden/>
            <w:lang w:val="en-GB"/>
          </w:rPr>
          <w:tab/>
        </w:r>
        <w:r w:rsidRPr="00E673DC">
          <w:rPr>
            <w:webHidden/>
            <w:lang w:val="en-GB"/>
          </w:rPr>
          <w:fldChar w:fldCharType="begin"/>
        </w:r>
        <w:r w:rsidRPr="00E673DC">
          <w:rPr>
            <w:webHidden/>
            <w:lang w:val="en-GB"/>
          </w:rPr>
          <w:instrText xml:space="preserve"> PAGEREF _Toc193015454 \h </w:instrText>
        </w:r>
        <w:r w:rsidRPr="00E673DC">
          <w:rPr>
            <w:webHidden/>
            <w:lang w:val="en-GB"/>
          </w:rPr>
        </w:r>
        <w:r w:rsidRPr="00E673DC">
          <w:rPr>
            <w:webHidden/>
            <w:lang w:val="en-GB"/>
          </w:rPr>
          <w:fldChar w:fldCharType="separate"/>
        </w:r>
        <w:r w:rsidRPr="00E673DC">
          <w:rPr>
            <w:webHidden/>
            <w:lang w:val="en-GB"/>
          </w:rPr>
          <w:t>22</w:t>
        </w:r>
        <w:r w:rsidRPr="00E673DC">
          <w:rPr>
            <w:webHidden/>
            <w:lang w:val="en-GB"/>
          </w:rPr>
          <w:fldChar w:fldCharType="end"/>
        </w:r>
      </w:hyperlink>
    </w:p>
    <w:p w14:paraId="21EBAC87" w14:textId="75D30C16" w:rsidR="00DD32DE" w:rsidRPr="00E673DC" w:rsidRDefault="00DD32DE">
      <w:pPr>
        <w:pStyle w:val="TableofFigures"/>
        <w:rPr>
          <w:rFonts w:asciiTheme="minorHAnsi" w:eastAsiaTheme="minorEastAsia" w:hAnsiTheme="minorHAnsi" w:cstheme="minorBidi"/>
          <w:kern w:val="2"/>
          <w:lang w:val="en-GB"/>
          <w14:ligatures w14:val="standardContextual"/>
        </w:rPr>
      </w:pPr>
      <w:hyperlink w:anchor="_Toc193015455" w:history="1">
        <w:r w:rsidRPr="00E673DC">
          <w:rPr>
            <w:rStyle w:val="Hyperlink"/>
            <w:lang w:val="en-GB"/>
          </w:rPr>
          <w:t xml:space="preserve">Table 4: Measurement </w:t>
        </w:r>
        <w:r w:rsidR="00600608" w:rsidRPr="00E673DC">
          <w:rPr>
            <w:rStyle w:val="Hyperlink"/>
            <w:lang w:val="en-GB"/>
          </w:rPr>
          <w:t xml:space="preserve">Model Assessment (Stage </w:t>
        </w:r>
        <w:r w:rsidRPr="00E673DC">
          <w:rPr>
            <w:rStyle w:val="Hyperlink"/>
            <w:lang w:val="en-GB"/>
          </w:rPr>
          <w:t>2)</w:t>
        </w:r>
        <w:r w:rsidRPr="00E673DC">
          <w:rPr>
            <w:webHidden/>
            <w:lang w:val="en-GB"/>
          </w:rPr>
          <w:tab/>
        </w:r>
        <w:r w:rsidRPr="00E673DC">
          <w:rPr>
            <w:webHidden/>
            <w:lang w:val="en-GB"/>
          </w:rPr>
          <w:fldChar w:fldCharType="begin"/>
        </w:r>
        <w:r w:rsidRPr="00E673DC">
          <w:rPr>
            <w:webHidden/>
            <w:lang w:val="en-GB"/>
          </w:rPr>
          <w:instrText xml:space="preserve"> PAGEREF _Toc193015455 \h </w:instrText>
        </w:r>
        <w:r w:rsidRPr="00E673DC">
          <w:rPr>
            <w:webHidden/>
            <w:lang w:val="en-GB"/>
          </w:rPr>
        </w:r>
        <w:r w:rsidRPr="00E673DC">
          <w:rPr>
            <w:webHidden/>
            <w:lang w:val="en-GB"/>
          </w:rPr>
          <w:fldChar w:fldCharType="separate"/>
        </w:r>
        <w:r w:rsidRPr="00E673DC">
          <w:rPr>
            <w:webHidden/>
            <w:lang w:val="en-GB"/>
          </w:rPr>
          <w:t>23</w:t>
        </w:r>
        <w:r w:rsidRPr="00E673DC">
          <w:rPr>
            <w:webHidden/>
            <w:lang w:val="en-GB"/>
          </w:rPr>
          <w:fldChar w:fldCharType="end"/>
        </w:r>
      </w:hyperlink>
    </w:p>
    <w:p w14:paraId="69468CE9" w14:textId="2BEE0B4B" w:rsidR="00DD32DE" w:rsidRPr="00E673DC" w:rsidRDefault="00DD32DE">
      <w:pPr>
        <w:pStyle w:val="TableofFigures"/>
        <w:rPr>
          <w:rFonts w:asciiTheme="minorHAnsi" w:eastAsiaTheme="minorEastAsia" w:hAnsiTheme="minorHAnsi" w:cstheme="minorBidi"/>
          <w:kern w:val="2"/>
          <w:lang w:val="en-GB"/>
          <w14:ligatures w14:val="standardContextual"/>
        </w:rPr>
      </w:pPr>
      <w:hyperlink w:anchor="_Toc193015456" w:history="1">
        <w:r w:rsidRPr="00E673DC">
          <w:rPr>
            <w:rStyle w:val="Hyperlink"/>
            <w:lang w:val="en-GB"/>
          </w:rPr>
          <w:t xml:space="preserve">Table 5: HTMT </w:t>
        </w:r>
        <w:r w:rsidR="00600608">
          <w:rPr>
            <w:rStyle w:val="Hyperlink"/>
            <w:lang w:val="en-GB"/>
          </w:rPr>
          <w:t>C</w:t>
        </w:r>
        <w:r w:rsidRPr="00E673DC">
          <w:rPr>
            <w:rStyle w:val="Hyperlink"/>
            <w:lang w:val="en-GB"/>
          </w:rPr>
          <w:t>riterion (</w:t>
        </w:r>
        <w:r w:rsidR="00600608">
          <w:rPr>
            <w:rStyle w:val="Hyperlink"/>
            <w:lang w:val="en-GB"/>
          </w:rPr>
          <w:t>S</w:t>
        </w:r>
        <w:r w:rsidRPr="00E673DC">
          <w:rPr>
            <w:rStyle w:val="Hyperlink"/>
            <w:lang w:val="en-GB"/>
          </w:rPr>
          <w:t>tage 2)</w:t>
        </w:r>
        <w:r w:rsidRPr="00E673DC">
          <w:rPr>
            <w:webHidden/>
            <w:lang w:val="en-GB"/>
          </w:rPr>
          <w:tab/>
        </w:r>
        <w:r w:rsidRPr="00E673DC">
          <w:rPr>
            <w:webHidden/>
            <w:lang w:val="en-GB"/>
          </w:rPr>
          <w:fldChar w:fldCharType="begin"/>
        </w:r>
        <w:r w:rsidRPr="00E673DC">
          <w:rPr>
            <w:webHidden/>
            <w:lang w:val="en-GB"/>
          </w:rPr>
          <w:instrText xml:space="preserve"> PAGEREF _Toc193015456 \h </w:instrText>
        </w:r>
        <w:r w:rsidRPr="00E673DC">
          <w:rPr>
            <w:webHidden/>
            <w:lang w:val="en-GB"/>
          </w:rPr>
        </w:r>
        <w:r w:rsidRPr="00E673DC">
          <w:rPr>
            <w:webHidden/>
            <w:lang w:val="en-GB"/>
          </w:rPr>
          <w:fldChar w:fldCharType="separate"/>
        </w:r>
        <w:r w:rsidRPr="00E673DC">
          <w:rPr>
            <w:webHidden/>
            <w:lang w:val="en-GB"/>
          </w:rPr>
          <w:t>23</w:t>
        </w:r>
        <w:r w:rsidRPr="00E673DC">
          <w:rPr>
            <w:webHidden/>
            <w:lang w:val="en-GB"/>
          </w:rPr>
          <w:fldChar w:fldCharType="end"/>
        </w:r>
      </w:hyperlink>
    </w:p>
    <w:p w14:paraId="5298A6A0" w14:textId="79AAAF6C" w:rsidR="00DD32DE" w:rsidRPr="00E673DC" w:rsidRDefault="00DD32DE">
      <w:pPr>
        <w:pStyle w:val="TableofFigures"/>
        <w:rPr>
          <w:rFonts w:asciiTheme="minorHAnsi" w:eastAsiaTheme="minorEastAsia" w:hAnsiTheme="minorHAnsi" w:cstheme="minorBidi"/>
          <w:kern w:val="2"/>
          <w:lang w:val="en-GB"/>
          <w14:ligatures w14:val="standardContextual"/>
        </w:rPr>
      </w:pPr>
      <w:hyperlink w:anchor="_Toc193015457" w:history="1">
        <w:r w:rsidRPr="00E673DC">
          <w:rPr>
            <w:rStyle w:val="Hyperlink"/>
            <w:lang w:val="en-GB"/>
          </w:rPr>
          <w:t xml:space="preserve">Table 6: Structural </w:t>
        </w:r>
        <w:r w:rsidR="00600608">
          <w:rPr>
            <w:rStyle w:val="Hyperlink"/>
            <w:lang w:val="en-GB"/>
          </w:rPr>
          <w:t>M</w:t>
        </w:r>
        <w:r w:rsidRPr="00E673DC">
          <w:rPr>
            <w:rStyle w:val="Hyperlink"/>
            <w:lang w:val="en-GB"/>
          </w:rPr>
          <w:t>odel 1</w:t>
        </w:r>
        <w:r w:rsidRPr="00E673DC">
          <w:rPr>
            <w:webHidden/>
            <w:lang w:val="en-GB"/>
          </w:rPr>
          <w:tab/>
        </w:r>
        <w:r w:rsidRPr="00E673DC">
          <w:rPr>
            <w:webHidden/>
            <w:lang w:val="en-GB"/>
          </w:rPr>
          <w:fldChar w:fldCharType="begin"/>
        </w:r>
        <w:r w:rsidRPr="00E673DC">
          <w:rPr>
            <w:webHidden/>
            <w:lang w:val="en-GB"/>
          </w:rPr>
          <w:instrText xml:space="preserve"> PAGEREF _Toc193015457 \h </w:instrText>
        </w:r>
        <w:r w:rsidRPr="00E673DC">
          <w:rPr>
            <w:webHidden/>
            <w:lang w:val="en-GB"/>
          </w:rPr>
        </w:r>
        <w:r w:rsidRPr="00E673DC">
          <w:rPr>
            <w:webHidden/>
            <w:lang w:val="en-GB"/>
          </w:rPr>
          <w:fldChar w:fldCharType="separate"/>
        </w:r>
        <w:r w:rsidRPr="00E673DC">
          <w:rPr>
            <w:webHidden/>
            <w:lang w:val="en-GB"/>
          </w:rPr>
          <w:t>26</w:t>
        </w:r>
        <w:r w:rsidRPr="00E673DC">
          <w:rPr>
            <w:webHidden/>
            <w:lang w:val="en-GB"/>
          </w:rPr>
          <w:fldChar w:fldCharType="end"/>
        </w:r>
      </w:hyperlink>
    </w:p>
    <w:p w14:paraId="453D3C1D" w14:textId="0662CBD3" w:rsidR="00DD32DE" w:rsidRPr="00E673DC" w:rsidRDefault="00DD32DE">
      <w:pPr>
        <w:pStyle w:val="TableofFigures"/>
        <w:rPr>
          <w:rFonts w:asciiTheme="minorHAnsi" w:eastAsiaTheme="minorEastAsia" w:hAnsiTheme="minorHAnsi" w:cstheme="minorBidi"/>
          <w:kern w:val="2"/>
          <w:lang w:val="en-GB"/>
          <w14:ligatures w14:val="standardContextual"/>
        </w:rPr>
      </w:pPr>
      <w:hyperlink w:anchor="_Toc193015458" w:history="1">
        <w:r w:rsidRPr="00E673DC">
          <w:rPr>
            <w:rStyle w:val="Hyperlink"/>
            <w:lang w:val="en-GB"/>
          </w:rPr>
          <w:t xml:space="preserve">Table 7: Structural </w:t>
        </w:r>
        <w:r w:rsidR="00600608" w:rsidRPr="00E673DC">
          <w:rPr>
            <w:rStyle w:val="Hyperlink"/>
            <w:lang w:val="en-GB"/>
          </w:rPr>
          <w:t>Model 2 (With Formative Measure</w:t>
        </w:r>
        <w:r w:rsidRPr="00E673DC">
          <w:rPr>
            <w:rStyle w:val="Hyperlink"/>
            <w:lang w:val="en-GB"/>
          </w:rPr>
          <w:t>)</w:t>
        </w:r>
        <w:r w:rsidRPr="00E673DC">
          <w:rPr>
            <w:webHidden/>
            <w:lang w:val="en-GB"/>
          </w:rPr>
          <w:tab/>
        </w:r>
        <w:r w:rsidRPr="00E673DC">
          <w:rPr>
            <w:webHidden/>
            <w:lang w:val="en-GB"/>
          </w:rPr>
          <w:fldChar w:fldCharType="begin"/>
        </w:r>
        <w:r w:rsidRPr="00E673DC">
          <w:rPr>
            <w:webHidden/>
            <w:lang w:val="en-GB"/>
          </w:rPr>
          <w:instrText xml:space="preserve"> PAGEREF _Toc193015458 \h </w:instrText>
        </w:r>
        <w:r w:rsidRPr="00E673DC">
          <w:rPr>
            <w:webHidden/>
            <w:lang w:val="en-GB"/>
          </w:rPr>
        </w:r>
        <w:r w:rsidRPr="00E673DC">
          <w:rPr>
            <w:webHidden/>
            <w:lang w:val="en-GB"/>
          </w:rPr>
          <w:fldChar w:fldCharType="separate"/>
        </w:r>
        <w:r w:rsidRPr="00E673DC">
          <w:rPr>
            <w:webHidden/>
            <w:lang w:val="en-GB"/>
          </w:rPr>
          <w:t>28</w:t>
        </w:r>
        <w:r w:rsidRPr="00E673DC">
          <w:rPr>
            <w:webHidden/>
            <w:lang w:val="en-GB"/>
          </w:rPr>
          <w:fldChar w:fldCharType="end"/>
        </w:r>
      </w:hyperlink>
    </w:p>
    <w:p w14:paraId="176B6421" w14:textId="18A988D0" w:rsidR="00D825BA" w:rsidRPr="00E673DC" w:rsidRDefault="002041DE" w:rsidP="00035878">
      <w:pPr>
        <w:rPr>
          <w:lang w:val="en-GB"/>
        </w:rPr>
      </w:pPr>
      <w:r w:rsidRPr="00E673DC">
        <w:rPr>
          <w:noProof/>
          <w:lang w:val="en-GB"/>
        </w:rPr>
        <w:fldChar w:fldCharType="end"/>
      </w:r>
      <w:bookmarkStart w:id="1" w:name="_Hlk169108204"/>
    </w:p>
    <w:bookmarkEnd w:id="1"/>
    <w:p w14:paraId="5C5F74C2" w14:textId="77777777" w:rsidR="005D4F3F" w:rsidRPr="00E673DC" w:rsidRDefault="005D4F3F" w:rsidP="0016612B">
      <w:pPr>
        <w:spacing w:before="0" w:after="160"/>
        <w:rPr>
          <w:b/>
          <w:sz w:val="28"/>
          <w:szCs w:val="28"/>
          <w:lang w:val="en-GB"/>
        </w:rPr>
      </w:pPr>
    </w:p>
    <w:p w14:paraId="550F1FFA" w14:textId="77777777" w:rsidR="005D4F3F" w:rsidRPr="00E673DC" w:rsidRDefault="005D4F3F" w:rsidP="0016612B">
      <w:pPr>
        <w:rPr>
          <w:lang w:val="en-GB"/>
        </w:rPr>
      </w:pPr>
    </w:p>
    <w:p w14:paraId="404A8A12" w14:textId="77777777" w:rsidR="007B6EE3" w:rsidRPr="00E673DC" w:rsidRDefault="007B6EE3" w:rsidP="005A12DE">
      <w:pPr>
        <w:spacing w:before="0" w:after="160"/>
        <w:rPr>
          <w:b/>
          <w:sz w:val="28"/>
          <w:szCs w:val="28"/>
          <w:lang w:val="en-GB"/>
        </w:rPr>
      </w:pPr>
      <w:r w:rsidRPr="00E673DC">
        <w:rPr>
          <w:b/>
          <w:sz w:val="28"/>
          <w:szCs w:val="28"/>
          <w:lang w:val="en-GB"/>
        </w:rPr>
        <w:br w:type="page"/>
      </w:r>
    </w:p>
    <w:p w14:paraId="069F9CA0" w14:textId="77777777" w:rsidR="007B6EE3" w:rsidRPr="00E673DC" w:rsidRDefault="00786C02" w:rsidP="00043549">
      <w:pPr>
        <w:ind w:firstLine="0"/>
        <w:jc w:val="center"/>
        <w:rPr>
          <w:b/>
          <w:lang w:val="en-GB"/>
        </w:rPr>
      </w:pPr>
      <w:r w:rsidRPr="00E673DC">
        <w:rPr>
          <w:b/>
          <w:lang w:val="en-GB"/>
        </w:rPr>
        <w:lastRenderedPageBreak/>
        <w:t>List of Figures</w:t>
      </w:r>
    </w:p>
    <w:p w14:paraId="039B5722" w14:textId="7C14ADDF" w:rsidR="00DD32DE" w:rsidRPr="00E673DC" w:rsidRDefault="00A64BE5">
      <w:pPr>
        <w:pStyle w:val="TableofFigures"/>
        <w:rPr>
          <w:rFonts w:asciiTheme="minorHAnsi" w:eastAsiaTheme="minorEastAsia" w:hAnsiTheme="minorHAnsi" w:cstheme="minorBidi"/>
          <w:kern w:val="2"/>
          <w:lang w:val="en-GB"/>
          <w14:ligatures w14:val="standardContextual"/>
        </w:rPr>
      </w:pPr>
      <w:r w:rsidRPr="00E673DC">
        <w:rPr>
          <w:lang w:val="en-GB"/>
        </w:rPr>
        <w:fldChar w:fldCharType="begin"/>
      </w:r>
      <w:r w:rsidRPr="00E673DC">
        <w:rPr>
          <w:lang w:val="en-GB"/>
        </w:rPr>
        <w:instrText xml:space="preserve"> TOC \h \z \c "Figure" </w:instrText>
      </w:r>
      <w:r w:rsidRPr="00E673DC">
        <w:rPr>
          <w:lang w:val="en-GB"/>
        </w:rPr>
        <w:fldChar w:fldCharType="separate"/>
      </w:r>
      <w:hyperlink w:anchor="_Toc193015504" w:history="1">
        <w:r w:rsidR="00DD32DE" w:rsidRPr="00E673DC">
          <w:rPr>
            <w:rStyle w:val="Hyperlink"/>
            <w:lang w:val="en-GB"/>
          </w:rPr>
          <w:t>Figure 1: Measurement Model</w:t>
        </w:r>
        <w:r w:rsidR="00DD32DE" w:rsidRPr="00E673DC">
          <w:rPr>
            <w:webHidden/>
            <w:lang w:val="en-GB"/>
          </w:rPr>
          <w:tab/>
        </w:r>
        <w:r w:rsidR="00DD32DE" w:rsidRPr="00E673DC">
          <w:rPr>
            <w:webHidden/>
            <w:lang w:val="en-GB"/>
          </w:rPr>
          <w:fldChar w:fldCharType="begin"/>
        </w:r>
        <w:r w:rsidR="00DD32DE" w:rsidRPr="00E673DC">
          <w:rPr>
            <w:webHidden/>
            <w:lang w:val="en-GB"/>
          </w:rPr>
          <w:instrText xml:space="preserve"> PAGEREF _Toc193015504 \h </w:instrText>
        </w:r>
        <w:r w:rsidR="00DD32DE" w:rsidRPr="00E673DC">
          <w:rPr>
            <w:webHidden/>
            <w:lang w:val="en-GB"/>
          </w:rPr>
        </w:r>
        <w:r w:rsidR="00DD32DE" w:rsidRPr="00E673DC">
          <w:rPr>
            <w:webHidden/>
            <w:lang w:val="en-GB"/>
          </w:rPr>
          <w:fldChar w:fldCharType="separate"/>
        </w:r>
        <w:r w:rsidR="00DD32DE" w:rsidRPr="00E673DC">
          <w:rPr>
            <w:webHidden/>
            <w:lang w:val="en-GB"/>
          </w:rPr>
          <w:t>24</w:t>
        </w:r>
        <w:r w:rsidR="00DD32DE" w:rsidRPr="00E673DC">
          <w:rPr>
            <w:webHidden/>
            <w:lang w:val="en-GB"/>
          </w:rPr>
          <w:fldChar w:fldCharType="end"/>
        </w:r>
      </w:hyperlink>
    </w:p>
    <w:p w14:paraId="796A77D5" w14:textId="53E01BA3" w:rsidR="00DD32DE" w:rsidRPr="00E673DC" w:rsidRDefault="00DD32DE">
      <w:pPr>
        <w:pStyle w:val="TableofFigures"/>
        <w:rPr>
          <w:rFonts w:asciiTheme="minorHAnsi" w:eastAsiaTheme="minorEastAsia" w:hAnsiTheme="minorHAnsi" w:cstheme="minorBidi"/>
          <w:kern w:val="2"/>
          <w:lang w:val="en-GB"/>
          <w14:ligatures w14:val="standardContextual"/>
        </w:rPr>
      </w:pPr>
      <w:hyperlink w:anchor="_Toc193015505" w:history="1">
        <w:r w:rsidRPr="00E673DC">
          <w:rPr>
            <w:rStyle w:val="Hyperlink"/>
            <w:lang w:val="en-GB"/>
          </w:rPr>
          <w:t>Figure 2: Structural Model 1</w:t>
        </w:r>
        <w:r w:rsidRPr="00E673DC">
          <w:rPr>
            <w:webHidden/>
            <w:lang w:val="en-GB"/>
          </w:rPr>
          <w:tab/>
        </w:r>
        <w:r w:rsidRPr="00E673DC">
          <w:rPr>
            <w:webHidden/>
            <w:lang w:val="en-GB"/>
          </w:rPr>
          <w:fldChar w:fldCharType="begin"/>
        </w:r>
        <w:r w:rsidRPr="00E673DC">
          <w:rPr>
            <w:webHidden/>
            <w:lang w:val="en-GB"/>
          </w:rPr>
          <w:instrText xml:space="preserve"> PAGEREF _Toc193015505 \h </w:instrText>
        </w:r>
        <w:r w:rsidRPr="00E673DC">
          <w:rPr>
            <w:webHidden/>
            <w:lang w:val="en-GB"/>
          </w:rPr>
        </w:r>
        <w:r w:rsidRPr="00E673DC">
          <w:rPr>
            <w:webHidden/>
            <w:lang w:val="en-GB"/>
          </w:rPr>
          <w:fldChar w:fldCharType="separate"/>
        </w:r>
        <w:r w:rsidRPr="00E673DC">
          <w:rPr>
            <w:webHidden/>
            <w:lang w:val="en-GB"/>
          </w:rPr>
          <w:t>27</w:t>
        </w:r>
        <w:r w:rsidRPr="00E673DC">
          <w:rPr>
            <w:webHidden/>
            <w:lang w:val="en-GB"/>
          </w:rPr>
          <w:fldChar w:fldCharType="end"/>
        </w:r>
      </w:hyperlink>
    </w:p>
    <w:p w14:paraId="04842756" w14:textId="5C62466F" w:rsidR="00DD32DE" w:rsidRPr="00E673DC" w:rsidRDefault="00DD32DE">
      <w:pPr>
        <w:pStyle w:val="TableofFigures"/>
        <w:rPr>
          <w:rFonts w:asciiTheme="minorHAnsi" w:eastAsiaTheme="minorEastAsia" w:hAnsiTheme="minorHAnsi" w:cstheme="minorBidi"/>
          <w:kern w:val="2"/>
          <w:lang w:val="en-GB"/>
          <w14:ligatures w14:val="standardContextual"/>
        </w:rPr>
      </w:pPr>
      <w:hyperlink w:anchor="_Toc193015506" w:history="1">
        <w:r w:rsidRPr="00E673DC">
          <w:rPr>
            <w:rStyle w:val="Hyperlink"/>
            <w:lang w:val="en-GB"/>
          </w:rPr>
          <w:t>Figure 3: Structural Model 2</w:t>
        </w:r>
        <w:r w:rsidRPr="00E673DC">
          <w:rPr>
            <w:webHidden/>
            <w:lang w:val="en-GB"/>
          </w:rPr>
          <w:tab/>
        </w:r>
        <w:r w:rsidRPr="00E673DC">
          <w:rPr>
            <w:webHidden/>
            <w:lang w:val="en-GB"/>
          </w:rPr>
          <w:fldChar w:fldCharType="begin"/>
        </w:r>
        <w:r w:rsidRPr="00E673DC">
          <w:rPr>
            <w:webHidden/>
            <w:lang w:val="en-GB"/>
          </w:rPr>
          <w:instrText xml:space="preserve"> PAGEREF _Toc193015506 \h </w:instrText>
        </w:r>
        <w:r w:rsidRPr="00E673DC">
          <w:rPr>
            <w:webHidden/>
            <w:lang w:val="en-GB"/>
          </w:rPr>
        </w:r>
        <w:r w:rsidRPr="00E673DC">
          <w:rPr>
            <w:webHidden/>
            <w:lang w:val="en-GB"/>
          </w:rPr>
          <w:fldChar w:fldCharType="separate"/>
        </w:r>
        <w:r w:rsidRPr="00E673DC">
          <w:rPr>
            <w:webHidden/>
            <w:lang w:val="en-GB"/>
          </w:rPr>
          <w:t>29</w:t>
        </w:r>
        <w:r w:rsidRPr="00E673DC">
          <w:rPr>
            <w:webHidden/>
            <w:lang w:val="en-GB"/>
          </w:rPr>
          <w:fldChar w:fldCharType="end"/>
        </w:r>
      </w:hyperlink>
    </w:p>
    <w:p w14:paraId="55210BF2" w14:textId="77777777" w:rsidR="00A64BE5" w:rsidRPr="00E673DC" w:rsidRDefault="00A64BE5" w:rsidP="00142C74">
      <w:pPr>
        <w:rPr>
          <w:noProof/>
          <w:lang w:val="en-GB"/>
        </w:rPr>
      </w:pPr>
      <w:r w:rsidRPr="00E673DC">
        <w:rPr>
          <w:noProof/>
          <w:lang w:val="en-GB"/>
        </w:rPr>
        <w:fldChar w:fldCharType="end"/>
      </w:r>
    </w:p>
    <w:p w14:paraId="2AEA29C0" w14:textId="77777777" w:rsidR="001B4B0C" w:rsidRPr="00E673DC" w:rsidRDefault="001B4B0C" w:rsidP="005A12DE">
      <w:pPr>
        <w:spacing w:before="0" w:after="160"/>
        <w:rPr>
          <w:b/>
          <w:sz w:val="28"/>
          <w:szCs w:val="28"/>
          <w:lang w:val="en-GB"/>
        </w:rPr>
      </w:pPr>
      <w:r w:rsidRPr="00E673DC">
        <w:rPr>
          <w:b/>
          <w:sz w:val="28"/>
          <w:szCs w:val="28"/>
          <w:lang w:val="en-GB"/>
        </w:rPr>
        <w:br w:type="page"/>
      </w:r>
    </w:p>
    <w:p w14:paraId="74507F91" w14:textId="77777777" w:rsidR="001B4B0C" w:rsidRPr="00E673DC" w:rsidRDefault="00786C02" w:rsidP="00334E8C">
      <w:pPr>
        <w:spacing w:before="0" w:after="160"/>
        <w:ind w:firstLine="0"/>
        <w:jc w:val="center"/>
        <w:rPr>
          <w:b/>
          <w:lang w:val="en-GB"/>
        </w:rPr>
      </w:pPr>
      <w:r w:rsidRPr="00E673DC">
        <w:rPr>
          <w:b/>
          <w:lang w:val="en-GB"/>
        </w:rPr>
        <w:lastRenderedPageBreak/>
        <w:t>List of Abbreviations</w:t>
      </w:r>
    </w:p>
    <w:p w14:paraId="11003B24" w14:textId="77777777" w:rsidR="00600608" w:rsidRPr="00E673DC" w:rsidRDefault="00600608" w:rsidP="00A256A8">
      <w:pPr>
        <w:spacing w:before="0" w:after="160"/>
        <w:ind w:firstLine="0"/>
        <w:rPr>
          <w:lang w:val="en-GB"/>
        </w:rPr>
      </w:pPr>
      <w:r w:rsidRPr="00E673DC">
        <w:rPr>
          <w:lang w:val="en-GB"/>
        </w:rPr>
        <w:t>AMO</w:t>
      </w:r>
      <w:r w:rsidRPr="00E673DC">
        <w:rPr>
          <w:lang w:val="en-GB"/>
        </w:rPr>
        <w:tab/>
      </w:r>
      <w:r w:rsidRPr="00E673DC">
        <w:rPr>
          <w:lang w:val="en-GB"/>
        </w:rPr>
        <w:tab/>
        <w:t>Ability–Motivation–Opportunity</w:t>
      </w:r>
    </w:p>
    <w:p w14:paraId="50E99172" w14:textId="77777777" w:rsidR="00600608" w:rsidRPr="00E673DC" w:rsidRDefault="00600608" w:rsidP="00A256A8">
      <w:pPr>
        <w:spacing w:before="0" w:after="160"/>
        <w:ind w:firstLine="0"/>
        <w:rPr>
          <w:lang w:val="en-GB"/>
        </w:rPr>
      </w:pPr>
      <w:r w:rsidRPr="00E673DC">
        <w:rPr>
          <w:lang w:val="en-GB"/>
        </w:rPr>
        <w:t>DGHRD</w:t>
      </w:r>
      <w:r w:rsidRPr="00E673DC">
        <w:rPr>
          <w:lang w:val="en-GB"/>
        </w:rPr>
        <w:tab/>
        <w:t>Dubai Government Human Resources Department</w:t>
      </w:r>
    </w:p>
    <w:p w14:paraId="2B7D9330" w14:textId="77777777" w:rsidR="00600608" w:rsidRPr="00E673DC" w:rsidRDefault="00600608" w:rsidP="00A256A8">
      <w:pPr>
        <w:spacing w:before="0" w:after="160"/>
        <w:ind w:firstLine="0"/>
        <w:rPr>
          <w:lang w:val="en-GB"/>
        </w:rPr>
      </w:pPr>
      <w:r w:rsidRPr="00E673DC">
        <w:rPr>
          <w:lang w:val="en-GB"/>
        </w:rPr>
        <w:t>GHRM</w:t>
      </w:r>
      <w:r w:rsidRPr="00E673DC">
        <w:rPr>
          <w:lang w:val="en-GB"/>
        </w:rPr>
        <w:tab/>
        <w:t>Green Human Resources Management</w:t>
      </w:r>
    </w:p>
    <w:p w14:paraId="0B846AF0" w14:textId="77777777" w:rsidR="00600608" w:rsidRPr="00E673DC" w:rsidRDefault="00600608" w:rsidP="00A256A8">
      <w:pPr>
        <w:spacing w:before="0" w:after="160"/>
        <w:ind w:firstLine="0"/>
        <w:rPr>
          <w:lang w:val="en-GB"/>
        </w:rPr>
      </w:pPr>
      <w:r w:rsidRPr="00E673DC">
        <w:rPr>
          <w:lang w:val="en-GB"/>
        </w:rPr>
        <w:t>GIB</w:t>
      </w:r>
      <w:r w:rsidRPr="00E673DC">
        <w:rPr>
          <w:lang w:val="en-GB"/>
        </w:rPr>
        <w:tab/>
      </w:r>
      <w:r w:rsidRPr="00E673DC">
        <w:rPr>
          <w:lang w:val="en-GB"/>
        </w:rPr>
        <w:tab/>
        <w:t xml:space="preserve">Green Innovative </w:t>
      </w:r>
      <w:r>
        <w:rPr>
          <w:lang w:val="en-GB"/>
        </w:rPr>
        <w:t>Behaviour</w:t>
      </w:r>
    </w:p>
    <w:p w14:paraId="72072C23" w14:textId="77777777" w:rsidR="00600608" w:rsidRPr="00E673DC" w:rsidRDefault="00600608" w:rsidP="00A256A8">
      <w:pPr>
        <w:spacing w:before="0" w:after="160"/>
        <w:ind w:firstLine="0"/>
        <w:rPr>
          <w:lang w:val="en-GB"/>
        </w:rPr>
      </w:pPr>
      <w:r w:rsidRPr="00E673DC">
        <w:rPr>
          <w:lang w:val="en-GB"/>
        </w:rPr>
        <w:t>GL&amp;D</w:t>
      </w:r>
      <w:r w:rsidRPr="00E673DC">
        <w:rPr>
          <w:lang w:val="en-GB"/>
        </w:rPr>
        <w:tab/>
      </w:r>
      <w:r w:rsidRPr="00E673DC">
        <w:rPr>
          <w:lang w:val="en-GB"/>
        </w:rPr>
        <w:tab/>
        <w:t>Green Learning and Development</w:t>
      </w:r>
    </w:p>
    <w:p w14:paraId="18352856" w14:textId="77777777" w:rsidR="00600608" w:rsidRDefault="00600608" w:rsidP="00A256A8">
      <w:pPr>
        <w:spacing w:before="0" w:after="160"/>
        <w:ind w:firstLine="0"/>
        <w:rPr>
          <w:lang w:val="en-GB"/>
        </w:rPr>
      </w:pPr>
      <w:r w:rsidRPr="00E673DC">
        <w:rPr>
          <w:lang w:val="en-GB"/>
        </w:rPr>
        <w:t>GR&amp;C</w:t>
      </w:r>
      <w:r w:rsidRPr="00E673DC">
        <w:rPr>
          <w:lang w:val="en-GB"/>
        </w:rPr>
        <w:tab/>
      </w:r>
      <w:r w:rsidRPr="00E673DC">
        <w:rPr>
          <w:lang w:val="en-GB"/>
        </w:rPr>
        <w:tab/>
        <w:t>Green Rewards and Compensations</w:t>
      </w:r>
    </w:p>
    <w:p w14:paraId="3974D154" w14:textId="21D03E92" w:rsidR="003148AD" w:rsidRPr="00E673DC" w:rsidRDefault="003148AD" w:rsidP="003148AD">
      <w:pPr>
        <w:spacing w:before="0" w:after="160"/>
        <w:ind w:firstLine="0"/>
        <w:rPr>
          <w:lang w:val="en-GB"/>
        </w:rPr>
      </w:pPr>
      <w:r w:rsidRPr="00E673DC">
        <w:rPr>
          <w:lang w:val="en-GB"/>
        </w:rPr>
        <w:t>GR&amp;C</w:t>
      </w:r>
      <w:r w:rsidRPr="00E673DC">
        <w:rPr>
          <w:lang w:val="en-GB"/>
        </w:rPr>
        <w:tab/>
      </w:r>
      <w:r w:rsidRPr="00E673DC">
        <w:rPr>
          <w:lang w:val="en-GB"/>
        </w:rPr>
        <w:tab/>
        <w:t>Green Rewards and Compensations</w:t>
      </w:r>
      <w:r>
        <w:rPr>
          <w:lang w:val="en-GB"/>
        </w:rPr>
        <w:t xml:space="preserve"> Management</w:t>
      </w:r>
    </w:p>
    <w:p w14:paraId="4A593B31" w14:textId="77777777" w:rsidR="00600608" w:rsidRPr="00E673DC" w:rsidRDefault="00600608" w:rsidP="00A256A8">
      <w:pPr>
        <w:spacing w:before="0" w:after="160"/>
        <w:ind w:firstLine="0"/>
        <w:rPr>
          <w:lang w:val="en-GB"/>
        </w:rPr>
      </w:pPr>
      <w:r w:rsidRPr="00E673DC">
        <w:rPr>
          <w:lang w:val="en-GB"/>
        </w:rPr>
        <w:t>H</w:t>
      </w:r>
      <w:r w:rsidRPr="00E673DC">
        <w:rPr>
          <w:lang w:val="en-GB"/>
        </w:rPr>
        <w:tab/>
      </w:r>
      <w:r w:rsidRPr="00E673DC">
        <w:rPr>
          <w:lang w:val="en-GB"/>
        </w:rPr>
        <w:tab/>
        <w:t>Hypothesis</w:t>
      </w:r>
    </w:p>
    <w:p w14:paraId="5C40995F" w14:textId="77777777" w:rsidR="00600608" w:rsidRPr="00E673DC" w:rsidRDefault="00600608" w:rsidP="00A256A8">
      <w:pPr>
        <w:spacing w:before="0" w:after="160"/>
        <w:ind w:firstLine="0"/>
        <w:rPr>
          <w:lang w:val="en-GB"/>
        </w:rPr>
      </w:pPr>
      <w:r w:rsidRPr="00E673DC">
        <w:rPr>
          <w:lang w:val="en-GB"/>
        </w:rPr>
        <w:t>IB</w:t>
      </w:r>
      <w:r w:rsidRPr="00E673DC">
        <w:rPr>
          <w:lang w:val="en-GB"/>
        </w:rPr>
        <w:tab/>
      </w:r>
      <w:r w:rsidRPr="00E673DC">
        <w:rPr>
          <w:lang w:val="en-GB"/>
        </w:rPr>
        <w:tab/>
        <w:t xml:space="preserve">Innovative </w:t>
      </w:r>
      <w:r>
        <w:rPr>
          <w:lang w:val="en-GB"/>
        </w:rPr>
        <w:t>Behaviour</w:t>
      </w:r>
    </w:p>
    <w:p w14:paraId="3548B1CC" w14:textId="77777777" w:rsidR="00600608" w:rsidRPr="00E673DC" w:rsidRDefault="00600608" w:rsidP="00A256A8">
      <w:pPr>
        <w:spacing w:before="0" w:after="160"/>
        <w:ind w:firstLine="0"/>
        <w:rPr>
          <w:lang w:val="en-GB"/>
        </w:rPr>
      </w:pPr>
      <w:r w:rsidRPr="00E673DC">
        <w:rPr>
          <w:lang w:val="en-GB"/>
        </w:rPr>
        <w:t>OCB</w:t>
      </w:r>
      <w:r w:rsidRPr="00E673DC">
        <w:rPr>
          <w:lang w:val="en-GB"/>
        </w:rPr>
        <w:tab/>
      </w:r>
      <w:r w:rsidRPr="00E673DC">
        <w:rPr>
          <w:lang w:val="en-GB"/>
        </w:rPr>
        <w:tab/>
      </w:r>
      <w:r>
        <w:rPr>
          <w:lang w:val="en-GB"/>
        </w:rPr>
        <w:t>Organis</w:t>
      </w:r>
      <w:r w:rsidRPr="00E673DC">
        <w:rPr>
          <w:lang w:val="en-GB"/>
        </w:rPr>
        <w:t xml:space="preserve">ational Citizenship </w:t>
      </w:r>
      <w:r>
        <w:rPr>
          <w:lang w:val="en-GB"/>
        </w:rPr>
        <w:t>Behaviour</w:t>
      </w:r>
    </w:p>
    <w:p w14:paraId="40D9A23F" w14:textId="098832ED" w:rsidR="00600608" w:rsidRDefault="00600608" w:rsidP="00A256A8">
      <w:pPr>
        <w:spacing w:before="0" w:after="160"/>
        <w:ind w:firstLine="0"/>
        <w:rPr>
          <w:lang w:val="en-GB"/>
        </w:rPr>
      </w:pPr>
      <w:r w:rsidRPr="00E673DC">
        <w:rPr>
          <w:lang w:val="en-GB"/>
        </w:rPr>
        <w:t>OCBE</w:t>
      </w:r>
      <w:r w:rsidRPr="00E673DC">
        <w:rPr>
          <w:lang w:val="en-GB"/>
        </w:rPr>
        <w:tab/>
      </w:r>
      <w:r w:rsidRPr="00E673DC">
        <w:rPr>
          <w:lang w:val="en-GB"/>
        </w:rPr>
        <w:tab/>
      </w:r>
      <w:r>
        <w:rPr>
          <w:lang w:val="en-GB"/>
        </w:rPr>
        <w:t>Organis</w:t>
      </w:r>
      <w:r w:rsidRPr="00E673DC">
        <w:rPr>
          <w:lang w:val="en-GB"/>
        </w:rPr>
        <w:t xml:space="preserve">ational Citizenship </w:t>
      </w:r>
      <w:r>
        <w:rPr>
          <w:lang w:val="en-GB"/>
        </w:rPr>
        <w:t>Behaviour</w:t>
      </w:r>
      <w:r w:rsidRPr="00E673DC">
        <w:rPr>
          <w:lang w:val="en-GB"/>
        </w:rPr>
        <w:t xml:space="preserve"> towards </w:t>
      </w:r>
      <w:r w:rsidR="00965313">
        <w:rPr>
          <w:lang w:val="en-GB"/>
        </w:rPr>
        <w:t xml:space="preserve">the </w:t>
      </w:r>
      <w:r w:rsidRPr="00E673DC">
        <w:rPr>
          <w:lang w:val="en-GB"/>
        </w:rPr>
        <w:t>Environment</w:t>
      </w:r>
    </w:p>
    <w:p w14:paraId="41A84200" w14:textId="0327EA70" w:rsidR="003148AD" w:rsidRPr="00E673DC" w:rsidRDefault="003148AD" w:rsidP="00A256A8">
      <w:pPr>
        <w:spacing w:before="0" w:after="160"/>
        <w:ind w:firstLine="0"/>
        <w:rPr>
          <w:lang w:val="en-GB"/>
        </w:rPr>
      </w:pPr>
      <w:r w:rsidRPr="003148AD">
        <w:rPr>
          <w:lang w:val="en-GB"/>
        </w:rPr>
        <w:t xml:space="preserve">PLS-SEM </w:t>
      </w:r>
      <w:r>
        <w:rPr>
          <w:lang w:val="en-GB"/>
        </w:rPr>
        <w:tab/>
      </w:r>
      <w:r w:rsidRPr="003148AD">
        <w:rPr>
          <w:lang w:val="en-GB"/>
        </w:rPr>
        <w:t>Partial Least Squares Structural Equation Modelling</w:t>
      </w:r>
    </w:p>
    <w:p w14:paraId="78321B22" w14:textId="77777777" w:rsidR="00600608" w:rsidRPr="00E673DC" w:rsidRDefault="00600608" w:rsidP="00A256A8">
      <w:pPr>
        <w:spacing w:before="0" w:after="160"/>
        <w:ind w:firstLine="0"/>
        <w:rPr>
          <w:lang w:val="en-GB"/>
        </w:rPr>
      </w:pPr>
      <w:r w:rsidRPr="00E673DC">
        <w:rPr>
          <w:lang w:val="en-GB"/>
        </w:rPr>
        <w:t>Pro-EB</w:t>
      </w:r>
      <w:r w:rsidRPr="00E673DC">
        <w:rPr>
          <w:lang w:val="en-GB"/>
        </w:rPr>
        <w:tab/>
        <w:t>Pro</w:t>
      </w:r>
      <w:r>
        <w:rPr>
          <w:lang w:val="en-GB"/>
        </w:rPr>
        <w:t>-</w:t>
      </w:r>
      <w:r w:rsidRPr="00E673DC">
        <w:rPr>
          <w:lang w:val="en-GB"/>
        </w:rPr>
        <w:t xml:space="preserve">Environmental </w:t>
      </w:r>
      <w:r>
        <w:rPr>
          <w:lang w:val="en-GB"/>
        </w:rPr>
        <w:t>Behaviour</w:t>
      </w:r>
    </w:p>
    <w:p w14:paraId="3547D5CC" w14:textId="77777777" w:rsidR="00600608" w:rsidRPr="00E673DC" w:rsidRDefault="00600608" w:rsidP="00A256A8">
      <w:pPr>
        <w:spacing w:before="0" w:after="160"/>
        <w:ind w:firstLine="0"/>
        <w:rPr>
          <w:lang w:val="en-GB"/>
        </w:rPr>
      </w:pPr>
      <w:r w:rsidRPr="00E673DC">
        <w:rPr>
          <w:lang w:val="en-GB"/>
        </w:rPr>
        <w:t>SD</w:t>
      </w:r>
      <w:r w:rsidRPr="00E673DC">
        <w:rPr>
          <w:lang w:val="en-GB"/>
        </w:rPr>
        <w:tab/>
      </w:r>
      <w:r w:rsidRPr="00E673DC">
        <w:rPr>
          <w:lang w:val="en-GB"/>
        </w:rPr>
        <w:tab/>
        <w:t>Standard Deviation</w:t>
      </w:r>
    </w:p>
    <w:p w14:paraId="1FE1C30F" w14:textId="77777777" w:rsidR="00600608" w:rsidRPr="00E673DC" w:rsidRDefault="00600608" w:rsidP="00A256A8">
      <w:pPr>
        <w:spacing w:before="0" w:after="160"/>
        <w:ind w:firstLine="0"/>
        <w:rPr>
          <w:lang w:val="en-GB"/>
        </w:rPr>
      </w:pPr>
      <w:r w:rsidRPr="00E673DC">
        <w:rPr>
          <w:lang w:val="en-GB"/>
        </w:rPr>
        <w:t>SLT</w:t>
      </w:r>
      <w:r w:rsidRPr="00E673DC">
        <w:rPr>
          <w:lang w:val="en-GB"/>
        </w:rPr>
        <w:tab/>
      </w:r>
      <w:r w:rsidRPr="00E673DC">
        <w:rPr>
          <w:lang w:val="en-GB"/>
        </w:rPr>
        <w:tab/>
        <w:t>Social Learning Theory</w:t>
      </w:r>
    </w:p>
    <w:p w14:paraId="3304E905" w14:textId="77777777" w:rsidR="00600608" w:rsidRPr="00E673DC" w:rsidRDefault="00600608" w:rsidP="00A256A8">
      <w:pPr>
        <w:spacing w:before="0" w:after="160"/>
        <w:ind w:firstLine="0"/>
        <w:rPr>
          <w:lang w:val="en-GB"/>
        </w:rPr>
      </w:pPr>
      <w:r w:rsidRPr="00E673DC">
        <w:rPr>
          <w:lang w:val="en-GB"/>
        </w:rPr>
        <w:t>UAE</w:t>
      </w:r>
      <w:r w:rsidRPr="00E673DC">
        <w:rPr>
          <w:lang w:val="en-GB"/>
        </w:rPr>
        <w:tab/>
      </w:r>
      <w:r w:rsidRPr="00E673DC">
        <w:rPr>
          <w:lang w:val="en-GB"/>
        </w:rPr>
        <w:tab/>
        <w:t>United Arab Emirates</w:t>
      </w:r>
    </w:p>
    <w:p w14:paraId="5E6C4519" w14:textId="77777777" w:rsidR="00600608" w:rsidRPr="00E673DC" w:rsidRDefault="00600608" w:rsidP="00A256A8">
      <w:pPr>
        <w:spacing w:before="0" w:after="160"/>
        <w:ind w:firstLine="0"/>
        <w:rPr>
          <w:lang w:val="en-GB"/>
        </w:rPr>
      </w:pPr>
      <w:r w:rsidRPr="00E673DC">
        <w:rPr>
          <w:lang w:val="en-GB"/>
        </w:rPr>
        <w:t>VIF</w:t>
      </w:r>
      <w:r w:rsidRPr="00E673DC">
        <w:rPr>
          <w:lang w:val="en-GB"/>
        </w:rPr>
        <w:tab/>
      </w:r>
      <w:r w:rsidRPr="00E673DC">
        <w:rPr>
          <w:lang w:val="en-GB"/>
        </w:rPr>
        <w:tab/>
        <w:t>Variance Inflation Factor</w:t>
      </w:r>
    </w:p>
    <w:p w14:paraId="6633F096" w14:textId="77218B99" w:rsidR="00A256A8" w:rsidRPr="00E673DC" w:rsidRDefault="00A256A8" w:rsidP="00A256A8">
      <w:pPr>
        <w:spacing w:before="0" w:after="160"/>
        <w:ind w:firstLine="0"/>
        <w:rPr>
          <w:lang w:val="en-GB"/>
        </w:rPr>
      </w:pPr>
      <w:r w:rsidRPr="00E673DC">
        <w:rPr>
          <w:lang w:val="en-GB"/>
        </w:rPr>
        <w:tab/>
      </w:r>
    </w:p>
    <w:p w14:paraId="5F6AC1D1" w14:textId="77777777" w:rsidR="0053333D" w:rsidRPr="00E673DC" w:rsidRDefault="0053333D" w:rsidP="005C575E">
      <w:pPr>
        <w:spacing w:before="0" w:after="160"/>
        <w:ind w:firstLine="0"/>
        <w:rPr>
          <w:lang w:val="en-GB"/>
        </w:rPr>
      </w:pPr>
    </w:p>
    <w:p w14:paraId="1E2B6BD6" w14:textId="77777777" w:rsidR="005C575E" w:rsidRPr="00E673DC" w:rsidRDefault="005C575E" w:rsidP="00334E8C">
      <w:pPr>
        <w:spacing w:before="0" w:after="160"/>
        <w:ind w:firstLine="0"/>
        <w:jc w:val="center"/>
        <w:rPr>
          <w:b/>
          <w:lang w:val="en-GB"/>
        </w:rPr>
      </w:pPr>
    </w:p>
    <w:p w14:paraId="02D4ACD7" w14:textId="77777777" w:rsidR="00FC5487" w:rsidRPr="00E673DC" w:rsidRDefault="00FC5487" w:rsidP="00ED0659">
      <w:pPr>
        <w:spacing w:before="0" w:after="160"/>
        <w:ind w:firstLine="142"/>
        <w:rPr>
          <w:b/>
          <w:sz w:val="28"/>
          <w:szCs w:val="28"/>
          <w:lang w:val="en-GB"/>
        </w:rPr>
      </w:pPr>
    </w:p>
    <w:p w14:paraId="33F75B25" w14:textId="77777777" w:rsidR="00A066C8" w:rsidRPr="00E673DC" w:rsidRDefault="007B6EE3" w:rsidP="00ED0659">
      <w:pPr>
        <w:spacing w:before="0" w:after="160"/>
        <w:ind w:firstLine="142"/>
        <w:rPr>
          <w:b/>
          <w:sz w:val="28"/>
          <w:szCs w:val="28"/>
          <w:lang w:val="en-GB"/>
        </w:rPr>
      </w:pPr>
      <w:r w:rsidRPr="00E673DC">
        <w:rPr>
          <w:b/>
          <w:sz w:val="28"/>
          <w:szCs w:val="28"/>
          <w:lang w:val="en-GB"/>
        </w:rPr>
        <w:br w:type="page"/>
      </w:r>
    </w:p>
    <w:p w14:paraId="33706646" w14:textId="77777777" w:rsidR="001B4B0C" w:rsidRPr="00E673DC" w:rsidRDefault="001B4B0C" w:rsidP="005A12DE">
      <w:pPr>
        <w:spacing w:before="0" w:after="160"/>
        <w:jc w:val="both"/>
        <w:rPr>
          <w:lang w:val="en-GB"/>
        </w:rPr>
        <w:sectPr w:rsidR="001B4B0C" w:rsidRPr="00E673DC" w:rsidSect="00F4431E">
          <w:headerReference w:type="default" r:id="rId12"/>
          <w:footerReference w:type="even" r:id="rId13"/>
          <w:footerReference w:type="default" r:id="rId14"/>
          <w:footerReference w:type="first" r:id="rId15"/>
          <w:pgSz w:w="12240" w:h="15840"/>
          <w:pgMar w:top="1701" w:right="1701" w:bottom="1134" w:left="1418" w:header="709" w:footer="709" w:gutter="0"/>
          <w:pgNumType w:fmt="lowerRoman" w:start="1"/>
          <w:cols w:space="708"/>
          <w:docGrid w:linePitch="360"/>
        </w:sectPr>
      </w:pPr>
    </w:p>
    <w:p w14:paraId="6A7D8665" w14:textId="77777777" w:rsidR="008A74BD" w:rsidRPr="00E673DC" w:rsidRDefault="008A74BD" w:rsidP="00CD6E34">
      <w:pPr>
        <w:pStyle w:val="Heading1"/>
        <w:rPr>
          <w:lang w:val="en-GB"/>
        </w:rPr>
      </w:pPr>
      <w:bookmarkStart w:id="2" w:name="_Toc154653160"/>
      <w:bookmarkStart w:id="3" w:name="_Toc197952386"/>
      <w:bookmarkStart w:id="4" w:name="_Hlk191625600"/>
      <w:bookmarkStart w:id="5" w:name="_Toc148339889"/>
      <w:r w:rsidRPr="00E673DC">
        <w:rPr>
          <w:lang w:val="en-GB"/>
        </w:rPr>
        <w:lastRenderedPageBreak/>
        <w:t>Introduction</w:t>
      </w:r>
      <w:bookmarkEnd w:id="2"/>
      <w:bookmarkEnd w:id="3"/>
      <w:r w:rsidRPr="00E673DC">
        <w:rPr>
          <w:lang w:val="en-GB"/>
        </w:rPr>
        <w:t xml:space="preserve"> </w:t>
      </w:r>
    </w:p>
    <w:bookmarkEnd w:id="4"/>
    <w:p w14:paraId="328A580F" w14:textId="20A29DDA" w:rsidR="00D13C36" w:rsidRPr="00E673DC" w:rsidRDefault="00D13C36" w:rsidP="00D77795">
      <w:pPr>
        <w:rPr>
          <w:lang w:val="en-GB"/>
        </w:rPr>
      </w:pPr>
      <w:r w:rsidRPr="00E673DC">
        <w:rPr>
          <w:lang w:val="en-GB"/>
        </w:rPr>
        <w:t xml:space="preserve">In </w:t>
      </w:r>
      <w:r w:rsidR="00423F3B" w:rsidRPr="00E673DC">
        <w:rPr>
          <w:lang w:val="en-GB"/>
        </w:rPr>
        <w:t>the last several</w:t>
      </w:r>
      <w:r w:rsidRPr="00E673DC">
        <w:rPr>
          <w:lang w:val="en-GB"/>
        </w:rPr>
        <w:t xml:space="preserve"> decades, scholars and practitioners have increasingly focused on an </w:t>
      </w:r>
      <w:r w:rsidR="00DC79D6">
        <w:rPr>
          <w:lang w:val="en-GB"/>
        </w:rPr>
        <w:t>organis</w:t>
      </w:r>
      <w:r w:rsidRPr="00E673DC">
        <w:rPr>
          <w:lang w:val="en-GB"/>
        </w:rPr>
        <w:t>ation's environmental performance</w:t>
      </w:r>
      <w:r w:rsidR="00CF5F66" w:rsidRPr="00E673DC">
        <w:rPr>
          <w:lang w:val="en-GB"/>
        </w:rPr>
        <w:t xml:space="preserve">. </w:t>
      </w:r>
      <w:r w:rsidR="00FC78F5" w:rsidRPr="00E673DC">
        <w:rPr>
          <w:lang w:val="en-GB"/>
        </w:rPr>
        <w:t xml:space="preserve">Furthermore, governments are currently </w:t>
      </w:r>
      <w:r w:rsidR="00F8610F" w:rsidRPr="00E673DC">
        <w:rPr>
          <w:lang w:val="en-GB"/>
        </w:rPr>
        <w:t>prioriti</w:t>
      </w:r>
      <w:r w:rsidR="00600608">
        <w:rPr>
          <w:lang w:val="en-GB"/>
        </w:rPr>
        <w:t>s</w:t>
      </w:r>
      <w:r w:rsidR="00F8610F" w:rsidRPr="00E673DC">
        <w:rPr>
          <w:lang w:val="en-GB"/>
        </w:rPr>
        <w:t>ing</w:t>
      </w:r>
      <w:r w:rsidR="00FC78F5" w:rsidRPr="00E673DC">
        <w:rPr>
          <w:lang w:val="en-GB"/>
        </w:rPr>
        <w:t xml:space="preserve"> environmental concerns to protect natural resources and meet the United Nations' Sustainable Development Goals (UNSDGs) </w:t>
      </w:r>
      <w:r w:rsidRPr="00E673DC">
        <w:rPr>
          <w:lang w:val="en-GB"/>
        </w:rPr>
        <w:fldChar w:fldCharType="begin"/>
      </w:r>
      <w:r w:rsidR="00E72F10" w:rsidRPr="00E673DC">
        <w:rPr>
          <w:lang w:val="en-GB"/>
        </w:rPr>
        <w:instrText xml:space="preserve"> ADDIN ZOTERO_ITEM CSL_CITATION {"citationID":"h3EuduZ9","properties":{"formattedCitation":"(Sobaih et al., 2020)","plainCitation":"(Sobaih et al., 2020)","noteIndex":0},"citationItems":[{"id":153,"uris":["http://zotero.org/users/local/TOdoVrPG/items/JSJSKEHR"],"itemData":{"id":153,"type":"article-journal","abstract":"Small lodging enterprises encompass a major proportion of the lodging industry worldwide. Nonetheless, limited research has addressed the HRM-innovation-performance link on these enterprises. This research draws on ability, motivation, opportunity (AMO) theory and resource-based view (RBV) theory to examine the inﬂuences of green human resources management (GHRM) practices by owner-managers of small lodging enterprises on their enterprises’ green innovation and environmental performance. More speciﬁcally, the research examines the direct inﬂuence of GHRM on the environmental performance of small lodging enterprises and the indirect inﬂuence through green innovation. A self-administered questionnaire was given to owner-managers of small lodging enterprises in Greater Cairo, Egypt. The results of structural equation modeling (SEM) showed direct, positive and signiﬁcant inﬂuences of owner-managers’ green ability, motivation and opportunity on both enterprise green innovation and environmental performance. The ability of owner-managers was the most inﬂuential GHRM practices on both green innovation and environmental performance. Moreover, the results showed that the inﬂuence of GHRM on environmental performance was doubled with green innovation, reﬂecting the value and vital role of green innovation in small lodging enterprises’ environmental performance. Several policy-level, theoretical and practical implications are identiﬁed and discussed.","container-title":"Sustainability","issue":"24","language":"en","page":"10371","source":"Zotero","title":"Influences of Green Human Resources Management on Environmental Performance in Small Lodging Enterprises: The Role of Green Innovation","volume":"12","author":[{"family":"Sobaih","given":"Abu Elnasr E"},{"family":"Hasanein","given":"Ahmed"},{"family":"Elshaer","given":"Ibrahim"}],"issued":{"date-parts":[["2020"]]}}}],"schema":"https://github.com/citation-style-language/schema/raw/master/csl-citation.json"} </w:instrText>
      </w:r>
      <w:r w:rsidRPr="00E673DC">
        <w:rPr>
          <w:lang w:val="en-GB"/>
        </w:rPr>
        <w:fldChar w:fldCharType="separate"/>
      </w:r>
      <w:r w:rsidRPr="00E673DC">
        <w:rPr>
          <w:lang w:val="en-GB"/>
        </w:rPr>
        <w:t>(Sobaih et al., 2020)</w:t>
      </w:r>
      <w:r w:rsidRPr="00E673DC">
        <w:rPr>
          <w:lang w:val="en-GB"/>
        </w:rPr>
        <w:fldChar w:fldCharType="end"/>
      </w:r>
      <w:r w:rsidRPr="00E673DC">
        <w:rPr>
          <w:lang w:val="en-GB"/>
        </w:rPr>
        <w:t xml:space="preserve">. </w:t>
      </w:r>
      <w:r w:rsidR="00CF5F66" w:rsidRPr="00E673DC">
        <w:rPr>
          <w:lang w:val="en-GB"/>
        </w:rPr>
        <w:t xml:space="preserve">The spotlight is now on </w:t>
      </w:r>
      <w:r w:rsidR="00423F3B" w:rsidRPr="00E673DC">
        <w:rPr>
          <w:lang w:val="en-GB"/>
        </w:rPr>
        <w:t>defending</w:t>
      </w:r>
      <w:r w:rsidR="00CF5F66" w:rsidRPr="00E673DC">
        <w:rPr>
          <w:lang w:val="en-GB"/>
        </w:rPr>
        <w:t xml:space="preserve"> the </w:t>
      </w:r>
      <w:r w:rsidRPr="00E673DC">
        <w:rPr>
          <w:lang w:val="en-GB"/>
        </w:rPr>
        <w:t xml:space="preserve">natural </w:t>
      </w:r>
      <w:r w:rsidR="00FC78F5" w:rsidRPr="00E673DC">
        <w:rPr>
          <w:lang w:val="en-GB"/>
        </w:rPr>
        <w:t>atmosphere</w:t>
      </w:r>
      <w:r w:rsidRPr="00E673DC">
        <w:rPr>
          <w:lang w:val="en-GB"/>
        </w:rPr>
        <w:t xml:space="preserve"> from the harmful effects of pollution, environmental discharge, and waste while maintaining the overall performance of businesses </w:t>
      </w:r>
      <w:r w:rsidRPr="00E673DC">
        <w:rPr>
          <w:lang w:val="en-GB"/>
        </w:rPr>
        <w:fldChar w:fldCharType="begin"/>
      </w:r>
      <w:r w:rsidRPr="00E673DC">
        <w:rPr>
          <w:lang w:val="en-GB"/>
        </w:rPr>
        <w:instrText xml:space="preserve"> ADDIN ZOTERO_ITEM CSL_CITATION {"citationID":"9w1ZTQP6","properties":{"formattedCitation":"(Fonseca et al., 2020)","plainCitation":"(Fonseca et al., 2020)","noteIndex":0},"citationItems":[{"id":34,"uris":["http://zotero.org/users/local/TOdoVrPG/items/84P4IDP5"],"itemData":{"id":34,"type":"article-journal","abstract":"Sustainable development addresses humanity’s aspiration for a better life while observing the limitations imposed by nature. In 2015, the United Nations General Assembly approved the 17 Sustainable Development Goals (SDGs) with the aim to foster the organizational operationalization and integration of sustainability and, therefore, to address the current and forthcoming stakeholder needs and ensure a better and sustainable future for all, balancing the economic, social, and environmental development. However, it is not entirely clear which are the mutual relationships among the 17 SDGs and this study aims to tackle this research gap. The results of the correlation conﬁrm that Poverty elimination (SDG1) and Good health and well-being (SDG3) have synergetic relationships with most of the other goals. SDG7 (Aﬀordable and clean energy) has signiﬁcant relationships with other SDGs (e.g., SDG1 (No poverty), SDG2 (Zero hunger), SDG3 (Good health and well-being), SDG8 (Decent work and economic growth), SDG13 (Climate action)). However, there is a moderate negative correlation with SDG12 (Responsible consumption and production), which emphasizes the need to improve energy eﬃciency, increase the share of clean and renewable energies and improve sustainable consumption patterns worldwide. There is also conﬁrmation that SDG12 (Responsible consumption and production) is the goal strongly associated with trade-oﬀs. To sum up, this research suggests that change towards achieving the Sustainable Development Goals oﬀers many opportunities for reinforcing rather than inhibiting itself. However, some SDGs show no signiﬁcant correlation with other SDGs (e.g., SDG13 (Climate action) and SDG17 (Partnerships for the goals), which highlights the need for future research.","container-title":"Sustainability","DOI":"10.3390/su12083359","ISSN":"2071-1050","issue":"8","journalAbbreviation":"Sustainability","language":"en","license":"https://creativecommons.org/licenses/by/4.0/","page":"3359","source":"DOI.org (Crossref)","title":"Mapping the Sustainable Development Goals Relationships","URL":"https://www.mdpi.com/2071-1050/12/8/3359","volume":"12","author":[{"family":"Fonseca","given":"Luis Miguel"},{"family":"Domingues","given":"José Pedro"},{"family":"Dima","given":"Alina Mihaela"}],"accessed":{"date-parts":[["2024",10,9]]},"issued":{"date-parts":[["2020",4,20]]}}}],"schema":"https://github.com/citation-style-language/schema/raw/master/csl-citation.json"} </w:instrText>
      </w:r>
      <w:r w:rsidRPr="00E673DC">
        <w:rPr>
          <w:lang w:val="en-GB"/>
        </w:rPr>
        <w:fldChar w:fldCharType="separate"/>
      </w:r>
      <w:r w:rsidRPr="00E673DC">
        <w:rPr>
          <w:lang w:val="en-GB"/>
        </w:rPr>
        <w:t>(Fonseca et al., 2020)</w:t>
      </w:r>
      <w:r w:rsidRPr="00E673DC">
        <w:rPr>
          <w:lang w:val="en-GB"/>
        </w:rPr>
        <w:fldChar w:fldCharType="end"/>
      </w:r>
      <w:r w:rsidR="00600608">
        <w:rPr>
          <w:lang w:val="en-GB"/>
        </w:rPr>
        <w:t>.</w:t>
      </w:r>
    </w:p>
    <w:p w14:paraId="0060F92A" w14:textId="64F04DB9" w:rsidR="00D13C36" w:rsidRPr="00E673DC" w:rsidRDefault="00FC78F5" w:rsidP="00D77795">
      <w:pPr>
        <w:rPr>
          <w:lang w:val="en-GB"/>
        </w:rPr>
      </w:pPr>
      <w:r w:rsidRPr="00E673DC">
        <w:rPr>
          <w:lang w:val="en-GB"/>
        </w:rPr>
        <w:t xml:space="preserve">In this context, </w:t>
      </w:r>
      <w:r w:rsidR="00DC79D6">
        <w:rPr>
          <w:lang w:val="en-GB"/>
        </w:rPr>
        <w:t>organis</w:t>
      </w:r>
      <w:r w:rsidRPr="00E673DC">
        <w:rPr>
          <w:lang w:val="en-GB"/>
        </w:rPr>
        <w:t xml:space="preserve">ations are urged to adopt sustainable practices </w:t>
      </w:r>
      <w:r w:rsidR="00D13C36" w:rsidRPr="00E673DC">
        <w:rPr>
          <w:lang w:val="en-GB"/>
        </w:rPr>
        <w:fldChar w:fldCharType="begin"/>
      </w:r>
      <w:r w:rsidR="00D13C36" w:rsidRPr="00E673DC">
        <w:rPr>
          <w:lang w:val="en-GB"/>
        </w:rPr>
        <w:instrText xml:space="preserve"> ADDIN ZOTERO_ITEM CSL_CITATION {"citationID":"mOn8AQdl","properties":{"formattedCitation":"(Jackson et al., 2011)","plainCitation":"(Jackson et al., 2011)","noteIndex":0},"citationItems":[{"id":181,"uris":["http://zotero.org/users/local/TOdoVrPG/items/3YDJT624"],"itemData":{"id":181,"type":"article-journal","abstract":"The topic of environmental sustainability is generating increased concern among business executives, governments, consumers, and management scholars. As these stakeholders struggle with the challenges and opportunities presented by an array of environmental issues, HRM scholars and practitioners alike have been relatively slow to engage in the ongoing discussions and debates. Through this special issue on Green HRM, we seek to stimulate the field of HRM to expand its role in the pursuit of environmentally sustainable business. In this introduction to the special issue, we first provide an overview of the articles that appear in the special issue. Next we present a detailed discussion of research questions that arise from a consideration of several functional HRM practices, including performance management; training, development, and learning; compensation and rewards; and organizational culture. We conclude by describing opportunities for research at the intersection of strategic HRM and environmental management. If pursued with vigor, research addressing this extensive agenda could begin to establish a healthy field of Green HRM scholarship.","container-title":"German Journal of Human Resource Management: Zeitschrift für Personalforschung","DOI":"https://doi.org/10.1177/239700221102500203","journalAbbreviation":"German Journal of Human Resource Management: Zeitschrift für Personalforschung","language":"en","page":"99-116.","source":"Zotero","title":"State-of-the-Art and Future Directions for Green Human Resource Management: Introduction to the Special Issue","volume":"25(2)","author":[{"family":"Jackson","given":"Susan E."},{"family":"Renwick","given":"Douglas W. S."},{"family":"Jabbour","given":"Charbel J. C."},{"family":"Muller-Camen*","given":"Michael"}],"issued":{"date-parts":[["2011"]]}}}],"schema":"https://github.com/citation-style-language/schema/raw/master/csl-citation.json"} </w:instrText>
      </w:r>
      <w:r w:rsidR="00D13C36" w:rsidRPr="00E673DC">
        <w:rPr>
          <w:lang w:val="en-GB"/>
        </w:rPr>
        <w:fldChar w:fldCharType="separate"/>
      </w:r>
      <w:r w:rsidR="00D13C36" w:rsidRPr="00E673DC">
        <w:rPr>
          <w:lang w:val="en-GB"/>
        </w:rPr>
        <w:t>(Jackson et al., 2011)</w:t>
      </w:r>
      <w:r w:rsidR="00D13C36" w:rsidRPr="00E673DC">
        <w:rPr>
          <w:lang w:val="en-GB"/>
        </w:rPr>
        <w:fldChar w:fldCharType="end"/>
      </w:r>
      <w:r w:rsidR="00D13C36" w:rsidRPr="00E673DC">
        <w:rPr>
          <w:lang w:val="en-GB"/>
        </w:rPr>
        <w:t xml:space="preserve">. Green Human Resources Management (GHRM) </w:t>
      </w:r>
      <w:r w:rsidR="00600608">
        <w:rPr>
          <w:lang w:val="en-GB"/>
        </w:rPr>
        <w:t>p</w:t>
      </w:r>
      <w:r w:rsidR="00D13C36" w:rsidRPr="00E673DC">
        <w:rPr>
          <w:lang w:val="en-GB"/>
        </w:rPr>
        <w:t xml:space="preserve">ractices have emerged as a pivotal approach in aligning human resource practices with environmental sustainability goals. GHRM practices encompass various strategies and practices designed to promote environmental awareness and sustainable </w:t>
      </w:r>
      <w:r w:rsidR="00DC79D6">
        <w:rPr>
          <w:lang w:val="en-GB"/>
        </w:rPr>
        <w:t>behaviour</w:t>
      </w:r>
      <w:r w:rsidR="00D13C36" w:rsidRPr="00E673DC">
        <w:rPr>
          <w:lang w:val="en-GB"/>
        </w:rPr>
        <w:t xml:space="preserve"> among employees, thereby </w:t>
      </w:r>
      <w:r w:rsidRPr="00E673DC">
        <w:rPr>
          <w:lang w:val="en-GB"/>
        </w:rPr>
        <w:t>adding</w:t>
      </w:r>
      <w:r w:rsidR="00D13C36" w:rsidRPr="00E673DC">
        <w:rPr>
          <w:lang w:val="en-GB"/>
        </w:rPr>
        <w:t xml:space="preserve"> to the </w:t>
      </w:r>
      <w:r w:rsidRPr="00E673DC">
        <w:rPr>
          <w:lang w:val="en-GB"/>
        </w:rPr>
        <w:t>global</w:t>
      </w:r>
      <w:r w:rsidR="00D13C36" w:rsidRPr="00E673DC">
        <w:rPr>
          <w:lang w:val="en-GB"/>
        </w:rPr>
        <w:t xml:space="preserve"> sustainability objectives of the </w:t>
      </w:r>
      <w:r w:rsidRPr="00E673DC">
        <w:rPr>
          <w:lang w:val="en-GB"/>
        </w:rPr>
        <w:t>firm</w:t>
      </w:r>
      <w:r w:rsidR="00D13C36" w:rsidRPr="00E673DC">
        <w:rPr>
          <w:lang w:val="en-GB"/>
        </w:rPr>
        <w:t xml:space="preserve"> </w:t>
      </w:r>
      <w:r w:rsidR="00D13C36" w:rsidRPr="00E673DC">
        <w:rPr>
          <w:lang w:val="en-GB"/>
        </w:rPr>
        <w:fldChar w:fldCharType="begin"/>
      </w:r>
      <w:r w:rsidR="00D13C36" w:rsidRPr="00E673DC">
        <w:rPr>
          <w:lang w:val="en-GB"/>
        </w:rPr>
        <w:instrText xml:space="preserve"> ADDIN ZOTERO_ITEM CSL_CITATION {"citationID":"wkFElLyL","properties":{"formattedCitation":"(Renwick et al., 2013)","plainCitation":"(Renwick et al., 2013)","noteIndex":0},"citationItems":[{"id":187,"uris":["http://zotero.org/users/local/TOdoVrPG/items/BIAC7685"],"itemData":{"id":187,"type":"article-journal","container-title":"International journal of management reviews","DOI":"https://doi.org/10.1111/j.1468-2370.2011.00328.x","issue":"1","page":"1 - 14","title":"Green Human Resource Management: A Review and Research Agenda","URL":"https://onlinelibrary.wiley.com/doi/abs/10.1111/j.1468-2370.2011.00328.x","volume":"15","author":[{"family":"Renwick","given":"Douglas W.S."},{"family":"Redman","given":"Tom"},{"family":"Maguire","given":"Stuart"}],"issued":{"date-parts":[["2013"]]}}}],"schema":"https://github.com/citation-style-language/schema/raw/master/csl-citation.json"} </w:instrText>
      </w:r>
      <w:r w:rsidR="00D13C36" w:rsidRPr="00E673DC">
        <w:rPr>
          <w:lang w:val="en-GB"/>
        </w:rPr>
        <w:fldChar w:fldCharType="separate"/>
      </w:r>
      <w:r w:rsidR="00D13C36" w:rsidRPr="00E673DC">
        <w:rPr>
          <w:lang w:val="en-GB"/>
        </w:rPr>
        <w:t>(Renwick et al., 2013)</w:t>
      </w:r>
      <w:r w:rsidR="00D13C36" w:rsidRPr="00E673DC">
        <w:rPr>
          <w:lang w:val="en-GB"/>
        </w:rPr>
        <w:fldChar w:fldCharType="end"/>
      </w:r>
      <w:r w:rsidR="00D13C36" w:rsidRPr="00E673DC">
        <w:rPr>
          <w:lang w:val="en-GB"/>
        </w:rPr>
        <w:t xml:space="preserve">. </w:t>
      </w:r>
      <w:r w:rsidR="00600608">
        <w:rPr>
          <w:lang w:val="en-GB"/>
        </w:rPr>
        <w:t>They</w:t>
      </w:r>
      <w:r w:rsidR="00D13C36" w:rsidRPr="00E673DC">
        <w:rPr>
          <w:lang w:val="en-GB"/>
        </w:rPr>
        <w:t xml:space="preserve"> also aim to develop </w:t>
      </w:r>
      <w:r w:rsidR="00423F3B" w:rsidRPr="00E673DC">
        <w:rPr>
          <w:lang w:val="en-GB"/>
        </w:rPr>
        <w:t>ecological</w:t>
      </w:r>
      <w:r w:rsidR="00D13C36" w:rsidRPr="00E673DC">
        <w:rPr>
          <w:lang w:val="en-GB"/>
        </w:rPr>
        <w:t xml:space="preserve"> </w:t>
      </w:r>
      <w:r w:rsidR="00423F3B" w:rsidRPr="00E673DC">
        <w:rPr>
          <w:lang w:val="en-GB"/>
        </w:rPr>
        <w:t>awareness</w:t>
      </w:r>
      <w:r w:rsidR="00D13C36" w:rsidRPr="00E673DC">
        <w:rPr>
          <w:lang w:val="en-GB"/>
        </w:rPr>
        <w:t>, enhance employees</w:t>
      </w:r>
      <w:r w:rsidR="00965313">
        <w:rPr>
          <w:lang w:val="en-GB"/>
        </w:rPr>
        <w:t>'</w:t>
      </w:r>
      <w:r w:rsidR="00D13C36" w:rsidRPr="00E673DC">
        <w:rPr>
          <w:lang w:val="en-GB"/>
        </w:rPr>
        <w:t xml:space="preserve"> citizenship </w:t>
      </w:r>
      <w:r w:rsidR="00DC79D6">
        <w:rPr>
          <w:lang w:val="en-GB"/>
        </w:rPr>
        <w:t>behaviour</w:t>
      </w:r>
      <w:r w:rsidR="00D13C36" w:rsidRPr="00E673DC">
        <w:rPr>
          <w:lang w:val="en-GB"/>
        </w:rPr>
        <w:t xml:space="preserve"> and commitment towards environmental sustainability, improve environmental performance, and </w:t>
      </w:r>
      <w:r w:rsidR="00423F3B" w:rsidRPr="00E673DC">
        <w:rPr>
          <w:lang w:val="en-GB"/>
        </w:rPr>
        <w:t>encourage</w:t>
      </w:r>
      <w:r w:rsidR="00D13C36" w:rsidRPr="00E673DC">
        <w:rPr>
          <w:lang w:val="en-GB"/>
        </w:rPr>
        <w:t xml:space="preserve"> </w:t>
      </w:r>
      <w:r w:rsidR="00FA72EC">
        <w:rPr>
          <w:lang w:val="en-GB"/>
        </w:rPr>
        <w:t xml:space="preserve">the </w:t>
      </w:r>
      <w:r w:rsidR="00965313">
        <w:rPr>
          <w:lang w:val="en-GB"/>
        </w:rPr>
        <w:t>g</w:t>
      </w:r>
      <w:r w:rsidR="00D13C36" w:rsidRPr="00E673DC">
        <w:rPr>
          <w:lang w:val="en-GB"/>
        </w:rPr>
        <w:t xml:space="preserve">reen </w:t>
      </w:r>
      <w:r w:rsidRPr="00E673DC">
        <w:rPr>
          <w:lang w:val="en-GB"/>
        </w:rPr>
        <w:t>ethics</w:t>
      </w:r>
      <w:r w:rsidR="00D13C36" w:rsidRPr="00E673DC">
        <w:rPr>
          <w:lang w:val="en-GB"/>
        </w:rPr>
        <w:t xml:space="preserve">, skills, and knowledge pertinent to </w:t>
      </w:r>
      <w:r w:rsidR="00965313">
        <w:rPr>
          <w:lang w:val="en-GB"/>
        </w:rPr>
        <w:t>g</w:t>
      </w:r>
      <w:r w:rsidR="00D13C36" w:rsidRPr="00E673DC">
        <w:rPr>
          <w:lang w:val="en-GB"/>
        </w:rPr>
        <w:t xml:space="preserve">reen activities </w:t>
      </w:r>
      <w:r w:rsidR="00D13C36" w:rsidRPr="00E673DC">
        <w:rPr>
          <w:lang w:val="en-GB"/>
        </w:rPr>
        <w:fldChar w:fldCharType="begin"/>
      </w:r>
      <w:r w:rsidR="00D13C36" w:rsidRPr="00E673DC">
        <w:rPr>
          <w:lang w:val="en-GB"/>
        </w:rPr>
        <w:instrText xml:space="preserve"> ADDIN ZOTERO_ITEM CSL_CITATION {"citationID":"JHjDnu81","properties":{"formattedCitation":"(Amrutha &amp; Geetha, 2020; Kakar &amp; Khan, 2022; Pham et al., 2018)","plainCitation":"(Amrutha &amp; Geetha, 2020; Kakar &amp; Khan, 2022; Pham et al., 2018)","noteIndex":0},"citationItems":[{"id":202,"uris":["http://zotero.org/users/local/TOdoVrPG/items/J632DZT5"],"itemData":{"id":202,"type":"article-journal","abstract":"This article identiﬁes current progressions and research gaps in Green Human Resource Management literature and investigates the future of green practices in meeting the social sustainability requirements of an organisation. Considering the growing awareness on greening and sustainability, a systematic review of the domain speciﬁc literature was carried out using the Scopus and Google Scholar databases which resulted in a set of 174 scientiﬁc articles between 1995 and 2019. NVivo Plus software version 12 was used for quantitative processing as well as qualitative analysis of data. Content coding and cluster analysis were performed, the results of which exhibited three clusters namely, green human resource management practices, employee green behaviour at workplace and organisational sustainability. Further manual analysis revealed social sustainability to be the least explored area than economic and environmental pillars of sustainability. From this, the authors conceptually explored a theoretical model suggesting the mediational role of ‘employee green behaviour at workplace’ in the relationship between ‘green human resource management practices’ and ‘social sustainability’ of organisations using grounded theory approach. Therefore, prioritising social equity, health, wellness and well-being, this work examines the state-of-the-art in green human resource management research to unravel the enormous potential of core green practices envisioning social sustainability, which has not been established till date. Based on the content coding, clustering, and further analysis, propositions, future paths and implications are also presented.","container-title":"Journal of Cleaner production","DOI":"https://doi.org/10.1016/j.jclepro.2019.119131","journalAbbreviation":"Journal of Cleaner Production","language":"en","page":"119131","source":"Zotero","title":"A systematic review on green human resource management: Implications for social sustainability","URL":"https://www.sciencedirect.com/science/article/pii/S0959652619340016","volume":"247","author":[{"family":"Amrutha","given":"V N"},{"family":"Geetha","given":"S.N."}],"issued":{"date-parts":[["2020"]]}}},{"id":69,"uris":["http://zotero.org/users/local/TOdoVrPG/items/9CF3EM2N"],"itemData":{"id":69,"type":"article-journal","abstract":"Using Green human resource management practices (HRMPs) as a multi-component construct, this study investigated the influence of bundle of Green HRMPs on pro-environmental behavior (Pro-EB) and organizational citizenship behavior towards the environment (OCBE), and examined the mediating effect of OCBE as a psychological mechanism that defines Green HRMPs and Pro-EB relationships. Data were obtained using self-administered questionnaires from a sample of 247 full-time academics working in public sector higher education institutions of Pakistan. The hypotheses were verified using partial least squares structural equation modelling (PLS-SEM). The results revealed that Green HRMPs bundle had a significant and positive effect on both Pro-EB and OCBE, and OCBE, in return, had a positive relationship with Pro-EB. It was further revealed that OCBE positively mediated the association between Green HRMPs bundles and Pro-EB. The originality of the study lies in conceptualizing Green HRMPs bundles as a multi-component construct and examining the relationships between Green HRMPs bundle, OCBE, and Pro-EB in the context of Pakistan’s higher education institutions. Besides, exploring OCBE as a mediator between Green HRMPs bundles and Pro-EB is one of the novel contributions of this study. This study helps management and practitioners in developing Green strategies that can promote Green and Pro-EB among academics/faculty members.","container-title":"Green Finance","DOI":"10.3934/GF.2022013","ISSN":"2643-1092","issue":"3","journalAbbreviation":"GF","language":"en","page":"274-294","source":"DOI.org (Crossref)","title":"Exploring the impact of green HRM practices on pro-environmental behavior via interplay of organization citizenship behavior","URL":"http://www.aimspress.com/article/doi/10.3934/GF.2022013","volume":"4","author":[{"family":"Kakar","given":"Abdul Samad"},{"family":"Khan","given":"Mrestyal"}],"accessed":{"date-parts":[["2024",10,16]]},"issued":{"date-parts":[["2022"]]}}},{"id":191,"uris":["http://zotero.org/users/local/TOdoVrPG/items/4MNKBTE9"],"itemData":{"id":191,"type":"article-journal","abstract":"The environmental concern has become an emerging topic in organization’s human resource management strategy, especially in improving employee’s environmental behavior at work. Thus, the organizational citizenship behavior toward the environment (OCBE) has been currently attracting scholars in management. However, published studies contain research gaps in investigation of the relationships between both green training and organizational culture and OCBE, especially in the hotel industry. Following the social exchange and Ability-MotivationOpportunity theories, this study aims to examine the effects of two green practices on OCBE and the moderating role of green organizational culture to the effect of green training on OCBE. A quantitative approach with survey strategy is employed and conducted in 4-5 star hotels to test these relationships. The PLS-SEM and K-means Cluster Analysis techniques are applied to analyze data. The findings reveal that green training and organizational culture positively influence OCBE. Also, the effect of green training on OCBE is moderated by green organizational culture. Finally, our study provides limitations of research and further studies, and the implications for management practices concerned with improving employee’s voluntary eco-behavior in the hotel industry.","container-title":"Management &amp; Marketing","DOI":"https://doi.org/10.2478/mmcks-2018-0030","ISSN":"2069-8887","issue":"4","language":"en","page":"1174 - 1189","source":"Zotero","title":"Enhancing the organizational citizenship behavior for the environment: the roles of green training and organizational culture","URL":"https://sciendo.com/article/10.2478/mmcks-2018-0030","volume":"13","author":[{"family":"Pham","given":"Nhat Tan"},{"family":"Phan","given":"Quyen Phu Thi"},{"family":"Tučková","given":"Zuzana"}],"issued":{"date-parts":[["2018"]]}}}],"schema":"https://github.com/citation-style-language/schema/raw/master/csl-citation.json"} </w:instrText>
      </w:r>
      <w:r w:rsidR="00D13C36" w:rsidRPr="00E673DC">
        <w:rPr>
          <w:lang w:val="en-GB"/>
        </w:rPr>
        <w:fldChar w:fldCharType="separate"/>
      </w:r>
      <w:r w:rsidR="00D13C36" w:rsidRPr="00E673DC">
        <w:rPr>
          <w:lang w:val="en-GB"/>
        </w:rPr>
        <w:t>(Amrutha &amp; Geetha, 2020; Kakar &amp; Khan, 2022; Pham et al., 2018)</w:t>
      </w:r>
      <w:r w:rsidR="00D13C36" w:rsidRPr="00E673DC">
        <w:rPr>
          <w:lang w:val="en-GB"/>
        </w:rPr>
        <w:fldChar w:fldCharType="end"/>
      </w:r>
      <w:r w:rsidR="00D13C36" w:rsidRPr="00E673DC">
        <w:rPr>
          <w:lang w:val="en-GB"/>
        </w:rPr>
        <w:t>.</w:t>
      </w:r>
    </w:p>
    <w:p w14:paraId="23437F33" w14:textId="37B81740" w:rsidR="00D13C36" w:rsidRPr="00E673DC" w:rsidRDefault="00DC79D6" w:rsidP="00D77795">
      <w:pPr>
        <w:rPr>
          <w:lang w:val="en-GB"/>
        </w:rPr>
      </w:pPr>
      <w:r>
        <w:rPr>
          <w:lang w:val="en-GB"/>
        </w:rPr>
        <w:t>Organis</w:t>
      </w:r>
      <w:r w:rsidR="00D13C36" w:rsidRPr="00E673DC">
        <w:rPr>
          <w:lang w:val="en-GB"/>
        </w:rPr>
        <w:t xml:space="preserve">ational Citizenship </w:t>
      </w:r>
      <w:r>
        <w:rPr>
          <w:lang w:val="en-GB"/>
        </w:rPr>
        <w:t>Behaviour</w:t>
      </w:r>
      <w:r w:rsidR="00D13C36" w:rsidRPr="00E673DC">
        <w:rPr>
          <w:lang w:val="en-GB"/>
        </w:rPr>
        <w:t xml:space="preserve"> (OCB) is a relatively</w:t>
      </w:r>
      <w:r w:rsidR="00CF5F66" w:rsidRPr="00E673DC">
        <w:rPr>
          <w:lang w:val="en-GB"/>
        </w:rPr>
        <w:t xml:space="preserve"> </w:t>
      </w:r>
      <w:r w:rsidR="00F8610F" w:rsidRPr="00E673DC">
        <w:rPr>
          <w:lang w:val="en-GB"/>
        </w:rPr>
        <w:t>novel concept</w:t>
      </w:r>
      <w:r w:rsidR="00D13C36" w:rsidRPr="00E673DC">
        <w:rPr>
          <w:lang w:val="en-GB"/>
        </w:rPr>
        <w:t xml:space="preserve"> that emerged in the late 1970s </w:t>
      </w:r>
      <w:r w:rsidR="00965313">
        <w:rPr>
          <w:lang w:val="en-GB"/>
        </w:rPr>
        <w:t xml:space="preserve">and </w:t>
      </w:r>
      <w:r w:rsidR="00D13C36" w:rsidRPr="00E673DC">
        <w:rPr>
          <w:lang w:val="en-GB"/>
        </w:rPr>
        <w:t xml:space="preserve">was formally defined in the 1980s </w:t>
      </w:r>
      <w:r w:rsidR="00D13C36" w:rsidRPr="00E673DC">
        <w:rPr>
          <w:lang w:val="en-GB"/>
        </w:rPr>
        <w:fldChar w:fldCharType="begin"/>
      </w:r>
      <w:r w:rsidR="00E72F10" w:rsidRPr="00E673DC">
        <w:rPr>
          <w:lang w:val="en-GB"/>
        </w:rPr>
        <w:instrText xml:space="preserve"> ADDIN ZOTERO_ITEM CSL_CITATION {"citationID":"SICt6QQ6","properties":{"formattedCitation":"(Worku &amp; Debela, 2024)","plainCitation":"(Worku &amp; Debela, 2024)","noteIndex":0},"citationItems":[{"id":230,"uris":["http://zotero.org/users/local/TOdoVrPG/items/I85NS2K9"],"itemData":{"id":230,"type":"article-journal","container-title":"Cogent Business &amp; Management","DOI":"10.1080/23311975.2024.2350804","ISSN":"null","issue":"1","journalAbbreviation":"Cogent Business &amp; Management","note":"publisher: Cogent OA","page":"2350804","title":"A systematic literature review on organizational citizenship behavior: conceptualization, antecedents, and future research directions","URL":"https://doi.org/10.1080/23311975.2024.2350804","volume":"11","author":[{"family":"Worku","given":"Muluken Ayalew"},{"family":"Debela","given":"Kenenisa Lemi"}],"issued":{"date-parts":[["2024"]]}}}],"schema":"https://github.com/citation-style-language/schema/raw/master/csl-citation.json"} </w:instrText>
      </w:r>
      <w:r w:rsidR="00D13C36" w:rsidRPr="00E673DC">
        <w:rPr>
          <w:lang w:val="en-GB"/>
        </w:rPr>
        <w:fldChar w:fldCharType="separate"/>
      </w:r>
      <w:r w:rsidR="00D13C36" w:rsidRPr="00E673DC">
        <w:rPr>
          <w:lang w:val="en-GB"/>
        </w:rPr>
        <w:t>(Worku &amp; Debela, 2024)</w:t>
      </w:r>
      <w:r w:rsidR="00D13C36" w:rsidRPr="00E673DC">
        <w:rPr>
          <w:lang w:val="en-GB"/>
        </w:rPr>
        <w:fldChar w:fldCharType="end"/>
      </w:r>
      <w:r w:rsidR="00D13C36" w:rsidRPr="00E673DC">
        <w:rPr>
          <w:lang w:val="en-GB"/>
        </w:rPr>
        <w:t xml:space="preserve">. OCB </w:t>
      </w:r>
      <w:r w:rsidR="00CF5F66" w:rsidRPr="00E673DC">
        <w:rPr>
          <w:lang w:val="en-GB"/>
        </w:rPr>
        <w:t xml:space="preserve">not only refers to </w:t>
      </w:r>
      <w:r w:rsidR="00D13C36" w:rsidRPr="00E673DC">
        <w:rPr>
          <w:lang w:val="en-GB"/>
        </w:rPr>
        <w:t xml:space="preserve">joining and remaining with the </w:t>
      </w:r>
      <w:r>
        <w:rPr>
          <w:lang w:val="en-GB"/>
        </w:rPr>
        <w:t>organis</w:t>
      </w:r>
      <w:r w:rsidR="00D13C36" w:rsidRPr="00E673DC">
        <w:rPr>
          <w:lang w:val="en-GB"/>
        </w:rPr>
        <w:t xml:space="preserve">ation </w:t>
      </w:r>
      <w:r w:rsidR="00CF5F66" w:rsidRPr="00E673DC">
        <w:rPr>
          <w:lang w:val="en-GB"/>
        </w:rPr>
        <w:t xml:space="preserve">whilst </w:t>
      </w:r>
      <w:r w:rsidR="00D13C36" w:rsidRPr="00E673DC">
        <w:rPr>
          <w:lang w:val="en-GB"/>
        </w:rPr>
        <w:t xml:space="preserve">meeting performance standards, but also </w:t>
      </w:r>
      <w:r w:rsidR="00965313">
        <w:rPr>
          <w:lang w:val="en-GB"/>
        </w:rPr>
        <w:t xml:space="preserve">includes </w:t>
      </w:r>
      <w:r w:rsidR="00D13C36" w:rsidRPr="00E673DC">
        <w:rPr>
          <w:lang w:val="en-GB"/>
        </w:rPr>
        <w:t>voluntarily exceed</w:t>
      </w:r>
      <w:r w:rsidR="00CF5F66" w:rsidRPr="00E673DC">
        <w:rPr>
          <w:lang w:val="en-GB"/>
        </w:rPr>
        <w:t>ing</w:t>
      </w:r>
      <w:r w:rsidR="00D13C36" w:rsidRPr="00E673DC">
        <w:rPr>
          <w:lang w:val="en-GB"/>
        </w:rPr>
        <w:t xml:space="preserve"> the prescribed roles </w:t>
      </w:r>
      <w:r w:rsidR="00D13C36" w:rsidRPr="00E673DC">
        <w:rPr>
          <w:lang w:val="en-GB"/>
        </w:rPr>
        <w:fldChar w:fldCharType="begin"/>
      </w:r>
      <w:r w:rsidR="00D13C36" w:rsidRPr="00E673DC">
        <w:rPr>
          <w:lang w:val="en-GB"/>
        </w:rPr>
        <w:instrText xml:space="preserve"> ADDIN ZOTERO_ITEM CSL_CITATION {"citationID":"Uc5IA0rt","properties":{"formattedCitation":"(Katz, 1964)","plainCitation":"(Katz, 1964)","noteIndex":0},"citationItems":[{"id":232,"uris":["http://zotero.org/users/local/TOdoVrPG/items/A8LIKVRK"],"itemData":{"id":232,"type":"article-journal","container-title":"Behavioral Science","DOI":"https://doi.org/10.1002/bs.3830090206","issue":"2","page":"131–146","title":"The motivational basis of organizational behavior","URL":"https://onlinelibrary.wiley.com/doi/10.1002/bs.3830090206","volume":"9","author":[{"family":"Katz","given":"Daniel"}],"issued":{"date-parts":[["1964"]]}}}],"schema":"https://github.com/citation-style-language/schema/raw/master/csl-citation.json"} </w:instrText>
      </w:r>
      <w:r w:rsidR="00D13C36" w:rsidRPr="00E673DC">
        <w:rPr>
          <w:lang w:val="en-GB"/>
        </w:rPr>
        <w:fldChar w:fldCharType="separate"/>
      </w:r>
      <w:r w:rsidR="00D13C36" w:rsidRPr="00E673DC">
        <w:rPr>
          <w:lang w:val="en-GB"/>
        </w:rPr>
        <w:t>(Katz, 1964)</w:t>
      </w:r>
      <w:r w:rsidR="00D13C36" w:rsidRPr="00E673DC">
        <w:rPr>
          <w:lang w:val="en-GB"/>
        </w:rPr>
        <w:fldChar w:fldCharType="end"/>
      </w:r>
      <w:r w:rsidR="00D13C36" w:rsidRPr="00E673DC">
        <w:rPr>
          <w:lang w:val="en-GB"/>
        </w:rPr>
        <w:t xml:space="preserve">. OCB </w:t>
      </w:r>
      <w:r w:rsidR="00CF5F66" w:rsidRPr="00E673DC">
        <w:rPr>
          <w:lang w:val="en-GB"/>
        </w:rPr>
        <w:lastRenderedPageBreak/>
        <w:t xml:space="preserve">relates to </w:t>
      </w:r>
      <w:r w:rsidR="00D13C36" w:rsidRPr="00E673DC">
        <w:rPr>
          <w:lang w:val="en-GB"/>
        </w:rPr>
        <w:t>employees</w:t>
      </w:r>
      <w:r w:rsidR="00965313">
        <w:rPr>
          <w:lang w:val="en-GB"/>
        </w:rPr>
        <w:t>'</w:t>
      </w:r>
      <w:r w:rsidR="00D13C36" w:rsidRPr="00E673DC">
        <w:rPr>
          <w:lang w:val="en-GB"/>
        </w:rPr>
        <w:t xml:space="preserve"> voluntary actions </w:t>
      </w:r>
      <w:r w:rsidR="00CF5F66" w:rsidRPr="00E673DC">
        <w:rPr>
          <w:lang w:val="en-GB"/>
        </w:rPr>
        <w:t>that are both favo</w:t>
      </w:r>
      <w:r w:rsidR="00965313">
        <w:rPr>
          <w:lang w:val="en-GB"/>
        </w:rPr>
        <w:t>u</w:t>
      </w:r>
      <w:r w:rsidR="00CF5F66" w:rsidRPr="00E673DC">
        <w:rPr>
          <w:lang w:val="en-GB"/>
        </w:rPr>
        <w:t>rable as well as beneficial for</w:t>
      </w:r>
      <w:r w:rsidR="00D13C36" w:rsidRPr="00E673DC">
        <w:rPr>
          <w:lang w:val="en-GB"/>
        </w:rPr>
        <w:t xml:space="preserve"> the </w:t>
      </w:r>
      <w:r>
        <w:rPr>
          <w:lang w:val="en-GB"/>
        </w:rPr>
        <w:t>organis</w:t>
      </w:r>
      <w:r w:rsidR="00D13C36" w:rsidRPr="00E673DC">
        <w:rPr>
          <w:lang w:val="en-GB"/>
        </w:rPr>
        <w:t>ation</w:t>
      </w:r>
      <w:r w:rsidR="00965313">
        <w:rPr>
          <w:lang w:val="en-GB"/>
        </w:rPr>
        <w:t xml:space="preserve">, </w:t>
      </w:r>
      <w:r w:rsidR="003148AD" w:rsidRPr="003148AD">
        <w:rPr>
          <w:lang w:val="en-GB"/>
        </w:rPr>
        <w:t>for example</w:t>
      </w:r>
      <w:r w:rsidR="00965313">
        <w:rPr>
          <w:lang w:val="en-GB"/>
        </w:rPr>
        <w:t>,</w:t>
      </w:r>
      <w:r w:rsidR="00CF5F66" w:rsidRPr="00E673DC">
        <w:rPr>
          <w:lang w:val="en-GB"/>
        </w:rPr>
        <w:t xml:space="preserve"> arriving on time and supporting colleagues </w:t>
      </w:r>
      <w:r w:rsidR="00CF5F66" w:rsidRPr="00E673DC">
        <w:rPr>
          <w:lang w:val="en-GB"/>
        </w:rPr>
        <w:fldChar w:fldCharType="begin"/>
      </w:r>
      <w:r w:rsidR="00CF5F66" w:rsidRPr="00E673DC">
        <w:rPr>
          <w:lang w:val="en-GB"/>
        </w:rPr>
        <w:instrText xml:space="preserve"> ADDIN ZOTERO_ITEM CSL_CITATION {"citationID":"PzCss8aN","properties":{"formattedCitation":"(Kakar &amp; Khan, 2022)","plainCitation":"(Kakar &amp; Khan, 2022)","noteIndex":0},"citationItems":[{"id":69,"uris":["http://zotero.org/users/local/TOdoVrPG/items/9CF3EM2N"],"itemData":{"id":69,"type":"article-journal","abstract":"Using Green human resource management practices (HRMPs) as a multi-component construct, this study investigated the influence of bundle of Green HRMPs on pro-environmental behavior (Pro-EB) and organizational citizenship behavior towards the environment (OCBE), and examined the mediating effect of OCBE as a psychological mechanism that defines Green HRMPs and Pro-EB relationships. Data were obtained using self-administered questionnaires from a sample of 247 full-time academics working in public sector higher education institutions of Pakistan. The hypotheses were verified using partial least squares structural equation modelling (PLS-SEM). The results revealed that Green HRMPs bundle had a significant and positive effect on both Pro-EB and OCBE, and OCBE, in return, had a positive relationship with Pro-EB. It was further revealed that OCBE positively mediated the association between Green HRMPs bundles and Pro-EB. The originality of the study lies in conceptualizing Green HRMPs bundles as a multi-component construct and examining the relationships between Green HRMPs bundle, OCBE, and Pro-EB in the context of Pakistan’s higher education institutions. Besides, exploring OCBE as a mediator between Green HRMPs bundles and Pro-EB is one of the novel contributions of this study. This study helps management and practitioners in developing Green strategies that can promote Green and Pro-EB among academics/faculty members.","container-title":"Green Finance","DOI":"10.3934/GF.2022013","ISSN":"2643-1092","issue":"3","journalAbbreviation":"GF","language":"en","page":"274-294","source":"DOI.org (Crossref)","title":"Exploring the impact of green HRM practices on pro-environmental behavior via interplay of organization citizenship behavior","URL":"http://www.aimspress.com/article/doi/10.3934/GF.2022013","volume":"4","author":[{"family":"Kakar","given":"Abdul Samad"},{"family":"Khan","given":"Mrestyal"}],"accessed":{"date-parts":[["2024",10,16]]},"issued":{"date-parts":[["2022"]]}}}],"schema":"https://github.com/citation-style-language/schema/raw/master/csl-citation.json"} </w:instrText>
      </w:r>
      <w:r w:rsidR="00CF5F66" w:rsidRPr="00E673DC">
        <w:rPr>
          <w:lang w:val="en-GB"/>
        </w:rPr>
        <w:fldChar w:fldCharType="separate"/>
      </w:r>
      <w:r w:rsidR="00CF5F66" w:rsidRPr="00E673DC">
        <w:rPr>
          <w:lang w:val="en-GB"/>
        </w:rPr>
        <w:t>(Kakar &amp; Khan, 2022)</w:t>
      </w:r>
      <w:r w:rsidR="00CF5F66" w:rsidRPr="00E673DC">
        <w:rPr>
          <w:lang w:val="en-GB"/>
        </w:rPr>
        <w:fldChar w:fldCharType="end"/>
      </w:r>
      <w:r w:rsidR="00CF5F66" w:rsidRPr="00E673DC">
        <w:rPr>
          <w:lang w:val="en-GB"/>
        </w:rPr>
        <w:t>,</w:t>
      </w:r>
      <w:r w:rsidR="00D13C36" w:rsidRPr="00E673DC">
        <w:rPr>
          <w:lang w:val="en-GB"/>
        </w:rPr>
        <w:t xml:space="preserve"> which could be </w:t>
      </w:r>
      <w:r w:rsidR="00CF5F66" w:rsidRPr="00E673DC">
        <w:rPr>
          <w:lang w:val="en-GB"/>
        </w:rPr>
        <w:t xml:space="preserve">acknowledged and </w:t>
      </w:r>
      <w:r w:rsidR="00423F3B" w:rsidRPr="00E673DC">
        <w:rPr>
          <w:lang w:val="en-GB"/>
        </w:rPr>
        <w:t>valued</w:t>
      </w:r>
      <w:r w:rsidR="00D13C36" w:rsidRPr="00E673DC">
        <w:rPr>
          <w:lang w:val="en-GB"/>
        </w:rPr>
        <w:t xml:space="preserve"> by the formal reward</w:t>
      </w:r>
      <w:r w:rsidR="00423F3B" w:rsidRPr="00E673DC">
        <w:rPr>
          <w:lang w:val="en-GB"/>
        </w:rPr>
        <w:t>s</w:t>
      </w:r>
      <w:r w:rsidR="00D13C36" w:rsidRPr="00E673DC">
        <w:rPr>
          <w:lang w:val="en-GB"/>
        </w:rPr>
        <w:t xml:space="preserve"> </w:t>
      </w:r>
      <w:r w:rsidR="00423F3B" w:rsidRPr="00E673DC">
        <w:rPr>
          <w:lang w:val="en-GB"/>
        </w:rPr>
        <w:t>scheme.</w:t>
      </w:r>
      <w:r w:rsidR="00D13C36" w:rsidRPr="00E673DC">
        <w:rPr>
          <w:lang w:val="en-GB"/>
        </w:rPr>
        <w:t xml:space="preserve"> </w:t>
      </w:r>
    </w:p>
    <w:p w14:paraId="3F958F24" w14:textId="5D924B95" w:rsidR="00D13C36" w:rsidRPr="00E673DC" w:rsidRDefault="00CF5F66" w:rsidP="00D77795">
      <w:pPr>
        <w:rPr>
          <w:lang w:val="en-GB"/>
        </w:rPr>
      </w:pPr>
      <w:r w:rsidRPr="00E673DC">
        <w:rPr>
          <w:lang w:val="en-GB"/>
        </w:rPr>
        <w:t xml:space="preserve">Meanwhile, </w:t>
      </w:r>
      <w:r w:rsidR="00DC79D6">
        <w:rPr>
          <w:lang w:val="en-GB"/>
        </w:rPr>
        <w:t>Organis</w:t>
      </w:r>
      <w:r w:rsidR="00D13C36" w:rsidRPr="00E673DC">
        <w:rPr>
          <w:lang w:val="en-GB"/>
        </w:rPr>
        <w:t xml:space="preserve">ational Citizenship </w:t>
      </w:r>
      <w:r w:rsidR="00DC79D6">
        <w:rPr>
          <w:lang w:val="en-GB"/>
        </w:rPr>
        <w:t>Behaviour</w:t>
      </w:r>
      <w:r w:rsidR="00D13C36" w:rsidRPr="00E673DC">
        <w:rPr>
          <w:lang w:val="en-GB"/>
        </w:rPr>
        <w:t xml:space="preserve"> towards </w:t>
      </w:r>
      <w:r w:rsidR="00965313">
        <w:rPr>
          <w:lang w:val="en-GB"/>
        </w:rPr>
        <w:t xml:space="preserve">the </w:t>
      </w:r>
      <w:r w:rsidR="00D13C36" w:rsidRPr="00E673DC">
        <w:rPr>
          <w:lang w:val="en-GB"/>
        </w:rPr>
        <w:t xml:space="preserve">Environment (OCBE) is a concept </w:t>
      </w:r>
      <w:r w:rsidR="00FC78F5" w:rsidRPr="00E673DC">
        <w:rPr>
          <w:lang w:val="en-GB"/>
        </w:rPr>
        <w:t>which</w:t>
      </w:r>
      <w:r w:rsidR="00D13C36" w:rsidRPr="00E673DC">
        <w:rPr>
          <w:lang w:val="en-GB"/>
        </w:rPr>
        <w:t xml:space="preserve"> is imperative for corporate greening</w:t>
      </w:r>
      <w:r w:rsidRPr="00E673DC">
        <w:rPr>
          <w:lang w:val="en-GB"/>
        </w:rPr>
        <w:t>,</w:t>
      </w:r>
      <w:r w:rsidR="00D13C36" w:rsidRPr="00E673DC">
        <w:rPr>
          <w:lang w:val="en-GB"/>
        </w:rPr>
        <w:t xml:space="preserve"> reflect</w:t>
      </w:r>
      <w:r w:rsidRPr="00E673DC">
        <w:rPr>
          <w:lang w:val="en-GB"/>
        </w:rPr>
        <w:t>ing</w:t>
      </w:r>
      <w:r w:rsidR="00D13C36" w:rsidRPr="00E673DC">
        <w:rPr>
          <w:lang w:val="en-GB"/>
        </w:rPr>
        <w:t xml:space="preserve"> informal and discretionary environmentally friendly </w:t>
      </w:r>
      <w:r w:rsidR="00DC79D6">
        <w:rPr>
          <w:lang w:val="en-GB"/>
        </w:rPr>
        <w:t>behaviour</w:t>
      </w:r>
      <w:r w:rsidR="00D13C36" w:rsidRPr="00E673DC">
        <w:rPr>
          <w:lang w:val="en-GB"/>
        </w:rPr>
        <w:t xml:space="preserve">s demonstrated by individuals </w:t>
      </w:r>
      <w:r w:rsidR="00D13C36" w:rsidRPr="00E673DC">
        <w:rPr>
          <w:lang w:val="en-GB"/>
        </w:rPr>
        <w:fldChar w:fldCharType="begin"/>
      </w:r>
      <w:r w:rsidR="00E72F10" w:rsidRPr="00E673DC">
        <w:rPr>
          <w:lang w:val="en-GB"/>
        </w:rPr>
        <w:instrText xml:space="preserve"> ADDIN ZOTERO_ITEM CSL_CITATION {"citationID":"CQIgzNUN","properties":{"formattedCitation":"(Boiral &amp; Paill\\uc0\\u233{}, 2012; Paill\\uc0\\u233{} et al., 2016)","plainCitation":"(Boiral &amp; Paillé, 2012; Paillé et al., 2016)","noteIndex":0},"citationItems":[{"id":89,"uris":["http://zotero.org/users/local/TOdoVrPG/items/EFTYDN7E"],"itemData":{"id":89,"type":"article-journal","container-title":"Journal of Business Ethics","DOI":"10.1007/s10551-011-1138-9","ISSN":"0167-4544, 1573-0697","issue":"4","journalAbbreviation":"J Bus Ethics","language":"en","license":"http://www.springer.com/tdm","page":"431-445","source":"DOI.org (Crossref)","title":"Organizational Citizenship Behaviour for the Environment: Measurement and Validation","title-short":"Organizational Citizenship Behaviour for the Environment","URL":"http://link.springer.com/10.1007/s10551-011-1138-9","volume":"109","author":[{"family":"Boiral","given":"Olivier"},{"family":"Paillé","given":"Pascal"}],"accessed":{"date-parts":[["2024",10,24]]},"issued":{"date-parts":[["2012"]]}}},{"id":227,"uris":["http://zotero.org/users/local/TOdoVrPG/items/Z6DNM9G5"],"itemData":{"id":227,"type":"article-journal","abstract":"The purpose of this study was to examine the relationships between perceived co-worker support, commitment to colleagues, job satisfaction, intention to help others, and pro-environmental behavior with the emphasis on eco-helping, with a view to determining the extent to which peer relationships encourage employees to engage in pro-environmental behaviors at work. This paper is framed by adopting social exchange theory through the lens of ethics of care. Data from a sample of 449 employees showed that receiving support from peers triggers an exchange process that encourages eco-helping among colleagues. The implications of the findings are discussed in the light of the social exchange literature.","container-title":"Journal of Business Ethics","DOI":"10.1007/s10551-015-2537-0","ISSN":"1573-0697","issue":"3","journalAbbreviation":"Journal of Business Ethics","page":"655-673","title":"Corporate Greening, Exchange Process Among Co-workers, and Ethics of Care: An Empirical Study on the Determinants of Pro-environmental Behaviors at Coworkers-Level","URL":"https://doi.org/10.1007/s10551-015-2537-0","volume":"136","author":[{"family":"Paillé","given":"Pascal"},{"family":"Mejía-Morelos","given":"Jorge Humberto"},{"family":"Marché-Paillé","given":"Anne"},{"family":"Chen","given":"Chih Chieh"},{"family":"Chen","given":"Yang"}],"issued":{"date-parts":[["2016"]]}}}],"schema":"https://github.com/citation-style-language/schema/raw/master/csl-citation.json"} </w:instrText>
      </w:r>
      <w:r w:rsidR="00D13C36" w:rsidRPr="00E673DC">
        <w:rPr>
          <w:lang w:val="en-GB"/>
        </w:rPr>
        <w:fldChar w:fldCharType="separate"/>
      </w:r>
      <w:r w:rsidR="00D13C36" w:rsidRPr="00E673DC">
        <w:rPr>
          <w:lang w:val="en-GB"/>
        </w:rPr>
        <w:t>(Boiral &amp; Paillé, 2012; Paillé et al., 2016)</w:t>
      </w:r>
      <w:r w:rsidR="00D13C36" w:rsidRPr="00E673DC">
        <w:rPr>
          <w:lang w:val="en-GB"/>
        </w:rPr>
        <w:fldChar w:fldCharType="end"/>
      </w:r>
      <w:r w:rsidR="00D13C36" w:rsidRPr="00E673DC">
        <w:rPr>
          <w:lang w:val="en-GB"/>
        </w:rPr>
        <w:t xml:space="preserve">. Examples of OCBE include actions such as switching off lights to reduce the </w:t>
      </w:r>
      <w:r w:rsidR="00423F3B" w:rsidRPr="00E673DC">
        <w:rPr>
          <w:lang w:val="en-GB"/>
        </w:rPr>
        <w:t>ecological</w:t>
      </w:r>
      <w:r w:rsidR="00D13C36" w:rsidRPr="00E673DC">
        <w:rPr>
          <w:lang w:val="en-GB"/>
        </w:rPr>
        <w:t xml:space="preserve"> </w:t>
      </w:r>
      <w:r w:rsidR="00423F3B" w:rsidRPr="00E673DC">
        <w:rPr>
          <w:lang w:val="en-GB"/>
        </w:rPr>
        <w:t>effect</w:t>
      </w:r>
      <w:r w:rsidR="00D13C36" w:rsidRPr="00E673DC">
        <w:rPr>
          <w:lang w:val="en-GB"/>
        </w:rPr>
        <w:t xml:space="preserve"> of an </w:t>
      </w:r>
      <w:r w:rsidR="00423F3B" w:rsidRPr="00E673DC">
        <w:rPr>
          <w:lang w:val="en-GB"/>
        </w:rPr>
        <w:t>firm</w:t>
      </w:r>
      <w:r w:rsidR="00965313">
        <w:rPr>
          <w:lang w:val="en-GB"/>
        </w:rPr>
        <w:t>'</w:t>
      </w:r>
      <w:r w:rsidR="00D13C36" w:rsidRPr="00E673DC">
        <w:rPr>
          <w:lang w:val="en-GB"/>
        </w:rPr>
        <w:t>s operations</w:t>
      </w:r>
      <w:r w:rsidR="000D2CC4" w:rsidRPr="00E673DC">
        <w:rPr>
          <w:lang w:val="en-GB"/>
        </w:rPr>
        <w:t>,</w:t>
      </w:r>
      <w:r w:rsidR="00711398" w:rsidRPr="00E673DC">
        <w:rPr>
          <w:lang w:val="en-GB"/>
        </w:rPr>
        <w:t xml:space="preserve"> going paperless, avoiding disposable cups, recycling, printing </w:t>
      </w:r>
      <w:r w:rsidR="00423F3B" w:rsidRPr="00E673DC">
        <w:rPr>
          <w:lang w:val="en-GB"/>
        </w:rPr>
        <w:t>on both sides</w:t>
      </w:r>
      <w:r w:rsidR="00711398" w:rsidRPr="00E673DC">
        <w:rPr>
          <w:lang w:val="en-GB"/>
        </w:rPr>
        <w:t xml:space="preserve">, </w:t>
      </w:r>
      <w:r w:rsidR="00423F3B" w:rsidRPr="00E673DC">
        <w:rPr>
          <w:lang w:val="en-GB"/>
        </w:rPr>
        <w:t>saving</w:t>
      </w:r>
      <w:r w:rsidR="00711398" w:rsidRPr="00E673DC">
        <w:rPr>
          <w:lang w:val="en-GB"/>
        </w:rPr>
        <w:t xml:space="preserve"> water, reducing waste, and using public transportation</w:t>
      </w:r>
      <w:r w:rsidR="00965313">
        <w:rPr>
          <w:lang w:val="en-GB"/>
        </w:rPr>
        <w:t>,</w:t>
      </w:r>
      <w:r w:rsidR="000D2CC4" w:rsidRPr="00E673DC">
        <w:rPr>
          <w:lang w:val="en-GB"/>
        </w:rPr>
        <w:t xml:space="preserve"> as t</w:t>
      </w:r>
      <w:r w:rsidR="00711398" w:rsidRPr="00E673DC">
        <w:rPr>
          <w:lang w:val="en-GB"/>
        </w:rPr>
        <w:t xml:space="preserve">hese </w:t>
      </w:r>
      <w:r w:rsidR="00DC79D6">
        <w:rPr>
          <w:lang w:val="en-GB"/>
        </w:rPr>
        <w:t>behaviour</w:t>
      </w:r>
      <w:r w:rsidR="00711398" w:rsidRPr="00E673DC">
        <w:rPr>
          <w:lang w:val="en-GB"/>
        </w:rPr>
        <w:t>s reduce costs</w:t>
      </w:r>
      <w:r w:rsidR="00965313">
        <w:rPr>
          <w:lang w:val="en-GB"/>
        </w:rPr>
        <w:t>,</w:t>
      </w:r>
      <w:r w:rsidR="00711398" w:rsidRPr="00E673DC">
        <w:rPr>
          <w:lang w:val="en-GB"/>
        </w:rPr>
        <w:t xml:space="preserve"> help preserve resources</w:t>
      </w:r>
      <w:r w:rsidR="00965313">
        <w:rPr>
          <w:lang w:val="en-GB"/>
        </w:rPr>
        <w:t>,</w:t>
      </w:r>
      <w:r w:rsidR="00711398" w:rsidRPr="00E673DC">
        <w:rPr>
          <w:lang w:val="en-GB"/>
        </w:rPr>
        <w:t xml:space="preserve"> and protect the environment </w:t>
      </w:r>
      <w:r w:rsidR="000D2CC4" w:rsidRPr="00E673DC">
        <w:rPr>
          <w:lang w:val="en-GB"/>
        </w:rPr>
        <w:fldChar w:fldCharType="begin"/>
      </w:r>
      <w:r w:rsidR="00E72F10" w:rsidRPr="00E673DC">
        <w:rPr>
          <w:lang w:val="en-GB"/>
        </w:rPr>
        <w:instrText xml:space="preserve"> ADDIN ZOTERO_ITEM CSL_CITATION {"citationID":"vnCMfCJz","properties":{"formattedCitation":"(Yusoff et al., 2020)","plainCitation":"(Yusoff et al., 2020)","noteIndex":0},"citationItems":[{"id":137,"uris":["http://zotero.org/users/local/TOdoVrPG/items/MFGW946B"],"itemData":{"id":137,"type":"article-journal","abstract":"The hotel industry is growing rapidly in developing countries due to an increase in the tourism industry; however, on the other hand, the hotel industry is one of the sectors largely increasing the burden on the environment. Therefore, due to the massive number of environmental issues that hotel industry has encountered, there is an increasing force to pay a correct reaction to environmental issues and executing sustainable business practices such as the adoption of green human resource management (HRM) practices provide a win–win situation for the organization and its stakeholders. It, therefore, signals the need to examine how green HRM practices will enhance the environmental performance in the hotel industry. Grounded by resource-based view theory, this study utilized a research model examining the relationship between green HRM practices (green recruitment and selection, green training and development, green performance appraisal, and green compensation) and environmental performance in Malaysia’s hotel industry. Questionnaires were distributed to human resource (HR) managers/ executives in 3-, 4- and 5-star hotels in Malaysia. A total of 206 hotels participated in the study. The data collected were analysed using partial least squares structural equation modelling. Based on the analysis, the study revealed that green recruitment and selection, green training and development, and green compensation have a meaningful relationship with environmental performance, while green performance appraisal did not have a significant relationship with environmental performance. Our results extend previous research by not only highlighting the importance of green HRM practices in driving environmental performance but also indicating how each dimension of green HRM practices either enhances or inhibits environmental performance. This is the first empirical research that investigates the relationship between green HRM and environmental performance in the hotel industry literature.","container-title":"Global Business Review","DOI":"10.1177/0972150918779294","ISSN":"0972-1509, 0973-0664","issue":"3","journalAbbreviation":"Global Business Review","language":"en","page":"663-680","source":"DOI.org (Crossref)","title":"Linking Green Human Resource Management Practices to Environmental Performance in Hotel Industry","URL":"https://journals.sagepub.com/doi/10.1177/0972150918779294","volume":"21","author":[{"family":"Yusoff","given":"Yusmani Mohd"},{"family":"Nejati","given":"Mehran"},{"family":"Kee","given":"Daisy Mui Hung"},{"family":"Amran","given":"Azlan"}],"accessed":{"date-parts":[["2024",12,16]]},"issued":{"date-parts":[["2020"]]}}}],"schema":"https://github.com/citation-style-language/schema/raw/master/csl-citation.json"} </w:instrText>
      </w:r>
      <w:r w:rsidR="000D2CC4" w:rsidRPr="00E673DC">
        <w:rPr>
          <w:lang w:val="en-GB"/>
        </w:rPr>
        <w:fldChar w:fldCharType="separate"/>
      </w:r>
      <w:r w:rsidR="000D2CC4" w:rsidRPr="00E673DC">
        <w:rPr>
          <w:lang w:val="en-GB"/>
        </w:rPr>
        <w:t>(Yusoff et al., 2020)</w:t>
      </w:r>
      <w:r w:rsidR="000D2CC4" w:rsidRPr="00E673DC">
        <w:rPr>
          <w:lang w:val="en-GB"/>
        </w:rPr>
        <w:fldChar w:fldCharType="end"/>
      </w:r>
      <w:r w:rsidR="00711398" w:rsidRPr="00E673DC">
        <w:rPr>
          <w:lang w:val="en-GB"/>
        </w:rPr>
        <w:t>.</w:t>
      </w:r>
      <w:r w:rsidR="00D13C36" w:rsidRPr="00E673DC">
        <w:rPr>
          <w:lang w:val="en-GB"/>
        </w:rPr>
        <w:t xml:space="preserve"> </w:t>
      </w:r>
      <w:r w:rsidRPr="00E673DC">
        <w:rPr>
          <w:lang w:val="en-GB"/>
        </w:rPr>
        <w:t>While</w:t>
      </w:r>
      <w:r w:rsidR="00D13C36" w:rsidRPr="00E673DC">
        <w:rPr>
          <w:lang w:val="en-GB"/>
        </w:rPr>
        <w:t xml:space="preserve"> OCB focuses on benefiting the </w:t>
      </w:r>
      <w:r w:rsidR="00DC79D6">
        <w:rPr>
          <w:lang w:val="en-GB"/>
        </w:rPr>
        <w:t>organis</w:t>
      </w:r>
      <w:r w:rsidR="00D13C36" w:rsidRPr="00E673DC">
        <w:rPr>
          <w:lang w:val="en-GB"/>
        </w:rPr>
        <w:t xml:space="preserve">ation, OCBE is centred on benefiting the environment </w:t>
      </w:r>
      <w:r w:rsidR="00D13C36" w:rsidRPr="00E673DC">
        <w:rPr>
          <w:lang w:val="en-GB"/>
        </w:rPr>
        <w:fldChar w:fldCharType="begin"/>
      </w:r>
      <w:r w:rsidR="00E72F10" w:rsidRPr="00E673DC">
        <w:rPr>
          <w:lang w:val="en-GB"/>
        </w:rPr>
        <w:instrText xml:space="preserve"> ADDIN ZOTERO_ITEM CSL_CITATION {"citationID":"SCKdNzps","properties":{"formattedCitation":"(Boiral &amp; Paill\\uc0\\u233{}, 2012; Kakar &amp; Khan, 2022)","plainCitation":"(Boiral &amp; Paillé, 2012; Kakar &amp; Khan, 2022)","noteIndex":0},"citationItems":[{"id":89,"uris":["http://zotero.org/users/local/TOdoVrPG/items/EFTYDN7E"],"itemData":{"id":89,"type":"article-journal","container-title":"Journal of Business Ethics","DOI":"10.1007/s10551-011-1138-9","ISSN":"0167-4544, 1573-0697","issue":"4","journalAbbreviation":"J Bus Ethics","language":"en","license":"http://www.springer.com/tdm","page":"431-445","source":"DOI.org (Crossref)","title":"Organizational Citizenship Behaviour for the Environment: Measurement and Validation","title-short":"Organizational Citizenship Behaviour for the Environment","URL":"http://link.springer.com/10.1007/s10551-011-1138-9","volume":"109","author":[{"family":"Boiral","given":"Olivier"},{"family":"Paillé","given":"Pascal"}],"accessed":{"date-parts":[["2024",10,24]]},"issued":{"date-parts":[["2012"]]}}},{"id":69,"uris":["http://zotero.org/users/local/TOdoVrPG/items/9CF3EM2N"],"itemData":{"id":69,"type":"article-journal","abstract":"Using Green human resource management practices (HRMPs) as a multi-component construct, this study investigated the influence of bundle of Green HRMPs on pro-environmental behavior (Pro-EB) and organizational citizenship behavior towards the environment (OCBE), and examined the mediating effect of OCBE as a psychological mechanism that defines Green HRMPs and Pro-EB relationships. Data were obtained using self-administered questionnaires from a sample of 247 full-time academics working in public sector higher education institutions of Pakistan. The hypotheses were verified using partial least squares structural equation modelling (PLS-SEM). The results revealed that Green HRMPs bundle had a significant and positive effect on both Pro-EB and OCBE, and OCBE, in return, had a positive relationship with Pro-EB. It was further revealed that OCBE positively mediated the association between Green HRMPs bundles and Pro-EB. The originality of the study lies in conceptualizing Green HRMPs bundles as a multi-component construct and examining the relationships between Green HRMPs bundle, OCBE, and Pro-EB in the context of Pakistan’s higher education institutions. Besides, exploring OCBE as a mediator between Green HRMPs bundles and Pro-EB is one of the novel contributions of this study. This study helps management and practitioners in developing Green strategies that can promote Green and Pro-EB among academics/faculty members.","container-title":"Green Finance","DOI":"10.3934/GF.2022013","ISSN":"2643-1092","issue":"3","journalAbbreviation":"GF","language":"en","page":"274-294","source":"DOI.org (Crossref)","title":"Exploring the impact of green HRM practices on pro-environmental behavior via interplay of organization citizenship behavior","URL":"http://www.aimspress.com/article/doi/10.3934/GF.2022013","volume":"4","author":[{"family":"Kakar","given":"Abdul Samad"},{"family":"Khan","given":"Mrestyal"}],"accessed":{"date-parts":[["2024",10,16]]},"issued":{"date-parts":[["2022"]]}}}],"schema":"https://github.com/citation-style-language/schema/raw/master/csl-citation.json"} </w:instrText>
      </w:r>
      <w:r w:rsidR="00D13C36" w:rsidRPr="00E673DC">
        <w:rPr>
          <w:lang w:val="en-GB"/>
        </w:rPr>
        <w:fldChar w:fldCharType="separate"/>
      </w:r>
      <w:r w:rsidR="00D13C36" w:rsidRPr="00E673DC">
        <w:rPr>
          <w:lang w:val="en-GB"/>
        </w:rPr>
        <w:t>(Boiral &amp; Paillé, 2012; Kakar &amp; Khan, 2022)</w:t>
      </w:r>
      <w:r w:rsidR="00D13C36" w:rsidRPr="00E673DC">
        <w:rPr>
          <w:lang w:val="en-GB"/>
        </w:rPr>
        <w:fldChar w:fldCharType="end"/>
      </w:r>
      <w:r w:rsidR="00D13C36" w:rsidRPr="00E673DC">
        <w:rPr>
          <w:lang w:val="en-GB"/>
        </w:rPr>
        <w:t xml:space="preserve">. In this context, Green Human Resource Management (GHRM) practices </w:t>
      </w:r>
      <w:r w:rsidR="00965313">
        <w:rPr>
          <w:lang w:val="en-GB"/>
        </w:rPr>
        <w:t>hav</w:t>
      </w:r>
      <w:r w:rsidR="00FA72EC">
        <w:rPr>
          <w:lang w:val="en-GB"/>
        </w:rPr>
        <w:t>e</w:t>
      </w:r>
      <w:r w:rsidR="00F07C30" w:rsidRPr="00E673DC">
        <w:rPr>
          <w:lang w:val="en-GB"/>
        </w:rPr>
        <w:t xml:space="preserve"> </w:t>
      </w:r>
      <w:r w:rsidR="00D13C36" w:rsidRPr="00E673DC">
        <w:rPr>
          <w:lang w:val="en-GB"/>
        </w:rPr>
        <w:t xml:space="preserve">a </w:t>
      </w:r>
      <w:r w:rsidR="00F07C30" w:rsidRPr="00E673DC">
        <w:rPr>
          <w:lang w:val="en-GB"/>
        </w:rPr>
        <w:t>critical</w:t>
      </w:r>
      <w:r w:rsidR="00D13C36" w:rsidRPr="00E673DC">
        <w:rPr>
          <w:lang w:val="en-GB"/>
        </w:rPr>
        <w:t xml:space="preserve"> role in </w:t>
      </w:r>
      <w:r w:rsidR="00FC78F5" w:rsidRPr="00E673DC">
        <w:rPr>
          <w:lang w:val="en-GB"/>
        </w:rPr>
        <w:t>incorporating</w:t>
      </w:r>
      <w:r w:rsidR="00D13C36" w:rsidRPr="00E673DC">
        <w:rPr>
          <w:lang w:val="en-GB"/>
        </w:rPr>
        <w:t xml:space="preserve"> </w:t>
      </w:r>
      <w:r w:rsidR="00F07C30" w:rsidRPr="00E673DC">
        <w:rPr>
          <w:lang w:val="en-GB"/>
        </w:rPr>
        <w:t>ecological</w:t>
      </w:r>
      <w:r w:rsidR="00D13C36" w:rsidRPr="00E673DC">
        <w:rPr>
          <w:lang w:val="en-GB"/>
        </w:rPr>
        <w:t xml:space="preserve"> values into the </w:t>
      </w:r>
      <w:r w:rsidR="00DC79D6">
        <w:rPr>
          <w:lang w:val="en-GB"/>
        </w:rPr>
        <w:t>organis</w:t>
      </w:r>
      <w:r w:rsidR="00D13C36" w:rsidRPr="00E673DC">
        <w:rPr>
          <w:lang w:val="en-GB"/>
        </w:rPr>
        <w:t xml:space="preserve">ational culture and ensuring that employees are aligned with the firm's sustainability objectives </w:t>
      </w:r>
      <w:r w:rsidR="00D13C36" w:rsidRPr="00E673DC">
        <w:rPr>
          <w:lang w:val="en-GB"/>
        </w:rPr>
        <w:fldChar w:fldCharType="begin"/>
      </w:r>
      <w:r w:rsidR="00E72F10" w:rsidRPr="00E673DC">
        <w:rPr>
          <w:lang w:val="en-GB"/>
        </w:rPr>
        <w:instrText xml:space="preserve"> ADDIN ZOTERO_ITEM CSL_CITATION {"citationID":"FAcmuC8o","properties":{"formattedCitation":"(Jabbour, 2011)","plainCitation":"(Jabbour, 2011)","noteIndex":0},"citationItems":[{"id":206,"uris":["http://zotero.org/users/local/TOdoVrPG/items/6CZMPU87"],"itemData":{"id":206,"type":"article-journal","abstract":"Purpose The objective of this paper is to analyze the level of greening of HRM practices, organizational culture, learning, and teamwork in Brazilian companies. Design/methodology/approach The author surveyed 94 Brazilian companies with ISO 14001 certification. Findings Contrasting the data, two important conclusions can be drawn. The first one is related to the importance of considering the alignment of the human resource practices systematically in order to put workers in control of environmental management. The second conclusion is about the little formalization of the inclusion of environmental issues in traditional human resource practices, which can later badly affect the good performance observed in the formation of teams, organizational culture, and learning resulting in a negative cycle. Originality/value The greening of HRM, organizational culture, learning and teamwork is an emerging topic for scholars and consultants.","container-title":"Industrial and Commercial Training","DOI":"10.1108/00197851111108926","ISSN":"0019-7858","issue":"2","note":"publisher: Emerald Group Publishing Limited","page":"98-105","title":"How green are HRM practices, organizational culture, learning and teamwork? A Brazilian study","URL":"https://doi.org/10.1108/00197851111108926","volume":"43","author":[{"family":"Jabbour","given":"Charbel Jose Chiappetta"}],"accessed":{"date-parts":[["2025",1,15]]},"issued":{"date-parts":[["2011"]]}}}],"schema":"https://github.com/citation-style-language/schema/raw/master/csl-citation.json"} </w:instrText>
      </w:r>
      <w:r w:rsidR="00D13C36" w:rsidRPr="00E673DC">
        <w:rPr>
          <w:lang w:val="en-GB"/>
        </w:rPr>
        <w:fldChar w:fldCharType="separate"/>
      </w:r>
      <w:r w:rsidR="00D13C36" w:rsidRPr="00E673DC">
        <w:rPr>
          <w:lang w:val="en-GB"/>
        </w:rPr>
        <w:t>(Jabbour, 2011)</w:t>
      </w:r>
      <w:r w:rsidR="00D13C36" w:rsidRPr="00E673DC">
        <w:rPr>
          <w:lang w:val="en-GB"/>
        </w:rPr>
        <w:fldChar w:fldCharType="end"/>
      </w:r>
      <w:r w:rsidR="00D13C36" w:rsidRPr="00E673DC">
        <w:rPr>
          <w:lang w:val="en-GB"/>
        </w:rPr>
        <w:t>.</w:t>
      </w:r>
      <w:r w:rsidRPr="00E673DC">
        <w:rPr>
          <w:lang w:val="en-GB"/>
        </w:rPr>
        <w:t xml:space="preserve"> This practice is operationali</w:t>
      </w:r>
      <w:r w:rsidR="00965313">
        <w:rPr>
          <w:lang w:val="en-GB"/>
        </w:rPr>
        <w:t>s</w:t>
      </w:r>
      <w:r w:rsidRPr="00E673DC">
        <w:rPr>
          <w:lang w:val="en-GB"/>
        </w:rPr>
        <w:t>ed by</w:t>
      </w:r>
      <w:r w:rsidR="000D2CC4" w:rsidRPr="00E673DC">
        <w:rPr>
          <w:lang w:val="en-GB"/>
        </w:rPr>
        <w:t xml:space="preserve"> </w:t>
      </w:r>
      <w:r w:rsidR="00D13C36" w:rsidRPr="00E673DC">
        <w:rPr>
          <w:lang w:val="en-GB"/>
        </w:rPr>
        <w:t xml:space="preserve">Green Learning and Development (GL&amp;D), </w:t>
      </w:r>
      <w:r w:rsidRPr="00E673DC">
        <w:rPr>
          <w:lang w:val="en-GB"/>
        </w:rPr>
        <w:t xml:space="preserve">which </w:t>
      </w:r>
      <w:r w:rsidR="00D13C36" w:rsidRPr="00E673DC">
        <w:rPr>
          <w:lang w:val="en-GB"/>
        </w:rPr>
        <w:t xml:space="preserve">attempts to improve workers' capacity for environmental protection while strengthening their awareness, skills, and understanding of sustainable practices </w:t>
      </w:r>
      <w:r w:rsidR="00D13C36" w:rsidRPr="00E673DC">
        <w:rPr>
          <w:lang w:val="en-GB"/>
        </w:rPr>
        <w:fldChar w:fldCharType="begin"/>
      </w:r>
      <w:r w:rsidR="00D13C36" w:rsidRPr="00E673DC">
        <w:rPr>
          <w:lang w:val="en-GB"/>
        </w:rPr>
        <w:instrText xml:space="preserve"> ADDIN ZOTERO_ITEM CSL_CITATION {"citationID":"BeHjKeEf","properties":{"formattedCitation":"(Amrutha &amp; Geetha, 2020; Tang et al., 2018)","plainCitation":"(Amrutha &amp; Geetha, 2020; Tang et al., 2018)","noteIndex":0},"citationItems":[{"id":202,"uris":["http://zotero.org/users/local/TOdoVrPG/items/J632DZT5"],"itemData":{"id":202,"type":"article-journal","abstract":"This article identiﬁes current progressions and research gaps in Green Human Resource Management literature and investigates the future of green practices in meeting the social sustainability requirements of an organisation. Considering the growing awareness on greening and sustainability, a systematic review of the domain speciﬁc literature was carried out using the Scopus and Google Scholar databases which resulted in a set of 174 scientiﬁc articles between 1995 and 2019. NVivo Plus software version 12 was used for quantitative processing as well as qualitative analysis of data. Content coding and cluster analysis were performed, the results of which exhibited three clusters namely, green human resource management practices, employee green behaviour at workplace and organisational sustainability. Further manual analysis revealed social sustainability to be the least explored area than economic and environmental pillars of sustainability. From this, the authors conceptually explored a theoretical model suggesting the mediational role of ‘employee green behaviour at workplace’ in the relationship between ‘green human resource management practices’ and ‘social sustainability’ of organisations using grounded theory approach. Therefore, prioritising social equity, health, wellness and well-being, this work examines the state-of-the-art in green human resource management research to unravel the enormous potential of core green practices envisioning social sustainability, which has not been established till date. Based on the content coding, clustering, and further analysis, propositions, future paths and implications are also presented.","container-title":"Journal of Cleaner production","DOI":"https://doi.org/10.1016/j.jclepro.2019.119131","journalAbbreviation":"Journal of Cleaner Production","language":"en","page":"119131","source":"Zotero","title":"A systematic review on green human resource management: Implications for social sustainability","URL":"https://www.sciencedirect.com/science/article/pii/S0959652619340016","volume":"247","author":[{"family":"Amrutha","given":"V N"},{"family":"Geetha","given":"S.N."}],"issued":{"date-parts":[["2020"]]}}},{"id":205,"uris":["http://zotero.org/users/local/TOdoVrPG/items/B7AZC9GG"],"itemData":{"id":205,"type":"article-journal","abstract":"Previous studies on green human resource management (GHRM) are mainly positioned at theoretical or qualitative level. There is urgent need to develop a valid measurement of GHRM and then to offer more insights into the implication of it on individual or organizational performance. The aim of this study was to propose and validate an instrument to measure GHRM. Based on exploratory analysis (study 1), it was established that GHRM includes ﬁve dimensions: green recruitment and selection, green training, green performance management, green pay and reward, and green involvement. Conﬁrmatory factor analysis (study 2) was used to conﬁrm the factor structure of study 1. The results indicated that the proposed measurement is valid. This study is the ﬁrst and also the most comprehensive one to measure main human resource practices for environmental management, which can provide broader focus for further research and for practitioners.","container-title":"Asia Paciﬁc Journal of Human Resources","DOI":"https://doi.org/10.1111/1744-7941.12147","issue":"1","language":"en","page":"31 - 55","source":"Zotero","title":"Green human resource management practices: scale development and validity","URL":"https://onlinelibrary.wiley.com/doi/10.1111/1744-7941.12147","volume":"56","author":[{"family":"Tang","given":"Guiyao"},{"family":"Chen","given":"Yang"},{"family":"Jiang","given":"Yuan"},{"family":"Paille","given":"Pascal"},{"family":"Jia","given":"Jin"}],"issued":{"date-parts":[["2018"]]}}}],"schema":"https://github.com/citation-style-language/schema/raw/master/csl-citation.json"} </w:instrText>
      </w:r>
      <w:r w:rsidR="00D13C36" w:rsidRPr="00E673DC">
        <w:rPr>
          <w:lang w:val="en-GB"/>
        </w:rPr>
        <w:fldChar w:fldCharType="separate"/>
      </w:r>
      <w:r w:rsidR="00D13C36" w:rsidRPr="00E673DC">
        <w:rPr>
          <w:lang w:val="en-GB"/>
        </w:rPr>
        <w:t>(Amrutha &amp; Geetha, 2020; Tang et al., 2018)</w:t>
      </w:r>
      <w:r w:rsidR="00D13C36" w:rsidRPr="00E673DC">
        <w:rPr>
          <w:lang w:val="en-GB"/>
        </w:rPr>
        <w:fldChar w:fldCharType="end"/>
      </w:r>
      <w:r w:rsidRPr="00E673DC">
        <w:rPr>
          <w:lang w:val="en-GB"/>
        </w:rPr>
        <w:t xml:space="preserve"> and Green Rewards and Compensation Management (</w:t>
      </w:r>
      <w:r w:rsidR="00D13C36" w:rsidRPr="00E673DC">
        <w:rPr>
          <w:lang w:val="en-GB"/>
        </w:rPr>
        <w:t>GR&amp;C</w:t>
      </w:r>
      <w:r w:rsidRPr="00E673DC">
        <w:rPr>
          <w:lang w:val="en-GB"/>
        </w:rPr>
        <w:t>)</w:t>
      </w:r>
      <w:r w:rsidR="00965313">
        <w:rPr>
          <w:lang w:val="en-GB"/>
        </w:rPr>
        <w:t>,</w:t>
      </w:r>
      <w:r w:rsidR="00D13C36" w:rsidRPr="00E673DC">
        <w:rPr>
          <w:lang w:val="en-GB"/>
        </w:rPr>
        <w:t xml:space="preserve"> </w:t>
      </w:r>
      <w:r w:rsidRPr="00E673DC">
        <w:rPr>
          <w:lang w:val="en-GB"/>
        </w:rPr>
        <w:t>which refer</w:t>
      </w:r>
      <w:r w:rsidR="00965313">
        <w:rPr>
          <w:lang w:val="en-GB"/>
        </w:rPr>
        <w:t>s</w:t>
      </w:r>
      <w:r w:rsidRPr="00E673DC">
        <w:rPr>
          <w:lang w:val="en-GB"/>
        </w:rPr>
        <w:t xml:space="preserve"> to </w:t>
      </w:r>
      <w:r w:rsidR="00965313">
        <w:rPr>
          <w:lang w:val="en-GB"/>
        </w:rPr>
        <w:t xml:space="preserve">the </w:t>
      </w:r>
      <w:r w:rsidR="00D13C36" w:rsidRPr="00E673DC">
        <w:rPr>
          <w:lang w:val="en-GB"/>
        </w:rPr>
        <w:t xml:space="preserve">appreciations offered by </w:t>
      </w:r>
      <w:r w:rsidR="00FA72EC">
        <w:rPr>
          <w:lang w:val="en-GB"/>
        </w:rPr>
        <w:t>a</w:t>
      </w:r>
      <w:r w:rsidR="00D13C36" w:rsidRPr="00E673DC">
        <w:rPr>
          <w:lang w:val="en-GB"/>
        </w:rPr>
        <w:t xml:space="preserve"> company in recognition of employees' green performance </w:t>
      </w:r>
      <w:r w:rsidR="00D13C36" w:rsidRPr="00E673DC">
        <w:rPr>
          <w:lang w:val="en-GB"/>
        </w:rPr>
        <w:fldChar w:fldCharType="begin"/>
      </w:r>
      <w:r w:rsidR="00E72F10" w:rsidRPr="00E673DC">
        <w:rPr>
          <w:lang w:val="en-GB"/>
        </w:rPr>
        <w:instrText xml:space="preserve"> ADDIN ZOTERO_ITEM CSL_CITATION {"citationID":"XGJTEeqn","properties":{"formattedCitation":"(Jabbour, 2011)","plainCitation":"(Jabbour, 2011)","noteIndex":0},"citationItems":[{"id":206,"uris":["http://zotero.org/users/local/TOdoVrPG/items/6CZMPU87"],"itemData":{"id":206,"type":"article-journal","abstract":"Purpose The objective of this paper is to analyze the level of greening of HRM practices, organizational culture, learning, and teamwork in Brazilian companies. Design/methodology/approach The author surveyed 94 Brazilian companies with ISO 14001 certification. Findings Contrasting the data, two important conclusions can be drawn. The first one is related to the importance of considering the alignment of the human resource practices systematically in order to put workers in control of environmental management. The second conclusion is about the little formalization of the inclusion of environmental issues in traditional human resource practices, which can later badly affect the good performance observed in the formation of teams, organizational culture, and learning resulting in a negative cycle. Originality/value The greening of HRM, organizational culture, learning and teamwork is an emerging topic for scholars and consultants.","container-title":"Industrial and Commercial Training","DOI":"10.1108/00197851111108926","ISSN":"0019-7858","issue":"2","note":"publisher: Emerald Group Publishing Limited","page":"98-105","title":"How green are HRM practices, organizational culture, learning and teamwork? A Brazilian study","URL":"https://doi.org/10.1108/00197851111108926","volume":"43","author":[{"family":"Jabbour","given":"Charbel Jose Chiappetta"}],"accessed":{"date-parts":[["2025",1,15]]},"issued":{"date-parts":[["2011"]]}}}],"schema":"https://github.com/citation-style-language/schema/raw/master/csl-citation.json"} </w:instrText>
      </w:r>
      <w:r w:rsidR="00D13C36" w:rsidRPr="00E673DC">
        <w:rPr>
          <w:lang w:val="en-GB"/>
        </w:rPr>
        <w:fldChar w:fldCharType="separate"/>
      </w:r>
      <w:r w:rsidR="00D13C36" w:rsidRPr="00E673DC">
        <w:rPr>
          <w:lang w:val="en-GB"/>
        </w:rPr>
        <w:t>(Jabbour, 2011)</w:t>
      </w:r>
      <w:r w:rsidR="00D13C36" w:rsidRPr="00E673DC">
        <w:rPr>
          <w:lang w:val="en-GB"/>
        </w:rPr>
        <w:fldChar w:fldCharType="end"/>
      </w:r>
      <w:r w:rsidR="00D13C36" w:rsidRPr="00E673DC">
        <w:rPr>
          <w:lang w:val="en-GB"/>
        </w:rPr>
        <w:t xml:space="preserve">. According to </w:t>
      </w:r>
      <w:r w:rsidR="003148AD" w:rsidRPr="003148AD">
        <w:rPr>
          <w:lang w:val="en-GB"/>
        </w:rPr>
        <w:t>Niyomdecha and Yahya (2015) and Pham et al. (2018)</w:t>
      </w:r>
      <w:r w:rsidR="00720C30">
        <w:rPr>
          <w:lang w:val="en-GB"/>
        </w:rPr>
        <w:t>,</w:t>
      </w:r>
      <w:r w:rsidR="00D13C36" w:rsidRPr="00E673DC">
        <w:rPr>
          <w:lang w:val="en-GB"/>
        </w:rPr>
        <w:t xml:space="preserve"> </w:t>
      </w:r>
      <w:r w:rsidR="00720C30">
        <w:rPr>
          <w:lang w:val="en-GB"/>
        </w:rPr>
        <w:t>G</w:t>
      </w:r>
      <w:r w:rsidR="00D13C36" w:rsidRPr="00E673DC">
        <w:rPr>
          <w:lang w:val="en-GB"/>
        </w:rPr>
        <w:t xml:space="preserve">L&amp;D has a substantial positive relationship with OCBE. </w:t>
      </w:r>
      <w:r w:rsidR="006E25CF" w:rsidRPr="00E673DC">
        <w:rPr>
          <w:lang w:val="en-GB"/>
        </w:rPr>
        <w:t xml:space="preserve">Prior research </w:t>
      </w:r>
      <w:r w:rsidR="006E25CF" w:rsidRPr="00E673DC">
        <w:rPr>
          <w:lang w:val="en-GB"/>
        </w:rPr>
        <w:fldChar w:fldCharType="begin"/>
      </w:r>
      <w:r w:rsidR="00E72F10" w:rsidRPr="00E673DC">
        <w:rPr>
          <w:lang w:val="en-GB"/>
        </w:rPr>
        <w:instrText xml:space="preserve"> ADDIN ZOTERO_ITEM CSL_CITATION {"citationID":"YrlPYNnE","properties":{"formattedCitation":"(Ahmad, 2015; Anwar et al., 2020)","plainCitation":"(Ahmad, 2015; Anwar et al., 2020)","noteIndex":0},"citationItems":[{"id":189,"uris":["http://zotero.org/users/local/TOdoVrPG/items/MDVPFP4E"],"itemData":{"id":189,"type":"article-journal","abstract":"Recently, there has been observed an increasing awareness within business communities on the significance of going green and adopting various environment management techniques. As the corporate world is going global, the business is experiencing a shift from a conventional financial structure to a modern capacity-based economy which is ready to explore green economic facets of business. Today, Green Human Resource Management (GHRM) has become a key business strategy for the significant organizations where Human Resource Departments play an active part in going green at the office. The paper largely focuses upon the various Green Human Resource Practices pursued by the organizations all over the world and, explains the simplified meaning of GHRM. The study also adds to the extant literature by discussing future direction of some GHRM functions. Finally, the paper suggests some potentially prolific HR initiatives for Green organizations.","container-title":"Cogent business &amp; management","DOI":"http://dx.doi.org/10.1080/23311975.2015.1030817","issue":"1","language":"en","source":"Zotero","title":"Green Human Resource Management: Policies and practices","URL":"https://www.tandfonline.com/doi/epdf/10.1080/23311975.2015.1030817?needAccess=true","volume":"2","author":[{"family":"Ahmad","given":"Shoeb"}],"issued":{"date-parts":[["2015"]]}}},{"id":175,"uris":["http://zotero.org/users/local/TOdoVrPG/items/7MT3AF3K"],"itemData":{"id":175,"type":"article-journal","abstract":"The slow and inefficient environmental performance of universities is drawing the attention of scholars towards behavioural change in employees rather than just relying on technological upgrades. Drawing upon the Ability-Motivation-Opportunity (AMO) theory, the purpose of this study is first to examine the influence of Green Human Resource Management (HRM) practices (green competence building practices, green motivation enhancing practices, and green employee involvement practices) on the organisational citizenship behaviour towards the environment (OCBE) of academic staff and, in turn, its impact on the environmental performance. Second, the mediating impact of OCBE between each of Green HRM practices and environmental performance is assessed. The data were collected from September until November 2017 on two campuses of a renowned public research university in Malaysia. Using quantitative research design, a structured questionnaire was used among the academic staff of the university. Convenience sampling was used to select the respondents from both campuses, and the Partial Least Squares (PLS) modelling technique was used to analyse the data, which comprised 122 respondents. Overall findings showed that three sets of Green HRM practices based on the Ability-Motivation-Opportunity framework had a significant impact on OCBE. Furthermore, OCBE had a significant relationship with environmental performance. For the mediation analysis, the results showed that OCBE exhibited by academic staff acted as a means through which the Green HRM practices of a university can positively influence the environmental performance of a university campus. The originality of this study rests in shedding light on Green HRM practices in the higher education sector and highlighting the critical role of academic staff’s environmentally friendly behaviour for improving the environmental performance of a university.","container-title":"Journal of Cleaner Production","DOI":"10.1016/j.jclepro.2020.120401","ISSN":"0959-6526","journalAbbreviation":"Journal of Cleaner Production","page":"120401","title":"Green Human Resource Management for organisational citizenship behaviour towards the environment and environmental performance on a university campus","URL":"https://www.sciencedirect.com/science/article/pii/S0959652620304480","volume":"256","author":[{"family":"Anwar","given":"Nosheen"},{"family":"Nik Mahmood","given":"Nik Hasnaa"},{"family":"Yusliza","given":"Mohd Yusoff"},{"family":"Ramayah","given":"T."},{"family":"Noor Faezah","given":"Juhari"},{"family":"Khalid","given":"Waqas"}],"issued":{"date-parts":[["2020"]]}}}],"schema":"https://github.com/citation-style-language/schema/raw/master/csl-citation.json"} </w:instrText>
      </w:r>
      <w:r w:rsidR="006E25CF" w:rsidRPr="00E673DC">
        <w:rPr>
          <w:lang w:val="en-GB"/>
        </w:rPr>
        <w:fldChar w:fldCharType="separate"/>
      </w:r>
      <w:r w:rsidR="006E25CF" w:rsidRPr="00E673DC">
        <w:rPr>
          <w:lang w:val="en-GB"/>
        </w:rPr>
        <w:t>(Ahmad, 2015; Anwar et al., 2020)</w:t>
      </w:r>
      <w:r w:rsidR="006E25CF" w:rsidRPr="00E673DC">
        <w:rPr>
          <w:lang w:val="en-GB"/>
        </w:rPr>
        <w:fldChar w:fldCharType="end"/>
      </w:r>
      <w:r w:rsidR="006E25CF" w:rsidRPr="00E673DC">
        <w:rPr>
          <w:lang w:val="en-GB"/>
        </w:rPr>
        <w:t xml:space="preserve"> </w:t>
      </w:r>
      <w:r w:rsidR="000D2CC4" w:rsidRPr="00E673DC">
        <w:rPr>
          <w:lang w:val="en-GB"/>
        </w:rPr>
        <w:t>a</w:t>
      </w:r>
      <w:r w:rsidR="006E25CF" w:rsidRPr="00E673DC">
        <w:rPr>
          <w:lang w:val="en-GB"/>
        </w:rPr>
        <w:t xml:space="preserve">lso documents the </w:t>
      </w:r>
      <w:r w:rsidR="00D13C36" w:rsidRPr="00E673DC">
        <w:rPr>
          <w:lang w:val="en-GB"/>
        </w:rPr>
        <w:t xml:space="preserve">strong </w:t>
      </w:r>
      <w:r w:rsidR="00FC78F5" w:rsidRPr="00E673DC">
        <w:rPr>
          <w:lang w:val="en-GB"/>
        </w:rPr>
        <w:t>correlation</w:t>
      </w:r>
      <w:r w:rsidR="00D13C36" w:rsidRPr="00E673DC">
        <w:rPr>
          <w:lang w:val="en-GB"/>
        </w:rPr>
        <w:t xml:space="preserve"> between OCBE and green incentive techniques</w:t>
      </w:r>
      <w:r w:rsidR="006E25CF" w:rsidRPr="00E673DC">
        <w:rPr>
          <w:lang w:val="en-GB"/>
        </w:rPr>
        <w:t>.</w:t>
      </w:r>
      <w:r w:rsidR="00D13C36" w:rsidRPr="00E673DC">
        <w:rPr>
          <w:lang w:val="en-GB"/>
        </w:rPr>
        <w:t xml:space="preserve"> </w:t>
      </w:r>
    </w:p>
    <w:p w14:paraId="2E6C5163" w14:textId="208B1E79" w:rsidR="00D13C36" w:rsidRPr="00E673DC" w:rsidRDefault="00FC78F5" w:rsidP="00D77795">
      <w:pPr>
        <w:rPr>
          <w:lang w:val="en-GB"/>
        </w:rPr>
      </w:pPr>
      <w:r w:rsidRPr="00E673DC">
        <w:rPr>
          <w:lang w:val="en-GB"/>
        </w:rPr>
        <w:lastRenderedPageBreak/>
        <w:t xml:space="preserve">The link between GHRM practices and OCBE highlights how Innovative </w:t>
      </w:r>
      <w:r w:rsidR="00DC79D6">
        <w:rPr>
          <w:lang w:val="en-GB"/>
        </w:rPr>
        <w:t>Behaviour</w:t>
      </w:r>
      <w:r w:rsidR="00720C30">
        <w:rPr>
          <w:lang w:val="en-GB"/>
        </w:rPr>
        <w:t xml:space="preserve"> (IB)</w:t>
      </w:r>
      <w:r w:rsidRPr="00E673DC">
        <w:rPr>
          <w:lang w:val="en-GB"/>
        </w:rPr>
        <w:t xml:space="preserve"> fosters creative and sustainable solutions in </w:t>
      </w:r>
      <w:r w:rsidR="00DC79D6">
        <w:rPr>
          <w:lang w:val="en-GB"/>
        </w:rPr>
        <w:t>organis</w:t>
      </w:r>
      <w:r w:rsidRPr="00E673DC">
        <w:rPr>
          <w:lang w:val="en-GB"/>
        </w:rPr>
        <w:t>ations.</w:t>
      </w:r>
      <w:r w:rsidR="0005616E" w:rsidRPr="00E673DC">
        <w:rPr>
          <w:lang w:val="en-GB"/>
        </w:rPr>
        <w:t xml:space="preserve"> </w:t>
      </w:r>
      <w:r w:rsidR="00D13C36" w:rsidRPr="00E673DC">
        <w:rPr>
          <w:lang w:val="en-GB"/>
        </w:rPr>
        <w:t xml:space="preserve">IB is a developing concept, initially defined by Janssen </w:t>
      </w:r>
      <w:r w:rsidR="00D13C36" w:rsidRPr="00E673DC">
        <w:rPr>
          <w:lang w:val="en-GB"/>
        </w:rPr>
        <w:fldChar w:fldCharType="begin"/>
      </w:r>
      <w:r w:rsidR="00D13C36" w:rsidRPr="00E673DC">
        <w:rPr>
          <w:lang w:val="en-GB"/>
        </w:rPr>
        <w:instrText xml:space="preserve"> ADDIN ZOTERO_ITEM CSL_CITATION {"citationID":"cRut1lUe","properties":{"formattedCitation":"(2000)","plainCitation":"(2000)","noteIndex":0},"citationItems":[{"id":211,"uris":["http://zotero.org/users/local/TOdoVrPG/items/ARLL2AL5"],"itemData":{"id":211,"type":"article-journal","container-title":"Journal of Occupational and organizational psychology","DOI":"https://doi.org/10.1348/096317900167038","issue":"3","page":"287-302","title":"Job demands, perceptions of effort-reward fairness and innovative work behaviour","URL":"https://bpspsychub.onlinelibrary.wiley.com/doi/abs/10.1348/096317900167038","volume":"73","author":[{"family":"Janssen","given":"Onne"}],"accessed":{"date-parts":[["2025",1,15]]},"issued":{"date-parts":[["2000"]]}},"suppress-author":true}],"schema":"https://github.com/citation-style-language/schema/raw/master/csl-citation.json"} </w:instrText>
      </w:r>
      <w:r w:rsidR="00D13C36" w:rsidRPr="00E673DC">
        <w:rPr>
          <w:lang w:val="en-GB"/>
        </w:rPr>
        <w:fldChar w:fldCharType="separate"/>
      </w:r>
      <w:r w:rsidR="00D13C36" w:rsidRPr="00E673DC">
        <w:rPr>
          <w:lang w:val="en-GB"/>
        </w:rPr>
        <w:t>(2000)</w:t>
      </w:r>
      <w:r w:rsidR="00D13C36" w:rsidRPr="00E673DC">
        <w:rPr>
          <w:lang w:val="en-GB"/>
        </w:rPr>
        <w:fldChar w:fldCharType="end"/>
      </w:r>
      <w:r w:rsidR="00D13C36" w:rsidRPr="00E673DC">
        <w:rPr>
          <w:lang w:val="en-GB"/>
        </w:rPr>
        <w:t xml:space="preserve"> as the actions of individuals that result in the initiation, </w:t>
      </w:r>
      <w:r w:rsidR="00F07C30" w:rsidRPr="00E673DC">
        <w:rPr>
          <w:lang w:val="en-GB"/>
        </w:rPr>
        <w:t>demonstration</w:t>
      </w:r>
      <w:r w:rsidR="00D13C36" w:rsidRPr="00E673DC">
        <w:rPr>
          <w:lang w:val="en-GB"/>
        </w:rPr>
        <w:t xml:space="preserve">, and implementation of </w:t>
      </w:r>
      <w:r w:rsidRPr="00E673DC">
        <w:rPr>
          <w:lang w:val="en-GB"/>
        </w:rPr>
        <w:t>novel</w:t>
      </w:r>
      <w:r w:rsidR="00D13C36" w:rsidRPr="00E673DC">
        <w:rPr>
          <w:lang w:val="en-GB"/>
        </w:rPr>
        <w:t xml:space="preserve"> ideas, products, or procedures within the workplace, team, or </w:t>
      </w:r>
      <w:r w:rsidR="00DC79D6">
        <w:rPr>
          <w:lang w:val="en-GB"/>
        </w:rPr>
        <w:t>organis</w:t>
      </w:r>
      <w:r w:rsidR="00D13C36" w:rsidRPr="00E673DC">
        <w:rPr>
          <w:lang w:val="en-GB"/>
        </w:rPr>
        <w:t xml:space="preserve">ation. </w:t>
      </w:r>
      <w:r w:rsidR="006E25CF" w:rsidRPr="00E673DC">
        <w:rPr>
          <w:lang w:val="en-GB"/>
        </w:rPr>
        <w:t>Consider</w:t>
      </w:r>
      <w:r w:rsidR="00FA72EC">
        <w:rPr>
          <w:lang w:val="en-GB"/>
        </w:rPr>
        <w:t>ed</w:t>
      </w:r>
      <w:r w:rsidR="00D13C36" w:rsidRPr="00E673DC">
        <w:rPr>
          <w:lang w:val="en-GB"/>
        </w:rPr>
        <w:t xml:space="preserve"> from a green perspective</w:t>
      </w:r>
      <w:r w:rsidR="006E25CF" w:rsidRPr="00E673DC">
        <w:rPr>
          <w:lang w:val="en-GB"/>
        </w:rPr>
        <w:t xml:space="preserve">, it translates to </w:t>
      </w:r>
      <w:r w:rsidR="00D13C36" w:rsidRPr="00E673DC">
        <w:rPr>
          <w:lang w:val="en-GB"/>
        </w:rPr>
        <w:t xml:space="preserve">Green Innovative </w:t>
      </w:r>
      <w:r w:rsidR="00DC79D6">
        <w:rPr>
          <w:lang w:val="en-GB"/>
        </w:rPr>
        <w:t>Behaviour</w:t>
      </w:r>
      <w:r w:rsidR="00D13C36" w:rsidRPr="00E673DC">
        <w:rPr>
          <w:lang w:val="en-GB"/>
        </w:rPr>
        <w:t xml:space="preserve"> (GIB) and can be defined as an employee's propensity to generate and introduce environmentally innovative ideas, as well as to advocate for and implement distinctive green concepts </w:t>
      </w:r>
      <w:r w:rsidR="00D13C36" w:rsidRPr="00E673DC">
        <w:rPr>
          <w:lang w:val="en-GB"/>
        </w:rPr>
        <w:fldChar w:fldCharType="begin"/>
      </w:r>
      <w:r w:rsidR="00E72F10" w:rsidRPr="00E673DC">
        <w:rPr>
          <w:lang w:val="en-GB"/>
        </w:rPr>
        <w:instrText xml:space="preserve"> ADDIN ZOTERO_ITEM CSL_CITATION {"citationID":"1frLNFiF","properties":{"formattedCitation":"(Lambriex-Schmitz et al., 2020)","plainCitation":"(Lambriex-Schmitz et al., 2020)","noteIndex":0},"citationItems":[{"id":209,"uris":["http://zotero.org/users/local/TOdoVrPG/items/NI4XJ8TH"],"itemData":{"id":209,"type":"article-journal","abstract":"Our study aims to develop and validate a multidimensional Innovative Work Behaviour instrument to measure teachers IWB. Current IWB conceptualizations and operationalizations need further attention. Existing measurements miss empirical evidence of the construct validity and moreover do not include a sustainability dimension. Based on a thorough and comprehensive conceptualization of IWB, we first adapted and extended the items of previously used instruments and developed items for a sustainability dimension. Second, we tested the construct validity of this newly developed multi-dimensional IWB instrument in a Dutch context, using Rasch techniques and Confirmatory Factor Analysis (CFA). The psychometric characteristics were examined in a sample of teachers working in vocational education (N = 440). The results revealed five dimensions of IWB, namely Opportunity Exploration, Idea Generation, Idea Promotion, Idea Realization (differentiated in two sub-dimensions: Criterion-based implementation and learning-based communication) and Idea sustainability (differentiated in two sub-dimensions: External dissemination and internal embedding). The dimensions were reliably measured (α .84- .94) using 44 items. This new instrument, which builds on recent conceptualizations of IWB as well as on the pivotal innovation models of West and Farr (1989) and Fullan (2007), offers for an international group of researchers a conceptually sound and valid tool to validate explanatory models of innovative teacher behaviour. For practitioners in the domain of educational innovation, it offers the opportunity to diagnose, in a sound way, the extent of the necessary conditions of teachers IWB for an educational innovation to succeed.","container-title":"Vocations and Learning","DOI":"10.1007/s12186-020-09242-4","ISSN":"1874-7868","issue":"2","journalAbbreviation":"Vocations and Learning","page":"313-340","title":"Towards successful innovations in education: Development and validation of a multi-dimensional Innovative Work Behaviour Instrument","URL":"https://doi.org/10.1007/s12186-020-09242-4","volume":"13","author":[{"family":"Lambriex-Schmitz","given":"Peggy"},{"family":"Van der Klink","given":"Marcel R."},{"family":"Beausaert","given":"Simon"},{"family":"Bijker","given":"Monique"},{"family":"Segers","given":"Mien"}],"issued":{"date-parts":[["2020"]]}}}],"schema":"https://github.com/citation-style-language/schema/raw/master/csl-citation.json"} </w:instrText>
      </w:r>
      <w:r w:rsidR="00D13C36" w:rsidRPr="00E673DC">
        <w:rPr>
          <w:lang w:val="en-GB"/>
        </w:rPr>
        <w:fldChar w:fldCharType="separate"/>
      </w:r>
      <w:r w:rsidR="00D13C36" w:rsidRPr="00E673DC">
        <w:rPr>
          <w:lang w:val="en-GB"/>
        </w:rPr>
        <w:t>(Lambriex-Schmitz et al., 2020)</w:t>
      </w:r>
      <w:r w:rsidR="00D13C36" w:rsidRPr="00E673DC">
        <w:rPr>
          <w:lang w:val="en-GB"/>
        </w:rPr>
        <w:fldChar w:fldCharType="end"/>
      </w:r>
      <w:r w:rsidR="00D13C36" w:rsidRPr="00E673DC">
        <w:rPr>
          <w:lang w:val="en-GB"/>
        </w:rPr>
        <w:t xml:space="preserve">. By </w:t>
      </w:r>
      <w:r w:rsidRPr="00E673DC">
        <w:rPr>
          <w:lang w:val="en-GB"/>
        </w:rPr>
        <w:t>adopting</w:t>
      </w:r>
      <w:r w:rsidR="00D13C36" w:rsidRPr="00E673DC">
        <w:rPr>
          <w:lang w:val="en-GB"/>
        </w:rPr>
        <w:t xml:space="preserve"> a culture of innovation and creativity, GHRM practices can stimulate GIB which, in turn, can lead to heightened levels of OCBE. GHRM practices can support GIB by providing employees with the </w:t>
      </w:r>
      <w:r w:rsidR="00F07C30" w:rsidRPr="00E673DC">
        <w:rPr>
          <w:lang w:val="en-GB"/>
        </w:rPr>
        <w:t>required</w:t>
      </w:r>
      <w:r w:rsidR="00D13C36" w:rsidRPr="00E673DC">
        <w:rPr>
          <w:lang w:val="en-GB"/>
        </w:rPr>
        <w:t xml:space="preserve"> resources, rewards, training, and </w:t>
      </w:r>
      <w:r w:rsidR="00F07C30" w:rsidRPr="00E673DC">
        <w:rPr>
          <w:lang w:val="en-GB"/>
        </w:rPr>
        <w:t>prospects</w:t>
      </w:r>
      <w:r w:rsidR="00D13C36" w:rsidRPr="00E673DC">
        <w:rPr>
          <w:lang w:val="en-GB"/>
        </w:rPr>
        <w:t xml:space="preserve"> for collaboration </w:t>
      </w:r>
      <w:r w:rsidR="00D13C36" w:rsidRPr="00E673DC">
        <w:rPr>
          <w:lang w:val="en-GB"/>
        </w:rPr>
        <w:fldChar w:fldCharType="begin"/>
      </w:r>
      <w:r w:rsidR="00D13C36" w:rsidRPr="00E673DC">
        <w:rPr>
          <w:lang w:val="en-GB"/>
        </w:rPr>
        <w:instrText xml:space="preserve"> ADDIN ZOTERO_ITEM CSL_CITATION {"citationID":"FXEL0kOw","properties":{"formattedCitation":"(Renwick et al., 2013)","plainCitation":"(Renwick et al., 2013)","noteIndex":0},"citationItems":[{"id":187,"uris":["http://zotero.org/users/local/TOdoVrPG/items/BIAC7685"],"itemData":{"id":187,"type":"article-journal","container-title":"International journal of management reviews","DOI":"https://doi.org/10.1111/j.1468-2370.2011.00328.x","issue":"1","page":"1 - 14","title":"Green Human Resource Management: A Review and Research Agenda","URL":"https://onlinelibrary.wiley.com/doi/abs/10.1111/j.1468-2370.2011.00328.x","volume":"15","author":[{"family":"Renwick","given":"Douglas W.S."},{"family":"Redman","given":"Tom"},{"family":"Maguire","given":"Stuart"}],"issued":{"date-parts":[["2013"]]}}}],"schema":"https://github.com/citation-style-language/schema/raw/master/csl-citation.json"} </w:instrText>
      </w:r>
      <w:r w:rsidR="00D13C36" w:rsidRPr="00E673DC">
        <w:rPr>
          <w:lang w:val="en-GB"/>
        </w:rPr>
        <w:fldChar w:fldCharType="separate"/>
      </w:r>
      <w:r w:rsidR="00D13C36" w:rsidRPr="00E673DC">
        <w:rPr>
          <w:lang w:val="en-GB"/>
        </w:rPr>
        <w:t>(Renwick et al., 2013)</w:t>
      </w:r>
      <w:r w:rsidR="00D13C36" w:rsidRPr="00E673DC">
        <w:rPr>
          <w:lang w:val="en-GB"/>
        </w:rPr>
        <w:fldChar w:fldCharType="end"/>
      </w:r>
      <w:r w:rsidR="00D13C36" w:rsidRPr="00E673DC">
        <w:rPr>
          <w:lang w:val="en-GB"/>
        </w:rPr>
        <w:t xml:space="preserve">. For example, </w:t>
      </w:r>
      <w:r w:rsidR="00DC79D6">
        <w:rPr>
          <w:lang w:val="en-GB"/>
        </w:rPr>
        <w:t>organis</w:t>
      </w:r>
      <w:r w:rsidR="00D13C36" w:rsidRPr="00E673DC">
        <w:rPr>
          <w:lang w:val="en-GB"/>
        </w:rPr>
        <w:t xml:space="preserve">ations can create platforms for knowledge sharing and idea generation, encourage teams to </w:t>
      </w:r>
      <w:r w:rsidR="00F07C30" w:rsidRPr="00E673DC">
        <w:rPr>
          <w:lang w:val="en-GB"/>
        </w:rPr>
        <w:t>cooperate</w:t>
      </w:r>
      <w:r w:rsidR="00D13C36" w:rsidRPr="00E673DC">
        <w:rPr>
          <w:lang w:val="en-GB"/>
        </w:rPr>
        <w:t xml:space="preserve"> on green projects, and </w:t>
      </w:r>
      <w:r w:rsidR="00720C30">
        <w:rPr>
          <w:lang w:val="en-GB"/>
        </w:rPr>
        <w:t>recognis</w:t>
      </w:r>
      <w:r w:rsidR="00D13C36" w:rsidRPr="00E673DC">
        <w:rPr>
          <w:lang w:val="en-GB"/>
        </w:rPr>
        <w:t>e and reward innovative contributions.</w:t>
      </w:r>
    </w:p>
    <w:p w14:paraId="0C7B2174" w14:textId="6219C484" w:rsidR="00D13C36" w:rsidRPr="00E673DC" w:rsidRDefault="00A256A8" w:rsidP="00D77795">
      <w:pPr>
        <w:rPr>
          <w:lang w:val="en-GB"/>
        </w:rPr>
      </w:pPr>
      <w:r w:rsidRPr="00E673DC">
        <w:rPr>
          <w:lang w:val="en-GB"/>
        </w:rPr>
        <w:t xml:space="preserve">With global concerns over climate change, resource depletion, and pollution, interest in </w:t>
      </w:r>
      <w:r w:rsidR="006E25CF" w:rsidRPr="00E673DC">
        <w:rPr>
          <w:lang w:val="en-GB"/>
        </w:rPr>
        <w:t>p</w:t>
      </w:r>
      <w:r w:rsidRPr="00E673DC">
        <w:rPr>
          <w:lang w:val="en-GB"/>
        </w:rPr>
        <w:t xml:space="preserve">ro-environmental </w:t>
      </w:r>
      <w:r w:rsidR="00DC79D6">
        <w:rPr>
          <w:lang w:val="en-GB"/>
        </w:rPr>
        <w:t>behaviour</w:t>
      </w:r>
      <w:r w:rsidRPr="00E673DC">
        <w:rPr>
          <w:lang w:val="en-GB"/>
        </w:rPr>
        <w:t xml:space="preserve"> (Pro-EB) </w:t>
      </w:r>
      <w:r w:rsidR="006E25CF" w:rsidRPr="00E673DC">
        <w:rPr>
          <w:lang w:val="en-GB"/>
        </w:rPr>
        <w:t xml:space="preserve">such as OCBE </w:t>
      </w:r>
      <w:r w:rsidRPr="00E673DC">
        <w:rPr>
          <w:lang w:val="en-GB"/>
        </w:rPr>
        <w:t xml:space="preserve">has surged. </w:t>
      </w:r>
      <w:r w:rsidR="00F07C30" w:rsidRPr="00E673DC">
        <w:rPr>
          <w:lang w:val="en-GB"/>
        </w:rPr>
        <w:t xml:space="preserve">Globally, addressing climate change is essential because it may reduce risks, diversify the economy, generate new sources of income, and boost green jobs </w:t>
      </w:r>
      <w:r w:rsidR="00D13C36" w:rsidRPr="00E673DC">
        <w:rPr>
          <w:lang w:val="en-GB"/>
        </w:rPr>
        <w:fldChar w:fldCharType="begin"/>
      </w:r>
      <w:r w:rsidR="00D13C36" w:rsidRPr="00E673DC">
        <w:rPr>
          <w:lang w:val="en-GB"/>
        </w:rPr>
        <w:instrText xml:space="preserve"> ADDIN ZOTERO_ITEM CSL_CITATION {"citationID":"CpJvPPk0","properties":{"formattedCitation":"(UAE Ministry of Climate Change and Environment, 2023)","plainCitation":"(UAE Ministry of Climate Change and Environment, 2023)","noteIndex":0},"citationItems":[{"id":131,"uris":["http://zotero.org/users/local/TOdoVrPG/items/W68XE7QG"],"itemData":{"id":131,"type":"report","title":"The United Arab Emirates’ First Long-Term Strategy (LTS): Demonstrating Commitment to Net Zero by 2050","URL":"https://unfccc.int/sites/default/files/resource/UAE_LTLEDS.pdf","author":[{"literal":"UAE Ministry of Climate Change and Environment"}],"issued":{"date-parts":[["2023"]]}}}],"schema":"https://github.com/citation-style-language/schema/raw/master/csl-citation.json"} </w:instrText>
      </w:r>
      <w:r w:rsidR="00D13C36" w:rsidRPr="00E673DC">
        <w:rPr>
          <w:lang w:val="en-GB"/>
        </w:rPr>
        <w:fldChar w:fldCharType="separate"/>
      </w:r>
      <w:r w:rsidR="00D13C36" w:rsidRPr="00E673DC">
        <w:rPr>
          <w:lang w:val="en-GB"/>
        </w:rPr>
        <w:t>(UAE Ministry of Climate Change and Environment, 2023)</w:t>
      </w:r>
      <w:r w:rsidR="00D13C36" w:rsidRPr="00E673DC">
        <w:rPr>
          <w:lang w:val="en-GB"/>
        </w:rPr>
        <w:fldChar w:fldCharType="end"/>
      </w:r>
      <w:r w:rsidR="00D13C36" w:rsidRPr="00E673DC">
        <w:rPr>
          <w:lang w:val="en-GB"/>
        </w:rPr>
        <w:t xml:space="preserve">. This prompts countries to focus more on sustainable development and environmental challenges, urging </w:t>
      </w:r>
      <w:r w:rsidR="00DC79D6">
        <w:rPr>
          <w:lang w:val="en-GB"/>
        </w:rPr>
        <w:t>organis</w:t>
      </w:r>
      <w:r w:rsidR="00D13C36" w:rsidRPr="00E673DC">
        <w:rPr>
          <w:lang w:val="en-GB"/>
        </w:rPr>
        <w:t xml:space="preserve">ations to adopt green management strategies </w:t>
      </w:r>
      <w:r w:rsidR="00D13C36" w:rsidRPr="00E673DC">
        <w:rPr>
          <w:lang w:val="en-GB"/>
        </w:rPr>
        <w:fldChar w:fldCharType="begin"/>
      </w:r>
      <w:r w:rsidR="00E72F10" w:rsidRPr="00E673DC">
        <w:rPr>
          <w:lang w:val="en-GB"/>
        </w:rPr>
        <w:instrText xml:space="preserve"> ADDIN ZOTERO_ITEM CSL_CITATION {"citationID":"OtdPjch0","properties":{"formattedCitation":"(Masri &amp; Jaaron, 2017)","plainCitation":"(Masri &amp; Jaaron, 2017)","noteIndex":0},"citationItems":[{"id":138,"uris":["http://zotero.org/users/local/TOdoVrPG/items/QKVYXW2D"],"itemData":{"id":138,"type":"article-journal","container-title":"Journal of Cleaner Production","DOI":"10.1016/j.jclepro.2016.12.087","ISSN":"09596526","journalAbbreviation":"Journal of Cleaner Production","language":"en","page":"474-489","source":"DOI.org (Crossref)","title":"Assessing green human resources management practices in Palestinian manufacturing context: An empirical study","title-short":"Assessing green human resources management practices in Palestinian manufacturing context","URL":"https://linkinghub.elsevier.com/retrieve/pii/S0959652616321515","volume":"143","author":[{"family":"Masri","given":"Hiba A."},{"family":"Jaaron","given":"Ayham A.M."}],"accessed":{"date-parts":[["2024",12,16]]},"issued":{"date-parts":[["2017"]]}}}],"schema":"https://github.com/citation-style-language/schema/raw/master/csl-citation.json"} </w:instrText>
      </w:r>
      <w:r w:rsidR="00D13C36" w:rsidRPr="00E673DC">
        <w:rPr>
          <w:lang w:val="en-GB"/>
        </w:rPr>
        <w:fldChar w:fldCharType="separate"/>
      </w:r>
      <w:r w:rsidR="00D13C36" w:rsidRPr="00E673DC">
        <w:rPr>
          <w:lang w:val="en-GB"/>
        </w:rPr>
        <w:t>(Masri &amp; Jaaron, 2017)</w:t>
      </w:r>
      <w:r w:rsidR="00D13C36" w:rsidRPr="00E673DC">
        <w:rPr>
          <w:lang w:val="en-GB"/>
        </w:rPr>
        <w:fldChar w:fldCharType="end"/>
      </w:r>
      <w:r w:rsidR="00D13C36" w:rsidRPr="00E673DC">
        <w:rPr>
          <w:lang w:val="en-GB"/>
        </w:rPr>
        <w:t xml:space="preserve">. </w:t>
      </w:r>
    </w:p>
    <w:p w14:paraId="6ABF147D" w14:textId="4F5F5D72" w:rsidR="00D13C36" w:rsidRPr="00E673DC" w:rsidRDefault="00D13C36" w:rsidP="00D77795">
      <w:pPr>
        <w:rPr>
          <w:lang w:val="en-GB"/>
        </w:rPr>
      </w:pPr>
      <w:r w:rsidRPr="00E673DC">
        <w:rPr>
          <w:lang w:val="en-GB"/>
        </w:rPr>
        <w:t xml:space="preserve">In Dubai, a city known for its rapid development and ambitious sustainability targets, government </w:t>
      </w:r>
      <w:r w:rsidR="00DC79D6">
        <w:rPr>
          <w:lang w:val="en-GB"/>
        </w:rPr>
        <w:t>organis</w:t>
      </w:r>
      <w:r w:rsidRPr="00E673DC">
        <w:rPr>
          <w:lang w:val="en-GB"/>
        </w:rPr>
        <w:t xml:space="preserve">ations play a crucial role in spearheading environmental initiatives </w:t>
      </w:r>
      <w:r w:rsidRPr="00E673DC">
        <w:rPr>
          <w:lang w:val="en-GB"/>
        </w:rPr>
        <w:fldChar w:fldCharType="begin"/>
      </w:r>
      <w:r w:rsidR="00E72F10" w:rsidRPr="00E673DC">
        <w:rPr>
          <w:lang w:val="en-GB"/>
        </w:rPr>
        <w:instrText xml:space="preserve"> ADDIN ZOTERO_ITEM CSL_CITATION {"citationID":"1AKC6lpV","properties":{"formattedCitation":"(Dubai Government, 2025)","plainCitation":"(Dubai Government, 2025)","noteIndex":0},"citationItems":[{"id":233,"uris":["http://zotero.org/users/local/TOdoVrPG/items/VVXNCYI3"],"itemData":{"id":233,"type":"webpage","genre":"Government","title":"Environment &amp; Sustainability","URL":"https://dubai.ae/environment-sustainability","author":[{"literal":"Dubai Government"}],"accessed":{"date-parts":[["2025",1,16]]},"issued":{"date-parts":[["2025"]]}}}],"schema":"https://github.com/citation-style-language/schema/raw/master/csl-citation.json"} </w:instrText>
      </w:r>
      <w:r w:rsidRPr="00E673DC">
        <w:rPr>
          <w:lang w:val="en-GB"/>
        </w:rPr>
        <w:fldChar w:fldCharType="separate"/>
      </w:r>
      <w:r w:rsidRPr="00E673DC">
        <w:rPr>
          <w:lang w:val="en-GB"/>
        </w:rPr>
        <w:t xml:space="preserve">(Dubai </w:t>
      </w:r>
      <w:r w:rsidRPr="00E673DC">
        <w:rPr>
          <w:lang w:val="en-GB"/>
        </w:rPr>
        <w:lastRenderedPageBreak/>
        <w:t>Government, 2025)</w:t>
      </w:r>
      <w:r w:rsidRPr="00E673DC">
        <w:rPr>
          <w:lang w:val="en-GB"/>
        </w:rPr>
        <w:fldChar w:fldCharType="end"/>
      </w:r>
      <w:r w:rsidRPr="00E673DC">
        <w:rPr>
          <w:lang w:val="en-GB"/>
        </w:rPr>
        <w:t xml:space="preserve">. The increase in </w:t>
      </w:r>
      <w:r w:rsidR="00720C30">
        <w:rPr>
          <w:lang w:val="en-GB"/>
        </w:rPr>
        <w:t xml:space="preserve">the </w:t>
      </w:r>
      <w:r w:rsidRPr="00E673DC">
        <w:rPr>
          <w:lang w:val="en-GB"/>
        </w:rPr>
        <w:t>UAE population (especially Dubai) has resulted in the expansion of urban areas</w:t>
      </w:r>
      <w:r w:rsidR="00720C30">
        <w:rPr>
          <w:lang w:val="en-GB"/>
        </w:rPr>
        <w:t xml:space="preserve">, </w:t>
      </w:r>
      <w:r w:rsidR="003148AD" w:rsidRPr="003148AD">
        <w:rPr>
          <w:lang w:val="en-GB"/>
        </w:rPr>
        <w:t>which thus requires increased</w:t>
      </w:r>
      <w:r w:rsidR="003148AD">
        <w:rPr>
          <w:lang w:val="en-GB"/>
        </w:rPr>
        <w:t xml:space="preserve"> </w:t>
      </w:r>
      <w:r w:rsidRPr="00E673DC">
        <w:rPr>
          <w:lang w:val="en-GB"/>
        </w:rPr>
        <w:t xml:space="preserve">governmental efforts to provide services to these urban areas (utility and municipal). </w:t>
      </w:r>
      <w:r w:rsidR="00F07C30" w:rsidRPr="00E673DC">
        <w:rPr>
          <w:lang w:val="en-GB"/>
        </w:rPr>
        <w:t>The environmental effects of this strategy have prompted businesses to think about more sustainable practices and solutions</w:t>
      </w:r>
      <w:r w:rsidRPr="00E673DC">
        <w:rPr>
          <w:lang w:val="en-GB"/>
        </w:rPr>
        <w:t xml:space="preserve"> </w:t>
      </w:r>
      <w:r w:rsidRPr="00E673DC">
        <w:rPr>
          <w:lang w:val="en-GB"/>
        </w:rPr>
        <w:fldChar w:fldCharType="begin"/>
      </w:r>
      <w:r w:rsidRPr="00E673DC">
        <w:rPr>
          <w:lang w:val="en-GB"/>
        </w:rPr>
        <w:instrText xml:space="preserve"> ADDIN ZOTERO_ITEM CSL_CITATION {"citationID":"dnLwMoSK","properties":{"formattedCitation":"(Bhutto et al., 2014)","plainCitation":"(Bhutto et al., 2014)","noteIndex":0},"citationItems":[{"id":128,"uris":["http://zotero.org/users/local/TOdoVrPG/items/KFFC22N6"],"itemData":{"id":128,"type":"article-journal","abstract":"In an effort to diversify economies and reduce high oil dependency, the Gulf Cooperation Council (GCC) countries plan to increase the use of renewable energy sources to meet the challenges of a post-oil future. The Accession to the United Nations Framework Convention on Climate Change (UNFCCC) and the Kyoto Protocol, which require a commitment to reduce greenhouse gas emissions, has started a process of environmental awakening in the GCC countries. This paper reviews the publications on renewable energy with reference to the GCC countries since 2005. The objective was to investigate the beneﬁts of funding and investing in renewable energy projects in the GCC countries. The article shows that the GCC countries have begun to adopt a more pro-active approach toward renewable energy that will help progress the GCC countries towards sustainability. The reorientation of strategies and policies toward renewable energy is evolving in the GCC countries.","container-title":"Journal of Cleaner Production","DOI":"10.1016/j.jclepro.2013.12.073","ISSN":"09596526","journalAbbreviation":"Journal of Cleaner Production","language":"en","page":"168-180","source":"DOI.org (Crossref)","title":"A review of progress in renewable energy implementation in the Gulf Cooperation Council countries","URL":"https://linkinghub.elsevier.com/retrieve/pii/S095965261300927X","volume":"71","author":[{"family":"Bhutto","given":"Abdul Waheed"},{"family":"Bazmi","given":"Aqeel Ahmed"},{"family":"Zahedi","given":"Gholamreza"},{"family":"Klemeš","given":"Jiří Jaromír"}],"accessed":{"date-parts":[["2024",11,11]]},"issued":{"date-parts":[["2014",5]]}}}],"schema":"https://github.com/citation-style-language/schema/raw/master/csl-citation.json"} </w:instrText>
      </w:r>
      <w:r w:rsidRPr="00E673DC">
        <w:rPr>
          <w:lang w:val="en-GB"/>
        </w:rPr>
        <w:fldChar w:fldCharType="separate"/>
      </w:r>
      <w:r w:rsidRPr="00E673DC">
        <w:rPr>
          <w:lang w:val="en-GB"/>
        </w:rPr>
        <w:t>(Bhutto et al., 2014)</w:t>
      </w:r>
      <w:r w:rsidRPr="00E673DC">
        <w:rPr>
          <w:lang w:val="en-GB"/>
        </w:rPr>
        <w:fldChar w:fldCharType="end"/>
      </w:r>
      <w:r w:rsidRPr="00E673DC">
        <w:rPr>
          <w:lang w:val="en-GB"/>
        </w:rPr>
        <w:t xml:space="preserve">. Hence, Dubai has launched several high-profile projects aimed at reducing its carbon footprint, promoting renewable energy, and enhancing resource efficiency. These initiatives are part of a broader strategy to position Dubai as a global leader in sustainability and innovation </w:t>
      </w:r>
      <w:r w:rsidRPr="00E673DC">
        <w:rPr>
          <w:lang w:val="en-GB"/>
        </w:rPr>
        <w:fldChar w:fldCharType="begin"/>
      </w:r>
      <w:r w:rsidRPr="00E673DC">
        <w:rPr>
          <w:lang w:val="en-GB"/>
        </w:rPr>
        <w:instrText xml:space="preserve"> ADDIN ZOTERO_ITEM CSL_CITATION {"citationID":"5gkOsjKX","properties":{"formattedCitation":"(Dubai Electricity and Water Authority, 2021)","plainCitation":"(Dubai Electricity and Water Authority, 2021)","noteIndex":0},"citationItems":[{"id":235,"uris":["http://zotero.org/users/local/TOdoVrPG/items/8TH773PQ"],"itemData":{"id":235,"type":"report","genre":"Sustainability","title":"DEWA Sustainability Report 2021","URL":"https://www.dewa.gov.ae/en/consumer/sustainability/sustainability-reports","author":[{"family":"Dubai Electricity and Water Authority","given":""}],"accessed":{"date-parts":[["2025",1,16]]},"issued":{"date-parts":[["2021"]]}}}],"schema":"https://github.com/citation-style-language/schema/raw/master/csl-citation.json"} </w:instrText>
      </w:r>
      <w:r w:rsidRPr="00E673DC">
        <w:rPr>
          <w:lang w:val="en-GB"/>
        </w:rPr>
        <w:fldChar w:fldCharType="separate"/>
      </w:r>
      <w:r w:rsidRPr="00E673DC">
        <w:rPr>
          <w:lang w:val="en-GB"/>
        </w:rPr>
        <w:t>(Dubai Electricity and Water Authority, 2021)</w:t>
      </w:r>
      <w:r w:rsidRPr="00E673DC">
        <w:rPr>
          <w:lang w:val="en-GB"/>
        </w:rPr>
        <w:fldChar w:fldCharType="end"/>
      </w:r>
      <w:r w:rsidRPr="00E673DC">
        <w:rPr>
          <w:lang w:val="en-GB"/>
        </w:rPr>
        <w:t xml:space="preserve">. </w:t>
      </w:r>
    </w:p>
    <w:p w14:paraId="3F81E5D6" w14:textId="2533775D" w:rsidR="00D13C36" w:rsidRPr="00E673DC" w:rsidRDefault="0074426A" w:rsidP="00D77795">
      <w:pPr>
        <w:rPr>
          <w:lang w:val="en-GB"/>
        </w:rPr>
      </w:pPr>
      <w:r w:rsidRPr="00E673DC">
        <w:rPr>
          <w:lang w:val="en-GB"/>
        </w:rPr>
        <w:t>The Government of Dubai is the local authority responsible for the administration of the Emirate of Dubai, one of the seven emirates comprising the United Arab Emirates.</w:t>
      </w:r>
      <w:r w:rsidR="00D13C36" w:rsidRPr="00E673DC">
        <w:rPr>
          <w:lang w:val="en-GB"/>
        </w:rPr>
        <w:t xml:space="preserve"> City </w:t>
      </w:r>
      <w:r w:rsidR="00720C30" w:rsidRPr="00E673DC">
        <w:rPr>
          <w:lang w:val="en-GB"/>
        </w:rPr>
        <w:t>development entities</w:t>
      </w:r>
      <w:r w:rsidR="002B4251" w:rsidRPr="00E673DC">
        <w:rPr>
          <w:lang w:val="en-GB"/>
        </w:rPr>
        <w:t xml:space="preserve"> in</w:t>
      </w:r>
      <w:r w:rsidR="00D13C36" w:rsidRPr="00E673DC">
        <w:rPr>
          <w:lang w:val="en-GB"/>
        </w:rPr>
        <w:t xml:space="preserve"> </w:t>
      </w:r>
      <w:r w:rsidR="00720C30">
        <w:rPr>
          <w:lang w:val="en-GB"/>
        </w:rPr>
        <w:t xml:space="preserve">the </w:t>
      </w:r>
      <w:r w:rsidR="002B4251" w:rsidRPr="00E673DC">
        <w:rPr>
          <w:lang w:val="en-GB"/>
        </w:rPr>
        <w:t xml:space="preserve">Dubai Government </w:t>
      </w:r>
      <w:r w:rsidR="00D13C36" w:rsidRPr="00E673DC">
        <w:rPr>
          <w:lang w:val="en-GB"/>
        </w:rPr>
        <w:t xml:space="preserve">plan and develop Dubai's infrastructure and urban planning to lead in </w:t>
      </w:r>
      <w:r w:rsidR="00720C30">
        <w:rPr>
          <w:lang w:val="en-GB"/>
        </w:rPr>
        <w:t xml:space="preserve">terms of the </w:t>
      </w:r>
      <w:r w:rsidR="00D13C36" w:rsidRPr="00E673DC">
        <w:rPr>
          <w:lang w:val="en-GB"/>
        </w:rPr>
        <w:t>quality of life and sustainability</w:t>
      </w:r>
      <w:r w:rsidR="00720C30">
        <w:rPr>
          <w:lang w:val="en-GB"/>
        </w:rPr>
        <w:t>,</w:t>
      </w:r>
      <w:r w:rsidR="00D13C36" w:rsidRPr="00E673DC">
        <w:rPr>
          <w:lang w:val="en-GB"/>
        </w:rPr>
        <w:t xml:space="preserve"> and to establish a unified system that promotes beneficial outcomes for individuals and the community </w:t>
      </w:r>
      <w:r w:rsidR="00D13C36" w:rsidRPr="00E673DC">
        <w:rPr>
          <w:lang w:val="en-GB"/>
        </w:rPr>
        <w:fldChar w:fldCharType="begin"/>
      </w:r>
      <w:r w:rsidR="00D13C36" w:rsidRPr="00E673DC">
        <w:rPr>
          <w:lang w:val="en-GB"/>
        </w:rPr>
        <w:instrText xml:space="preserve"> ADDIN ZOTERO_ITEM CSL_CITATION {"citationID":"gXTRUuLn","properties":{"formattedCitation":"(The Executive Council, 2024)","plainCitation":"(The Executive Council, 2024)","noteIndex":0},"citationItems":[{"id":119,"uris":["http://zotero.org/users/local/TOdoVrPG/items/NXTD56V4"],"itemData":{"id":119,"type":"webpage","title":"Government of Dubai","URL":"https://tec.gov.ae/en/web/tec/government-of-dubai","author":[{"literal":"The Executive Council"}],"accessed":{"date-parts":[["2024",11,5]]},"issued":{"date-parts":[["2024"]]}}}],"schema":"https://github.com/citation-style-language/schema/raw/master/csl-citation.json"} </w:instrText>
      </w:r>
      <w:r w:rsidR="00D13C36" w:rsidRPr="00E673DC">
        <w:rPr>
          <w:lang w:val="en-GB"/>
        </w:rPr>
        <w:fldChar w:fldCharType="separate"/>
      </w:r>
      <w:r w:rsidR="00D13C36" w:rsidRPr="00E673DC">
        <w:rPr>
          <w:lang w:val="en-GB"/>
        </w:rPr>
        <w:t>(The Executive Council, 2024)</w:t>
      </w:r>
      <w:r w:rsidR="00D13C36" w:rsidRPr="00E673DC">
        <w:rPr>
          <w:lang w:val="en-GB"/>
        </w:rPr>
        <w:fldChar w:fldCharType="end"/>
      </w:r>
      <w:r w:rsidR="00D13C36" w:rsidRPr="00E673DC">
        <w:rPr>
          <w:lang w:val="en-GB"/>
        </w:rPr>
        <w:t xml:space="preserve">. </w:t>
      </w:r>
    </w:p>
    <w:p w14:paraId="755B2831" w14:textId="0C974FB5" w:rsidR="00D13C36" w:rsidRPr="00E673DC" w:rsidRDefault="00720C30" w:rsidP="00D77795">
      <w:pPr>
        <w:rPr>
          <w:lang w:val="en-GB"/>
        </w:rPr>
      </w:pPr>
      <w:r>
        <w:rPr>
          <w:lang w:val="en-GB"/>
        </w:rPr>
        <w:t xml:space="preserve">The </w:t>
      </w:r>
      <w:r w:rsidR="00D13C36" w:rsidRPr="00E673DC">
        <w:rPr>
          <w:lang w:val="en-GB"/>
        </w:rPr>
        <w:t xml:space="preserve">Dubai Government Human Resources Department (DGHRD) aims to align human development initiatives with </w:t>
      </w:r>
      <w:r>
        <w:rPr>
          <w:lang w:val="en-GB"/>
        </w:rPr>
        <w:t xml:space="preserve">the </w:t>
      </w:r>
      <w:r w:rsidR="00D13C36" w:rsidRPr="00E673DC">
        <w:rPr>
          <w:lang w:val="en-GB"/>
        </w:rPr>
        <w:t xml:space="preserve">Dubai Plan 2021 objectives, promoting government institutional harmony while fulfilling corporate governance and resource management standards </w:t>
      </w:r>
      <w:r w:rsidR="00D13C36" w:rsidRPr="00E673DC">
        <w:rPr>
          <w:lang w:val="en-GB"/>
        </w:rPr>
        <w:fldChar w:fldCharType="begin"/>
      </w:r>
      <w:r w:rsidR="00D13C36" w:rsidRPr="00E673DC">
        <w:rPr>
          <w:lang w:val="en-GB"/>
        </w:rPr>
        <w:instrText xml:space="preserve"> ADDIN ZOTERO_ITEM CSL_CITATION {"citationID":"UXMnS90H","properties":{"formattedCitation":"(Dubai Government Human Resources Department, 2025)","plainCitation":"(Dubai Government Human Resources Department, 2025)","noteIndex":0},"citationItems":[{"id":362,"uris":["http://zotero.org/users/local/TOdoVrPG/items/ZMG3GGWR"],"itemData":{"id":362,"type":"webpage","title":"About Us","URL":"https://www.dghr.gov.ae/en/Pages/AboutUs.aspx","author":[{"literal":"Dubai Government Human Resources Department"}],"accessed":{"date-parts":[["2025",2,14]]},"issued":{"date-parts":[["2025"]]}}}],"schema":"https://github.com/citation-style-language/schema/raw/master/csl-citation.json"} </w:instrText>
      </w:r>
      <w:r w:rsidR="00D13C36" w:rsidRPr="00E673DC">
        <w:rPr>
          <w:lang w:val="en-GB"/>
        </w:rPr>
        <w:fldChar w:fldCharType="separate"/>
      </w:r>
      <w:r w:rsidR="00D13C36" w:rsidRPr="00E673DC">
        <w:rPr>
          <w:lang w:val="en-GB"/>
        </w:rPr>
        <w:t>(Dubai Government Human Resources Department, 2025)</w:t>
      </w:r>
      <w:r w:rsidR="00D13C36" w:rsidRPr="00E673DC">
        <w:rPr>
          <w:lang w:val="en-GB"/>
        </w:rPr>
        <w:fldChar w:fldCharType="end"/>
      </w:r>
      <w:r w:rsidR="00D13C36" w:rsidRPr="00E673DC">
        <w:rPr>
          <w:lang w:val="en-GB"/>
        </w:rPr>
        <w:t xml:space="preserve">. </w:t>
      </w:r>
      <w:r w:rsidR="0074426A" w:rsidRPr="00E673DC">
        <w:rPr>
          <w:lang w:val="en-GB"/>
        </w:rPr>
        <w:t xml:space="preserve">A paper published by </w:t>
      </w:r>
      <w:r>
        <w:rPr>
          <w:lang w:val="en-GB"/>
        </w:rPr>
        <w:t xml:space="preserve">the </w:t>
      </w:r>
      <w:r w:rsidR="0074426A" w:rsidRPr="00E673DC">
        <w:rPr>
          <w:lang w:val="en-GB"/>
        </w:rPr>
        <w:t xml:space="preserve">DGHRD highlights the importance of sustainable development and community well-being, the necessity of strategic collaborations with the public and commercial sectors, and solutions, suggestions, and resources to support and inspire national cadres and international talent </w:t>
      </w:r>
      <w:r w:rsidR="00D13C36" w:rsidRPr="00E673DC">
        <w:rPr>
          <w:lang w:val="en-GB"/>
        </w:rPr>
        <w:fldChar w:fldCharType="begin"/>
      </w:r>
      <w:r w:rsidR="00E72F10" w:rsidRPr="00E673DC">
        <w:rPr>
          <w:lang w:val="en-GB"/>
        </w:rPr>
        <w:instrText xml:space="preserve"> ADDIN ZOTERO_ITEM CSL_CITATION {"citationID":"EWcn9rLs","properties":{"formattedCitation":"(Dubai Media Office, 2024)","plainCitation":"(Dubai Media Office, 2024)","noteIndex":0},"citationItems":[{"id":236,"uris":["http://zotero.org/users/local/TOdoVrPG/items/CKWXBBJG"],"itemData":{"id":236,"type":"webpage","title":"DGHR unveils report on the future of Human Resources Management in Dubai","URL":"https://www.mediaoffice.ae/en/news/2024/july/28-07/dghr-human-resources-management","author":[{"literal":"Dubai Media Office"}],"accessed":{"date-parts":[["2025",1,16]]},"issued":{"date-parts":[["2024"]]}}}],"schema":"https://github.com/citation-style-language/schema/raw/master/csl-citation.json"} </w:instrText>
      </w:r>
      <w:r w:rsidR="00D13C36" w:rsidRPr="00E673DC">
        <w:rPr>
          <w:lang w:val="en-GB"/>
        </w:rPr>
        <w:fldChar w:fldCharType="separate"/>
      </w:r>
      <w:r w:rsidR="00D13C36" w:rsidRPr="00E673DC">
        <w:rPr>
          <w:lang w:val="en-GB"/>
        </w:rPr>
        <w:t>(Dubai Media Office, 2024)</w:t>
      </w:r>
      <w:r w:rsidR="00D13C36" w:rsidRPr="00E673DC">
        <w:rPr>
          <w:lang w:val="en-GB"/>
        </w:rPr>
        <w:fldChar w:fldCharType="end"/>
      </w:r>
      <w:r w:rsidR="00D13C36" w:rsidRPr="00E673DC">
        <w:rPr>
          <w:lang w:val="en-GB"/>
        </w:rPr>
        <w:t xml:space="preserve">. </w:t>
      </w:r>
      <w:r w:rsidR="002B4251" w:rsidRPr="00E673DC">
        <w:rPr>
          <w:lang w:val="en-GB"/>
        </w:rPr>
        <w:t>The application of GHRM can be o</w:t>
      </w:r>
      <w:r w:rsidR="00D13C36" w:rsidRPr="00E673DC">
        <w:rPr>
          <w:lang w:val="en-GB"/>
        </w:rPr>
        <w:t xml:space="preserve">ne way to foster sustainable practices </w:t>
      </w:r>
      <w:r w:rsidR="00D13C36" w:rsidRPr="00E673DC">
        <w:rPr>
          <w:lang w:val="en-GB"/>
        </w:rPr>
        <w:fldChar w:fldCharType="begin"/>
      </w:r>
      <w:r w:rsidR="00D13C36" w:rsidRPr="00E673DC">
        <w:rPr>
          <w:lang w:val="en-GB"/>
        </w:rPr>
        <w:instrText xml:space="preserve"> ADDIN ZOTERO_ITEM CSL_CITATION {"citationID":"XDr4LO9B","properties":{"formattedCitation":"(Pham et al., 2018)","plainCitation":"(Pham et al., 2018)","noteIndex":0},"citationItems":[{"id":191,"uris":["http://zotero.org/users/local/TOdoVrPG/items/4MNKBTE9"],"itemData":{"id":191,"type":"article-journal","abstract":"The environmental concern has become an emerging topic in organization’s human resource management strategy, especially in improving employee’s environmental behavior at work. Thus, the organizational citizenship behavior toward the environment (OCBE) has been currently attracting scholars in management. However, published studies contain research gaps in investigation of the relationships between both green training and organizational culture and OCBE, especially in the hotel industry. Following the social exchange and Ability-MotivationOpportunity theories, this study aims to examine the effects of two green practices on OCBE and the moderating role of green organizational culture to the effect of green training on OCBE. A quantitative approach with survey strategy is employed and conducted in 4-5 star hotels to test these relationships. The PLS-SEM and K-means Cluster Analysis techniques are applied to analyze data. The findings reveal that green training and organizational culture positively influence OCBE. Also, the effect of green training on OCBE is moderated by green organizational culture. Finally, our study provides limitations of research and further studies, and the implications for management practices concerned with improving employee’s voluntary eco-behavior in the hotel industry.","container-title":"Management &amp; Marketing","DOI":"https://doi.org/10.2478/mmcks-2018-0030","ISSN":"2069-8887","issue":"4","language":"en","page":"1174 - 1189","source":"Zotero","title":"Enhancing the organizational citizenship behavior for the environment: the roles of green training and organizational culture","URL":"https://sciendo.com/article/10.2478/mmcks-2018-0030","volume":"13","author":[{"family":"Pham","given":"Nhat Tan"},{"family":"Phan","given":"Quyen Phu Thi"},{"family":"Tučková","given":"Zuzana"}],"issued":{"date-parts":[["2018"]]}}}],"schema":"https://github.com/citation-style-language/schema/raw/master/csl-citation.json"} </w:instrText>
      </w:r>
      <w:r w:rsidR="00D13C36" w:rsidRPr="00E673DC">
        <w:rPr>
          <w:lang w:val="en-GB"/>
        </w:rPr>
        <w:fldChar w:fldCharType="separate"/>
      </w:r>
      <w:r w:rsidR="00D13C36" w:rsidRPr="00E673DC">
        <w:rPr>
          <w:lang w:val="en-GB"/>
        </w:rPr>
        <w:t>(Pham et al., 2018)</w:t>
      </w:r>
      <w:r w:rsidR="00D13C36" w:rsidRPr="00E673DC">
        <w:rPr>
          <w:lang w:val="en-GB"/>
        </w:rPr>
        <w:fldChar w:fldCharType="end"/>
      </w:r>
      <w:r w:rsidR="00D13C36" w:rsidRPr="00E673DC">
        <w:rPr>
          <w:lang w:val="en-GB"/>
        </w:rPr>
        <w:t>.</w:t>
      </w:r>
    </w:p>
    <w:p w14:paraId="4521DDC1" w14:textId="76190508" w:rsidR="00D13C36" w:rsidRPr="00E673DC" w:rsidRDefault="00D13C36" w:rsidP="00D77795">
      <w:pPr>
        <w:rPr>
          <w:lang w:val="en-GB"/>
        </w:rPr>
      </w:pPr>
      <w:r w:rsidRPr="00E673DC">
        <w:rPr>
          <w:lang w:val="en-GB"/>
        </w:rPr>
        <w:lastRenderedPageBreak/>
        <w:t xml:space="preserve">The primary purpose of this research is to explore the influence of Green Human Resources Management (GHRM) practices on </w:t>
      </w:r>
      <w:r w:rsidR="00DC79D6">
        <w:rPr>
          <w:lang w:val="en-GB"/>
        </w:rPr>
        <w:t>Organis</w:t>
      </w:r>
      <w:r w:rsidRPr="00E673DC">
        <w:rPr>
          <w:lang w:val="en-GB"/>
        </w:rPr>
        <w:t xml:space="preserve">ational Citizenship </w:t>
      </w:r>
      <w:r w:rsidR="00DC79D6">
        <w:rPr>
          <w:lang w:val="en-GB"/>
        </w:rPr>
        <w:t>Behaviour</w:t>
      </w:r>
      <w:r w:rsidRPr="00E673DC">
        <w:rPr>
          <w:lang w:val="en-GB"/>
        </w:rPr>
        <w:t xml:space="preserve"> towards </w:t>
      </w:r>
      <w:r w:rsidR="00965313">
        <w:rPr>
          <w:lang w:val="en-GB"/>
        </w:rPr>
        <w:t xml:space="preserve">the </w:t>
      </w:r>
      <w:r w:rsidRPr="00E673DC">
        <w:rPr>
          <w:lang w:val="en-GB"/>
        </w:rPr>
        <w:t xml:space="preserve">Environment (OCBE) in Dubai government </w:t>
      </w:r>
      <w:r w:rsidR="00DC79D6">
        <w:rPr>
          <w:lang w:val="en-GB"/>
        </w:rPr>
        <w:t>organis</w:t>
      </w:r>
      <w:r w:rsidRPr="00E673DC">
        <w:rPr>
          <w:lang w:val="en-GB"/>
        </w:rPr>
        <w:t xml:space="preserve">ations, </w:t>
      </w:r>
      <w:r w:rsidR="00720C30">
        <w:rPr>
          <w:lang w:val="en-GB"/>
        </w:rPr>
        <w:t>that is</w:t>
      </w:r>
      <w:r w:rsidRPr="00E673DC">
        <w:rPr>
          <w:lang w:val="en-GB"/>
        </w:rPr>
        <w:t>, in city development entities (</w:t>
      </w:r>
      <w:r w:rsidR="00EB200E">
        <w:rPr>
          <w:lang w:val="en-GB"/>
        </w:rPr>
        <w:t xml:space="preserve">the </w:t>
      </w:r>
      <w:r w:rsidRPr="00E673DC">
        <w:rPr>
          <w:lang w:val="en-GB"/>
        </w:rPr>
        <w:t xml:space="preserve">services and utility sectors), with a particular focus on the mediating role of Green Innovative </w:t>
      </w:r>
      <w:r w:rsidR="00DC79D6">
        <w:rPr>
          <w:lang w:val="en-GB"/>
        </w:rPr>
        <w:t>Behaviour</w:t>
      </w:r>
      <w:r w:rsidRPr="00E673DC">
        <w:rPr>
          <w:lang w:val="en-GB"/>
        </w:rPr>
        <w:t xml:space="preserve"> (GIB). Despite the increasing adoption of GHRM practices, there is a limited understanding of their impact on OCBE, </w:t>
      </w:r>
      <w:r w:rsidR="002B4251" w:rsidRPr="00E673DC">
        <w:rPr>
          <w:lang w:val="en-GB"/>
        </w:rPr>
        <w:t>specifically</w:t>
      </w:r>
      <w:r w:rsidRPr="00E673DC">
        <w:rPr>
          <w:lang w:val="en-GB"/>
        </w:rPr>
        <w:t xml:space="preserve"> in the </w:t>
      </w:r>
      <w:r w:rsidR="002B4251" w:rsidRPr="00E673DC">
        <w:rPr>
          <w:lang w:val="en-GB"/>
        </w:rPr>
        <w:t xml:space="preserve">government </w:t>
      </w:r>
      <w:r w:rsidR="00DC79D6">
        <w:rPr>
          <w:lang w:val="en-GB"/>
        </w:rPr>
        <w:t>organis</w:t>
      </w:r>
      <w:r w:rsidR="002B4251" w:rsidRPr="00E673DC">
        <w:rPr>
          <w:lang w:val="en-GB"/>
        </w:rPr>
        <w:t>ations</w:t>
      </w:r>
      <w:r w:rsidR="00EB200E">
        <w:rPr>
          <w:lang w:val="en-GB"/>
        </w:rPr>
        <w:t>'</w:t>
      </w:r>
      <w:r w:rsidR="002B4251" w:rsidRPr="00E673DC">
        <w:rPr>
          <w:lang w:val="en-GB"/>
        </w:rPr>
        <w:t xml:space="preserve"> </w:t>
      </w:r>
      <w:r w:rsidRPr="00E673DC">
        <w:rPr>
          <w:lang w:val="en-GB"/>
        </w:rPr>
        <w:t xml:space="preserve">context. This research addresses the gap by examining the role of Green Innovative </w:t>
      </w:r>
      <w:r w:rsidR="00DC79D6">
        <w:rPr>
          <w:lang w:val="en-GB"/>
        </w:rPr>
        <w:t>Behaviour</w:t>
      </w:r>
      <w:r w:rsidRPr="00E673DC">
        <w:rPr>
          <w:lang w:val="en-GB"/>
        </w:rPr>
        <w:t xml:space="preserve"> mediating the relationship between GHRM practices and OCBE, thereby providing a comprehensive understanding of the mechanisms through which GHRM fosters environmental citizenship </w:t>
      </w:r>
      <w:r w:rsidR="00DC79D6">
        <w:rPr>
          <w:lang w:val="en-GB"/>
        </w:rPr>
        <w:t>behaviour</w:t>
      </w:r>
      <w:r w:rsidRPr="00E673DC">
        <w:rPr>
          <w:lang w:val="en-GB"/>
        </w:rPr>
        <w:t xml:space="preserve"> in a governmental setting. </w:t>
      </w:r>
      <w:r w:rsidR="006E25CF" w:rsidRPr="00E673DC">
        <w:rPr>
          <w:lang w:val="en-GB"/>
        </w:rPr>
        <w:t xml:space="preserve">Therefore, the study aims to achieve </w:t>
      </w:r>
      <w:r w:rsidR="00F8610F" w:rsidRPr="00E673DC">
        <w:rPr>
          <w:lang w:val="en-GB"/>
        </w:rPr>
        <w:t>three</w:t>
      </w:r>
      <w:r w:rsidR="006E25CF" w:rsidRPr="00E673DC">
        <w:rPr>
          <w:lang w:val="en-GB"/>
        </w:rPr>
        <w:t xml:space="preserve"> objectives</w:t>
      </w:r>
      <w:r w:rsidR="00EB200E">
        <w:rPr>
          <w:lang w:val="en-GB"/>
        </w:rPr>
        <w:t>:</w:t>
      </w:r>
      <w:r w:rsidRPr="00E673DC">
        <w:rPr>
          <w:lang w:val="en-GB"/>
        </w:rPr>
        <w:t xml:space="preserve"> </w:t>
      </w:r>
      <w:r w:rsidR="00EB200E">
        <w:rPr>
          <w:lang w:val="en-GB"/>
        </w:rPr>
        <w:t>f</w:t>
      </w:r>
      <w:r w:rsidRPr="00E673DC">
        <w:rPr>
          <w:lang w:val="en-GB"/>
        </w:rPr>
        <w:t>irst, to explore the theories underpinning unexplored aspects of the GHRM</w:t>
      </w:r>
      <w:r w:rsidR="0005616E" w:rsidRPr="00E673DC">
        <w:rPr>
          <w:lang w:val="en-GB"/>
        </w:rPr>
        <w:t>→</w:t>
      </w:r>
      <w:r w:rsidRPr="00E673DC">
        <w:rPr>
          <w:lang w:val="en-GB"/>
        </w:rPr>
        <w:t xml:space="preserve">OCBE relationship and the mediating effects of GIB on </w:t>
      </w:r>
      <w:r w:rsidR="00EB200E">
        <w:rPr>
          <w:lang w:val="en-GB"/>
        </w:rPr>
        <w:t>that</w:t>
      </w:r>
      <w:r w:rsidRPr="00E673DC">
        <w:rPr>
          <w:lang w:val="en-GB"/>
        </w:rPr>
        <w:t xml:space="preserve"> relationship</w:t>
      </w:r>
      <w:r w:rsidR="00EB200E">
        <w:rPr>
          <w:lang w:val="en-GB"/>
        </w:rPr>
        <w:t>;</w:t>
      </w:r>
      <w:r w:rsidRPr="00E673DC">
        <w:rPr>
          <w:lang w:val="en-GB"/>
        </w:rPr>
        <w:t xml:space="preserve"> </w:t>
      </w:r>
      <w:r w:rsidR="00EB200E">
        <w:rPr>
          <w:lang w:val="en-GB"/>
        </w:rPr>
        <w:t>s</w:t>
      </w:r>
      <w:r w:rsidRPr="00E673DC">
        <w:rPr>
          <w:lang w:val="en-GB"/>
        </w:rPr>
        <w:t>econd, to empirically confirm the existence, or not, of significant relationships in the GHRM</w:t>
      </w:r>
      <w:r w:rsidR="00EB200E">
        <w:rPr>
          <w:lang w:val="en-GB"/>
        </w:rPr>
        <w:t>–</w:t>
      </w:r>
      <w:r w:rsidRPr="00E673DC">
        <w:rPr>
          <w:lang w:val="en-GB"/>
        </w:rPr>
        <w:t>OCBE model</w:t>
      </w:r>
      <w:r w:rsidR="00692DCE">
        <w:rPr>
          <w:lang w:val="en-GB"/>
        </w:rPr>
        <w:t>,</w:t>
      </w:r>
      <w:r w:rsidRPr="00E673DC">
        <w:rPr>
          <w:lang w:val="en-GB"/>
        </w:rPr>
        <w:t xml:space="preserve"> with GIB as </w:t>
      </w:r>
      <w:r w:rsidR="00EB200E">
        <w:rPr>
          <w:lang w:val="en-GB"/>
        </w:rPr>
        <w:t xml:space="preserve">the </w:t>
      </w:r>
      <w:r w:rsidRPr="00E673DC">
        <w:rPr>
          <w:lang w:val="en-GB"/>
        </w:rPr>
        <w:t>mediator</w:t>
      </w:r>
      <w:r w:rsidR="00EB200E">
        <w:rPr>
          <w:lang w:val="en-GB"/>
        </w:rPr>
        <w:t>;</w:t>
      </w:r>
      <w:r w:rsidR="006E25CF" w:rsidRPr="00E673DC">
        <w:rPr>
          <w:lang w:val="en-GB"/>
        </w:rPr>
        <w:t xml:space="preserve"> and finally</w:t>
      </w:r>
      <w:r w:rsidR="00EB200E">
        <w:rPr>
          <w:lang w:val="en-GB"/>
        </w:rPr>
        <w:t>,</w:t>
      </w:r>
      <w:r w:rsidR="006E25CF" w:rsidRPr="00E673DC">
        <w:rPr>
          <w:lang w:val="en-GB"/>
        </w:rPr>
        <w:t xml:space="preserve"> to </w:t>
      </w:r>
      <w:r w:rsidR="009A22F4" w:rsidRPr="00E673DC">
        <w:rPr>
          <w:lang w:val="en-GB"/>
        </w:rPr>
        <w:t xml:space="preserve">suggest recommendations that can be implemented to enhance the effectiveness of GHRM practices and </w:t>
      </w:r>
      <w:r w:rsidR="00F8610F" w:rsidRPr="00E673DC">
        <w:rPr>
          <w:lang w:val="en-GB"/>
        </w:rPr>
        <w:t>foster</w:t>
      </w:r>
      <w:r w:rsidR="009A22F4" w:rsidRPr="00E673DC">
        <w:rPr>
          <w:lang w:val="en-GB"/>
        </w:rPr>
        <w:t xml:space="preserve"> a culture of environmental sustainability in Dubai </w:t>
      </w:r>
      <w:r w:rsidR="00720C30">
        <w:rPr>
          <w:lang w:val="en-GB"/>
        </w:rPr>
        <w:t>G</w:t>
      </w:r>
      <w:r w:rsidR="009A22F4" w:rsidRPr="00E673DC">
        <w:rPr>
          <w:lang w:val="en-GB"/>
        </w:rPr>
        <w:t xml:space="preserve">overnment </w:t>
      </w:r>
      <w:r w:rsidR="00DC79D6">
        <w:rPr>
          <w:lang w:val="en-GB"/>
        </w:rPr>
        <w:t>organis</w:t>
      </w:r>
      <w:r w:rsidR="009A22F4" w:rsidRPr="00E673DC">
        <w:rPr>
          <w:lang w:val="en-GB"/>
        </w:rPr>
        <w:t>ations.</w:t>
      </w:r>
    </w:p>
    <w:p w14:paraId="3F451BFD" w14:textId="372A758C" w:rsidR="00D13C36" w:rsidRPr="00E673DC" w:rsidRDefault="002B4251" w:rsidP="00D77795">
      <w:pPr>
        <w:rPr>
          <w:lang w:val="en-GB"/>
        </w:rPr>
      </w:pPr>
      <w:r w:rsidRPr="00E673DC">
        <w:rPr>
          <w:lang w:val="en-GB"/>
        </w:rPr>
        <w:t>To accomplish these goals, this study will be guided by the following research questions:</w:t>
      </w:r>
    </w:p>
    <w:p w14:paraId="594FA1CF" w14:textId="1F140552" w:rsidR="00D13C36" w:rsidRPr="00E673DC" w:rsidRDefault="00D13C36">
      <w:pPr>
        <w:pStyle w:val="ListParagraph"/>
        <w:numPr>
          <w:ilvl w:val="0"/>
          <w:numId w:val="2"/>
        </w:numPr>
        <w:spacing w:line="360" w:lineRule="auto"/>
        <w:jc w:val="both"/>
        <w:rPr>
          <w:lang w:val="en-GB"/>
        </w:rPr>
      </w:pPr>
      <w:r w:rsidRPr="00E673DC">
        <w:rPr>
          <w:lang w:val="en-GB"/>
        </w:rPr>
        <w:t xml:space="preserve">Do GHRM practices influence OCBE in Dubai </w:t>
      </w:r>
      <w:r w:rsidR="00720C30">
        <w:rPr>
          <w:lang w:val="en-GB"/>
        </w:rPr>
        <w:t>G</w:t>
      </w:r>
      <w:r w:rsidRPr="00E673DC">
        <w:rPr>
          <w:lang w:val="en-GB"/>
        </w:rPr>
        <w:t xml:space="preserve">overnment </w:t>
      </w:r>
      <w:r w:rsidR="00DC79D6">
        <w:rPr>
          <w:lang w:val="en-GB"/>
        </w:rPr>
        <w:t>organis</w:t>
      </w:r>
      <w:r w:rsidRPr="00E673DC">
        <w:rPr>
          <w:lang w:val="en-GB"/>
        </w:rPr>
        <w:t xml:space="preserve">ations? </w:t>
      </w:r>
    </w:p>
    <w:p w14:paraId="5EFF676D" w14:textId="428A5987" w:rsidR="00D13C36" w:rsidRPr="00E673DC" w:rsidRDefault="00D13C36">
      <w:pPr>
        <w:pStyle w:val="ListParagraph"/>
        <w:numPr>
          <w:ilvl w:val="0"/>
          <w:numId w:val="2"/>
        </w:numPr>
        <w:spacing w:line="360" w:lineRule="auto"/>
        <w:jc w:val="both"/>
        <w:rPr>
          <w:lang w:val="en-GB"/>
        </w:rPr>
      </w:pPr>
      <w:r w:rsidRPr="00E673DC">
        <w:rPr>
          <w:lang w:val="en-GB"/>
        </w:rPr>
        <w:t xml:space="preserve">Is there a mediating role of Green Innovative </w:t>
      </w:r>
      <w:r w:rsidR="00DC79D6">
        <w:rPr>
          <w:lang w:val="en-GB"/>
        </w:rPr>
        <w:t>Behaviour</w:t>
      </w:r>
      <w:r w:rsidRPr="00E673DC">
        <w:rPr>
          <w:lang w:val="en-GB"/>
        </w:rPr>
        <w:t xml:space="preserve"> in this relationship? </w:t>
      </w:r>
    </w:p>
    <w:p w14:paraId="072FA9A7" w14:textId="26A58A1D" w:rsidR="00D13C36" w:rsidRPr="00E673DC" w:rsidRDefault="00D13C36">
      <w:pPr>
        <w:pStyle w:val="ListParagraph"/>
        <w:numPr>
          <w:ilvl w:val="0"/>
          <w:numId w:val="2"/>
        </w:numPr>
        <w:spacing w:line="360" w:lineRule="auto"/>
        <w:jc w:val="both"/>
        <w:rPr>
          <w:lang w:val="en-GB"/>
        </w:rPr>
      </w:pPr>
      <w:r w:rsidRPr="00E673DC">
        <w:rPr>
          <w:lang w:val="en-GB"/>
        </w:rPr>
        <w:t xml:space="preserve">How does Green Innovative </w:t>
      </w:r>
      <w:r w:rsidR="00DC79D6">
        <w:rPr>
          <w:lang w:val="en-GB"/>
        </w:rPr>
        <w:t>Behaviour</w:t>
      </w:r>
      <w:r w:rsidRPr="00E673DC">
        <w:rPr>
          <w:lang w:val="en-GB"/>
        </w:rPr>
        <w:t xml:space="preserve"> mediate the relationship between GHRM practices and OCBE?</w:t>
      </w:r>
    </w:p>
    <w:p w14:paraId="4A8C121B" w14:textId="541E1E74" w:rsidR="00D13C36" w:rsidRPr="00E673DC" w:rsidRDefault="00D13C36">
      <w:pPr>
        <w:pStyle w:val="ListParagraph"/>
        <w:numPr>
          <w:ilvl w:val="0"/>
          <w:numId w:val="2"/>
        </w:numPr>
        <w:spacing w:line="360" w:lineRule="auto"/>
        <w:jc w:val="both"/>
        <w:rPr>
          <w:lang w:val="en-GB"/>
        </w:rPr>
      </w:pPr>
      <w:r w:rsidRPr="00E673DC">
        <w:rPr>
          <w:lang w:val="en-GB"/>
        </w:rPr>
        <w:lastRenderedPageBreak/>
        <w:t xml:space="preserve">What recommendations can be made to enhance the effectiveness of GHRM practices in fostering a culture of </w:t>
      </w:r>
      <w:r w:rsidR="002B4251" w:rsidRPr="00E673DC">
        <w:rPr>
          <w:lang w:val="en-GB"/>
        </w:rPr>
        <w:t>ecological</w:t>
      </w:r>
      <w:r w:rsidRPr="00E673DC">
        <w:rPr>
          <w:lang w:val="en-GB"/>
        </w:rPr>
        <w:t xml:space="preserve"> sustainability in Dubai </w:t>
      </w:r>
      <w:r w:rsidR="00720C30">
        <w:rPr>
          <w:lang w:val="en-GB"/>
        </w:rPr>
        <w:t>G</w:t>
      </w:r>
      <w:r w:rsidRPr="00E673DC">
        <w:rPr>
          <w:lang w:val="en-GB"/>
        </w:rPr>
        <w:t xml:space="preserve">overnment </w:t>
      </w:r>
      <w:r w:rsidR="00DC79D6">
        <w:rPr>
          <w:lang w:val="en-GB"/>
        </w:rPr>
        <w:t>organis</w:t>
      </w:r>
      <w:r w:rsidRPr="00E673DC">
        <w:rPr>
          <w:lang w:val="en-GB"/>
        </w:rPr>
        <w:t>ations?</w:t>
      </w:r>
    </w:p>
    <w:p w14:paraId="7A9F769D" w14:textId="7939B0FA" w:rsidR="00D13C36" w:rsidRPr="00E673DC" w:rsidRDefault="00EB200E" w:rsidP="00D77795">
      <w:pPr>
        <w:rPr>
          <w:lang w:val="en-GB"/>
        </w:rPr>
      </w:pPr>
      <w:r>
        <w:rPr>
          <w:lang w:val="en-GB"/>
        </w:rPr>
        <w:t>W</w:t>
      </w:r>
      <w:r w:rsidR="00D13C36" w:rsidRPr="00E673DC">
        <w:rPr>
          <w:lang w:val="en-GB"/>
        </w:rPr>
        <w:t xml:space="preserve">hile there is an expanding body of literature on GHRM, relatively few studies have examined the extent to which GIB mediates the relationship between GHRM practices and OCBE </w:t>
      </w:r>
      <w:r w:rsidR="00D13C36" w:rsidRPr="00E673DC">
        <w:rPr>
          <w:lang w:val="en-GB"/>
        </w:rPr>
        <w:fldChar w:fldCharType="begin"/>
      </w:r>
      <w:r w:rsidR="00E72F10" w:rsidRPr="00E673DC">
        <w:rPr>
          <w:lang w:val="en-GB"/>
        </w:rPr>
        <w:instrText xml:space="preserve"> ADDIN ZOTERO_ITEM CSL_CITATION {"citationID":"rvvKDOOk","properties":{"formattedCitation":"(Mostafa &amp; Saleh, 2023)","plainCitation":"(Mostafa &amp; Saleh, 2023)","noteIndex":0},"citationItems":[{"id":67,"uris":["http://zotero.org/users/local/TOdoVrPG/items/T5ESCEI5"],"itemData":{"id":67,"type":"article-journal","abstract":"In an era of green environmental awareness, Green Human Resources Management (GHRM) uses human resources management practices to support green environmental functions. It embraces green environmental concerns by applying human resources initiatives to generate high performance and better efficiency in operations. Although the literature on GHRM is growing, a few studies investigated to what extent green innovative culture (GIC) moderates the relationship between green human resources management practices and organizational citizenship behavior towards the environment (OCBE). To address this research gap, the authors tested a new conceptual framework investigating the direct and interactive effects of GHRM practices and GIC on OCBE. A quantitative study uses a survey from a 174 convenient sample of employees selected from a manufacturing firm operating in Egypt. The research results revealed that (1) GHRM practices are crucial for encouraging employees to engage in green activities, in addition (2) there is a significant positive effect of GHRM practices on OCBE, while on the other hand, (3) the interaction of GHRM and GIC can foster employees’ engagement in OCBE. The research significance lies in identifying and validating the GHRM practices applied in the manufacturing firm, as it advances the previous studies by developing a research model that offers critical insights on how manufacturing organizations working in industrial and agricultural packaging solutions could strategically link their GHRM practices and green innovative culture to support their OCBE in creating a competitive advantage in the market.","container-title":"International Business Research","DOI":"10.5539/ibr.v16n4p15","ISSN":"1913-9012, 1913-9004","issue":"4","journalAbbreviation":"IBR","language":"en","license":"https://creativecommons.org/licenses/by/4.0","page":"15","source":"DOI.org (Crossref)","title":"The Relationship between Green Human Resource Management Practices and Organizational Citizenship Behavior","URL":"https://ccsenet.org/journal/index.php/ibr/article/view/0/48544","volume":"16","author":[{"family":"Mostafa","given":"Bassant Adel"},{"family":"Saleh","given":"Reham Saber"}],"accessed":{"date-parts":[["2024",10,16]]},"issued":{"date-parts":[["2023"]]}}}],"schema":"https://github.com/citation-style-language/schema/raw/master/csl-citation.json"} </w:instrText>
      </w:r>
      <w:r w:rsidR="00D13C36" w:rsidRPr="00E673DC">
        <w:rPr>
          <w:lang w:val="en-GB"/>
        </w:rPr>
        <w:fldChar w:fldCharType="separate"/>
      </w:r>
      <w:r w:rsidR="00D13C36" w:rsidRPr="00E673DC">
        <w:rPr>
          <w:lang w:val="en-GB"/>
        </w:rPr>
        <w:t>(Mostafa &amp; Saleh, 2023)</w:t>
      </w:r>
      <w:r w:rsidR="00D13C36" w:rsidRPr="00E673DC">
        <w:rPr>
          <w:lang w:val="en-GB"/>
        </w:rPr>
        <w:fldChar w:fldCharType="end"/>
      </w:r>
      <w:r w:rsidR="00D13C36" w:rsidRPr="00E673DC">
        <w:rPr>
          <w:lang w:val="en-GB"/>
        </w:rPr>
        <w:t xml:space="preserve">. Pillai et al. </w:t>
      </w:r>
      <w:r w:rsidR="00D13C36" w:rsidRPr="00E673DC">
        <w:rPr>
          <w:lang w:val="en-GB"/>
        </w:rPr>
        <w:fldChar w:fldCharType="begin"/>
      </w:r>
      <w:r w:rsidR="00E72F10" w:rsidRPr="00E673DC">
        <w:rPr>
          <w:lang w:val="en-GB"/>
        </w:rPr>
        <w:instrText xml:space="preserve"> ADDIN ZOTERO_ITEM CSL_CITATION {"citationID":"wKRiDTXN","properties":{"formattedCitation":"(2024)","plainCitation":"(2024)","noteIndex":0},"citationItems":[{"id":61,"uris":["http://zotero.org/users/local/TOdoVrPG/items/E5XP3PYF"],"itemData":{"id":61,"type":"article-journal","abstract":"Organisational citizenship behaviour towards the environment (OCBE) aids in both environmental protection and in harnessing sustainable competitive organisational advantage. This study proposed a conceptual research model which investigated managerial perceptions of the relationship between OCBE and economic cost performance (ECP) in the UAE hospitality sector, with green innovative behaviour (GIB) mediating and green training moderating the relationship. Drawing on the theory of planned behaviour and abilities motivation opportunity theory, the study administered 479 structured questionnaires to hotel managers in the UAE using purposive and snowball sampling techniques. Partial least squares structural equation modelling was applied to test the hypotheses in SmartPLS3.3. Findings showed that OCBE had a direct and significant impact on ECP, with GIB emerging both as a direct and mediating predictor. Additionally, green training directly and significantly moderated the OCBE–cost performance relationship. These results evince the integration of sustainable philosophies with innovative mindsets to encourage green innovative endeavours among hotel managers.","container-title":"Business Ethics, the Environment &amp; Responsibility","DOI":"10.1111/beer.12700","ISSN":"2694-6416, 2694-6424","journalAbbreviation":"Business Ethics Env &amp; Resp","language":"en","license":"http://onlinelibrary.wiley.com/termsAndConditions#vor","page":"beer.12700","source":"DOI.org (Crossref)","title":"Assessing the influence of organisational citizenship behaviour towards environment on economic cost performance in &lt;span style=\"font-variant:small-caps;\"&gt;UAE&lt;/span&gt; hotels","title-short":"Assessing the influence of organisational citizenship behaviour towards environment on economic cost performance in &lt;span style=\"font-variant","URL":"https://onlinelibrary.wiley.com/doi/10.1111/beer.12700","author":[{"family":"Pillai","given":"Rekha"},{"family":"Islam","given":"Aminul"},{"family":"Kumar","given":"Parul"},{"family":"Almustafa","given":"Hamza"}],"accessed":{"date-parts":[["2024",10,14]]},"issued":{"date-parts":[["2024"]]}},"suppress-author":true}],"schema":"https://github.com/citation-style-language/schema/raw/master/csl-citation.json"} </w:instrText>
      </w:r>
      <w:r w:rsidR="00D13C36" w:rsidRPr="00E673DC">
        <w:rPr>
          <w:lang w:val="en-GB"/>
        </w:rPr>
        <w:fldChar w:fldCharType="separate"/>
      </w:r>
      <w:r w:rsidR="00D13C36" w:rsidRPr="00E673DC">
        <w:rPr>
          <w:lang w:val="en-GB"/>
        </w:rPr>
        <w:t>(2024)</w:t>
      </w:r>
      <w:r w:rsidR="00D13C36" w:rsidRPr="00E673DC">
        <w:rPr>
          <w:lang w:val="en-GB"/>
        </w:rPr>
        <w:fldChar w:fldCharType="end"/>
      </w:r>
      <w:r w:rsidR="00D13C36" w:rsidRPr="00E673DC">
        <w:rPr>
          <w:lang w:val="en-GB"/>
        </w:rPr>
        <w:t xml:space="preserve"> investigated </w:t>
      </w:r>
      <w:r>
        <w:rPr>
          <w:lang w:val="en-GB"/>
        </w:rPr>
        <w:t xml:space="preserve">the </w:t>
      </w:r>
      <w:r w:rsidR="00D13C36" w:rsidRPr="00E673DC">
        <w:rPr>
          <w:lang w:val="en-GB"/>
        </w:rPr>
        <w:t xml:space="preserve">managerial perceptions of the relationship </w:t>
      </w:r>
      <w:r w:rsidR="0074426A" w:rsidRPr="00E673DC">
        <w:rPr>
          <w:lang w:val="en-GB"/>
        </w:rPr>
        <w:t>amongst</w:t>
      </w:r>
      <w:r w:rsidR="00D13C36" w:rsidRPr="00E673DC">
        <w:rPr>
          <w:lang w:val="en-GB"/>
        </w:rPr>
        <w:t xml:space="preserve"> OCBE and economic cost performance in the UAE hospitality sector</w:t>
      </w:r>
      <w:r>
        <w:rPr>
          <w:lang w:val="en-GB"/>
        </w:rPr>
        <w:t>,</w:t>
      </w:r>
      <w:r w:rsidR="00D13C36" w:rsidRPr="00E673DC">
        <w:rPr>
          <w:lang w:val="en-GB"/>
        </w:rPr>
        <w:t xml:space="preserve"> while Mostafa </w:t>
      </w:r>
      <w:r>
        <w:rPr>
          <w:lang w:val="en-GB"/>
        </w:rPr>
        <w:t>and</w:t>
      </w:r>
      <w:r w:rsidR="00D13C36" w:rsidRPr="00E673DC">
        <w:rPr>
          <w:lang w:val="en-GB"/>
        </w:rPr>
        <w:t xml:space="preserve"> Saleh </w:t>
      </w:r>
      <w:r w:rsidR="00D13C36" w:rsidRPr="00E673DC">
        <w:rPr>
          <w:lang w:val="en-GB"/>
        </w:rPr>
        <w:fldChar w:fldCharType="begin"/>
      </w:r>
      <w:r w:rsidR="00E72F10" w:rsidRPr="00E673DC">
        <w:rPr>
          <w:lang w:val="en-GB"/>
        </w:rPr>
        <w:instrText xml:space="preserve"> ADDIN ZOTERO_ITEM CSL_CITATION {"citationID":"a9T6lOVN","properties":{"formattedCitation":"(2023)","plainCitation":"(2023)","noteIndex":0},"citationItems":[{"id":67,"uris":["http://zotero.org/users/local/TOdoVrPG/items/T5ESCEI5"],"itemData":{"id":67,"type":"article-journal","abstract":"In an era of green environmental awareness, Green Human Resources Management (GHRM) uses human resources management practices to support green environmental functions. It embraces green environmental concerns by applying human resources initiatives to generate high performance and better efficiency in operations. Although the literature on GHRM is growing, a few studies investigated to what extent green innovative culture (GIC) moderates the relationship between green human resources management practices and organizational citizenship behavior towards the environment (OCBE). To address this research gap, the authors tested a new conceptual framework investigating the direct and interactive effects of GHRM practices and GIC on OCBE. A quantitative study uses a survey from a 174 convenient sample of employees selected from a manufacturing firm operating in Egypt. The research results revealed that (1) GHRM practices are crucial for encouraging employees to engage in green activities, in addition (2) there is a significant positive effect of GHRM practices on OCBE, while on the other hand, (3) the interaction of GHRM and GIC can foster employees’ engagement in OCBE. The research significance lies in identifying and validating the GHRM practices applied in the manufacturing firm, as it advances the previous studies by developing a research model that offers critical insights on how manufacturing organizations working in industrial and agricultural packaging solutions could strategically link their GHRM practices and green innovative culture to support their OCBE in creating a competitive advantage in the market.","container-title":"International Business Research","DOI":"10.5539/ibr.v16n4p15","ISSN":"1913-9012, 1913-9004","issue":"4","journalAbbreviation":"IBR","language":"en","license":"https://creativecommons.org/licenses/by/4.0","page":"15","source":"DOI.org (Crossref)","title":"The Relationship between Green Human Resource Management Practices and Organizational Citizenship Behavior","URL":"https://ccsenet.org/journal/index.php/ibr/article/view/0/48544","volume":"16","author":[{"family":"Mostafa","given":"Bassant Adel"},{"family":"Saleh","given":"Reham Saber"}],"accessed":{"date-parts":[["2024",10,16]]},"issued":{"date-parts":[["2023"]]}},"suppress-author":true}],"schema":"https://github.com/citation-style-language/schema/raw/master/csl-citation.json"} </w:instrText>
      </w:r>
      <w:r w:rsidR="00D13C36" w:rsidRPr="00E673DC">
        <w:rPr>
          <w:lang w:val="en-GB"/>
        </w:rPr>
        <w:fldChar w:fldCharType="separate"/>
      </w:r>
      <w:r w:rsidR="00D13C36" w:rsidRPr="00E673DC">
        <w:rPr>
          <w:lang w:val="en-GB"/>
        </w:rPr>
        <w:t>(2023)</w:t>
      </w:r>
      <w:r w:rsidR="00D13C36" w:rsidRPr="00E673DC">
        <w:rPr>
          <w:lang w:val="en-GB"/>
        </w:rPr>
        <w:fldChar w:fldCharType="end"/>
      </w:r>
      <w:r w:rsidR="00D13C36" w:rsidRPr="00E673DC">
        <w:rPr>
          <w:lang w:val="en-GB"/>
        </w:rPr>
        <w:t xml:space="preserve"> investigated the direct and interactive effects of GHRM practices and GIC </w:t>
      </w:r>
      <w:r w:rsidR="002B4251" w:rsidRPr="00E673DC">
        <w:rPr>
          <w:lang w:val="en-GB"/>
        </w:rPr>
        <w:t>(here</w:t>
      </w:r>
      <w:r w:rsidR="00E53AFC">
        <w:rPr>
          <w:lang w:val="en-GB"/>
        </w:rPr>
        <w:t>,</w:t>
      </w:r>
      <w:r w:rsidR="002B4251" w:rsidRPr="00E673DC">
        <w:rPr>
          <w:lang w:val="en-GB"/>
        </w:rPr>
        <w:t xml:space="preserve"> GIB) </w:t>
      </w:r>
      <w:r w:rsidR="00D13C36" w:rsidRPr="00E673DC">
        <w:rPr>
          <w:lang w:val="en-GB"/>
        </w:rPr>
        <w:t>on OCBE in manufacturing firm</w:t>
      </w:r>
      <w:r w:rsidR="003148AD">
        <w:rPr>
          <w:lang w:val="en-GB"/>
        </w:rPr>
        <w:t>s</w:t>
      </w:r>
      <w:r w:rsidR="00D13C36" w:rsidRPr="00E673DC">
        <w:rPr>
          <w:lang w:val="en-GB"/>
        </w:rPr>
        <w:t xml:space="preserve"> operating in Egypt. Moreover, Kakar </w:t>
      </w:r>
      <w:r>
        <w:rPr>
          <w:lang w:val="en-GB"/>
        </w:rPr>
        <w:t>and</w:t>
      </w:r>
      <w:r w:rsidR="00D13C36" w:rsidRPr="00E673DC">
        <w:rPr>
          <w:lang w:val="en-GB"/>
        </w:rPr>
        <w:t xml:space="preserve"> Khan </w:t>
      </w:r>
      <w:r w:rsidR="00D13C36" w:rsidRPr="00E673DC">
        <w:rPr>
          <w:lang w:val="en-GB"/>
        </w:rPr>
        <w:fldChar w:fldCharType="begin"/>
      </w:r>
      <w:r w:rsidR="00D13C36" w:rsidRPr="00E673DC">
        <w:rPr>
          <w:lang w:val="en-GB"/>
        </w:rPr>
        <w:instrText xml:space="preserve"> ADDIN ZOTERO_ITEM CSL_CITATION {"citationID":"mYcP66rA","properties":{"formattedCitation":"(2022)","plainCitation":"(2022)","noteIndex":0},"citationItems":[{"id":69,"uris":["http://zotero.org/users/local/TOdoVrPG/items/9CF3EM2N"],"itemData":{"id":69,"type":"article-journal","abstract":"Using Green human resource management practices (HRMPs) as a multi-component construct, this study investigated the influence of bundle of Green HRMPs on pro-environmental behavior (Pro-EB) and organizational citizenship behavior towards the environment (OCBE), and examined the mediating effect of OCBE as a psychological mechanism that defines Green HRMPs and Pro-EB relationships. Data were obtained using self-administered questionnaires from a sample of 247 full-time academics working in public sector higher education institutions of Pakistan. The hypotheses were verified using partial least squares structural equation modelling (PLS-SEM). The results revealed that Green HRMPs bundle had a significant and positive effect on both Pro-EB and OCBE, and OCBE, in return, had a positive relationship with Pro-EB. It was further revealed that OCBE positively mediated the association between Green HRMPs bundles and Pro-EB. The originality of the study lies in conceptualizing Green HRMPs bundles as a multi-component construct and examining the relationships between Green HRMPs bundle, OCBE, and Pro-EB in the context of Pakistan’s higher education institutions. Besides, exploring OCBE as a mediator between Green HRMPs bundles and Pro-EB is one of the novel contributions of this study. This study helps management and practitioners in developing Green strategies that can promote Green and Pro-EB among academics/faculty members.","container-title":"Green Finance","DOI":"10.3934/GF.2022013","ISSN":"2643-1092","issue":"3","journalAbbreviation":"GF","language":"en","page":"274-294","source":"DOI.org (Crossref)","title":"Exploring the impact of green HRM practices on pro-environmental behavior via interplay of organization citizenship behavior","URL":"http://www.aimspress.com/article/doi/10.3934/GF.2022013","volume":"4","author":[{"family":"Kakar","given":"Abdul Samad"},{"family":"Khan","given":"Mrestyal"}],"accessed":{"date-parts":[["2024",10,16]]},"issued":{"date-parts":[["2022"]]}},"suppress-author":true}],"schema":"https://github.com/citation-style-language/schema/raw/master/csl-citation.json"} </w:instrText>
      </w:r>
      <w:r w:rsidR="00D13C36" w:rsidRPr="00E673DC">
        <w:rPr>
          <w:lang w:val="en-GB"/>
        </w:rPr>
        <w:fldChar w:fldCharType="separate"/>
      </w:r>
      <w:r w:rsidR="00D13C36" w:rsidRPr="00E673DC">
        <w:rPr>
          <w:lang w:val="en-GB"/>
        </w:rPr>
        <w:t>(2022)</w:t>
      </w:r>
      <w:r w:rsidR="00D13C36" w:rsidRPr="00E673DC">
        <w:rPr>
          <w:lang w:val="en-GB"/>
        </w:rPr>
        <w:fldChar w:fldCharType="end"/>
      </w:r>
      <w:r w:rsidR="00D13C36" w:rsidRPr="00E673DC">
        <w:rPr>
          <w:lang w:val="en-GB"/>
        </w:rPr>
        <w:t xml:space="preserve"> investigated the </w:t>
      </w:r>
      <w:r w:rsidR="0074426A" w:rsidRPr="00E673DC">
        <w:rPr>
          <w:lang w:val="en-GB"/>
        </w:rPr>
        <w:t>impact</w:t>
      </w:r>
      <w:r w:rsidR="00D13C36" w:rsidRPr="00E673DC">
        <w:rPr>
          <w:lang w:val="en-GB"/>
        </w:rPr>
        <w:t xml:space="preserve"> of </w:t>
      </w:r>
      <w:r>
        <w:rPr>
          <w:lang w:val="en-GB"/>
        </w:rPr>
        <w:t xml:space="preserve">a </w:t>
      </w:r>
      <w:r w:rsidR="00D13C36" w:rsidRPr="00E673DC">
        <w:rPr>
          <w:lang w:val="en-GB"/>
        </w:rPr>
        <w:t xml:space="preserve">bundle of </w:t>
      </w:r>
      <w:r w:rsidR="0074426A" w:rsidRPr="00E673DC">
        <w:rPr>
          <w:lang w:val="en-GB"/>
        </w:rPr>
        <w:t>GHRM</w:t>
      </w:r>
      <w:r w:rsidR="00D13C36" w:rsidRPr="00E673DC">
        <w:rPr>
          <w:lang w:val="en-GB"/>
        </w:rPr>
        <w:t xml:space="preserve"> practices on </w:t>
      </w:r>
      <w:r w:rsidR="003148AD" w:rsidRPr="003148AD">
        <w:rPr>
          <w:lang w:val="en-GB"/>
        </w:rPr>
        <w:t>pro-environmental behaviour</w:t>
      </w:r>
      <w:r w:rsidR="00D13C36" w:rsidRPr="00E673DC">
        <w:rPr>
          <w:lang w:val="en-GB"/>
        </w:rPr>
        <w:t xml:space="preserve"> (Pro-EB) and OCBE on academics working in </w:t>
      </w:r>
      <w:r>
        <w:rPr>
          <w:lang w:val="en-GB"/>
        </w:rPr>
        <w:t xml:space="preserve">the </w:t>
      </w:r>
      <w:r w:rsidR="00D13C36" w:rsidRPr="00E673DC">
        <w:rPr>
          <w:lang w:val="en-GB"/>
        </w:rPr>
        <w:t xml:space="preserve">higher education institutions of Pakistan. </w:t>
      </w:r>
    </w:p>
    <w:p w14:paraId="529658F3" w14:textId="1D2AEFFD" w:rsidR="00D13C36" w:rsidRPr="00E673DC" w:rsidRDefault="00D13C36" w:rsidP="00D77795">
      <w:pPr>
        <w:rPr>
          <w:lang w:val="en-GB"/>
        </w:rPr>
      </w:pPr>
      <w:r w:rsidRPr="00E673DC">
        <w:rPr>
          <w:lang w:val="en-GB"/>
        </w:rPr>
        <w:t xml:space="preserve">Additionally, previous </w:t>
      </w:r>
      <w:r w:rsidR="0074426A" w:rsidRPr="00E673DC">
        <w:rPr>
          <w:lang w:val="en-GB"/>
        </w:rPr>
        <w:t>researche</w:t>
      </w:r>
      <w:r w:rsidR="00EB200E">
        <w:rPr>
          <w:lang w:val="en-GB"/>
        </w:rPr>
        <w:t>r</w:t>
      </w:r>
      <w:r w:rsidR="0074426A" w:rsidRPr="00E673DC">
        <w:rPr>
          <w:lang w:val="en-GB"/>
        </w:rPr>
        <w:t>s</w:t>
      </w:r>
      <w:r w:rsidRPr="00E673DC">
        <w:rPr>
          <w:lang w:val="en-GB"/>
        </w:rPr>
        <w:t xml:space="preserve"> </w:t>
      </w:r>
      <w:r w:rsidRPr="00E673DC">
        <w:rPr>
          <w:lang w:val="en-GB"/>
        </w:rPr>
        <w:fldChar w:fldCharType="begin"/>
      </w:r>
      <w:r w:rsidR="00E72F10" w:rsidRPr="00E673DC">
        <w:rPr>
          <w:lang w:val="en-GB"/>
        </w:rPr>
        <w:instrText xml:space="preserve"> ADDIN ZOTERO_ITEM CSL_CITATION {"citationID":"QdThoOFR","properties":{"formattedCitation":"(Kakar &amp; Khan, 2022; Mostafa &amp; Saleh, 2023; Pillai et al., 2024; Saputro &amp; Nawangsari, 2021; Silvester et al., 2019)","plainCitation":"(Kakar &amp; Khan, 2022; Mostafa &amp; Saleh, 2023; Pillai et al., 2024; Saputro &amp; Nawangsari, 2021; Silvester et al., 2019)","noteIndex":0},"citationItems":[{"id":69,"uris":["http://zotero.org/users/local/TOdoVrPG/items/9CF3EM2N"],"itemData":{"id":69,"type":"article-journal","abstract":"Using Green human resource management practices (HRMPs) as a multi-component construct, this study investigated the influence of bundle of Green HRMPs on pro-environmental behavior (Pro-EB) and organizational citizenship behavior towards the environment (OCBE), and examined the mediating effect of OCBE as a psychological mechanism that defines Green HRMPs and Pro-EB relationships. Data were obtained using self-administered questionnaires from a sample of 247 full-time academics working in public sector higher education institutions of Pakistan. The hypotheses were verified using partial least squares structural equation modelling (PLS-SEM). The results revealed that Green HRMPs bundle had a significant and positive effect on both Pro-EB and OCBE, and OCBE, in return, had a positive relationship with Pro-EB. It was further revealed that OCBE positively mediated the association between Green HRMPs bundles and Pro-EB. The originality of the study lies in conceptualizing Green HRMPs bundles as a multi-component construct and examining the relationships between Green HRMPs bundle, OCBE, and Pro-EB in the context of Pakistan’s higher education institutions. Besides, exploring OCBE as a mediator between Green HRMPs bundles and Pro-EB is one of the novel contributions of this study. This study helps management and practitioners in developing Green strategies that can promote Green and Pro-EB among academics/faculty members.","container-title":"Green Finance","DOI":"10.3934/GF.2022013","ISSN":"2643-1092","issue":"3","journalAbbreviation":"GF","language":"en","page":"274-294","source":"DOI.org (Crossref)","title":"Exploring the impact of green HRM practices on pro-environmental behavior via interplay of organization citizenship behavior","URL":"http://www.aimspress.com/article/doi/10.3934/GF.2022013","volume":"4","author":[{"family":"Kakar","given":"Abdul Samad"},{"family":"Khan","given":"Mrestyal"}],"accessed":{"date-parts":[["2024",10,16]]},"issued":{"date-parts":[["2022"]]}}},{"id":67,"uris":["http://zotero.org/users/local/TOdoVrPG/items/T5ESCEI5"],"itemData":{"id":67,"type":"article-journal","abstract":"In an era of green environmental awareness, Green Human Resources Management (GHRM) uses human resources management practices to support green environmental functions. It embraces green environmental concerns by applying human resources initiatives to generate high performance and better efficiency in operations. Although the literature on GHRM is growing, a few studies investigated to what extent green innovative culture (GIC) moderates the relationship between green human resources management practices and organizational citizenship behavior towards the environment (OCBE). To address this research gap, the authors tested a new conceptual framework investigating the direct and interactive effects of GHRM practices and GIC on OCBE. A quantitative study uses a survey from a 174 convenient sample of employees selected from a manufacturing firm operating in Egypt. The research results revealed that (1) GHRM practices are crucial for encouraging employees to engage in green activities, in addition (2) there is a significant positive effect of GHRM practices on OCBE, while on the other hand, (3) the interaction of GHRM and GIC can foster employees’ engagement in OCBE. The research significance lies in identifying and validating the GHRM practices applied in the manufacturing firm, as it advances the previous studies by developing a research model that offers critical insights on how manufacturing organizations working in industrial and agricultural packaging solutions could strategically link their GHRM practices and green innovative culture to support their OCBE in creating a competitive advantage in the market.","container-title":"International Business Research","DOI":"10.5539/ibr.v16n4p15","ISSN":"1913-9012, 1913-9004","issue":"4","journalAbbreviation":"IBR","language":"en","license":"https://creativecommons.org/licenses/by/4.0","page":"15","source":"DOI.org (Crossref)","title":"The Relationship between Green Human Resource Management Practices and Organizational Citizenship Behavior","URL":"https://ccsenet.org/journal/index.php/ibr/article/view/0/48544","volume":"16","author":[{"family":"Mostafa","given":"Bassant Adel"},{"family":"Saleh","given":"Reham Saber"}],"accessed":{"date-parts":[["2024",10,16]]},"issued":{"date-parts":[["2023"]]}}},{"id":61,"uris":["http://zotero.org/users/local/TOdoVrPG/items/E5XP3PYF"],"itemData":{"id":61,"type":"article-journal","abstract":"Organisational citizenship behaviour towards the environment (OCBE) aids in both environmental protection and in harnessing sustainable competitive organisational advantage. This study proposed a conceptual research model which investigated managerial perceptions of the relationship between OCBE and economic cost performance (ECP) in the UAE hospitality sector, with green innovative behaviour (GIB) mediating and green training moderating the relationship. Drawing on the theory of planned behaviour and abilities motivation opportunity theory, the study administered 479 structured questionnaires to hotel managers in the UAE using purposive and snowball sampling techniques. Partial least squares structural equation modelling was applied to test the hypotheses in SmartPLS3.3. Findings showed that OCBE had a direct and significant impact on ECP, with GIB emerging both as a direct and mediating predictor. Additionally, green training directly and significantly moderated the OCBE–cost performance relationship. These results evince the integration of sustainable philosophies with innovative mindsets to encourage green innovative endeavours among hotel managers.","container-title":"Business Ethics, the Environment &amp; Responsibility","DOI":"10.1111/beer.12700","ISSN":"2694-6416, 2694-6424","journalAbbreviation":"Business Ethics Env &amp; Resp","language":"en","license":"http://onlinelibrary.wiley.com/termsAndConditions#vor","page":"beer.12700","source":"DOI.org (Crossref)","title":"Assessing the influence of organisational citizenship behaviour towards environment on economic cost performance in &lt;span style=\"font-variant:small-caps;\"&gt;UAE&lt;/span&gt; hotels","title-short":"Assessing the influence of organisational citizenship behaviour towards environment on economic cost performance in &lt;span style=\"font-variant","URL":"https://onlinelibrary.wiley.com/doi/10.1111/beer.12700","author":[{"family":"Pillai","given":"Rekha"},{"family":"Islam","given":"Aminul"},{"family":"Kumar","given":"Parul"},{"family":"Almustafa","given":"Hamza"}],"accessed":{"date-parts":[["2024",10,14]]},"issued":{"date-parts":[["2024"]]}}},{"id":71,"uris":["http://zotero.org/users/local/TOdoVrPG/items/YKDVMLWA"],"itemData":{"id":71,"type":"article-journal","abstract":"This study aims to analyze the effect of Green Human Resource Management on Employee Performance through Organization Citizenship Behavior for Environment (OCBE). This type of research uses a survey method with a quantitative approach. This research was conducted at PT Andalan Bakti Niaga. Sampling using nonprobability techniques with a sample size of 80 people. Data analysis in this study used Structural Equation Modeling (SEM) with Partial Least Square (PLS) software version 3.2.7. The results obtained in this study: 1) Green Recruitment, Green Training, Green Compensation and Rewards have a positive and significant effect on OCBE; 2) Green Performance Appraisal has no significant effect on OCBE; 3) Green Training and Green Performance Appraisal have a positive and significant effect on Employee Performance; 4) Green Recruitment and Green Compensation and Rewards have a negative and significant effect on Employee Performance; 5) OCBE has a positive and significant effect on Employee Performance; 6) Green Recruitment, Green Training, Green Compensation and Rewards have a significant effect on Employee Performance through OCBE; 7) Green Performance Appraisal has no significant effect on Employee Performance through OCBE; 8) Green Human Resource Management has a significant effect on OCBE; 9) Green Human Resource Management has a significant effect on Employee Performance.","container-title":"European Journal of Business and Management Research","DOI":"10.24018/ejbmr.2021.6.1.716","ISSN":"2507-1076","issue":"1","journalAbbreviation":"EJBMR","language":"en","license":"http://creativecommons.org/licenses/by-nc/4.0","page":"174-181","source":"DOI.org (Crossref)","title":"The Effect of Green Human Resource Management on Organization Citizenship Behaviour for Environment (OCBE) and Its Implications on Employee Performance at Pt Andalan Bakti Niaga","URL":"https://www.ejbmr.org/index.php/ejbmr/article/view/716","volume":"6","author":[{"family":"Saputro","given":"Ari"},{"family":"Nawangsari","given":"Lenny Christina"}],"accessed":{"date-parts":[["2024",10,16]]},"issued":{"date-parts":[["2021"]]}}},{"id":70,"uris":["http://zotero.org/users/local/TOdoVrPG/items/PVGACJ4P"],"itemData":{"id":70,"type":"article-journal","abstract":"The successful implementation of green HRM practices in the organizations may pivot on organizational citizenship behavior toward environment (OCBE) among employees. Green HRM practices are foreseen to build organizations that accentuate environmental, dwell on human assets and recruit employees with profound knowledge regarding the environment, grant skills and competencies training in the technology and innovation sectors as well as offering rewards and compensations to produce a flourishing environmental management. The purpose of this research is to study the relationship between green HRM practices and OCBE among employees. Data of this study has been gathered through survey. Questionnaire was distributed among the employees in Company Y, Petaling Jaya, Selangor to collect data for analysis purpose. The findings of this study indicates that there is a significant relationship between green HRM practices and OCBE among the employees in Company Y. The findings also emphasize that green reward and compensation most strongly contribute to OCBE. The results of this study can assist Company Y to identify the importance of green reward and compensation in influencing OCBE. In conclusion, green HRM practices are applied in a moderate level to encourage OCBE among employees in Company Y.","container-title":"Journal of Management and Operation Research","issue":"18","journalAbbreviation":"Journal of Management and Operation Research","language":"en","page":"1 - 7","source":"Zotero","title":"The Relationship between Green HRM Practices and Organizational Citizenship Behavior toward Environment (OCBE)","URL":"https://d1wqtxts1xzle7.cloudfront.net/79000232/JoMOR-2019-VOL-1-NO-18-1-libre.pdf?1642470003=&amp;response-content-disposition=inline%3B+filename%3DThe_Relationship_between_Green_HRM_Pract.pdf&amp;Expires=1737015455&amp;Signature=ZvxEn5pOyxJmbaXFR5MLivJSH2IcmHL3pNUIEYeIx48SDKkMNDMtcYewkuul0bX5YZF-d9QGzvPMeDYtoObuONDOvd2Apv0-onUWZbusCVbO1AvGqiZn59FEb8Xghufr41GnfgZvNsCRO8WC~dq5dXxflxyHT3ixLHl0oMXNMg~5EaD5HrLw9pjrYw3gpaLo2ehzEgmGj~~hq3fttIayiv6uSITDOzTPhq6GjyU1OXmS3NDFr4m4-EJn8feE34O25U0Ss0mbcswgqGRDIJz39oF8ocieijIzHrvaS8c7tpUYi9fuPW26dah7BOmE2Op53eWmGyCDaPa2M51OPvqdww__&amp;Key-Pair-Id=APKAJLOHF5GGSLRBV4ZA","volume":"1","author":[{"family":"Silvester","given":"Yahshini"},{"family":"Sarip","given":"Azlineer"},{"family":"Hassan","given":"Mohamed Ayyub"}],"issued":{"date-parts":[["2019"]]}}}],"schema":"https://github.com/citation-style-language/schema/raw/master/csl-citation.json"} </w:instrText>
      </w:r>
      <w:r w:rsidRPr="00E673DC">
        <w:rPr>
          <w:lang w:val="en-GB"/>
        </w:rPr>
        <w:fldChar w:fldCharType="separate"/>
      </w:r>
      <w:r w:rsidRPr="00E673DC">
        <w:rPr>
          <w:lang w:val="en-GB"/>
        </w:rPr>
        <w:t>(Kakar &amp; Khan, 2022; Mostafa &amp; Saleh, 2023; Pillai et al., 2024; Saputro &amp; Nawangsari, 2021; Silvester et al., 2019)</w:t>
      </w:r>
      <w:r w:rsidRPr="00E673DC">
        <w:rPr>
          <w:lang w:val="en-GB"/>
        </w:rPr>
        <w:fldChar w:fldCharType="end"/>
      </w:r>
      <w:r w:rsidRPr="00E673DC">
        <w:rPr>
          <w:lang w:val="en-GB"/>
        </w:rPr>
        <w:t xml:space="preserve"> have confined their focus to private-sector </w:t>
      </w:r>
      <w:r w:rsidR="00DC79D6">
        <w:rPr>
          <w:lang w:val="en-GB"/>
        </w:rPr>
        <w:t>organis</w:t>
      </w:r>
      <w:r w:rsidRPr="00E673DC">
        <w:rPr>
          <w:lang w:val="en-GB"/>
        </w:rPr>
        <w:t xml:space="preserve">ations, with a </w:t>
      </w:r>
      <w:r w:rsidR="0074426A" w:rsidRPr="00E673DC">
        <w:rPr>
          <w:lang w:val="en-GB"/>
        </w:rPr>
        <w:t>scarcity</w:t>
      </w:r>
      <w:r w:rsidRPr="00E673DC">
        <w:rPr>
          <w:lang w:val="en-GB"/>
        </w:rPr>
        <w:t xml:space="preserve"> of research evident in </w:t>
      </w:r>
      <w:r w:rsidR="0074426A" w:rsidRPr="00E673DC">
        <w:rPr>
          <w:lang w:val="en-GB"/>
        </w:rPr>
        <w:t>investigating</w:t>
      </w:r>
      <w:r w:rsidRPr="00E673DC">
        <w:rPr>
          <w:lang w:val="en-GB"/>
        </w:rPr>
        <w:t xml:space="preserve"> the </w:t>
      </w:r>
      <w:r w:rsidR="0074426A" w:rsidRPr="00E673DC">
        <w:rPr>
          <w:lang w:val="en-GB"/>
        </w:rPr>
        <w:t>influence</w:t>
      </w:r>
      <w:r w:rsidRPr="00E673DC">
        <w:rPr>
          <w:lang w:val="en-GB"/>
        </w:rPr>
        <w:t xml:space="preserve"> of GHRM practices within the </w:t>
      </w:r>
      <w:r w:rsidR="002B4251" w:rsidRPr="00E673DC">
        <w:rPr>
          <w:lang w:val="en-GB"/>
        </w:rPr>
        <w:t>government</w:t>
      </w:r>
      <w:r w:rsidRPr="00E673DC">
        <w:rPr>
          <w:lang w:val="en-GB"/>
        </w:rPr>
        <w:t xml:space="preserve"> sector, particularly in a Middle Eastern context like Dubai. This study will fill the aforementioned gap by being the first</w:t>
      </w:r>
      <w:r w:rsidR="00EB200E">
        <w:rPr>
          <w:lang w:val="en-GB"/>
        </w:rPr>
        <w:t>,</w:t>
      </w:r>
      <w:r w:rsidRPr="00E673DC">
        <w:rPr>
          <w:lang w:val="en-GB"/>
        </w:rPr>
        <w:t xml:space="preserve"> to the best of </w:t>
      </w:r>
      <w:r w:rsidR="00EB200E">
        <w:rPr>
          <w:lang w:val="en-GB"/>
        </w:rPr>
        <w:t xml:space="preserve">the </w:t>
      </w:r>
      <w:r w:rsidR="002B4251" w:rsidRPr="00E673DC">
        <w:rPr>
          <w:lang w:val="en-GB"/>
        </w:rPr>
        <w:t>author</w:t>
      </w:r>
      <w:r w:rsidR="00EB200E">
        <w:rPr>
          <w:lang w:val="en-GB"/>
        </w:rPr>
        <w:t>'s</w:t>
      </w:r>
      <w:r w:rsidRPr="00E673DC">
        <w:rPr>
          <w:lang w:val="en-GB"/>
        </w:rPr>
        <w:t xml:space="preserve"> knowledge</w:t>
      </w:r>
      <w:r w:rsidR="00EB200E">
        <w:rPr>
          <w:lang w:val="en-GB"/>
        </w:rPr>
        <w:t>,</w:t>
      </w:r>
      <w:r w:rsidRPr="00E673DC">
        <w:rPr>
          <w:lang w:val="en-GB"/>
        </w:rPr>
        <w:t xml:space="preserve"> to </w:t>
      </w:r>
      <w:r w:rsidR="00EB200E">
        <w:rPr>
          <w:lang w:val="en-GB"/>
        </w:rPr>
        <w:t xml:space="preserve">place </w:t>
      </w:r>
      <w:r w:rsidR="002B4251" w:rsidRPr="00E673DC">
        <w:rPr>
          <w:lang w:val="en-GB"/>
        </w:rPr>
        <w:t>emphasis</w:t>
      </w:r>
      <w:r w:rsidRPr="00E673DC">
        <w:rPr>
          <w:lang w:val="en-GB"/>
        </w:rPr>
        <w:t xml:space="preserve"> on Dubai </w:t>
      </w:r>
      <w:r w:rsidR="00720C30">
        <w:rPr>
          <w:lang w:val="en-GB"/>
        </w:rPr>
        <w:t>G</w:t>
      </w:r>
      <w:r w:rsidRPr="00E673DC">
        <w:rPr>
          <w:lang w:val="en-GB"/>
        </w:rPr>
        <w:t xml:space="preserve">overnment </w:t>
      </w:r>
      <w:r w:rsidR="00DC79D6">
        <w:rPr>
          <w:lang w:val="en-GB"/>
        </w:rPr>
        <w:t>organis</w:t>
      </w:r>
      <w:r w:rsidRPr="00E673DC">
        <w:rPr>
          <w:lang w:val="en-GB"/>
        </w:rPr>
        <w:t xml:space="preserve">ations. The </w:t>
      </w:r>
      <w:r w:rsidR="0074426A" w:rsidRPr="00E673DC">
        <w:rPr>
          <w:lang w:val="en-GB"/>
        </w:rPr>
        <w:t>research</w:t>
      </w:r>
      <w:r w:rsidRPr="00E673DC">
        <w:rPr>
          <w:lang w:val="en-GB"/>
        </w:rPr>
        <w:t xml:space="preserve"> </w:t>
      </w:r>
      <w:r w:rsidR="002B4251" w:rsidRPr="00E673DC">
        <w:rPr>
          <w:lang w:val="en-GB"/>
        </w:rPr>
        <w:t>intention is</w:t>
      </w:r>
      <w:r w:rsidRPr="00E673DC">
        <w:rPr>
          <w:lang w:val="en-GB"/>
        </w:rPr>
        <w:t xml:space="preserve"> to provide insights into how eco-friendly HR practices can foster a </w:t>
      </w:r>
      <w:r w:rsidR="00DC79D6">
        <w:rPr>
          <w:lang w:val="en-GB"/>
        </w:rPr>
        <w:t>behaviour</w:t>
      </w:r>
      <w:r w:rsidRPr="00E673DC">
        <w:rPr>
          <w:lang w:val="en-GB"/>
        </w:rPr>
        <w:t xml:space="preserve"> of environmental responsibility and innovation </w:t>
      </w:r>
      <w:r w:rsidR="0074426A" w:rsidRPr="00E673DC">
        <w:rPr>
          <w:lang w:val="en-GB"/>
        </w:rPr>
        <w:t>amongst</w:t>
      </w:r>
      <w:r w:rsidRPr="00E673DC">
        <w:rPr>
          <w:lang w:val="en-GB"/>
        </w:rPr>
        <w:t xml:space="preserve"> employees. Furthermore, the research seeks to contribute to the existing literature on GHRM by exploring its </w:t>
      </w:r>
      <w:r w:rsidR="002B4251" w:rsidRPr="00E673DC">
        <w:rPr>
          <w:lang w:val="en-GB"/>
        </w:rPr>
        <w:t>consequences</w:t>
      </w:r>
      <w:r w:rsidRPr="00E673DC">
        <w:rPr>
          <w:lang w:val="en-GB"/>
        </w:rPr>
        <w:t xml:space="preserve"> for </w:t>
      </w:r>
      <w:r w:rsidR="00DC79D6">
        <w:rPr>
          <w:lang w:val="en-GB"/>
        </w:rPr>
        <w:t>organis</w:t>
      </w:r>
      <w:r w:rsidRPr="00E673DC">
        <w:rPr>
          <w:lang w:val="en-GB"/>
        </w:rPr>
        <w:t xml:space="preserve">ational </w:t>
      </w:r>
      <w:r w:rsidR="00DC79D6">
        <w:rPr>
          <w:lang w:val="en-GB"/>
        </w:rPr>
        <w:t>behaviour</w:t>
      </w:r>
      <w:r w:rsidRPr="00E673DC">
        <w:rPr>
          <w:lang w:val="en-GB"/>
        </w:rPr>
        <w:t xml:space="preserve"> and sustainability in a unique geographical and </w:t>
      </w:r>
      <w:r w:rsidR="00DC79D6">
        <w:rPr>
          <w:lang w:val="en-GB"/>
        </w:rPr>
        <w:t>organis</w:t>
      </w:r>
      <w:r w:rsidRPr="00E673DC">
        <w:rPr>
          <w:lang w:val="en-GB"/>
        </w:rPr>
        <w:t xml:space="preserve">ational context. </w:t>
      </w:r>
    </w:p>
    <w:bookmarkEnd w:id="5"/>
    <w:p w14:paraId="6ABADA02" w14:textId="77777777" w:rsidR="00D13C36" w:rsidRPr="00E673DC" w:rsidRDefault="00D13C36">
      <w:pPr>
        <w:spacing w:before="0" w:beforeAutospacing="0" w:after="160" w:afterAutospacing="0" w:line="259" w:lineRule="auto"/>
        <w:ind w:firstLine="0"/>
        <w:contextualSpacing w:val="0"/>
        <w:rPr>
          <w:rFonts w:eastAsiaTheme="majorEastAsia"/>
          <w:b/>
          <w:szCs w:val="32"/>
          <w:lang w:val="en-GB"/>
        </w:rPr>
      </w:pPr>
      <w:r w:rsidRPr="00E673DC">
        <w:rPr>
          <w:lang w:val="en-GB"/>
        </w:rPr>
        <w:lastRenderedPageBreak/>
        <w:br w:type="page"/>
      </w:r>
    </w:p>
    <w:p w14:paraId="56BFA655" w14:textId="3E459A78" w:rsidR="00580EFD" w:rsidRPr="00E673DC" w:rsidRDefault="00580EFD" w:rsidP="00007936">
      <w:pPr>
        <w:pStyle w:val="Heading1"/>
        <w:ind w:left="0" w:firstLine="0"/>
        <w:rPr>
          <w:lang w:val="en-GB"/>
        </w:rPr>
      </w:pPr>
      <w:bookmarkStart w:id="6" w:name="_Toc197952387"/>
      <w:r w:rsidRPr="00E673DC">
        <w:rPr>
          <w:lang w:val="en-GB"/>
        </w:rPr>
        <w:lastRenderedPageBreak/>
        <w:t>Literature Review</w:t>
      </w:r>
      <w:r w:rsidR="005B292B" w:rsidRPr="00E673DC">
        <w:rPr>
          <w:lang w:val="en-GB"/>
        </w:rPr>
        <w:t xml:space="preserve"> and Hypotheses </w:t>
      </w:r>
      <w:r w:rsidR="009A22F4" w:rsidRPr="00E673DC">
        <w:rPr>
          <w:lang w:val="en-GB"/>
        </w:rPr>
        <w:t>F</w:t>
      </w:r>
      <w:r w:rsidR="005B292B" w:rsidRPr="00E673DC">
        <w:rPr>
          <w:lang w:val="en-GB"/>
        </w:rPr>
        <w:t>ormulation</w:t>
      </w:r>
      <w:bookmarkEnd w:id="6"/>
    </w:p>
    <w:p w14:paraId="5185F1C1" w14:textId="57F5B032" w:rsidR="00D13C36" w:rsidRPr="00E673DC" w:rsidRDefault="00D13C36" w:rsidP="00D77795">
      <w:pPr>
        <w:rPr>
          <w:lang w:val="en-GB"/>
        </w:rPr>
      </w:pPr>
      <w:r w:rsidRPr="00E673DC">
        <w:rPr>
          <w:lang w:val="en-GB"/>
        </w:rPr>
        <w:t>A business model founded on the Triple-Bottom-Line approach represents a contemporary entrepreneurial concept, comprising three essential pillars: economic, social, and environmental. This framework underscores the company's commitment not only to maximi</w:t>
      </w:r>
      <w:r w:rsidR="00EB200E">
        <w:rPr>
          <w:lang w:val="en-GB"/>
        </w:rPr>
        <w:t>s</w:t>
      </w:r>
      <w:r w:rsidRPr="00E673DC">
        <w:rPr>
          <w:lang w:val="en-GB"/>
        </w:rPr>
        <w:t>ing profit and driving economic growth</w:t>
      </w:r>
      <w:r w:rsidR="00EB200E">
        <w:rPr>
          <w:lang w:val="en-GB"/>
        </w:rPr>
        <w:t>,</w:t>
      </w:r>
      <w:r w:rsidRPr="00E673DC">
        <w:rPr>
          <w:lang w:val="en-GB"/>
        </w:rPr>
        <w:t xml:space="preserve"> but also to addressing social and environmental concerns </w:t>
      </w:r>
      <w:r w:rsidRPr="00E673DC">
        <w:rPr>
          <w:lang w:val="en-GB"/>
        </w:rPr>
        <w:fldChar w:fldCharType="begin"/>
      </w:r>
      <w:r w:rsidRPr="00E673DC">
        <w:rPr>
          <w:lang w:val="en-GB"/>
        </w:rPr>
        <w:instrText xml:space="preserve"> ADDIN ZOTERO_ITEM CSL_CITATION {"citationID":"XuHYPfjW","properties":{"formattedCitation":"(\\uc0\\u352{}vermov\\uc0\\u225{}, 2018)","plainCitation":"(Švermová, 2018)","noteIndex":0},"citationItems":[{"id":150,"uris":["http://zotero.org/users/local/TOdoVrPG/items/6PSJ7RXC"],"itemData":{"id":150,"type":"article-journal","abstract":"Business based on the Triple-Bottom-Line idea represents a modern entrepreneurial concept, consisting of three pillars - economic, social and environmental. It emphasizes the company's focus not only on maximizing profit and its economic growth, but also on social and environmental issues. This paper deals just with the issue of the environmental pillar within corporate social responsibility (CSR). In the first part, it provides a literature overview on this topic and a hypothesis is stated: “National enterprises are less involved in CSR activities than multinational enterprises, and (based on a self-assessment) the level of their activities in this area is lower\". The second part of the paper provides selected primary data and the results of a survey in which companies from two different rankings were assessed: i) the CZECH Stability Award (i.e. the 100 most financially stable Czech companies in 2016; this stability ranking is based on the Bisnode rating model), and ii) the CZECH TOP 100 (i.e. the 100 most important Czech companies in 2016 based on revenue, which are typically the largest employers in the country). For data collection and their processing, a CAWI method was used. The result is an analysis of environmental pillar activities. It confirms the existence of some barriers and deficient implementation of CSR activities, especially for SMEs. However, on the other hand, it shows the future perspective of CSR activities and their potential to be comprehensively implemented by these companies’ management.","container-title":"The Technical University of Liberec-Conference Paper-December 2018","journalAbbreviation":"The Technical University of Liberec-Conference Paper-December 2018","language":"en","source":"Zotero","title":"The Environmental Pillar of CSR and Company Management","author":[{"family":"Švermová","given":"Pavla"}],"issued":{"date-parts":[["2018"]]}}}],"schema":"https://github.com/citation-style-language/schema/raw/master/csl-citation.json"} </w:instrText>
      </w:r>
      <w:r w:rsidRPr="00E673DC">
        <w:rPr>
          <w:lang w:val="en-GB"/>
        </w:rPr>
        <w:fldChar w:fldCharType="separate"/>
      </w:r>
      <w:r w:rsidRPr="00E673DC">
        <w:rPr>
          <w:lang w:val="en-GB"/>
        </w:rPr>
        <w:t>(Švermová, 2018)</w:t>
      </w:r>
      <w:r w:rsidRPr="00E673DC">
        <w:rPr>
          <w:lang w:val="en-GB"/>
        </w:rPr>
        <w:fldChar w:fldCharType="end"/>
      </w:r>
      <w:r w:rsidRPr="00E673DC">
        <w:rPr>
          <w:lang w:val="en-GB"/>
        </w:rPr>
        <w:t xml:space="preserve">. Today, Green Human Resource Management (GHRM) has emerged as an essential business </w:t>
      </w:r>
      <w:r w:rsidR="0074426A" w:rsidRPr="00E673DC">
        <w:rPr>
          <w:lang w:val="en-GB"/>
        </w:rPr>
        <w:t>approach</w:t>
      </w:r>
      <w:r w:rsidRPr="00E673DC">
        <w:rPr>
          <w:lang w:val="en-GB"/>
        </w:rPr>
        <w:t xml:space="preserve"> for major </w:t>
      </w:r>
      <w:r w:rsidR="00DC79D6">
        <w:rPr>
          <w:lang w:val="en-GB"/>
        </w:rPr>
        <w:t>organis</w:t>
      </w:r>
      <w:r w:rsidRPr="00E673DC">
        <w:rPr>
          <w:lang w:val="en-GB"/>
        </w:rPr>
        <w:t xml:space="preserve">ations, with </w:t>
      </w:r>
      <w:r w:rsidR="002B4251" w:rsidRPr="00E673DC">
        <w:rPr>
          <w:lang w:val="en-GB"/>
        </w:rPr>
        <w:t>HR</w:t>
      </w:r>
      <w:r w:rsidRPr="00E673DC">
        <w:rPr>
          <w:lang w:val="en-GB"/>
        </w:rPr>
        <w:t xml:space="preserve"> </w:t>
      </w:r>
      <w:r w:rsidR="00EB200E">
        <w:rPr>
          <w:lang w:val="en-GB"/>
        </w:rPr>
        <w:t>d</w:t>
      </w:r>
      <w:r w:rsidRPr="00E673DC">
        <w:rPr>
          <w:lang w:val="en-GB"/>
        </w:rPr>
        <w:t xml:space="preserve">epartments playing a proactive role in </w:t>
      </w:r>
      <w:r w:rsidR="002B4251" w:rsidRPr="00E673DC">
        <w:rPr>
          <w:lang w:val="en-GB"/>
        </w:rPr>
        <w:t>encouraging</w:t>
      </w:r>
      <w:r w:rsidRPr="00E673DC">
        <w:rPr>
          <w:lang w:val="en-GB"/>
        </w:rPr>
        <w:t xml:space="preserve"> </w:t>
      </w:r>
      <w:r w:rsidR="002B4251" w:rsidRPr="00E673DC">
        <w:rPr>
          <w:lang w:val="en-GB"/>
        </w:rPr>
        <w:t>eco</w:t>
      </w:r>
      <w:r w:rsidR="00A61F6A">
        <w:rPr>
          <w:lang w:val="en-GB"/>
        </w:rPr>
        <w:t>-</w:t>
      </w:r>
      <w:r w:rsidRPr="00E673DC">
        <w:rPr>
          <w:lang w:val="en-GB"/>
        </w:rPr>
        <w:t xml:space="preserve">friendly practices within the workplace </w:t>
      </w:r>
      <w:r w:rsidRPr="00E673DC">
        <w:rPr>
          <w:lang w:val="en-GB"/>
        </w:rPr>
        <w:fldChar w:fldCharType="begin"/>
      </w:r>
      <w:r w:rsidRPr="00E673DC">
        <w:rPr>
          <w:lang w:val="en-GB"/>
        </w:rPr>
        <w:instrText xml:space="preserve"> ADDIN ZOTERO_ITEM CSL_CITATION {"citationID":"aQ7cWiH8","properties":{"formattedCitation":"(Ahmad, 2015)","plainCitation":"(Ahmad, 2015)","noteIndex":0},"citationItems":[{"id":189,"uris":["http://zotero.org/users/local/TOdoVrPG/items/MDVPFP4E"],"itemData":{"id":189,"type":"article-journal","abstract":"Recently, there has been observed an increasing awareness within business communities on the significance of going green and adopting various environment management techniques. As the corporate world is going global, the business is experiencing a shift from a conventional financial structure to a modern capacity-based economy which is ready to explore green economic facets of business. Today, Green Human Resource Management (GHRM) has become a key business strategy for the significant organizations where Human Resource Departments play an active part in going green at the office. The paper largely focuses upon the various Green Human Resource Practices pursued by the organizations all over the world and, explains the simplified meaning of GHRM. The study also adds to the extant literature by discussing future direction of some GHRM functions. Finally, the paper suggests some potentially prolific HR initiatives for Green organizations.","container-title":"Cogent business &amp; management","DOI":"http://dx.doi.org/10.1080/23311975.2015.1030817","issue":"1","language":"en","source":"Zotero","title":"Green Human Resource Management: Policies and practices","URL":"https://www.tandfonline.com/doi/epdf/10.1080/23311975.2015.1030817?needAccess=true","volume":"2","author":[{"family":"Ahmad","given":"Shoeb"}],"issued":{"date-parts":[["2015"]]}}}],"schema":"https://github.com/citation-style-language/schema/raw/master/csl-citation.json"} </w:instrText>
      </w:r>
      <w:r w:rsidRPr="00E673DC">
        <w:rPr>
          <w:lang w:val="en-GB"/>
        </w:rPr>
        <w:fldChar w:fldCharType="separate"/>
      </w:r>
      <w:r w:rsidRPr="00E673DC">
        <w:rPr>
          <w:lang w:val="en-GB"/>
        </w:rPr>
        <w:t>(Ahmad, 2015)</w:t>
      </w:r>
      <w:r w:rsidRPr="00E673DC">
        <w:rPr>
          <w:lang w:val="en-GB"/>
        </w:rPr>
        <w:fldChar w:fldCharType="end"/>
      </w:r>
      <w:r w:rsidRPr="00E673DC">
        <w:rPr>
          <w:lang w:val="en-GB"/>
        </w:rPr>
        <w:t xml:space="preserve">. </w:t>
      </w:r>
      <w:r w:rsidR="007F5DFA">
        <w:rPr>
          <w:lang w:val="en-GB"/>
        </w:rPr>
        <w:t>G</w:t>
      </w:r>
      <w:r w:rsidRPr="00E673DC">
        <w:rPr>
          <w:lang w:val="en-GB"/>
        </w:rPr>
        <w:t xml:space="preserve">HRM is crucial for the effective execution of green strategies and environmental management practices, significantly contributing to an organisation's environmental sustainability </w:t>
      </w:r>
      <w:r w:rsidRPr="00E673DC">
        <w:rPr>
          <w:lang w:val="en-GB"/>
        </w:rPr>
        <w:fldChar w:fldCharType="begin"/>
      </w:r>
      <w:r w:rsidR="00E72F10" w:rsidRPr="00E673DC">
        <w:rPr>
          <w:lang w:val="en-GB"/>
        </w:rPr>
        <w:instrText xml:space="preserve"> ADDIN ZOTERO_ITEM CSL_CITATION {"citationID":"HbPL5CWx","properties":{"formattedCitation":"(Shafaei et al., 2020)","plainCitation":"(Shafaei et al., 2020)","noteIndex":0},"citationItems":[{"id":165,"uris":["http://zotero.org/users/local/TOdoVrPG/items/RS5NWS2K"],"itemData":{"id":165,"type":"article-journal","abstract":"Purpose The study aimed to provide insights on antecedent and outcome of green HRM at the organisational level and the outcome of green HRM at the individual level. It also sought to examine the mechanism through which green HRM would lead to employees’ positive outcome. Design/methodology/approach A quantitative study design using a two-study approach was employed to collect and analyse the data. For study 1, 206 hotels from Malaysia were included in analysis at the organisational level, while in study 2 at the individual level, 508 employees from different sectors provided insights through an online questionnaire. For both studies, partial least squares (PLS–SEM) was used to assess the research model. Findings All the proposed hypotheses were supported. Specifically, at the organisational level, organisational environmental culture is positively related to green HRM, and green HRM management positively associates with organisation's environmental performance. At the individual level, green HRM positively influences employees' job satisfaction, and meaningfulness through work is a strong mediator in this relationship. Originality/value This study is significant as it contributes to both theory and practice by providing fresh insights on green HRM and its antecedent and outcomes at two levels (organisational and individual) and across two economies (emerging and developed). It also sheds some light on the outcome of green HRM at the employee level which is an area that is still under-researched. By focusing on meaningfulness through work as an important factor, the study contributes to better understanding of green HRM and employees’ positive outcomes.","container-title":"International Journal of Manpower","DOI":"10.1108/IJM-08-2019-0406","ISSN":"0143-7720","issue":"7","note":"publisher: Emerald Publishing Limited","page":"1041-1060","title":"Green human resource management","URL":"https://doi.org/10.1108/IJM-08-2019-0406","volume":"41","author":[{"family":"Shafaei","given":"Azadeh"},{"family":"Nejati","given":"Mehran"},{"family":"Mohd Yusoff","given":"Yusmani"}],"accessed":{"date-parts":[["2025",1,14]]},"issued":{"date-parts":[["2020"]]}}}],"schema":"https://github.com/citation-style-language/schema/raw/master/csl-citation.json"} </w:instrText>
      </w:r>
      <w:r w:rsidRPr="00E673DC">
        <w:rPr>
          <w:lang w:val="en-GB"/>
        </w:rPr>
        <w:fldChar w:fldCharType="separate"/>
      </w:r>
      <w:r w:rsidRPr="00E673DC">
        <w:rPr>
          <w:lang w:val="en-GB"/>
        </w:rPr>
        <w:t>(Shafaei et al., 2020)</w:t>
      </w:r>
      <w:r w:rsidRPr="00E673DC">
        <w:rPr>
          <w:lang w:val="en-GB"/>
        </w:rPr>
        <w:fldChar w:fldCharType="end"/>
      </w:r>
      <w:r w:rsidRPr="00E673DC">
        <w:rPr>
          <w:lang w:val="en-GB"/>
        </w:rPr>
        <w:t xml:space="preserve">. </w:t>
      </w:r>
    </w:p>
    <w:p w14:paraId="1A98628A" w14:textId="77B54228" w:rsidR="00D13C36" w:rsidRPr="00E673DC" w:rsidRDefault="00D13C36" w:rsidP="00D77795">
      <w:pPr>
        <w:rPr>
          <w:lang w:val="en-GB"/>
        </w:rPr>
      </w:pPr>
      <w:r w:rsidRPr="00E673DC">
        <w:rPr>
          <w:lang w:val="en-GB"/>
        </w:rPr>
        <w:t xml:space="preserve">The main reason OCBE </w:t>
      </w:r>
      <w:r w:rsidR="00692DCE">
        <w:rPr>
          <w:lang w:val="en-GB"/>
        </w:rPr>
        <w:t xml:space="preserve">is </w:t>
      </w:r>
      <w:r w:rsidRPr="00E673DC">
        <w:rPr>
          <w:lang w:val="en-GB"/>
        </w:rPr>
        <w:t xml:space="preserve">relevant is that environmental concerns are complicated and cannot be </w:t>
      </w:r>
      <w:r w:rsidR="00F8610F" w:rsidRPr="00E673DC">
        <w:rPr>
          <w:lang w:val="en-GB"/>
        </w:rPr>
        <w:t>managed</w:t>
      </w:r>
      <w:r w:rsidRPr="00E673DC">
        <w:rPr>
          <w:lang w:val="en-GB"/>
        </w:rPr>
        <w:t xml:space="preserve"> just by formal methods. Employees must voluntarily participate in exchanging tacit knowledge and assisting in the implementation of pollution avoidance strategies </w:t>
      </w:r>
      <w:r w:rsidR="00F8610F" w:rsidRPr="00E673DC">
        <w:rPr>
          <w:lang w:val="en-GB"/>
        </w:rPr>
        <w:t>to</w:t>
      </w:r>
      <w:r w:rsidRPr="00E673DC">
        <w:rPr>
          <w:lang w:val="en-GB"/>
        </w:rPr>
        <w:t xml:space="preserve"> address these concerns. Environmental issues' legitimacy and societal significance also motivate workers to take unrewarded personal actions that align with their ideals outside of the workplace </w:t>
      </w:r>
      <w:r w:rsidRPr="00E673DC">
        <w:rPr>
          <w:lang w:val="en-GB"/>
        </w:rPr>
        <w:fldChar w:fldCharType="begin"/>
      </w:r>
      <w:r w:rsidR="00E72F10" w:rsidRPr="00E673DC">
        <w:rPr>
          <w:lang w:val="en-GB"/>
        </w:rPr>
        <w:instrText xml:space="preserve"> ADDIN ZOTERO_ITEM CSL_CITATION {"citationID":"G90ozcyt","properties":{"formattedCitation":"(Boiral &amp; Paill\\uc0\\u233{}, 2012)","plainCitation":"(Boiral &amp; Paillé, 2012)","noteIndex":0},"citationItems":[{"id":89,"uris":["http://zotero.org/users/local/TOdoVrPG/items/EFTYDN7E"],"itemData":{"id":89,"type":"article-journal","container-title":"Journal of Business Ethics","DOI":"10.1007/s10551-011-1138-9","ISSN":"0167-4544, 1573-0697","issue":"4","journalAbbreviation":"J Bus Ethics","language":"en","license":"http://www.springer.com/tdm","page":"431-445","source":"DOI.org (Crossref)","title":"Organizational Citizenship Behaviour for the Environment: Measurement and Validation","title-short":"Organizational Citizenship Behaviour for the Environment","URL":"http://link.springer.com/10.1007/s10551-011-1138-9","volume":"109","author":[{"family":"Boiral","given":"Olivier"},{"family":"Paillé","given":"Pascal"}],"accessed":{"date-parts":[["2024",10,24]]},"issued":{"date-parts":[["2012"]]}}}],"schema":"https://github.com/citation-style-language/schema/raw/master/csl-citation.json"} </w:instrText>
      </w:r>
      <w:r w:rsidRPr="00E673DC">
        <w:rPr>
          <w:lang w:val="en-GB"/>
        </w:rPr>
        <w:fldChar w:fldCharType="separate"/>
      </w:r>
      <w:r w:rsidRPr="00E673DC">
        <w:rPr>
          <w:lang w:val="en-GB"/>
        </w:rPr>
        <w:t>(Boiral &amp; Paillé, 2012)</w:t>
      </w:r>
      <w:r w:rsidRPr="00E673DC">
        <w:rPr>
          <w:lang w:val="en-GB"/>
        </w:rPr>
        <w:fldChar w:fldCharType="end"/>
      </w:r>
      <w:r w:rsidRPr="00E673DC">
        <w:rPr>
          <w:lang w:val="en-GB"/>
        </w:rPr>
        <w:t>.</w:t>
      </w:r>
    </w:p>
    <w:p w14:paraId="63091169" w14:textId="29A70C31" w:rsidR="00D13C36" w:rsidRPr="00E673DC" w:rsidRDefault="002B4251" w:rsidP="00D77795">
      <w:pPr>
        <w:rPr>
          <w:lang w:val="en-GB"/>
        </w:rPr>
      </w:pPr>
      <w:r w:rsidRPr="00E673DC">
        <w:rPr>
          <w:lang w:val="en-GB"/>
        </w:rPr>
        <w:t>Environmental sustainability requires changes in business operations and service delivery.</w:t>
      </w:r>
      <w:r w:rsidR="00D13C36" w:rsidRPr="00E673DC">
        <w:rPr>
          <w:lang w:val="en-GB"/>
        </w:rPr>
        <w:t xml:space="preserve"> </w:t>
      </w:r>
      <w:r w:rsidRPr="00E673DC">
        <w:rPr>
          <w:lang w:val="en-GB"/>
        </w:rPr>
        <w:t xml:space="preserve">The success of any change process, especially in improving environmental performance, significantly relies on the workforce who act as the primary agents of transformation </w:t>
      </w:r>
      <w:r w:rsidR="00D13C36" w:rsidRPr="00E673DC">
        <w:rPr>
          <w:lang w:val="en-GB"/>
        </w:rPr>
        <w:fldChar w:fldCharType="begin"/>
      </w:r>
      <w:r w:rsidR="00D13C36" w:rsidRPr="00E673DC">
        <w:rPr>
          <w:lang w:val="en-GB"/>
        </w:rPr>
        <w:instrText xml:space="preserve"> ADDIN ZOTERO_ITEM CSL_CITATION {"citationID":"DACwCgh3","properties":{"formattedCitation":"(Nejati et al., 2017)","plainCitation":"(Nejati et al., 2017)","noteIndex":0},"citationItems":[{"id":162,"uris":["http://zotero.org/users/local/TOdoVrPG/items/DRWLNKFS"],"itemData":{"id":162,"type":"article-journal","abstract":"This study investigates the linkage between green human resource management and green supply chain management, in light of the moderating effect of employees' resistance to change. Based on a sample of 161 ﬁrms in manufacturing industries in Iran, data were analyzed using partial least squares structural equation modeling (PLS-SEM). Research results suggest: (1) the signiﬁcant and positive impact of GHRM on GSCM, conﬁrming the general call for integration between HRM and green management; (2) “Green Development and Training”, “Green Employee Empowerment”, and “Green Pay and Reward” have the most positive inﬂuence on GSCM, and these practices of GHRM should receive attention from managers; (3) “Resistance to Change” was found to have a moderating effect on the link between GHRM (particularly green recruitment and selection) and GSCM, because it tends to hamper the ﬁrst step towards building a sustainable corporate culture, which is the recruitment and selection of new employees. This work can be considered as the ﬁrst empirical effort towards a better understanding of the GHRM-GSCM link in Iran, adding value to the already existing contributions. The managerial and academic implications of these ﬁndings are discussed.","container-title":"Journal of cleaner production, 168, 163-172.","language":"en","source":"Zotero","title":"Envisioning the invisible: Understanding the synergy between green human resource management and green supply chain management in manufacturing firms in Iran in light of the moderating effect of employees' resistance to change","author":[{"family":"Nejati","given":"Mehran"},{"family":"Rabiei","given":"Soodabeh"},{"family":"Jabbour","given":"Charbel Jose Chiappetta"}],"issued":{"date-parts":[["2017"]]}}}],"schema":"https://github.com/citation-style-language/schema/raw/master/csl-citation.json"} </w:instrText>
      </w:r>
      <w:r w:rsidR="00D13C36" w:rsidRPr="00E673DC">
        <w:rPr>
          <w:lang w:val="en-GB"/>
        </w:rPr>
        <w:fldChar w:fldCharType="separate"/>
      </w:r>
      <w:r w:rsidR="00D13C36" w:rsidRPr="00E673DC">
        <w:rPr>
          <w:lang w:val="en-GB"/>
        </w:rPr>
        <w:t>(Nejati et al., 2017)</w:t>
      </w:r>
      <w:r w:rsidR="00D13C36" w:rsidRPr="00E673DC">
        <w:rPr>
          <w:lang w:val="en-GB"/>
        </w:rPr>
        <w:fldChar w:fldCharType="end"/>
      </w:r>
      <w:r w:rsidR="00D13C36" w:rsidRPr="00E673DC">
        <w:rPr>
          <w:lang w:val="en-GB"/>
        </w:rPr>
        <w:t xml:space="preserve">. </w:t>
      </w:r>
    </w:p>
    <w:p w14:paraId="7B082B09" w14:textId="77777777" w:rsidR="00A256A8" w:rsidRPr="00E673DC" w:rsidRDefault="00A256A8">
      <w:pPr>
        <w:pStyle w:val="ListParagraph"/>
        <w:keepNext/>
        <w:keepLines/>
        <w:numPr>
          <w:ilvl w:val="0"/>
          <w:numId w:val="1"/>
        </w:numPr>
        <w:suppressAutoHyphens/>
        <w:overflowPunct w:val="0"/>
        <w:autoSpaceDE w:val="0"/>
        <w:autoSpaceDN w:val="0"/>
        <w:adjustRightInd w:val="0"/>
        <w:spacing w:before="360" w:beforeAutospacing="0" w:afterAutospacing="0" w:line="300" w:lineRule="atLeast"/>
        <w:contextualSpacing w:val="0"/>
        <w:textAlignment w:val="baseline"/>
        <w:outlineLvl w:val="0"/>
        <w:rPr>
          <w:b/>
          <w:bCs w:val="0"/>
          <w:vanish/>
          <w:szCs w:val="20"/>
          <w:lang w:val="en-GB" w:bidi="ar-SA"/>
        </w:rPr>
      </w:pPr>
    </w:p>
    <w:p w14:paraId="442D48E1" w14:textId="77777777" w:rsidR="00A256A8" w:rsidRPr="00E673DC" w:rsidRDefault="00A256A8">
      <w:pPr>
        <w:pStyle w:val="ListParagraph"/>
        <w:keepNext/>
        <w:keepLines/>
        <w:numPr>
          <w:ilvl w:val="0"/>
          <w:numId w:val="1"/>
        </w:numPr>
        <w:suppressAutoHyphens/>
        <w:overflowPunct w:val="0"/>
        <w:autoSpaceDE w:val="0"/>
        <w:autoSpaceDN w:val="0"/>
        <w:adjustRightInd w:val="0"/>
        <w:spacing w:before="360" w:beforeAutospacing="0" w:afterAutospacing="0" w:line="300" w:lineRule="atLeast"/>
        <w:contextualSpacing w:val="0"/>
        <w:textAlignment w:val="baseline"/>
        <w:outlineLvl w:val="0"/>
        <w:rPr>
          <w:b/>
          <w:bCs w:val="0"/>
          <w:vanish/>
          <w:szCs w:val="20"/>
          <w:lang w:val="en-GB" w:bidi="ar-SA"/>
        </w:rPr>
      </w:pPr>
    </w:p>
    <w:p w14:paraId="6DEDDBB5" w14:textId="1DA498AC" w:rsidR="00D13C36" w:rsidRPr="00E673DC" w:rsidRDefault="00D13C36" w:rsidP="003A7565">
      <w:pPr>
        <w:pStyle w:val="heading2"/>
        <w:rPr>
          <w:lang w:val="en-GB"/>
        </w:rPr>
      </w:pPr>
      <w:bookmarkStart w:id="7" w:name="_Toc197952388"/>
      <w:r w:rsidRPr="00E673DC">
        <w:rPr>
          <w:lang w:val="en-GB"/>
        </w:rPr>
        <w:t xml:space="preserve">Theoretical </w:t>
      </w:r>
      <w:r w:rsidR="00EB200E">
        <w:rPr>
          <w:lang w:val="en-GB"/>
        </w:rPr>
        <w:t>F</w:t>
      </w:r>
      <w:r w:rsidRPr="00E673DC">
        <w:rPr>
          <w:lang w:val="en-GB"/>
        </w:rPr>
        <w:t>ramework</w:t>
      </w:r>
      <w:bookmarkEnd w:id="7"/>
    </w:p>
    <w:p w14:paraId="5912A48A" w14:textId="1F4BF6D7" w:rsidR="00D13C36" w:rsidRPr="00D77795" w:rsidRDefault="00D13C36" w:rsidP="00D77795">
      <w:pPr>
        <w:ind w:firstLine="720"/>
        <w:rPr>
          <w:lang w:val="en-GB"/>
        </w:rPr>
      </w:pPr>
      <w:r w:rsidRPr="00D77795">
        <w:rPr>
          <w:lang w:val="en-GB"/>
        </w:rPr>
        <w:t xml:space="preserve">The concept of OCBE has gained prominence in </w:t>
      </w:r>
      <w:r w:rsidR="006F0D0B" w:rsidRPr="00D77795">
        <w:rPr>
          <w:lang w:val="en-GB"/>
        </w:rPr>
        <w:t>OB</w:t>
      </w:r>
      <w:r w:rsidRPr="00D77795">
        <w:rPr>
          <w:lang w:val="en-GB"/>
        </w:rPr>
        <w:t xml:space="preserve"> theories due to its role in fostering </w:t>
      </w:r>
      <w:r w:rsidR="004A12CD" w:rsidRPr="00D77795">
        <w:rPr>
          <w:lang w:val="en-GB"/>
        </w:rPr>
        <w:t>ecological</w:t>
      </w:r>
      <w:r w:rsidRPr="00D77795">
        <w:rPr>
          <w:lang w:val="en-GB"/>
        </w:rPr>
        <w:t xml:space="preserve"> </w:t>
      </w:r>
      <w:r w:rsidR="004A12CD" w:rsidRPr="00D77795">
        <w:rPr>
          <w:lang w:val="en-GB"/>
        </w:rPr>
        <w:t>understanding</w:t>
      </w:r>
      <w:r w:rsidRPr="00D77795">
        <w:rPr>
          <w:lang w:val="en-GB"/>
        </w:rPr>
        <w:t xml:space="preserve">, cultivating an </w:t>
      </w:r>
      <w:r w:rsidR="004A12CD" w:rsidRPr="00D77795">
        <w:rPr>
          <w:lang w:val="en-GB"/>
        </w:rPr>
        <w:t>ecological</w:t>
      </w:r>
      <w:r w:rsidRPr="00D77795">
        <w:rPr>
          <w:lang w:val="en-GB"/>
        </w:rPr>
        <w:t xml:space="preserve"> culture, and enhancing </w:t>
      </w:r>
      <w:r w:rsidR="004A12CD" w:rsidRPr="00D77795">
        <w:rPr>
          <w:lang w:val="en-GB"/>
        </w:rPr>
        <w:t>green</w:t>
      </w:r>
      <w:r w:rsidRPr="00D77795">
        <w:rPr>
          <w:lang w:val="en-GB"/>
        </w:rPr>
        <w:t xml:space="preserve"> performance across various </w:t>
      </w:r>
      <w:r w:rsidR="00DC79D6" w:rsidRPr="00D77795">
        <w:rPr>
          <w:lang w:val="en-GB"/>
        </w:rPr>
        <w:t>organis</w:t>
      </w:r>
      <w:r w:rsidRPr="00D77795">
        <w:rPr>
          <w:lang w:val="en-GB"/>
        </w:rPr>
        <w:t xml:space="preserve">ations </w:t>
      </w:r>
      <w:r w:rsidRPr="00D77795">
        <w:rPr>
          <w:lang w:val="en-GB"/>
        </w:rPr>
        <w:fldChar w:fldCharType="begin"/>
      </w:r>
      <w:r w:rsidRPr="00D77795">
        <w:rPr>
          <w:lang w:val="en-GB"/>
        </w:rPr>
        <w:instrText xml:space="preserve"> ADDIN ZOTERO_ITEM CSL_CITATION {"citationID":"OuWJ26vS","properties":{"formattedCitation":"(Boiral, 2009)","plainCitation":"(Boiral, 2009)","noteIndex":0},"citationItems":[{"id":174,"uris":["http://zotero.org/users/local/TOdoVrPG/items/ME8IZUFM"],"itemData":{"id":174,"type":"article-journal","container-title":"Journal of Business Ethics","DOI":"https://doi.org/10.1007/s10551-008-9881-2","ISSN":"0167-4544, 1573-0697","issue":"4","journalAbbreviation":"J Bus Ethics","language":"en","license":"http://www.springer.com/tdm","page":"221–236","title":"Greening the Corporation Through Organizational Citizenship Behaviors","title-short":"Greening the Corporation Through Organizational Citizenship Behaviors","URL":"https://link.springer.com/article/10.1007/s10551-008-9881-2","volume":"87","author":[{"family":"Boiral","given":"Olivier"}],"accessed":{"date-parts":[["2025",1,14]]},"issued":{"date-parts":[["2009"]]}}}],"schema":"https://github.com/citation-style-language/schema/raw/master/csl-citation.json"} </w:instrText>
      </w:r>
      <w:r w:rsidRPr="00D77795">
        <w:rPr>
          <w:lang w:val="en-GB"/>
        </w:rPr>
        <w:fldChar w:fldCharType="separate"/>
      </w:r>
      <w:r w:rsidRPr="00D77795">
        <w:rPr>
          <w:lang w:val="en-GB"/>
        </w:rPr>
        <w:t>(Boiral, 2009)</w:t>
      </w:r>
      <w:r w:rsidRPr="00D77795">
        <w:rPr>
          <w:lang w:val="en-GB"/>
        </w:rPr>
        <w:fldChar w:fldCharType="end"/>
      </w:r>
      <w:r w:rsidRPr="00D77795">
        <w:rPr>
          <w:lang w:val="en-GB"/>
        </w:rPr>
        <w:t xml:space="preserve">. Several theories elucidate the importance of researching managers' OCBE. Firstly, </w:t>
      </w:r>
      <w:r w:rsidR="007F5DFA" w:rsidRPr="00D77795">
        <w:rPr>
          <w:lang w:val="en-GB"/>
        </w:rPr>
        <w:t>Social Learning Theory</w:t>
      </w:r>
      <w:r w:rsidRPr="00D77795">
        <w:rPr>
          <w:lang w:val="en-GB"/>
        </w:rPr>
        <w:t xml:space="preserve"> (SLT) </w:t>
      </w:r>
      <w:r w:rsidRPr="00D77795">
        <w:rPr>
          <w:lang w:val="en-GB"/>
        </w:rPr>
        <w:fldChar w:fldCharType="begin"/>
      </w:r>
      <w:r w:rsidRPr="00D77795">
        <w:rPr>
          <w:lang w:val="en-GB"/>
        </w:rPr>
        <w:instrText xml:space="preserve"> ADDIN ZOTERO_ITEM CSL_CITATION {"citationID":"uCGrHR7y","properties":{"formattedCitation":"(Bandura, 1986)","plainCitation":"(Bandura, 1986)","noteIndex":0},"citationItems":[{"id":217,"uris":["http://zotero.org/users/local/TOdoVrPG/items/VYJPZQHW"],"itemData":{"id":217,"type":"book","collection-title":"NJ, 1986(23-28), 2","language":"en","publisher":"Englewood Cliffs","source":"Zotero","title":"SOCIAL FOUNDATIONS Of THOUGHT AND ACTION","URL":"http://ereserve.library.utah.edu/Annual/PSY/3960/Gelfand/social1.pdf","volume":"2","author":[{"family":"Bandura","given":"Albert"}],"accessed":{"date-parts":[["2025",1,15]]},"issued":{"date-parts":[["1986"]]}}}],"schema":"https://github.com/citation-style-language/schema/raw/master/csl-citation.json"} </w:instrText>
      </w:r>
      <w:r w:rsidRPr="00D77795">
        <w:rPr>
          <w:lang w:val="en-GB"/>
        </w:rPr>
        <w:fldChar w:fldCharType="separate"/>
      </w:r>
      <w:r w:rsidRPr="00D77795">
        <w:rPr>
          <w:lang w:val="en-GB"/>
        </w:rPr>
        <w:t>(Bandura, 1986)</w:t>
      </w:r>
      <w:r w:rsidRPr="00D77795">
        <w:rPr>
          <w:lang w:val="en-GB"/>
        </w:rPr>
        <w:fldChar w:fldCharType="end"/>
      </w:r>
      <w:r w:rsidRPr="00D77795">
        <w:rPr>
          <w:lang w:val="en-GB"/>
        </w:rPr>
        <w:t xml:space="preserve"> is based on the observation and imitation of others' </w:t>
      </w:r>
      <w:r w:rsidR="00DC79D6" w:rsidRPr="00D77795">
        <w:rPr>
          <w:lang w:val="en-GB"/>
        </w:rPr>
        <w:t>behaviour</w:t>
      </w:r>
      <w:r w:rsidRPr="00D77795">
        <w:rPr>
          <w:lang w:val="en-GB"/>
        </w:rPr>
        <w:t xml:space="preserve">s. </w:t>
      </w:r>
      <w:r w:rsidR="009A22F4" w:rsidRPr="00D77795">
        <w:rPr>
          <w:lang w:val="en-GB"/>
        </w:rPr>
        <w:t xml:space="preserve">According to Bandura </w:t>
      </w:r>
      <w:r w:rsidR="009A22F4" w:rsidRPr="00D77795">
        <w:rPr>
          <w:lang w:val="en-GB"/>
        </w:rPr>
        <w:fldChar w:fldCharType="begin"/>
      </w:r>
      <w:r w:rsidR="00055399" w:rsidRPr="00D77795">
        <w:rPr>
          <w:lang w:val="en-GB"/>
        </w:rPr>
        <w:instrText xml:space="preserve"> ADDIN ZOTERO_ITEM CSL_CITATION {"citationID":"chpHfZrp","properties":{"formattedCitation":"(1986)","plainCitation":"(1986)","noteIndex":0},"citationItems":[{"id":217,"uris":["http://zotero.org/users/local/TOdoVrPG/items/VYJPZQHW"],"itemData":{"id":217,"type":"book","collection-title":"NJ, 1986(23-28), 2","language":"en","publisher":"Englewood Cliffs","source":"Zotero","title":"SOCIAL FOUNDATIONS Of THOUGHT AND ACTION","URL":"http://ereserve.library.utah.edu/Annual/PSY/3960/Gelfand/social1.pdf","volume":"2","author":[{"family":"Bandura","given":"Albert"}],"accessed":{"date-parts":[["2025",1,15]]},"issued":{"date-parts":[["1986"]]}},"suppress-author":true}],"schema":"https://github.com/citation-style-language/schema/raw/master/csl-citation.json"} </w:instrText>
      </w:r>
      <w:r w:rsidR="009A22F4" w:rsidRPr="00D77795">
        <w:rPr>
          <w:lang w:val="en-GB"/>
        </w:rPr>
        <w:fldChar w:fldCharType="separate"/>
      </w:r>
      <w:r w:rsidR="00055399" w:rsidRPr="00E673DC">
        <w:rPr>
          <w:lang w:val="en-GB"/>
        </w:rPr>
        <w:t>(1986)</w:t>
      </w:r>
      <w:r w:rsidR="009A22F4" w:rsidRPr="00D77795">
        <w:rPr>
          <w:lang w:val="en-GB"/>
        </w:rPr>
        <w:fldChar w:fldCharType="end"/>
      </w:r>
      <w:r w:rsidR="009A22F4" w:rsidRPr="00D77795">
        <w:rPr>
          <w:lang w:val="en-GB"/>
        </w:rPr>
        <w:t xml:space="preserve">, learning occurs in a social context where individuals are influenced by role models, rewards, and reinforcements. In the </w:t>
      </w:r>
      <w:r w:rsidR="004A12CD" w:rsidRPr="00D77795">
        <w:rPr>
          <w:lang w:val="en-GB"/>
        </w:rPr>
        <w:t>framework</w:t>
      </w:r>
      <w:r w:rsidR="009A22F4" w:rsidRPr="00D77795">
        <w:rPr>
          <w:lang w:val="en-GB"/>
        </w:rPr>
        <w:t xml:space="preserve"> of GHRM, employees are likely to adopt sustainable </w:t>
      </w:r>
      <w:r w:rsidR="00DC79D6" w:rsidRPr="00D77795">
        <w:rPr>
          <w:lang w:val="en-GB"/>
        </w:rPr>
        <w:t>behaviour</w:t>
      </w:r>
      <w:r w:rsidR="009A22F4" w:rsidRPr="00D77795">
        <w:rPr>
          <w:lang w:val="en-GB"/>
        </w:rPr>
        <w:t xml:space="preserve">s when they see colleagues and supervisors actively engaging in green initiatives and being rewarded for them. </w:t>
      </w:r>
      <w:r w:rsidRPr="00D77795">
        <w:rPr>
          <w:lang w:val="en-GB"/>
        </w:rPr>
        <w:t xml:space="preserve">Secondly, </w:t>
      </w:r>
      <w:r w:rsidR="007F5DFA" w:rsidRPr="00D77795">
        <w:rPr>
          <w:lang w:val="en-GB"/>
        </w:rPr>
        <w:t>Social Exchange Theory</w:t>
      </w:r>
      <w:r w:rsidRPr="00D77795">
        <w:rPr>
          <w:lang w:val="en-GB"/>
        </w:rPr>
        <w:t xml:space="preserve"> (SET) </w:t>
      </w:r>
      <w:r w:rsidRPr="00D77795">
        <w:rPr>
          <w:lang w:val="en-GB"/>
        </w:rPr>
        <w:fldChar w:fldCharType="begin"/>
      </w:r>
      <w:r w:rsidRPr="00D77795">
        <w:rPr>
          <w:lang w:val="en-GB"/>
        </w:rPr>
        <w:instrText xml:space="preserve"> ADDIN ZOTERO_ITEM CSL_CITATION {"citationID":"axOLPBJG","properties":{"formattedCitation":"(Blau, 2017)","plainCitation":"(Blau, 2017)","noteIndex":0},"citationItems":[{"id":225,"uris":["http://zotero.org/users/local/TOdoVrPG/items/6GUEWX6A"],"itemData":{"id":225,"type":"book","edition":"2nd Edition","event-place":"New York","ISBN":"978-0-203-79264-3","language":"en","number-of-pages":"372","publisher":"Routledge","publisher-place":"New York","source":"Zotero","title":"Exchange and Power in Social Life","URL":"https://doi.org/10.4324/9780203792643","author":[{"family":"Blau","given":"Peter M"}],"accessed":{"date-parts":[["2025",1,15]]},"issued":{"date-parts":[["2017"]]}}}],"schema":"https://github.com/citation-style-language/schema/raw/master/csl-citation.json"} </w:instrText>
      </w:r>
      <w:r w:rsidRPr="00D77795">
        <w:rPr>
          <w:lang w:val="en-GB"/>
        </w:rPr>
        <w:fldChar w:fldCharType="separate"/>
      </w:r>
      <w:r w:rsidRPr="00D77795">
        <w:rPr>
          <w:lang w:val="en-GB"/>
        </w:rPr>
        <w:t>(Blau, 2017)</w:t>
      </w:r>
      <w:r w:rsidRPr="00D77795">
        <w:rPr>
          <w:lang w:val="en-GB"/>
        </w:rPr>
        <w:fldChar w:fldCharType="end"/>
      </w:r>
      <w:r w:rsidRPr="00D77795">
        <w:rPr>
          <w:lang w:val="en-GB"/>
        </w:rPr>
        <w:t xml:space="preserve"> is predicated on the reciprocal </w:t>
      </w:r>
      <w:r w:rsidR="00DC79D6" w:rsidRPr="00D77795">
        <w:rPr>
          <w:lang w:val="en-GB"/>
        </w:rPr>
        <w:t>behaviour</w:t>
      </w:r>
      <w:r w:rsidRPr="00D77795">
        <w:rPr>
          <w:lang w:val="en-GB"/>
        </w:rPr>
        <w:t xml:space="preserve">s between employees and leaders. Within the SET framework, leaders address employees' concerns as vital </w:t>
      </w:r>
      <w:r w:rsidR="00DC79D6" w:rsidRPr="00D77795">
        <w:rPr>
          <w:lang w:val="en-GB"/>
        </w:rPr>
        <w:t>organis</w:t>
      </w:r>
      <w:r w:rsidRPr="00D77795">
        <w:rPr>
          <w:lang w:val="en-GB"/>
        </w:rPr>
        <w:t xml:space="preserve">ational stakeholders. Leaders' actions significantly impact subordinates' perceptions and comprehension of workplace challenges, shaping their </w:t>
      </w:r>
      <w:r w:rsidR="004A12CD" w:rsidRPr="00D77795">
        <w:rPr>
          <w:lang w:val="en-GB"/>
        </w:rPr>
        <w:t>ecological</w:t>
      </w:r>
      <w:r w:rsidRPr="00D77795">
        <w:rPr>
          <w:lang w:val="en-GB"/>
        </w:rPr>
        <w:t xml:space="preserve"> awareness and subsequent voluntary initiatives </w:t>
      </w:r>
      <w:r w:rsidRPr="00D77795">
        <w:rPr>
          <w:lang w:val="en-GB"/>
        </w:rPr>
        <w:fldChar w:fldCharType="begin"/>
      </w:r>
      <w:r w:rsidR="00E72F10" w:rsidRPr="00D77795">
        <w:rPr>
          <w:lang w:val="en-GB"/>
        </w:rPr>
        <w:instrText xml:space="preserve"> ADDIN ZOTERO_ITEM CSL_CITATION {"citationID":"FaL7NY5u","properties":{"formattedCitation":"(Jankelov\\uc0\\u225{} et al., 2024)","plainCitation":"(Jankelová et al., 2024)","noteIndex":0},"citationItems":[{"id":222,"uris":["http://zotero.org/users/local/TOdoVrPG/items/MWLK4HLG"],"itemData":{"id":222,"type":"article-journal","abstract":"Organizational citizenship behavior towards the environment (OCBTE) represents an influential tool for environmental policy implementation in local governments. The present study examines this behavior among the immediate managers of local governments as they are considered essential conduits for transmitting environmental values to employees and citizens living in the administered municipal areas. The study's primary purpose is to explore the relationships of instrumental support for the environment (ISE) of mayors and immediate managers’ OCBTE in municipal governments through mediation-moderation analyses and bring original insights to local government governance. A cross-sectional study was carried out on a sample of 420 managers. The hypotheses were verified through structural equation modelling using SmartPLS 3.3 software. Findings indicate a direct relationship between the mayors’ ISE and the immediate management employees’ OCBTE in the municipalities. The mediating effects of the stakeholder demand (SD) and person-organization fit (POF) hypotheses were confirmed. A significant positive moderating effect of trust in the mayor was also approved. There was no moderating effect confirmed for commitment towards the mayor. These results extend our understanding of the mechanisms behind the pro-environmental micro-level additional role of employee behavior in local government settings and provide new insights into the factors that positively correlate with these behaviors.","container-title":"Review of Managerial Science","DOI":"10.1007/s11846-024-00781-x","ISSN":"1863-6691","journalAbbreviation":"Review of Managerial Science","page":"1 - 32","title":"Enhancing organizational citizenship behavior towards the environment","URL":"https://doi.org/10.1007/s11846-024-00781-x","author":[{"family":"Jankelová","given":"Nadežda"},{"family":"Némethová","given":"Ildikó"},{"family":"Dabić","given":"Marina"},{"family":"Kallmuenzer","given":"Andreas"}],"issued":{"date-parts":[["2024"]]}}}],"schema":"https://github.com/citation-style-language/schema/raw/master/csl-citation.json"} </w:instrText>
      </w:r>
      <w:r w:rsidRPr="00D77795">
        <w:rPr>
          <w:lang w:val="en-GB"/>
        </w:rPr>
        <w:fldChar w:fldCharType="separate"/>
      </w:r>
      <w:r w:rsidRPr="00D77795">
        <w:rPr>
          <w:lang w:val="en-GB"/>
        </w:rPr>
        <w:t>(Jankelová et al., 2024)</w:t>
      </w:r>
      <w:r w:rsidRPr="00D77795">
        <w:rPr>
          <w:lang w:val="en-GB"/>
        </w:rPr>
        <w:fldChar w:fldCharType="end"/>
      </w:r>
      <w:r w:rsidRPr="00D77795">
        <w:rPr>
          <w:lang w:val="en-GB"/>
        </w:rPr>
        <w:t xml:space="preserve">. From a sociological perspective, </w:t>
      </w:r>
      <w:r w:rsidR="007F5DFA" w:rsidRPr="00D77795">
        <w:rPr>
          <w:lang w:val="en-GB"/>
        </w:rPr>
        <w:t>Social Exchange Theory</w:t>
      </w:r>
      <w:r w:rsidRPr="00D77795">
        <w:rPr>
          <w:lang w:val="en-GB"/>
        </w:rPr>
        <w:t xml:space="preserve"> provides a </w:t>
      </w:r>
      <w:r w:rsidR="004A12CD" w:rsidRPr="00D77795">
        <w:rPr>
          <w:lang w:val="en-GB"/>
        </w:rPr>
        <w:t>beneficial</w:t>
      </w:r>
      <w:r w:rsidRPr="00D77795">
        <w:rPr>
          <w:lang w:val="en-GB"/>
        </w:rPr>
        <w:t xml:space="preserve"> framework for </w:t>
      </w:r>
      <w:r w:rsidR="004A12CD" w:rsidRPr="00D77795">
        <w:rPr>
          <w:lang w:val="en-GB"/>
        </w:rPr>
        <w:t>examining</w:t>
      </w:r>
      <w:r w:rsidRPr="00D77795">
        <w:rPr>
          <w:lang w:val="en-GB"/>
        </w:rPr>
        <w:t xml:space="preserve"> </w:t>
      </w:r>
      <w:r w:rsidR="004A12CD" w:rsidRPr="00D77795">
        <w:rPr>
          <w:lang w:val="en-GB"/>
        </w:rPr>
        <w:t>connections</w:t>
      </w:r>
      <w:r w:rsidRPr="00D77795">
        <w:rPr>
          <w:lang w:val="en-GB"/>
        </w:rPr>
        <w:t xml:space="preserve"> and human </w:t>
      </w:r>
      <w:r w:rsidR="004A12CD" w:rsidRPr="00D77795">
        <w:rPr>
          <w:lang w:val="en-GB"/>
        </w:rPr>
        <w:t>conduct</w:t>
      </w:r>
      <w:r w:rsidRPr="00D77795">
        <w:rPr>
          <w:lang w:val="en-GB"/>
        </w:rPr>
        <w:t xml:space="preserve">. The intricate dynamics underpinning this theory can enable sociologists to formulate their own theories and concepts regarding human interactions </w:t>
      </w:r>
      <w:r w:rsidRPr="00D77795">
        <w:rPr>
          <w:lang w:val="en-GB"/>
        </w:rPr>
        <w:fldChar w:fldCharType="begin"/>
      </w:r>
      <w:r w:rsidRPr="00D77795">
        <w:rPr>
          <w:lang w:val="en-GB"/>
        </w:rPr>
        <w:instrText xml:space="preserve"> ADDIN ZOTERO_ITEM CSL_CITATION {"citationID":"uDm6IJwV","properties":{"formattedCitation":"(Tulane University, 2018)","plainCitation":"(Tulane University, 2018)","noteIndex":0},"citationItems":[{"id":238,"uris":["http://zotero.org/users/local/TOdoVrPG/items/LNKY3UID"],"itemData":{"id":238,"type":"post-weblog","container-title":"Tulane School of Social Work","title":"Social exchange theory","URL":"https://socialwork.tulane.edu/blog/social-exchange-theory/","author":[{"literal":"Tulane University"}],"accessed":{"date-parts":[["2025",1,17]]},"issued":{"date-parts":[["2018"]]}}}],"schema":"https://github.com/citation-style-language/schema/raw/master/csl-citation.json"} </w:instrText>
      </w:r>
      <w:r w:rsidRPr="00D77795">
        <w:rPr>
          <w:lang w:val="en-GB"/>
        </w:rPr>
        <w:fldChar w:fldCharType="separate"/>
      </w:r>
      <w:r w:rsidRPr="00D77795">
        <w:rPr>
          <w:lang w:val="en-GB"/>
        </w:rPr>
        <w:t>(Tulane University, 2018)</w:t>
      </w:r>
      <w:r w:rsidRPr="00D77795">
        <w:rPr>
          <w:lang w:val="en-GB"/>
        </w:rPr>
        <w:fldChar w:fldCharType="end"/>
      </w:r>
      <w:r w:rsidRPr="00D77795">
        <w:rPr>
          <w:lang w:val="en-GB"/>
        </w:rPr>
        <w:t>.</w:t>
      </w:r>
    </w:p>
    <w:p w14:paraId="3B3F30A7" w14:textId="00D0FD4D" w:rsidR="00D13C36" w:rsidRPr="00E673DC" w:rsidRDefault="00536A9D" w:rsidP="00D77795">
      <w:pPr>
        <w:ind w:firstLine="720"/>
        <w:rPr>
          <w:rFonts w:eastAsia="Times New Roman"/>
          <w:lang w:val="en-GB"/>
        </w:rPr>
      </w:pPr>
      <w:r w:rsidRPr="00E673DC">
        <w:rPr>
          <w:lang w:val="en-GB"/>
        </w:rPr>
        <w:t>In the same context, the Ability–Motivation–Opportunity (AMO) theory has been utili</w:t>
      </w:r>
      <w:r w:rsidR="007F5DFA">
        <w:rPr>
          <w:lang w:val="en-GB"/>
        </w:rPr>
        <w:t>s</w:t>
      </w:r>
      <w:r w:rsidRPr="00E673DC">
        <w:rPr>
          <w:lang w:val="en-GB"/>
        </w:rPr>
        <w:t xml:space="preserve">ed in </w:t>
      </w:r>
      <w:r w:rsidR="007F5DFA">
        <w:rPr>
          <w:lang w:val="en-GB"/>
        </w:rPr>
        <w:t xml:space="preserve">the </w:t>
      </w:r>
      <w:r w:rsidRPr="00E673DC">
        <w:rPr>
          <w:lang w:val="en-GB"/>
        </w:rPr>
        <w:t xml:space="preserve">HRM literature to understand how HR practices affect employee </w:t>
      </w:r>
      <w:r w:rsidR="00DC79D6">
        <w:rPr>
          <w:lang w:val="en-GB"/>
        </w:rPr>
        <w:t>behaviour</w:t>
      </w:r>
      <w:r w:rsidRPr="00E673DC">
        <w:rPr>
          <w:lang w:val="en-GB"/>
        </w:rPr>
        <w:t xml:space="preserve"> and </w:t>
      </w:r>
      <w:r w:rsidR="00DC79D6">
        <w:rPr>
          <w:lang w:val="en-GB"/>
        </w:rPr>
        <w:t>organis</w:t>
      </w:r>
      <w:r w:rsidRPr="00E673DC">
        <w:rPr>
          <w:lang w:val="en-GB"/>
        </w:rPr>
        <w:t>ational outcomes by highlighting the role of GHRM practices in people-management practice.</w:t>
      </w:r>
      <w:r w:rsidR="00D13C36" w:rsidRPr="00D77795">
        <w:rPr>
          <w:lang w:val="en-GB"/>
        </w:rPr>
        <w:t xml:space="preserve"> According to the AMO framework, GHRM practices enhance employees' </w:t>
      </w:r>
      <w:r w:rsidR="004A12CD" w:rsidRPr="00D77795">
        <w:rPr>
          <w:lang w:val="en-GB"/>
        </w:rPr>
        <w:t>ecological</w:t>
      </w:r>
      <w:r w:rsidR="00D13C36" w:rsidRPr="00D77795">
        <w:rPr>
          <w:lang w:val="en-GB"/>
        </w:rPr>
        <w:t xml:space="preserve"> </w:t>
      </w:r>
      <w:r w:rsidR="004A12CD" w:rsidRPr="00D77795">
        <w:rPr>
          <w:lang w:val="en-GB"/>
        </w:rPr>
        <w:t>capabilities</w:t>
      </w:r>
      <w:r w:rsidR="00D13C36" w:rsidRPr="00D77795">
        <w:rPr>
          <w:lang w:val="en-GB"/>
        </w:rPr>
        <w:t xml:space="preserve">, </w:t>
      </w:r>
      <w:r w:rsidR="004A12CD" w:rsidRPr="00D77795">
        <w:rPr>
          <w:lang w:val="en-GB"/>
        </w:rPr>
        <w:t>encourage</w:t>
      </w:r>
      <w:r w:rsidR="00D13C36" w:rsidRPr="00D77795">
        <w:rPr>
          <w:lang w:val="en-GB"/>
        </w:rPr>
        <w:t xml:space="preserve"> them to </w:t>
      </w:r>
      <w:r w:rsidR="004A12CD" w:rsidRPr="00D77795">
        <w:rPr>
          <w:lang w:val="en-GB"/>
        </w:rPr>
        <w:t>participate</w:t>
      </w:r>
      <w:r w:rsidR="00D13C36" w:rsidRPr="00D77795">
        <w:rPr>
          <w:lang w:val="en-GB"/>
        </w:rPr>
        <w:t xml:space="preserve"> in pro-</w:t>
      </w:r>
      <w:r w:rsidRPr="00D77795">
        <w:rPr>
          <w:lang w:val="en-GB"/>
        </w:rPr>
        <w:t>ecological</w:t>
      </w:r>
      <w:r w:rsidR="00D13C36" w:rsidRPr="00D77795">
        <w:rPr>
          <w:lang w:val="en-GB"/>
        </w:rPr>
        <w:t xml:space="preserve"> </w:t>
      </w:r>
      <w:r w:rsidR="00DC79D6" w:rsidRPr="00D77795">
        <w:rPr>
          <w:lang w:val="en-GB"/>
        </w:rPr>
        <w:t>behaviour</w:t>
      </w:r>
      <w:r w:rsidR="00D13C36" w:rsidRPr="00D77795">
        <w:rPr>
          <w:lang w:val="en-GB"/>
        </w:rPr>
        <w:t xml:space="preserve">s, and provide </w:t>
      </w:r>
      <w:r w:rsidR="00D13C36" w:rsidRPr="00D77795">
        <w:rPr>
          <w:lang w:val="en-GB"/>
        </w:rPr>
        <w:lastRenderedPageBreak/>
        <w:t xml:space="preserve">opportunities for green innovation that can significantly influence their OCBE </w:t>
      </w:r>
      <w:r w:rsidR="00D13C36" w:rsidRPr="00D77795">
        <w:rPr>
          <w:lang w:val="en-GB"/>
        </w:rPr>
        <w:fldChar w:fldCharType="begin"/>
      </w:r>
      <w:r w:rsidR="00D13C36" w:rsidRPr="00D77795">
        <w:rPr>
          <w:lang w:val="en-GB"/>
        </w:rPr>
        <w:instrText xml:space="preserve"> ADDIN ZOTERO_ITEM CSL_CITATION {"citationID":"eLTMLWDw","properties":{"formattedCitation":"(Renwick et al., 2013)","plainCitation":"(Renwick et al., 2013)","noteIndex":0},"citationItems":[{"id":187,"uris":["http://zotero.org/users/local/TOdoVrPG/items/BIAC7685"],"itemData":{"id":187,"type":"article-journal","container-title":"International journal of management reviews","DOI":"https://doi.org/10.1111/j.1468-2370.2011.00328.x","issue":"1","page":"1 - 14","title":"Green Human Resource Management: A Review and Research Agenda","URL":"https://onlinelibrary.wiley.com/doi/abs/10.1111/j.1468-2370.2011.00328.x","volume":"15","author":[{"family":"Renwick","given":"Douglas W.S."},{"family":"Redman","given":"Tom"},{"family":"Maguire","given":"Stuart"}],"issued":{"date-parts":[["2013"]]}}}],"schema":"https://github.com/citation-style-language/schema/raw/master/csl-citation.json"} </w:instrText>
      </w:r>
      <w:r w:rsidR="00D13C36" w:rsidRPr="00D77795">
        <w:rPr>
          <w:lang w:val="en-GB"/>
        </w:rPr>
        <w:fldChar w:fldCharType="separate"/>
      </w:r>
      <w:r w:rsidR="00D13C36" w:rsidRPr="00D77795">
        <w:rPr>
          <w:lang w:val="en-GB"/>
        </w:rPr>
        <w:t>(Renwick et al., 2013)</w:t>
      </w:r>
      <w:r w:rsidR="00D13C36" w:rsidRPr="00D77795">
        <w:rPr>
          <w:lang w:val="en-GB"/>
        </w:rPr>
        <w:fldChar w:fldCharType="end"/>
      </w:r>
      <w:r w:rsidR="00D13C36" w:rsidRPr="00E673DC">
        <w:rPr>
          <w:rFonts w:eastAsia="Times New Roman"/>
          <w:lang w:val="en-GB"/>
        </w:rPr>
        <w:t xml:space="preserve">. </w:t>
      </w:r>
    </w:p>
    <w:p w14:paraId="11B98234" w14:textId="77777777" w:rsidR="00D13C36" w:rsidRPr="00E673DC" w:rsidRDefault="00D13C36" w:rsidP="00D13C36">
      <w:pPr>
        <w:pStyle w:val="heading2"/>
        <w:spacing w:before="0"/>
        <w:jc w:val="both"/>
        <w:rPr>
          <w:rFonts w:asciiTheme="majorBidi" w:hAnsiTheme="majorBidi" w:cstheme="majorBidi"/>
          <w:sz w:val="24"/>
          <w:szCs w:val="24"/>
          <w:lang w:val="en-GB"/>
        </w:rPr>
      </w:pPr>
      <w:bookmarkStart w:id="8" w:name="_Toc197952389"/>
      <w:r w:rsidRPr="00E673DC">
        <w:rPr>
          <w:rFonts w:asciiTheme="majorBidi" w:hAnsiTheme="majorBidi" w:cstheme="majorBidi"/>
          <w:sz w:val="24"/>
          <w:szCs w:val="24"/>
          <w:lang w:val="en-GB"/>
        </w:rPr>
        <w:t>Hypotheses Development</w:t>
      </w:r>
      <w:bookmarkEnd w:id="8"/>
    </w:p>
    <w:p w14:paraId="5C239CD4" w14:textId="11D5987C" w:rsidR="00D13C36" w:rsidRPr="00E673DC" w:rsidRDefault="005B292B" w:rsidP="00716EE2">
      <w:pPr>
        <w:pStyle w:val="Heading3"/>
        <w:rPr>
          <w:lang w:val="en-GB"/>
        </w:rPr>
      </w:pPr>
      <w:bookmarkStart w:id="9" w:name="_Toc197952390"/>
      <w:r w:rsidRPr="00E673DC">
        <w:rPr>
          <w:lang w:val="en-GB"/>
        </w:rPr>
        <w:t xml:space="preserve">Green Human Resource </w:t>
      </w:r>
      <w:r w:rsidR="00F8610F" w:rsidRPr="00E673DC">
        <w:rPr>
          <w:lang w:val="en-GB"/>
        </w:rPr>
        <w:t>Management and</w:t>
      </w:r>
      <w:r w:rsidRPr="00E673DC">
        <w:rPr>
          <w:lang w:val="en-GB"/>
        </w:rPr>
        <w:t xml:space="preserve"> </w:t>
      </w:r>
      <w:r w:rsidR="00DC79D6">
        <w:rPr>
          <w:lang w:val="en-GB"/>
        </w:rPr>
        <w:t>Organis</w:t>
      </w:r>
      <w:r w:rsidR="00D13C36" w:rsidRPr="00E673DC">
        <w:rPr>
          <w:lang w:val="en-GB"/>
        </w:rPr>
        <w:t xml:space="preserve">ational Citizenship </w:t>
      </w:r>
      <w:r w:rsidR="00DC79D6">
        <w:rPr>
          <w:lang w:val="en-GB"/>
        </w:rPr>
        <w:t>Behaviour</w:t>
      </w:r>
      <w:r w:rsidR="00D13C36" w:rsidRPr="00E673DC">
        <w:rPr>
          <w:lang w:val="en-GB"/>
        </w:rPr>
        <w:t xml:space="preserve"> Towards the Environment (OCBE)</w:t>
      </w:r>
      <w:bookmarkEnd w:id="9"/>
    </w:p>
    <w:p w14:paraId="5D4450FF" w14:textId="633B0859" w:rsidR="00D13C36" w:rsidRPr="00E673DC" w:rsidRDefault="00D13C36" w:rsidP="00055399">
      <w:pPr>
        <w:ind w:firstLine="720"/>
        <w:jc w:val="both"/>
        <w:rPr>
          <w:rFonts w:eastAsia="Times New Roman"/>
          <w:lang w:val="en-GB"/>
        </w:rPr>
      </w:pPr>
      <w:r w:rsidRPr="00E673DC">
        <w:rPr>
          <w:rFonts w:eastAsia="Times New Roman"/>
          <w:lang w:val="en-GB"/>
        </w:rPr>
        <w:t xml:space="preserve">Significant research </w:t>
      </w:r>
      <w:r w:rsidR="00055399" w:rsidRPr="00E673DC">
        <w:rPr>
          <w:rFonts w:eastAsia="Times New Roman"/>
          <w:lang w:val="en-GB"/>
        </w:rPr>
        <w:fldChar w:fldCharType="begin"/>
      </w:r>
      <w:r w:rsidR="00E72F10" w:rsidRPr="00E673DC">
        <w:rPr>
          <w:rFonts w:eastAsia="Times New Roman"/>
          <w:lang w:val="en-GB"/>
        </w:rPr>
        <w:instrText xml:space="preserve"> ADDIN ZOTERO_ITEM CSL_CITATION {"citationID":"nCSAP5iB","properties":{"formattedCitation":"(Boiral, 2009; Mostafa &amp; Saleh, 2023)","plainCitation":"(Boiral, 2009; Mostafa &amp; Saleh, 2023)","noteIndex":0},"citationItems":[{"id":174,"uris":["http://zotero.org/users/local/TOdoVrPG/items/ME8IZUFM"],"itemData":{"id":174,"type":"article-journal","container-title":"Journal of Business Ethics","DOI":"https://doi.org/10.1007/s10551-008-9881-2","ISSN":"0167-4544, 1573-0697","issue":"4","journalAbbreviation":"J Bus Ethics","language":"en","license":"http://www.springer.com/tdm","page":"221–236","title":"Greening the Corporation Through Organizational Citizenship Behaviors","title-short":"Greening the Corporation Through Organizational Citizenship Behaviors","URL":"https://link.springer.com/article/10.1007/s10551-008-9881-2","volume":"87","author":[{"family":"Boiral","given":"Olivier"}],"accessed":{"date-parts":[["2025",1,14]]},"issued":{"date-parts":[["2009"]]}}},{"id":67,"uris":["http://zotero.org/users/local/TOdoVrPG/items/T5ESCEI5"],"itemData":{"id":67,"type":"article-journal","abstract":"In an era of green environmental awareness, Green Human Resources Management (GHRM) uses human resources management practices to support green environmental functions. It embraces green environmental concerns by applying human resources initiatives to generate high performance and better efficiency in operations. Although the literature on GHRM is growing, a few studies investigated to what extent green innovative culture (GIC) moderates the relationship between green human resources management practices and organizational citizenship behavior towards the environment (OCBE). To address this research gap, the authors tested a new conceptual framework investigating the direct and interactive effects of GHRM practices and GIC on OCBE. A quantitative study uses a survey from a 174 convenient sample of employees selected from a manufacturing firm operating in Egypt. The research results revealed that (1) GHRM practices are crucial for encouraging employees to engage in green activities, in addition (2) there is a significant positive effect of GHRM practices on OCBE, while on the other hand, (3) the interaction of GHRM and GIC can foster employees’ engagement in OCBE. The research significance lies in identifying and validating the GHRM practices applied in the manufacturing firm, as it advances the previous studies by developing a research model that offers critical insights on how manufacturing organizations working in industrial and agricultural packaging solutions could strategically link their GHRM practices and green innovative culture to support their OCBE in creating a competitive advantage in the market.","container-title":"International Business Research","DOI":"10.5539/ibr.v16n4p15","ISSN":"1913-9012, 1913-9004","issue":"4","journalAbbreviation":"IBR","language":"en","license":"https://creativecommons.org/licenses/by/4.0","page":"15","source":"DOI.org (Crossref)","title":"The Relationship between Green Human Resource Management Practices and Organizational Citizenship Behavior","URL":"https://ccsenet.org/journal/index.php/ibr/article/view/0/48544","volume":"16","author":[{"family":"Mostafa","given":"Bassant Adel"},{"family":"Saleh","given":"Reham Saber"}],"accessed":{"date-parts":[["2024",10,16]]},"issued":{"date-parts":[["2023"]]}}}],"schema":"https://github.com/citation-style-language/schema/raw/master/csl-citation.json"} </w:instrText>
      </w:r>
      <w:r w:rsidR="00055399" w:rsidRPr="00E673DC">
        <w:rPr>
          <w:rFonts w:eastAsia="Times New Roman"/>
          <w:lang w:val="en-GB"/>
        </w:rPr>
        <w:fldChar w:fldCharType="separate"/>
      </w:r>
      <w:r w:rsidR="00055399" w:rsidRPr="00E673DC">
        <w:rPr>
          <w:lang w:val="en-GB"/>
        </w:rPr>
        <w:t>(Boiral, 2009; Mostafa &amp; Saleh, 2023)</w:t>
      </w:r>
      <w:r w:rsidR="00055399" w:rsidRPr="00E673DC">
        <w:rPr>
          <w:rFonts w:eastAsia="Times New Roman"/>
          <w:lang w:val="en-GB"/>
        </w:rPr>
        <w:fldChar w:fldCharType="end"/>
      </w:r>
      <w:r w:rsidR="00055399" w:rsidRPr="00E673DC">
        <w:rPr>
          <w:rFonts w:eastAsia="Times New Roman"/>
          <w:lang w:val="en-GB"/>
        </w:rPr>
        <w:t xml:space="preserve"> </w:t>
      </w:r>
      <w:r w:rsidRPr="00E673DC">
        <w:rPr>
          <w:rFonts w:eastAsia="Times New Roman"/>
          <w:lang w:val="en-GB"/>
        </w:rPr>
        <w:t xml:space="preserve">has been conducted on OCB to comprehend the underlying motivations, various manifestations, and their impacts on </w:t>
      </w:r>
      <w:r w:rsidR="00DC79D6">
        <w:rPr>
          <w:rFonts w:eastAsia="Times New Roman"/>
          <w:lang w:val="en-GB"/>
        </w:rPr>
        <w:t>organis</w:t>
      </w:r>
      <w:r w:rsidRPr="00E673DC">
        <w:rPr>
          <w:rFonts w:eastAsia="Times New Roman"/>
          <w:lang w:val="en-GB"/>
        </w:rPr>
        <w:t xml:space="preserve">ational development. OCBE is defined as individual and </w:t>
      </w:r>
      <w:r w:rsidR="004A12CD" w:rsidRPr="00E673DC">
        <w:rPr>
          <w:rFonts w:eastAsia="Times New Roman"/>
          <w:lang w:val="en-GB"/>
        </w:rPr>
        <w:t>flexible</w:t>
      </w:r>
      <w:r w:rsidRPr="00E673DC">
        <w:rPr>
          <w:rFonts w:eastAsia="Times New Roman"/>
          <w:lang w:val="en-GB"/>
        </w:rPr>
        <w:t xml:space="preserve"> social </w:t>
      </w:r>
      <w:r w:rsidR="00DC79D6">
        <w:rPr>
          <w:rFonts w:eastAsia="Times New Roman"/>
          <w:lang w:val="en-GB"/>
        </w:rPr>
        <w:t>behaviour</w:t>
      </w:r>
      <w:r w:rsidRPr="00E673DC">
        <w:rPr>
          <w:rFonts w:eastAsia="Times New Roman"/>
          <w:lang w:val="en-GB"/>
        </w:rPr>
        <w:t xml:space="preserve">s that are not </w:t>
      </w:r>
      <w:r w:rsidR="004A12CD" w:rsidRPr="00E673DC">
        <w:rPr>
          <w:rFonts w:eastAsia="Times New Roman"/>
          <w:lang w:val="en-GB"/>
        </w:rPr>
        <w:t>obviously</w:t>
      </w:r>
      <w:r w:rsidRPr="00E673DC">
        <w:rPr>
          <w:rFonts w:eastAsia="Times New Roman"/>
          <w:lang w:val="en-GB"/>
        </w:rPr>
        <w:t xml:space="preserve"> acknowledged by the </w:t>
      </w:r>
      <w:r w:rsidR="004A12CD" w:rsidRPr="00E673DC">
        <w:rPr>
          <w:rFonts w:eastAsia="Times New Roman"/>
          <w:lang w:val="en-GB"/>
        </w:rPr>
        <w:t>applicable</w:t>
      </w:r>
      <w:r w:rsidRPr="00E673DC">
        <w:rPr>
          <w:rFonts w:eastAsia="Times New Roman"/>
          <w:lang w:val="en-GB"/>
        </w:rPr>
        <w:t xml:space="preserve"> reward </w:t>
      </w:r>
      <w:r w:rsidR="004A12CD" w:rsidRPr="00E673DC">
        <w:rPr>
          <w:rFonts w:eastAsia="Times New Roman"/>
          <w:lang w:val="en-GB"/>
        </w:rPr>
        <w:t>scheme</w:t>
      </w:r>
      <w:r w:rsidRPr="00E673DC">
        <w:rPr>
          <w:rFonts w:eastAsia="Times New Roman"/>
          <w:lang w:val="en-GB"/>
        </w:rPr>
        <w:t xml:space="preserve"> but </w:t>
      </w:r>
      <w:r w:rsidR="004A12CD" w:rsidRPr="00E673DC">
        <w:rPr>
          <w:rFonts w:eastAsia="Times New Roman"/>
          <w:lang w:val="en-GB"/>
        </w:rPr>
        <w:t>aid</w:t>
      </w:r>
      <w:r w:rsidRPr="00E673DC">
        <w:rPr>
          <w:rFonts w:eastAsia="Times New Roman"/>
          <w:lang w:val="en-GB"/>
        </w:rPr>
        <w:t xml:space="preserve"> </w:t>
      </w:r>
      <w:r w:rsidR="007F5DFA">
        <w:rPr>
          <w:rFonts w:eastAsia="Times New Roman"/>
          <w:lang w:val="en-GB"/>
        </w:rPr>
        <w:t>in dev</w:t>
      </w:r>
      <w:r w:rsidR="00692DCE">
        <w:rPr>
          <w:rFonts w:eastAsia="Times New Roman"/>
          <w:lang w:val="en-GB"/>
        </w:rPr>
        <w:t>e</w:t>
      </w:r>
      <w:r w:rsidR="007F5DFA">
        <w:rPr>
          <w:rFonts w:eastAsia="Times New Roman"/>
          <w:lang w:val="en-GB"/>
        </w:rPr>
        <w:t>lopin</w:t>
      </w:r>
      <w:r w:rsidR="00692DCE">
        <w:rPr>
          <w:rFonts w:eastAsia="Times New Roman"/>
          <w:lang w:val="en-GB"/>
        </w:rPr>
        <w:t>g</w:t>
      </w:r>
      <w:r w:rsidRPr="00E673DC">
        <w:rPr>
          <w:rFonts w:eastAsia="Times New Roman"/>
          <w:lang w:val="en-GB"/>
        </w:rPr>
        <w:t xml:space="preserve"> more effective </w:t>
      </w:r>
      <w:r w:rsidR="004A12CD" w:rsidRPr="00E673DC">
        <w:rPr>
          <w:rFonts w:eastAsia="Times New Roman"/>
          <w:lang w:val="en-GB"/>
        </w:rPr>
        <w:t>ecological</w:t>
      </w:r>
      <w:r w:rsidRPr="00E673DC">
        <w:rPr>
          <w:rFonts w:eastAsia="Times New Roman"/>
          <w:lang w:val="en-GB"/>
        </w:rPr>
        <w:t xml:space="preserve"> management within organisations </w:t>
      </w:r>
      <w:r w:rsidRPr="00E673DC">
        <w:rPr>
          <w:rFonts w:eastAsia="Times New Roman"/>
          <w:lang w:val="en-GB"/>
        </w:rPr>
        <w:fldChar w:fldCharType="begin"/>
      </w:r>
      <w:r w:rsidRPr="00E673DC">
        <w:rPr>
          <w:rFonts w:eastAsia="Times New Roman"/>
          <w:lang w:val="en-GB"/>
        </w:rPr>
        <w:instrText xml:space="preserve"> ADDIN ZOTERO_ITEM CSL_CITATION {"citationID":"GEGFfzsQ","properties":{"formattedCitation":"(Boiral, 2009)","plainCitation":"(Boiral, 2009)","noteIndex":0},"citationItems":[{"id":174,"uris":["http://zotero.org/users/local/TOdoVrPG/items/ME8IZUFM"],"itemData":{"id":174,"type":"article-journal","container-title":"Journal of Business Ethics","DOI":"https://doi.org/10.1007/s10551-008-9881-2","ISSN":"0167-4544, 1573-0697","issue":"4","journalAbbreviation":"J Bus Ethics","language":"en","license":"http://www.springer.com/tdm","page":"221–236","title":"Greening the Corporation Through Organizational Citizenship Behaviors","title-short":"Greening the Corporation Through Organizational Citizenship Behaviors","URL":"https://link.springer.com/article/10.1007/s10551-008-9881-2","volume":"87","author":[{"family":"Boiral","given":"Olivier"}],"accessed":{"date-parts":[["2025",1,14]]},"issued":{"date-parts":[["2009"]]}}}],"schema":"https://github.com/citation-style-language/schema/raw/master/csl-citation.json"} </w:instrText>
      </w:r>
      <w:r w:rsidRPr="00E673DC">
        <w:rPr>
          <w:rFonts w:eastAsia="Times New Roman"/>
          <w:lang w:val="en-GB"/>
        </w:rPr>
        <w:fldChar w:fldCharType="separate"/>
      </w:r>
      <w:r w:rsidRPr="00E673DC">
        <w:rPr>
          <w:lang w:val="en-GB"/>
        </w:rPr>
        <w:t>(Boiral, 2009)</w:t>
      </w:r>
      <w:r w:rsidRPr="00E673DC">
        <w:rPr>
          <w:rFonts w:eastAsia="Times New Roman"/>
          <w:lang w:val="en-GB"/>
        </w:rPr>
        <w:fldChar w:fldCharType="end"/>
      </w:r>
      <w:r w:rsidRPr="00E673DC">
        <w:rPr>
          <w:rFonts w:eastAsia="Times New Roman"/>
          <w:lang w:val="en-GB"/>
        </w:rPr>
        <w:t>. OCBE enhanc</w:t>
      </w:r>
      <w:r w:rsidR="005B292B" w:rsidRPr="00E673DC">
        <w:rPr>
          <w:rFonts w:eastAsia="Times New Roman"/>
          <w:lang w:val="en-GB"/>
        </w:rPr>
        <w:t>es</w:t>
      </w:r>
      <w:r w:rsidRPr="00E673DC">
        <w:rPr>
          <w:rFonts w:eastAsia="Times New Roman"/>
          <w:lang w:val="en-GB"/>
        </w:rPr>
        <w:t xml:space="preserve"> and </w:t>
      </w:r>
      <w:r w:rsidR="00F8610F" w:rsidRPr="00E673DC">
        <w:rPr>
          <w:rFonts w:eastAsia="Times New Roman"/>
          <w:lang w:val="en-GB"/>
        </w:rPr>
        <w:t>sustains</w:t>
      </w:r>
      <w:r w:rsidRPr="00E673DC">
        <w:rPr>
          <w:rFonts w:eastAsia="Times New Roman"/>
          <w:lang w:val="en-GB"/>
        </w:rPr>
        <w:t xml:space="preserve"> the </w:t>
      </w:r>
      <w:r w:rsidR="00DC79D6">
        <w:rPr>
          <w:rFonts w:eastAsia="Times New Roman"/>
          <w:lang w:val="en-GB"/>
        </w:rPr>
        <w:t>organis</w:t>
      </w:r>
      <w:r w:rsidRPr="00E673DC">
        <w:rPr>
          <w:rFonts w:eastAsia="Times New Roman"/>
          <w:lang w:val="en-GB"/>
        </w:rPr>
        <w:t xml:space="preserve">ation's environmental performance </w:t>
      </w:r>
      <w:r w:rsidRPr="00E673DC">
        <w:rPr>
          <w:rFonts w:eastAsia="Times New Roman"/>
          <w:lang w:val="en-GB"/>
        </w:rPr>
        <w:fldChar w:fldCharType="begin"/>
      </w:r>
      <w:r w:rsidR="00E72F10" w:rsidRPr="00E673DC">
        <w:rPr>
          <w:rFonts w:eastAsia="Times New Roman"/>
          <w:lang w:val="en-GB"/>
        </w:rPr>
        <w:instrText xml:space="preserve"> ADDIN ZOTERO_ITEM CSL_CITATION {"citationID":"6nlbz3Gt","properties":{"formattedCitation":"(Anwar et al., 2020)","plainCitation":"(Anwar et al., 2020)","noteIndex":0},"citationItems":[{"id":175,"uris":["http://zotero.org/users/local/TOdoVrPG/items/7MT3AF3K"],"itemData":{"id":175,"type":"article-journal","abstract":"The slow and inefficient environmental performance of universities is drawing the attention of scholars towards behavioural change in employees rather than just relying on technological upgrades. Drawing upon the Ability-Motivation-Opportunity (AMO) theory, the purpose of this study is first to examine the influence of Green Human Resource Management (HRM) practices (green competence building practices, green motivation enhancing practices, and green employee involvement practices) on the organisational citizenship behaviour towards the environment (OCBE) of academic staff and, in turn, its impact on the environmental performance. Second, the mediating impact of OCBE between each of Green HRM practices and environmental performance is assessed. The data were collected from September until November 2017 on two campuses of a renowned public research university in Malaysia. Using quantitative research design, a structured questionnaire was used among the academic staff of the university. Convenience sampling was used to select the respondents from both campuses, and the Partial Least Squares (PLS) modelling technique was used to analyse the data, which comprised 122 respondents. Overall findings showed that three sets of Green HRM practices based on the Ability-Motivation-Opportunity framework had a significant impact on OCBE. Furthermore, OCBE had a significant relationship with environmental performance. For the mediation analysis, the results showed that OCBE exhibited by academic staff acted as a means through which the Green HRM practices of a university can positively influence the environmental performance of a university campus. The originality of this study rests in shedding light on Green HRM practices in the higher education sector and highlighting the critical role of academic staff’s environmentally friendly behaviour for improving the environmental performance of a university.","container-title":"Journal of Cleaner Production","DOI":"10.1016/j.jclepro.2020.120401","ISSN":"0959-6526","journalAbbreviation":"Journal of Cleaner Production","page":"120401","title":"Green Human Resource Management for organisational citizenship behaviour towards the environment and environmental performance on a university campus","URL":"https://www.sciencedirect.com/science/article/pii/S0959652620304480","volume":"256","author":[{"family":"Anwar","given":"Nosheen"},{"family":"Nik Mahmood","given":"Nik Hasnaa"},{"family":"Yusliza","given":"Mohd Yusoff"},{"family":"Ramayah","given":"T."},{"family":"Noor Faezah","given":"Juhari"},{"family":"Khalid","given":"Waqas"}],"issued":{"date-parts":[["2020"]]}}}],"schema":"https://github.com/citation-style-language/schema/raw/master/csl-citation.json"} </w:instrText>
      </w:r>
      <w:r w:rsidRPr="00E673DC">
        <w:rPr>
          <w:rFonts w:eastAsia="Times New Roman"/>
          <w:lang w:val="en-GB"/>
        </w:rPr>
        <w:fldChar w:fldCharType="separate"/>
      </w:r>
      <w:r w:rsidRPr="00E673DC">
        <w:rPr>
          <w:lang w:val="en-GB"/>
        </w:rPr>
        <w:t>(Anwar et al., 2020)</w:t>
      </w:r>
      <w:r w:rsidRPr="00E673DC">
        <w:rPr>
          <w:rFonts w:eastAsia="Times New Roman"/>
          <w:lang w:val="en-GB"/>
        </w:rPr>
        <w:fldChar w:fldCharType="end"/>
      </w:r>
      <w:r w:rsidR="005B292B" w:rsidRPr="00E673DC">
        <w:rPr>
          <w:rFonts w:eastAsia="Times New Roman"/>
          <w:lang w:val="en-GB"/>
        </w:rPr>
        <w:t xml:space="preserve"> and is an </w:t>
      </w:r>
      <w:r w:rsidRPr="00E673DC">
        <w:rPr>
          <w:rFonts w:eastAsia="Times New Roman"/>
          <w:lang w:val="en-GB"/>
        </w:rPr>
        <w:t xml:space="preserve">environmentally friendly </w:t>
      </w:r>
      <w:r w:rsidR="00DC79D6">
        <w:rPr>
          <w:rFonts w:eastAsia="Times New Roman"/>
          <w:lang w:val="en-GB"/>
        </w:rPr>
        <w:t>behaviour</w:t>
      </w:r>
      <w:r w:rsidRPr="00E673DC">
        <w:rPr>
          <w:rFonts w:eastAsia="Times New Roman"/>
          <w:lang w:val="en-GB"/>
        </w:rPr>
        <w:t xml:space="preserve"> by employees </w:t>
      </w:r>
      <w:r w:rsidR="007F5DFA">
        <w:rPr>
          <w:rFonts w:eastAsia="Times New Roman"/>
          <w:lang w:val="en-GB"/>
        </w:rPr>
        <w:t xml:space="preserve">that </w:t>
      </w:r>
      <w:r w:rsidRPr="00E673DC">
        <w:rPr>
          <w:rFonts w:eastAsia="Times New Roman"/>
          <w:lang w:val="en-GB"/>
        </w:rPr>
        <w:t xml:space="preserve">is crucial for </w:t>
      </w:r>
      <w:r w:rsidR="00DC79D6">
        <w:rPr>
          <w:rFonts w:eastAsia="Times New Roman"/>
          <w:lang w:val="en-GB"/>
        </w:rPr>
        <w:t>organis</w:t>
      </w:r>
      <w:r w:rsidRPr="00E673DC">
        <w:rPr>
          <w:rFonts w:eastAsia="Times New Roman"/>
          <w:lang w:val="en-GB"/>
        </w:rPr>
        <w:t>ational success.</w:t>
      </w:r>
    </w:p>
    <w:p w14:paraId="20E43AA1" w14:textId="5D5003A5" w:rsidR="00D13C36" w:rsidRPr="00E673DC" w:rsidRDefault="00D13C36" w:rsidP="00536A9D">
      <w:pPr>
        <w:ind w:firstLine="720"/>
        <w:jc w:val="both"/>
        <w:rPr>
          <w:lang w:val="en-GB"/>
        </w:rPr>
      </w:pPr>
      <w:r w:rsidRPr="00E673DC">
        <w:rPr>
          <w:rFonts w:eastAsia="Times New Roman"/>
          <w:lang w:val="en-GB"/>
        </w:rPr>
        <w:t xml:space="preserve">According to Boiral </w:t>
      </w:r>
      <w:r w:rsidR="007F5DFA">
        <w:rPr>
          <w:rFonts w:eastAsia="Times New Roman"/>
          <w:lang w:val="en-GB"/>
        </w:rPr>
        <w:t>and</w:t>
      </w:r>
      <w:r w:rsidRPr="00E673DC">
        <w:rPr>
          <w:rFonts w:eastAsia="Times New Roman"/>
          <w:lang w:val="en-GB"/>
        </w:rPr>
        <w:t xml:space="preserve"> Paillé </w:t>
      </w:r>
      <w:r w:rsidRPr="00E673DC">
        <w:rPr>
          <w:rFonts w:eastAsia="Times New Roman"/>
          <w:lang w:val="en-GB"/>
        </w:rPr>
        <w:fldChar w:fldCharType="begin"/>
      </w:r>
      <w:r w:rsidR="00E72F10" w:rsidRPr="00E673DC">
        <w:rPr>
          <w:rFonts w:eastAsia="Times New Roman"/>
          <w:lang w:val="en-GB"/>
        </w:rPr>
        <w:instrText xml:space="preserve"> ADDIN ZOTERO_ITEM CSL_CITATION {"citationID":"klQd6Dyi","properties":{"formattedCitation":"(2012)","plainCitation":"(2012)","noteIndex":0},"citationItems":[{"id":89,"uris":["http://zotero.org/users/local/TOdoVrPG/items/EFTYDN7E"],"itemData":{"id":89,"type":"article-journal","container-title":"Journal of Business Ethics","DOI":"10.1007/s10551-011-1138-9","ISSN":"0167-4544, 1573-0697","issue":"4","journalAbbreviation":"J Bus Ethics","language":"en","license":"http://www.springer.com/tdm","page":"431-445","source":"DOI.org (Crossref)","title":"Organizational Citizenship Behaviour for the Environment: Measurement and Validation","title-short":"Organizational Citizenship Behaviour for the Environment","URL":"http://link.springer.com/10.1007/s10551-011-1138-9","volume":"109","author":[{"family":"Boiral","given":"Olivier"},{"family":"Paillé","given":"Pascal"}],"accessed":{"date-parts":[["2024",10,24]]},"issued":{"date-parts":[["2012"]]}},"suppress-author":true}],"schema":"https://github.com/citation-style-language/schema/raw/master/csl-citation.json"} </w:instrText>
      </w:r>
      <w:r w:rsidRPr="00E673DC">
        <w:rPr>
          <w:rFonts w:eastAsia="Times New Roman"/>
          <w:lang w:val="en-GB"/>
        </w:rPr>
        <w:fldChar w:fldCharType="separate"/>
      </w:r>
      <w:r w:rsidRPr="00E673DC">
        <w:rPr>
          <w:lang w:val="en-GB"/>
        </w:rPr>
        <w:t>(2012)</w:t>
      </w:r>
      <w:r w:rsidRPr="00E673DC">
        <w:rPr>
          <w:rFonts w:eastAsia="Times New Roman"/>
          <w:lang w:val="en-GB"/>
        </w:rPr>
        <w:fldChar w:fldCharType="end"/>
      </w:r>
      <w:r w:rsidRPr="00E673DC">
        <w:rPr>
          <w:rFonts w:eastAsia="Times New Roman"/>
          <w:lang w:val="en-GB"/>
        </w:rPr>
        <w:t>, OCBE has been conceptuali</w:t>
      </w:r>
      <w:r w:rsidR="007F5DFA">
        <w:rPr>
          <w:rFonts w:eastAsia="Times New Roman"/>
          <w:lang w:val="en-GB"/>
        </w:rPr>
        <w:t>s</w:t>
      </w:r>
      <w:r w:rsidRPr="00E673DC">
        <w:rPr>
          <w:rFonts w:eastAsia="Times New Roman"/>
          <w:lang w:val="en-GB"/>
        </w:rPr>
        <w:t xml:space="preserve">ed as a multi-dimensional construct </w:t>
      </w:r>
      <w:r w:rsidR="004A12CD" w:rsidRPr="00E673DC">
        <w:rPr>
          <w:rFonts w:eastAsia="Times New Roman"/>
          <w:lang w:val="en-GB"/>
        </w:rPr>
        <w:t>involving</w:t>
      </w:r>
      <w:r w:rsidRPr="00E673DC">
        <w:rPr>
          <w:rFonts w:eastAsia="Times New Roman"/>
          <w:lang w:val="en-GB"/>
        </w:rPr>
        <w:t xml:space="preserve"> three pillars: i) eco-helping </w:t>
      </w:r>
      <w:r w:rsidR="00DC79D6">
        <w:rPr>
          <w:rFonts w:eastAsia="Times New Roman"/>
          <w:lang w:val="en-GB"/>
        </w:rPr>
        <w:t>behaviour</w:t>
      </w:r>
      <w:r w:rsidR="007F5DFA">
        <w:rPr>
          <w:rFonts w:eastAsia="Times New Roman"/>
          <w:lang w:val="en-GB"/>
        </w:rPr>
        <w:t>,</w:t>
      </w:r>
      <w:r w:rsidRPr="00E673DC">
        <w:rPr>
          <w:rFonts w:eastAsia="Times New Roman"/>
          <w:lang w:val="en-GB"/>
        </w:rPr>
        <w:t xml:space="preserve"> which refers to mutual voluntarily assistance among colleagues on environmental issues aiming to promote refined environmentally friendly practices</w:t>
      </w:r>
      <w:r w:rsidR="007F5DFA">
        <w:rPr>
          <w:rFonts w:eastAsia="Times New Roman"/>
          <w:lang w:val="en-GB"/>
        </w:rPr>
        <w:t>;</w:t>
      </w:r>
      <w:r w:rsidRPr="00E673DC">
        <w:rPr>
          <w:rFonts w:eastAsia="Times New Roman"/>
          <w:lang w:val="en-GB"/>
        </w:rPr>
        <w:t xml:space="preserve"> ii) eco-civic engagement</w:t>
      </w:r>
      <w:r w:rsidR="007F5DFA">
        <w:rPr>
          <w:rFonts w:eastAsia="Times New Roman"/>
          <w:lang w:val="en-GB"/>
        </w:rPr>
        <w:t>,</w:t>
      </w:r>
      <w:r w:rsidRPr="00E673DC">
        <w:rPr>
          <w:rFonts w:eastAsia="Times New Roman"/>
          <w:lang w:val="en-GB"/>
        </w:rPr>
        <w:t xml:space="preserve"> which denotes employees' voluntary participation in established environmentally friendly initiatives, such as </w:t>
      </w:r>
      <w:r w:rsidR="004A12CD" w:rsidRPr="00E673DC">
        <w:rPr>
          <w:rFonts w:eastAsia="Times New Roman"/>
          <w:lang w:val="en-GB"/>
        </w:rPr>
        <w:t>joining</w:t>
      </w:r>
      <w:r w:rsidRPr="00E673DC">
        <w:rPr>
          <w:rFonts w:eastAsia="Times New Roman"/>
          <w:lang w:val="en-GB"/>
        </w:rPr>
        <w:t xml:space="preserve"> </w:t>
      </w:r>
      <w:r w:rsidR="004A12CD" w:rsidRPr="00E673DC">
        <w:rPr>
          <w:rFonts w:eastAsia="Times New Roman"/>
          <w:lang w:val="en-GB"/>
        </w:rPr>
        <w:t>ecological</w:t>
      </w:r>
      <w:r w:rsidRPr="00E673DC">
        <w:rPr>
          <w:rFonts w:eastAsia="Times New Roman"/>
          <w:lang w:val="en-GB"/>
        </w:rPr>
        <w:t xml:space="preserve"> events</w:t>
      </w:r>
      <w:r w:rsidR="007F5DFA">
        <w:rPr>
          <w:rFonts w:eastAsia="Times New Roman"/>
          <w:lang w:val="en-GB"/>
        </w:rPr>
        <w:t>,</w:t>
      </w:r>
      <w:r w:rsidRPr="00E673DC">
        <w:rPr>
          <w:rFonts w:eastAsia="Times New Roman"/>
          <w:lang w:val="en-GB"/>
        </w:rPr>
        <w:t xml:space="preserve"> activities, or the environmental </w:t>
      </w:r>
      <w:r w:rsidR="004A12CD" w:rsidRPr="00E673DC">
        <w:rPr>
          <w:rFonts w:eastAsia="Times New Roman"/>
          <w:lang w:val="en-GB"/>
        </w:rPr>
        <w:t>team</w:t>
      </w:r>
      <w:r w:rsidR="007F5DFA">
        <w:rPr>
          <w:rFonts w:eastAsia="Times New Roman"/>
          <w:lang w:val="en-GB"/>
        </w:rPr>
        <w:t>;</w:t>
      </w:r>
      <w:r w:rsidRPr="00E673DC">
        <w:rPr>
          <w:rFonts w:eastAsia="Times New Roman"/>
          <w:lang w:val="en-GB"/>
        </w:rPr>
        <w:t xml:space="preserve"> and iii) eco-initiatives</w:t>
      </w:r>
      <w:r w:rsidR="007F5DFA">
        <w:rPr>
          <w:rFonts w:eastAsia="Times New Roman"/>
          <w:lang w:val="en-GB"/>
        </w:rPr>
        <w:t>'</w:t>
      </w:r>
      <w:r w:rsidRPr="00E673DC">
        <w:rPr>
          <w:rFonts w:eastAsia="Times New Roman"/>
          <w:lang w:val="en-GB"/>
        </w:rPr>
        <w:t xml:space="preserve"> </w:t>
      </w:r>
      <w:r w:rsidR="00DC79D6">
        <w:rPr>
          <w:rFonts w:eastAsia="Times New Roman"/>
          <w:lang w:val="en-GB"/>
        </w:rPr>
        <w:t>behaviour</w:t>
      </w:r>
      <w:r w:rsidRPr="00E673DC">
        <w:rPr>
          <w:rFonts w:eastAsia="Times New Roman"/>
          <w:lang w:val="en-GB"/>
        </w:rPr>
        <w:t>s</w:t>
      </w:r>
      <w:r w:rsidR="007F5DFA">
        <w:rPr>
          <w:rFonts w:eastAsia="Times New Roman"/>
          <w:lang w:val="en-GB"/>
        </w:rPr>
        <w:t>,</w:t>
      </w:r>
      <w:r w:rsidRPr="00E673DC">
        <w:rPr>
          <w:rFonts w:eastAsia="Times New Roman"/>
          <w:lang w:val="en-GB"/>
        </w:rPr>
        <w:t xml:space="preserve"> which includes activities such as recycling and pollution prevention that seek to improve </w:t>
      </w:r>
      <w:r w:rsidR="007F5DFA">
        <w:rPr>
          <w:rFonts w:eastAsia="Times New Roman"/>
          <w:lang w:val="en-GB"/>
        </w:rPr>
        <w:t xml:space="preserve">the </w:t>
      </w:r>
      <w:r w:rsidR="00DC79D6">
        <w:rPr>
          <w:rFonts w:eastAsia="Times New Roman"/>
          <w:lang w:val="en-GB"/>
        </w:rPr>
        <w:t>organis</w:t>
      </w:r>
      <w:r w:rsidRPr="00E673DC">
        <w:rPr>
          <w:rFonts w:eastAsia="Times New Roman"/>
          <w:lang w:val="en-GB"/>
        </w:rPr>
        <w:t xml:space="preserve">ational performance in addressing environmental issues. Numerous studies </w:t>
      </w:r>
      <w:r w:rsidR="00055399" w:rsidRPr="00E673DC">
        <w:rPr>
          <w:rFonts w:eastAsia="Times New Roman"/>
          <w:lang w:val="en-GB"/>
        </w:rPr>
        <w:fldChar w:fldCharType="begin"/>
      </w:r>
      <w:r w:rsidR="00E72F10" w:rsidRPr="00E673DC">
        <w:rPr>
          <w:rFonts w:eastAsia="Times New Roman"/>
          <w:lang w:val="en-GB"/>
        </w:rPr>
        <w:instrText xml:space="preserve"> ADDIN ZOTERO_ITEM CSL_CITATION {"citationID":"gNQKLpim","properties":{"formattedCitation":"(Jankelov\\uc0\\u225{} et al., 2024; Pillai et al., 2024)","plainCitation":"(Jankelová et al., 2024; Pillai et al., 2024)","noteIndex":0},"citationItems":[{"id":222,"uris":["http://zotero.org/users/local/TOdoVrPG/items/MWLK4HLG"],"itemData":{"id":222,"type":"article-journal","abstract":"Organizational citizenship behavior towards the environment (OCBTE) represents an influential tool for environmental policy implementation in local governments. The present study examines this behavior among the immediate managers of local governments as they are considered essential conduits for transmitting environmental values to employees and citizens living in the administered municipal areas. The study's primary purpose is to explore the relationships of instrumental support for the environment (ISE) of mayors and immediate managers’ OCBTE in municipal governments through mediation-moderation analyses and bring original insights to local government governance. A cross-sectional study was carried out on a sample of 420 managers. The hypotheses were verified through structural equation modelling using SmartPLS 3.3 software. Findings indicate a direct relationship between the mayors’ ISE and the immediate management employees’ OCBTE in the municipalities. The mediating effects of the stakeholder demand (SD) and person-organization fit (POF) hypotheses were confirmed. A significant positive moderating effect of trust in the mayor was also approved. There was no moderating effect confirmed for commitment towards the mayor. These results extend our understanding of the mechanisms behind the pro-environmental micro-level additional role of employee behavior in local government settings and provide new insights into the factors that positively correlate with these behaviors.","container-title":"Review of Managerial Science","DOI":"10.1007/s11846-024-00781-x","ISSN":"1863-6691","journalAbbreviation":"Review of Managerial Science","page":"1 - 32","title":"Enhancing organizational citizenship behavior towards the environment","URL":"https://doi.org/10.1007/s11846-024-00781-x","author":[{"family":"Jankelová","given":"Nadežda"},{"family":"Némethová","given":"Ildikó"},{"family":"Dabić","given":"Marina"},{"family":"Kallmuenzer","given":"Andreas"}],"issued":{"date-parts":[["2024"]]}}},{"id":61,"uris":["http://zotero.org/users/local/TOdoVrPG/items/E5XP3PYF"],"itemData":{"id":61,"type":"article-journal","abstract":"Organisational citizenship behaviour towards the environment (OCBE) aids in both environmental protection and in harnessing sustainable competitive organisational advantage. This study proposed a conceptual research model which investigated managerial perceptions of the relationship between OCBE and economic cost performance (ECP) in the UAE hospitality sector, with green innovative behaviour (GIB) mediating and green training moderating the relationship. Drawing on the theory of planned behaviour and abilities motivation opportunity theory, the study administered 479 structured questionnaires to hotel managers in the UAE using purposive and snowball sampling techniques. Partial least squares structural equation modelling was applied to test the hypotheses in SmartPLS3.3. Findings showed that OCBE had a direct and significant impact on ECP, with GIB emerging both as a direct and mediating predictor. Additionally, green training directly and significantly moderated the OCBE–cost performance relationship. These results evince the integration of sustainable philosophies with innovative mindsets to encourage green innovative endeavours among hotel managers.","container-title":"Business Ethics, the Environment &amp; Responsibility","DOI":"10.1111/beer.12700","ISSN":"2694-6416, 2694-6424","journalAbbreviation":"Business Ethics Env &amp; Resp","language":"en","license":"http://onlinelibrary.wiley.com/termsAndConditions#vor","page":"beer.12700","source":"DOI.org (Crossref)","title":"Assessing the influence of organisational citizenship behaviour towards environment on economic cost performance in &lt;span style=\"font-variant:small-caps;\"&gt;UAE&lt;/span&gt; hotels","title-short":"Assessing the influence of organisational citizenship behaviour towards environment on economic cost performance in &lt;span style=\"font-variant","URL":"https://onlinelibrary.wiley.com/doi/10.1111/beer.12700","author":[{"family":"Pillai","given":"Rekha"},{"family":"Islam","given":"Aminul"},{"family":"Kumar","given":"Parul"},{"family":"Almustafa","given":"Hamza"}],"accessed":{"date-parts":[["2024",10,14]]},"issued":{"date-parts":[["2024"]]}}}],"schema":"https://github.com/citation-style-language/schema/raw/master/csl-citation.json"} </w:instrText>
      </w:r>
      <w:r w:rsidR="00055399" w:rsidRPr="00E673DC">
        <w:rPr>
          <w:rFonts w:eastAsia="Times New Roman"/>
          <w:lang w:val="en-GB"/>
        </w:rPr>
        <w:fldChar w:fldCharType="separate"/>
      </w:r>
      <w:r w:rsidR="00055399" w:rsidRPr="00E673DC">
        <w:rPr>
          <w:lang w:val="en-GB"/>
        </w:rPr>
        <w:t>(Jankelová et al., 2024; Pillai et al., 2024)</w:t>
      </w:r>
      <w:r w:rsidR="00055399" w:rsidRPr="00E673DC">
        <w:rPr>
          <w:rFonts w:eastAsia="Times New Roman"/>
          <w:lang w:val="en-GB"/>
        </w:rPr>
        <w:fldChar w:fldCharType="end"/>
      </w:r>
      <w:r w:rsidR="00055399" w:rsidRPr="00E673DC">
        <w:rPr>
          <w:rFonts w:eastAsia="Times New Roman"/>
          <w:lang w:val="en-GB"/>
        </w:rPr>
        <w:t xml:space="preserve"> </w:t>
      </w:r>
      <w:r w:rsidRPr="00E673DC">
        <w:rPr>
          <w:rFonts w:eastAsia="Times New Roman"/>
          <w:lang w:val="en-GB"/>
        </w:rPr>
        <w:t xml:space="preserve">have highlighted the beneficial effects of </w:t>
      </w:r>
      <w:r w:rsidR="004A12CD" w:rsidRPr="00E673DC">
        <w:rPr>
          <w:rFonts w:eastAsia="Times New Roman"/>
          <w:lang w:val="en-GB"/>
        </w:rPr>
        <w:t>many</w:t>
      </w:r>
      <w:r w:rsidRPr="00E673DC">
        <w:rPr>
          <w:rFonts w:eastAsia="Times New Roman"/>
          <w:lang w:val="en-GB"/>
        </w:rPr>
        <w:t xml:space="preserve"> factors on OCBE, with supervisor support being</w:t>
      </w:r>
      <w:r w:rsidR="005B292B" w:rsidRPr="00E673DC">
        <w:rPr>
          <w:rFonts w:eastAsia="Times New Roman"/>
          <w:lang w:val="en-GB"/>
        </w:rPr>
        <w:t xml:space="preserve"> a pertinent precursor</w:t>
      </w:r>
      <w:r w:rsidRPr="00E673DC">
        <w:rPr>
          <w:rFonts w:eastAsia="Times New Roman"/>
          <w:lang w:val="en-GB"/>
        </w:rPr>
        <w:t xml:space="preserve"> </w:t>
      </w:r>
      <w:r w:rsidRPr="00E673DC">
        <w:rPr>
          <w:rFonts w:eastAsia="Times New Roman"/>
          <w:lang w:val="en-GB"/>
        </w:rPr>
        <w:fldChar w:fldCharType="begin"/>
      </w:r>
      <w:r w:rsidR="00E72F10" w:rsidRPr="00E673DC">
        <w:rPr>
          <w:rFonts w:eastAsia="Times New Roman"/>
          <w:lang w:val="en-GB"/>
        </w:rPr>
        <w:instrText xml:space="preserve"> ADDIN ZOTERO_ITEM CSL_CITATION {"citationID":"1mgdad73","properties":{"formattedCitation":"(Kim et al., 2017)","plainCitation":"(Kim et al., 2017)","noteIndex":0},"citationItems":[{"id":218,"uris":["http://zotero.org/users/local/TOdoVrPG/items/3DL7VRHJ"],"itemData":{"id":218,"type":"article-journal","abstract":"Drawing on a multilevel model of motivation in work groups and a functionalist perspective of citizenship and socially responsible behaviors, we developed and tested a multilevel model of voluntary workplace green behavior that explicates some of the reasons why employees voluntarily engage in green behavior at work. For a sample of 325 office workers organized into 80 work groups in three firms, we found that conscientiousness and moral reflectiveness were associated with the voluntary workplace green behavior of group leaders and individual group members. Furthermore, we found a direct relationship between leader green behavior and the green behavior of individual subordinates as well as an indirect relationship mediated by green advocacy within work groups. Our theory and findings shed new light on the psychological and social conditions and processes that shape voluntary workplace green behavior in organizational settings and suggest implications for organizations striving to improve their social responsibility and environmental sustainability.","container-title":"Journal of Management","DOI":"10.1177/0149206314547386","ISSN":"0149-2063","issue":"5","note":"publisher: SAGE Publications Inc","page":"1335-1358","title":"Multilevel Influences on Voluntary Workplace Green Behavior: Individual Differences, Leader Behavior, and Coworker Advocacy","URL":"https://doi.org/10.1177/0149206314547386","volume":"43","author":[{"family":"Kim","given":"Andrea"},{"family":"Kim","given":"Youngsang"},{"family":"Han","given":"Kyongji"},{"family":"Jackson","given":"Susan E."},{"family":"Ployhart","given":"Robert E."}],"accessed":{"date-parts":[["2025",1,15]]},"issued":{"date-parts":[["2017"]]}}}],"schema":"https://github.com/citation-style-language/schema/raw/master/csl-citation.json"} </w:instrText>
      </w:r>
      <w:r w:rsidRPr="00E673DC">
        <w:rPr>
          <w:rFonts w:eastAsia="Times New Roman"/>
          <w:lang w:val="en-GB"/>
        </w:rPr>
        <w:fldChar w:fldCharType="separate"/>
      </w:r>
      <w:r w:rsidRPr="00E673DC">
        <w:rPr>
          <w:rFonts w:eastAsia="Times New Roman"/>
          <w:lang w:val="en-GB"/>
        </w:rPr>
        <w:t>(Kim et al., 2017)</w:t>
      </w:r>
      <w:r w:rsidRPr="00E673DC">
        <w:rPr>
          <w:rFonts w:eastAsia="Times New Roman"/>
          <w:lang w:val="en-GB"/>
        </w:rPr>
        <w:fldChar w:fldCharType="end"/>
      </w:r>
      <w:r w:rsidRPr="00E673DC">
        <w:rPr>
          <w:rFonts w:eastAsia="Times New Roman"/>
          <w:lang w:val="en-GB"/>
        </w:rPr>
        <w:t xml:space="preserve">. Therefore, it is imperative for managers to motivate rather than coerce employees into engaging in environmentally </w:t>
      </w:r>
      <w:r w:rsidRPr="00E673DC">
        <w:rPr>
          <w:rFonts w:eastAsia="Times New Roman"/>
          <w:lang w:val="en-GB"/>
        </w:rPr>
        <w:lastRenderedPageBreak/>
        <w:t xml:space="preserve">responsible </w:t>
      </w:r>
      <w:r w:rsidR="00DC79D6">
        <w:rPr>
          <w:rFonts w:eastAsia="Times New Roman"/>
          <w:lang w:val="en-GB"/>
        </w:rPr>
        <w:t>behaviour</w:t>
      </w:r>
      <w:r w:rsidRPr="00E673DC">
        <w:rPr>
          <w:rFonts w:eastAsia="Times New Roman"/>
          <w:lang w:val="en-GB"/>
        </w:rPr>
        <w:t xml:space="preserve">s </w:t>
      </w:r>
      <w:r w:rsidRPr="00E673DC">
        <w:rPr>
          <w:rFonts w:eastAsia="Times New Roman"/>
          <w:lang w:val="en-GB"/>
        </w:rPr>
        <w:fldChar w:fldCharType="begin"/>
      </w:r>
      <w:r w:rsidR="00E72F10" w:rsidRPr="00E673DC">
        <w:rPr>
          <w:rFonts w:eastAsia="Times New Roman"/>
          <w:lang w:val="en-GB"/>
        </w:rPr>
        <w:instrText xml:space="preserve"> ADDIN ZOTERO_ITEM CSL_CITATION {"citationID":"t3gC0TU1","properties":{"formattedCitation":"(Jankelov\\uc0\\u225{} et al., 2024)","plainCitation":"(Jankelová et al., 2024)","noteIndex":0},"citationItems":[{"id":222,"uris":["http://zotero.org/users/local/TOdoVrPG/items/MWLK4HLG"],"itemData":{"id":222,"type":"article-journal","abstract":"Organizational citizenship behavior towards the environment (OCBTE) represents an influential tool for environmental policy implementation in local governments. The present study examines this behavior among the immediate managers of local governments as they are considered essential conduits for transmitting environmental values to employees and citizens living in the administered municipal areas. The study's primary purpose is to explore the relationships of instrumental support for the environment (ISE) of mayors and immediate managers’ OCBTE in municipal governments through mediation-moderation analyses and bring original insights to local government governance. A cross-sectional study was carried out on a sample of 420 managers. The hypotheses were verified through structural equation modelling using SmartPLS 3.3 software. Findings indicate a direct relationship between the mayors’ ISE and the immediate management employees’ OCBTE in the municipalities. The mediating effects of the stakeholder demand (SD) and person-organization fit (POF) hypotheses were confirmed. A significant positive moderating effect of trust in the mayor was also approved. There was no moderating effect confirmed for commitment towards the mayor. These results extend our understanding of the mechanisms behind the pro-environmental micro-level additional role of employee behavior in local government settings and provide new insights into the factors that positively correlate with these behaviors.","container-title":"Review of Managerial Science","DOI":"10.1007/s11846-024-00781-x","ISSN":"1863-6691","journalAbbreviation":"Review of Managerial Science","page":"1 - 32","title":"Enhancing organizational citizenship behavior towards the environment","URL":"https://doi.org/10.1007/s11846-024-00781-x","author":[{"family":"Jankelová","given":"Nadežda"},{"family":"Némethová","given":"Ildikó"},{"family":"Dabić","given":"Marina"},{"family":"Kallmuenzer","given":"Andreas"}],"issued":{"date-parts":[["2024"]]}}}],"schema":"https://github.com/citation-style-language/schema/raw/master/csl-citation.json"} </w:instrText>
      </w:r>
      <w:r w:rsidRPr="00E673DC">
        <w:rPr>
          <w:rFonts w:eastAsia="Times New Roman"/>
          <w:lang w:val="en-GB"/>
        </w:rPr>
        <w:fldChar w:fldCharType="separate"/>
      </w:r>
      <w:r w:rsidRPr="00E673DC">
        <w:rPr>
          <w:rFonts w:eastAsia="Times New Roman"/>
          <w:lang w:val="en-GB"/>
        </w:rPr>
        <w:t>(Jankelová et al., 2024)</w:t>
      </w:r>
      <w:r w:rsidRPr="00E673DC">
        <w:rPr>
          <w:rFonts w:eastAsia="Times New Roman"/>
          <w:lang w:val="en-GB"/>
        </w:rPr>
        <w:fldChar w:fldCharType="end"/>
      </w:r>
      <w:r w:rsidRPr="00E673DC">
        <w:rPr>
          <w:rFonts w:eastAsia="Times New Roman"/>
          <w:lang w:val="en-GB"/>
        </w:rPr>
        <w:t xml:space="preserve">. </w:t>
      </w:r>
      <w:r w:rsidR="00EC2F0C" w:rsidRPr="00E673DC">
        <w:rPr>
          <w:rFonts w:eastAsia="Times New Roman"/>
          <w:lang w:val="en-GB"/>
        </w:rPr>
        <w:t>F</w:t>
      </w:r>
      <w:r w:rsidRPr="00E673DC">
        <w:rPr>
          <w:rFonts w:eastAsia="Times New Roman"/>
          <w:lang w:val="en-GB"/>
        </w:rPr>
        <w:t>inally, GHRM practices</w:t>
      </w:r>
      <w:r w:rsidR="005B292B" w:rsidRPr="00E673DC">
        <w:rPr>
          <w:rFonts w:eastAsia="Times New Roman"/>
          <w:lang w:val="en-GB"/>
        </w:rPr>
        <w:t xml:space="preserve"> in the form of GL&amp;D and GR&amp;C </w:t>
      </w:r>
      <w:r w:rsidRPr="00E673DC">
        <w:rPr>
          <w:rFonts w:eastAsia="Times New Roman"/>
          <w:lang w:val="en-GB"/>
        </w:rPr>
        <w:t xml:space="preserve">seek to develop environmental awareness and foster proactive employee citizenship </w:t>
      </w:r>
      <w:r w:rsidR="00DC79D6">
        <w:rPr>
          <w:rFonts w:eastAsia="Times New Roman"/>
          <w:lang w:val="en-GB"/>
        </w:rPr>
        <w:t>behaviour</w:t>
      </w:r>
      <w:r w:rsidRPr="00E673DC">
        <w:rPr>
          <w:rFonts w:eastAsia="Times New Roman"/>
          <w:lang w:val="en-GB"/>
        </w:rPr>
        <w:t xml:space="preserve"> and commitment toward</w:t>
      </w:r>
      <w:r w:rsidR="007F5DFA">
        <w:rPr>
          <w:rFonts w:eastAsia="Times New Roman"/>
          <w:lang w:val="en-GB"/>
        </w:rPr>
        <w:t>s</w:t>
      </w:r>
      <w:r w:rsidRPr="00E673DC">
        <w:rPr>
          <w:rFonts w:eastAsia="Times New Roman"/>
          <w:lang w:val="en-GB"/>
        </w:rPr>
        <w:t xml:space="preserve"> environment sustainability </w:t>
      </w:r>
      <w:r w:rsidRPr="00E673DC">
        <w:rPr>
          <w:rFonts w:eastAsia="Times New Roman"/>
          <w:lang w:val="en-GB"/>
        </w:rPr>
        <w:fldChar w:fldCharType="begin"/>
      </w:r>
      <w:r w:rsidRPr="00E673DC">
        <w:rPr>
          <w:rFonts w:eastAsia="Times New Roman"/>
          <w:lang w:val="en-GB"/>
        </w:rPr>
        <w:instrText xml:space="preserve"> ADDIN ZOTERO_ITEM CSL_CITATION {"citationID":"RMV02dTX","properties":{"formattedCitation":"(Pham et al., 2018)","plainCitation":"(Pham et al., 2018)","noteIndex":0},"citationItems":[{"id":191,"uris":["http://zotero.org/users/local/TOdoVrPG/items/4MNKBTE9"],"itemData":{"id":191,"type":"article-journal","abstract":"The environmental concern has become an emerging topic in organization’s human resource management strategy, especially in improving employee’s environmental behavior at work. Thus, the organizational citizenship behavior toward the environment (OCBE) has been currently attracting scholars in management. However, published studies contain research gaps in investigation of the relationships between both green training and organizational culture and OCBE, especially in the hotel industry. Following the social exchange and Ability-MotivationOpportunity theories, this study aims to examine the effects of two green practices on OCBE and the moderating role of green organizational culture to the effect of green training on OCBE. A quantitative approach with survey strategy is employed and conducted in 4-5 star hotels to test these relationships. The PLS-SEM and K-means Cluster Analysis techniques are applied to analyze data. The findings reveal that green training and organizational culture positively influence OCBE. Also, the effect of green training on OCBE is moderated by green organizational culture. Finally, our study provides limitations of research and further studies, and the implications for management practices concerned with improving employee’s voluntary eco-behavior in the hotel industry.","container-title":"Management &amp; Marketing","DOI":"https://doi.org/10.2478/mmcks-2018-0030","ISSN":"2069-8887","issue":"4","language":"en","page":"1174 - 1189","source":"Zotero","title":"Enhancing the organizational citizenship behavior for the environment: the roles of green training and organizational culture","URL":"https://sciendo.com/article/10.2478/mmcks-2018-0030","volume":"13","author":[{"family":"Pham","given":"Nhat Tan"},{"family":"Phan","given":"Quyen Phu Thi"},{"family":"Tučková","given":"Zuzana"}],"issued":{"date-parts":[["2018"]]}}}],"schema":"https://github.com/citation-style-language/schema/raw/master/csl-citation.json"} </w:instrText>
      </w:r>
      <w:r w:rsidRPr="00E673DC">
        <w:rPr>
          <w:rFonts w:eastAsia="Times New Roman"/>
          <w:lang w:val="en-GB"/>
        </w:rPr>
        <w:fldChar w:fldCharType="separate"/>
      </w:r>
      <w:r w:rsidRPr="00E673DC">
        <w:rPr>
          <w:lang w:val="en-GB"/>
        </w:rPr>
        <w:t>(Pham et al., 2018)</w:t>
      </w:r>
      <w:r w:rsidRPr="00E673DC">
        <w:rPr>
          <w:rFonts w:eastAsia="Times New Roman"/>
          <w:lang w:val="en-GB"/>
        </w:rPr>
        <w:fldChar w:fldCharType="end"/>
      </w:r>
      <w:r w:rsidRPr="00E673DC">
        <w:rPr>
          <w:rFonts w:eastAsia="Times New Roman"/>
          <w:lang w:val="en-GB"/>
        </w:rPr>
        <w:t xml:space="preserve">. </w:t>
      </w:r>
      <w:r w:rsidRPr="00E673DC">
        <w:rPr>
          <w:lang w:val="en-GB"/>
        </w:rPr>
        <w:t xml:space="preserve">According to Ahmad </w:t>
      </w:r>
      <w:r w:rsidRPr="00E673DC">
        <w:rPr>
          <w:lang w:val="en-GB"/>
        </w:rPr>
        <w:fldChar w:fldCharType="begin"/>
      </w:r>
      <w:r w:rsidRPr="00E673DC">
        <w:rPr>
          <w:lang w:val="en-GB"/>
        </w:rPr>
        <w:instrText xml:space="preserve"> ADDIN ZOTERO_ITEM CSL_CITATION {"citationID":"swOodzvl","properties":{"formattedCitation":"(2015)","plainCitation":"(2015)","noteIndex":0},"citationItems":[{"id":189,"uris":["http://zotero.org/users/local/TOdoVrPG/items/MDVPFP4E"],"itemData":{"id":189,"type":"article-journal","abstract":"Recently, there has been observed an increasing awareness within business communities on the significance of going green and adopting various environment management techniques. As the corporate world is going global, the business is experiencing a shift from a conventional financial structure to a modern capacity-based economy which is ready to explore green economic facets of business. Today, Green Human Resource Management (GHRM) has become a key business strategy for the significant organizations where Human Resource Departments play an active part in going green at the office. The paper largely focuses upon the various Green Human Resource Practices pursued by the organizations all over the world and, explains the simplified meaning of GHRM. The study also adds to the extant literature by discussing future direction of some GHRM functions. Finally, the paper suggests some potentially prolific HR initiatives for Green organizations.","container-title":"Cogent business &amp; management","DOI":"http://dx.doi.org/10.1080/23311975.2015.1030817","issue":"1","language":"en","source":"Zotero","title":"Green Human Resource Management: Policies and practices","URL":"https://www.tandfonline.com/doi/epdf/10.1080/23311975.2015.1030817?needAccess=true","volume":"2","author":[{"family":"Ahmad","given":"Shoeb"}],"issued":{"date-parts":[["2015"]]}},"suppress-author":true}],"schema":"https://github.com/citation-style-language/schema/raw/master/csl-citation.json"} </w:instrText>
      </w:r>
      <w:r w:rsidRPr="00E673DC">
        <w:rPr>
          <w:lang w:val="en-GB"/>
        </w:rPr>
        <w:fldChar w:fldCharType="separate"/>
      </w:r>
      <w:r w:rsidRPr="00E673DC">
        <w:rPr>
          <w:lang w:val="en-GB"/>
        </w:rPr>
        <w:t>(2015)</w:t>
      </w:r>
      <w:r w:rsidRPr="00E673DC">
        <w:rPr>
          <w:lang w:val="en-GB"/>
        </w:rPr>
        <w:fldChar w:fldCharType="end"/>
      </w:r>
      <w:r w:rsidRPr="00E673DC">
        <w:rPr>
          <w:lang w:val="en-GB"/>
        </w:rPr>
        <w:t xml:space="preserve">, the majority of employees demonstrate a strong commitment to the environment and show increased dedication and job satisfaction when working for an </w:t>
      </w:r>
      <w:r w:rsidR="00DC79D6">
        <w:rPr>
          <w:lang w:val="en-GB"/>
        </w:rPr>
        <w:t>organis</w:t>
      </w:r>
      <w:r w:rsidRPr="00E673DC">
        <w:rPr>
          <w:lang w:val="en-GB"/>
        </w:rPr>
        <w:t xml:space="preserve">ation that actively pursues environmentally friendly practices and </w:t>
      </w:r>
      <w:r w:rsidR="007F5DFA">
        <w:rPr>
          <w:lang w:val="en-GB"/>
        </w:rPr>
        <w:t xml:space="preserve">being </w:t>
      </w:r>
      <w:r w:rsidRPr="00E673DC">
        <w:rPr>
          <w:lang w:val="en-GB"/>
        </w:rPr>
        <w:t xml:space="preserve">ready to go </w:t>
      </w:r>
      <w:r w:rsidR="007F5DFA">
        <w:rPr>
          <w:lang w:val="en-GB"/>
        </w:rPr>
        <w:t>"g</w:t>
      </w:r>
      <w:r w:rsidRPr="00E673DC">
        <w:rPr>
          <w:lang w:val="en-GB"/>
        </w:rPr>
        <w:t>reen</w:t>
      </w:r>
      <w:r w:rsidR="007F5DFA">
        <w:rPr>
          <w:lang w:val="en-GB"/>
        </w:rPr>
        <w:t>"</w:t>
      </w:r>
      <w:r w:rsidRPr="00E673DC">
        <w:rPr>
          <w:lang w:val="en-GB"/>
        </w:rPr>
        <w:t xml:space="preserve">. </w:t>
      </w:r>
      <w:r w:rsidR="007F5DFA">
        <w:rPr>
          <w:lang w:val="en-GB"/>
        </w:rPr>
        <w:t>G</w:t>
      </w:r>
      <w:r w:rsidR="00536A9D" w:rsidRPr="00E673DC">
        <w:rPr>
          <w:lang w:val="en-GB"/>
        </w:rPr>
        <w:t xml:space="preserve">HRM practices equip employees with skills and motivation for pro-environmental actions </w:t>
      </w:r>
      <w:r w:rsidR="00EC2F0C" w:rsidRPr="00E673DC">
        <w:rPr>
          <w:lang w:val="en-GB"/>
        </w:rPr>
        <w:fldChar w:fldCharType="begin"/>
      </w:r>
      <w:r w:rsidR="00EC2F0C" w:rsidRPr="00E673DC">
        <w:rPr>
          <w:lang w:val="en-GB"/>
        </w:rPr>
        <w:instrText xml:space="preserve"> ADDIN ZOTERO_ITEM CSL_CITATION {"citationID":"XSJxdpEO","properties":{"formattedCitation":"(Pham et al., 2018; Tang et al., 2018)","plainCitation":"(Pham et al., 2018; Tang et al., 2018)","noteIndex":0},"citationItems":[{"id":191,"uris":["http://zotero.org/users/local/TOdoVrPG/items/4MNKBTE9"],"itemData":{"id":191,"type":"article-journal","abstract":"The environmental concern has become an emerging topic in organization’s human resource management strategy, especially in improving employee’s environmental behavior at work. Thus, the organizational citizenship behavior toward the environment (OCBE) has been currently attracting scholars in management. However, published studies contain research gaps in investigation of the relationships between both green training and organizational culture and OCBE, especially in the hotel industry. Following the social exchange and Ability-MotivationOpportunity theories, this study aims to examine the effects of two green practices on OCBE and the moderating role of green organizational culture to the effect of green training on OCBE. A quantitative approach with survey strategy is employed and conducted in 4-5 star hotels to test these relationships. The PLS-SEM and K-means Cluster Analysis techniques are applied to analyze data. The findings reveal that green training and organizational culture positively influence OCBE. Also, the effect of green training on OCBE is moderated by green organizational culture. Finally, our study provides limitations of research and further studies, and the implications for management practices concerned with improving employee’s voluntary eco-behavior in the hotel industry.","container-title":"Management &amp; Marketing","DOI":"https://doi.org/10.2478/mmcks-2018-0030","ISSN":"2069-8887","issue":"4","language":"en","page":"1174 - 1189","source":"Zotero","title":"Enhancing the organizational citizenship behavior for the environment: the roles of green training and organizational culture","URL":"https://sciendo.com/article/10.2478/mmcks-2018-0030","volume":"13","author":[{"family":"Pham","given":"Nhat Tan"},{"family":"Phan","given":"Quyen Phu Thi"},{"family":"Tučková","given":"Zuzana"}],"issued":{"date-parts":[["2018"]]}}},{"id":205,"uris":["http://zotero.org/users/local/TOdoVrPG/items/B7AZC9GG"],"itemData":{"id":205,"type":"article-journal","abstract":"Previous studies on green human resource management (GHRM) are mainly positioned at theoretical or qualitative level. There is urgent need to develop a valid measurement of GHRM and then to offer more insights into the implication of it on individual or organizational performance. The aim of this study was to propose and validate an instrument to measure GHRM. Based on exploratory analysis (study 1), it was established that GHRM includes ﬁve dimensions: green recruitment and selection, green training, green performance management, green pay and reward, and green involvement. Conﬁrmatory factor analysis (study 2) was used to conﬁrm the factor structure of study 1. The results indicated that the proposed measurement is valid. This study is the ﬁrst and also the most comprehensive one to measure main human resource practices for environmental management, which can provide broader focus for further research and for practitioners.","container-title":"Asia Paciﬁc Journal of Human Resources","DOI":"https://doi.org/10.1111/1744-7941.12147","issue":"1","language":"en","page":"31 - 55","source":"Zotero","title":"Green human resource management practices: scale development and validity","URL":"https://onlinelibrary.wiley.com/doi/10.1111/1744-7941.12147","volume":"56","author":[{"family":"Tang","given":"Guiyao"},{"family":"Chen","given":"Yang"},{"family":"Jiang","given":"Yuan"},{"family":"Paille","given":"Pascal"},{"family":"Jia","given":"Jin"}],"issued":{"date-parts":[["2018"]]}}}],"schema":"https://github.com/citation-style-language/schema/raw/master/csl-citation.json"} </w:instrText>
      </w:r>
      <w:r w:rsidR="00EC2F0C" w:rsidRPr="00E673DC">
        <w:rPr>
          <w:lang w:val="en-GB"/>
        </w:rPr>
        <w:fldChar w:fldCharType="separate"/>
      </w:r>
      <w:r w:rsidR="00EC2F0C" w:rsidRPr="00E673DC">
        <w:rPr>
          <w:lang w:val="en-GB"/>
        </w:rPr>
        <w:t>(Pham et al., 2018; Tang et al., 2018)</w:t>
      </w:r>
      <w:r w:rsidR="00EC2F0C" w:rsidRPr="00E673DC">
        <w:rPr>
          <w:lang w:val="en-GB"/>
        </w:rPr>
        <w:fldChar w:fldCharType="end"/>
      </w:r>
      <w:r w:rsidR="00EC2F0C" w:rsidRPr="00E673DC">
        <w:rPr>
          <w:lang w:val="en-GB"/>
        </w:rPr>
        <w:t xml:space="preserve">. These initiatives </w:t>
      </w:r>
      <w:r w:rsidR="00536A9D" w:rsidRPr="00E673DC">
        <w:rPr>
          <w:lang w:val="en-GB"/>
        </w:rPr>
        <w:t>aid</w:t>
      </w:r>
      <w:r w:rsidR="00EC2F0C" w:rsidRPr="00E673DC">
        <w:rPr>
          <w:lang w:val="en-GB"/>
        </w:rPr>
        <w:t xml:space="preserve"> employees to </w:t>
      </w:r>
      <w:r w:rsidR="00521208" w:rsidRPr="00E673DC">
        <w:rPr>
          <w:lang w:val="en-GB"/>
        </w:rPr>
        <w:t>participate</w:t>
      </w:r>
      <w:r w:rsidR="00EC2F0C" w:rsidRPr="00E673DC">
        <w:rPr>
          <w:lang w:val="en-GB"/>
        </w:rPr>
        <w:t xml:space="preserve"> in eco-friendly </w:t>
      </w:r>
      <w:r w:rsidR="00521208" w:rsidRPr="00E673DC">
        <w:rPr>
          <w:lang w:val="en-GB"/>
        </w:rPr>
        <w:t>endeavo</w:t>
      </w:r>
      <w:r w:rsidR="007F5DFA">
        <w:rPr>
          <w:lang w:val="en-GB"/>
        </w:rPr>
        <w:t>u</w:t>
      </w:r>
      <w:r w:rsidR="00521208" w:rsidRPr="00E673DC">
        <w:rPr>
          <w:lang w:val="en-GB"/>
        </w:rPr>
        <w:t>rs</w:t>
      </w:r>
      <w:r w:rsidR="00EC2F0C" w:rsidRPr="00E673DC">
        <w:rPr>
          <w:lang w:val="en-GB"/>
        </w:rPr>
        <w:t xml:space="preserve">, support colleagues in sustainability efforts, and contribute to </w:t>
      </w:r>
      <w:r w:rsidR="00DC79D6">
        <w:rPr>
          <w:lang w:val="en-GB"/>
        </w:rPr>
        <w:t>organis</w:t>
      </w:r>
      <w:r w:rsidR="00EC2F0C" w:rsidRPr="00E673DC">
        <w:rPr>
          <w:lang w:val="en-GB"/>
        </w:rPr>
        <w:t xml:space="preserve">ational environmental goals </w:t>
      </w:r>
      <w:r w:rsidR="00EC2F0C" w:rsidRPr="00E673DC">
        <w:rPr>
          <w:lang w:val="en-GB"/>
        </w:rPr>
        <w:fldChar w:fldCharType="begin"/>
      </w:r>
      <w:r w:rsidR="00E72F10" w:rsidRPr="00E673DC">
        <w:rPr>
          <w:lang w:val="en-GB"/>
        </w:rPr>
        <w:instrText xml:space="preserve"> ADDIN ZOTERO_ITEM CSL_CITATION {"citationID":"PCnATfDE","properties":{"formattedCitation":"(Boiral &amp; Paill\\uc0\\u233{}, 2012)","plainCitation":"(Boiral &amp; Paillé, 2012)","noteIndex":0},"citationItems":[{"id":89,"uris":["http://zotero.org/users/local/TOdoVrPG/items/EFTYDN7E"],"itemData":{"id":89,"type":"article-journal","container-title":"Journal of Business Ethics","DOI":"10.1007/s10551-011-1138-9","ISSN":"0167-4544, 1573-0697","issue":"4","journalAbbreviation":"J Bus Ethics","language":"en","license":"http://www.springer.com/tdm","page":"431-445","source":"DOI.org (Crossref)","title":"Organizational Citizenship Behaviour for the Environment: Measurement and Validation","title-short":"Organizational Citizenship Behaviour for the Environment","URL":"http://link.springer.com/10.1007/s10551-011-1138-9","volume":"109","author":[{"family":"Boiral","given":"Olivier"},{"family":"Paillé","given":"Pascal"}],"accessed":{"date-parts":[["2024",10,24]]},"issued":{"date-parts":[["2012"]]}}}],"schema":"https://github.com/citation-style-language/schema/raw/master/csl-citation.json"} </w:instrText>
      </w:r>
      <w:r w:rsidR="00EC2F0C" w:rsidRPr="00E673DC">
        <w:rPr>
          <w:lang w:val="en-GB"/>
        </w:rPr>
        <w:fldChar w:fldCharType="separate"/>
      </w:r>
      <w:r w:rsidR="004E3527" w:rsidRPr="00E673DC">
        <w:rPr>
          <w:lang w:val="en-GB"/>
        </w:rPr>
        <w:t>(Boiral &amp; Paillé, 2012)</w:t>
      </w:r>
      <w:r w:rsidR="00EC2F0C" w:rsidRPr="00E673DC">
        <w:rPr>
          <w:lang w:val="en-GB"/>
        </w:rPr>
        <w:fldChar w:fldCharType="end"/>
      </w:r>
      <w:r w:rsidR="00EC2F0C" w:rsidRPr="00E673DC">
        <w:rPr>
          <w:lang w:val="en-GB"/>
        </w:rPr>
        <w:t xml:space="preserve">. While research highlights the benefits of GHRM </w:t>
      </w:r>
      <w:r w:rsidR="00387FC4">
        <w:rPr>
          <w:lang w:val="en-GB"/>
        </w:rPr>
        <w:t>for</w:t>
      </w:r>
      <w:r w:rsidR="00EC2F0C" w:rsidRPr="00E673DC">
        <w:rPr>
          <w:lang w:val="en-GB"/>
        </w:rPr>
        <w:t xml:space="preserve"> workplace sustainability, its direct influence on OCBE, particularly in government </w:t>
      </w:r>
      <w:r w:rsidR="00DC79D6">
        <w:rPr>
          <w:lang w:val="en-GB"/>
        </w:rPr>
        <w:t>organis</w:t>
      </w:r>
      <w:r w:rsidR="00EC2F0C" w:rsidRPr="00E673DC">
        <w:rPr>
          <w:lang w:val="en-GB"/>
        </w:rPr>
        <w:t xml:space="preserve">ations, remains underexplored. Additionally, the role of GIB in strengthening this connection has received little </w:t>
      </w:r>
      <w:r w:rsidR="00521208" w:rsidRPr="00E673DC">
        <w:rPr>
          <w:lang w:val="en-GB"/>
        </w:rPr>
        <w:t>interest</w:t>
      </w:r>
      <w:r w:rsidR="00EC2F0C" w:rsidRPr="00E673DC">
        <w:rPr>
          <w:lang w:val="en-GB"/>
        </w:rPr>
        <w:t xml:space="preserve"> </w:t>
      </w:r>
      <w:r w:rsidR="004E3527" w:rsidRPr="00E673DC">
        <w:rPr>
          <w:lang w:val="en-GB"/>
        </w:rPr>
        <w:fldChar w:fldCharType="begin"/>
      </w:r>
      <w:r w:rsidR="00E72F10" w:rsidRPr="00E673DC">
        <w:rPr>
          <w:lang w:val="en-GB"/>
        </w:rPr>
        <w:instrText xml:space="preserve"> ADDIN ZOTERO_ITEM CSL_CITATION {"citationID":"x4wLn5gg","properties":{"formattedCitation":"(Jankelov\\uc0\\u225{} et al., 2024; Kim et al., 2017)","plainCitation":"(Jankelová et al., 2024; Kim et al., 2017)","noteIndex":0},"citationItems":[{"id":222,"uris":["http://zotero.org/users/local/TOdoVrPG/items/MWLK4HLG"],"itemData":{"id":222,"type":"article-journal","abstract":"Organizational citizenship behavior towards the environment (OCBTE) represents an influential tool for environmental policy implementation in local governments. The present study examines this behavior among the immediate managers of local governments as they are considered essential conduits for transmitting environmental values to employees and citizens living in the administered municipal areas. The study's primary purpose is to explore the relationships of instrumental support for the environment (ISE) of mayors and immediate managers’ OCBTE in municipal governments through mediation-moderation analyses and bring original insights to local government governance. A cross-sectional study was carried out on a sample of 420 managers. The hypotheses were verified through structural equation modelling using SmartPLS 3.3 software. Findings indicate a direct relationship between the mayors’ ISE and the immediate management employees’ OCBTE in the municipalities. The mediating effects of the stakeholder demand (SD) and person-organization fit (POF) hypotheses were confirmed. A significant positive moderating effect of trust in the mayor was also approved. There was no moderating effect confirmed for commitment towards the mayor. These results extend our understanding of the mechanisms behind the pro-environmental micro-level additional role of employee behavior in local government settings and provide new insights into the factors that positively correlate with these behaviors.","container-title":"Review of Managerial Science","DOI":"10.1007/s11846-024-00781-x","ISSN":"1863-6691","journalAbbreviation":"Review of Managerial Science","page":"1 - 32","title":"Enhancing organizational citizenship behavior towards the environment","URL":"https://doi.org/10.1007/s11846-024-00781-x","author":[{"family":"Jankelová","given":"Nadežda"},{"family":"Némethová","given":"Ildikó"},{"family":"Dabić","given":"Marina"},{"family":"Kallmuenzer","given":"Andreas"}],"issued":{"date-parts":[["2024"]]}}},{"id":218,"uris":["http://zotero.org/users/local/TOdoVrPG/items/3DL7VRHJ"],"itemData":{"id":218,"type":"article-journal","abstract":"Drawing on a multilevel model of motivation in work groups and a functionalist perspective of citizenship and socially responsible behaviors, we developed and tested a multilevel model of voluntary workplace green behavior that explicates some of the reasons why employees voluntarily engage in green behavior at work. For a sample of 325 office workers organized into 80 work groups in three firms, we found that conscientiousness and moral reflectiveness were associated with the voluntary workplace green behavior of group leaders and individual group members. Furthermore, we found a direct relationship between leader green behavior and the green behavior of individual subordinates as well as an indirect relationship mediated by green advocacy within work groups. Our theory and findings shed new light on the psychological and social conditions and processes that shape voluntary workplace green behavior in organizational settings and suggest implications for organizations striving to improve their social responsibility and environmental sustainability.","container-title":"Journal of Management","DOI":"10.1177/0149206314547386","ISSN":"0149-2063","issue":"5","note":"publisher: SAGE Publications Inc","page":"1335-1358","title":"Multilevel Influences on Voluntary Workplace Green Behavior: Individual Differences, Leader Behavior, and Coworker Advocacy","URL":"https://doi.org/10.1177/0149206314547386","volume":"43","author":[{"family":"Kim","given":"Andrea"},{"family":"Kim","given":"Youngsang"},{"family":"Han","given":"Kyongji"},{"family":"Jackson","given":"Susan E."},{"family":"Ployhart","given":"Robert E."}],"accessed":{"date-parts":[["2025",1,15]]},"issued":{"date-parts":[["2017"]]}}}],"schema":"https://github.com/citation-style-language/schema/raw/master/csl-citation.json"} </w:instrText>
      </w:r>
      <w:r w:rsidR="004E3527" w:rsidRPr="00E673DC">
        <w:rPr>
          <w:lang w:val="en-GB"/>
        </w:rPr>
        <w:fldChar w:fldCharType="separate"/>
      </w:r>
      <w:r w:rsidR="004E3527" w:rsidRPr="00E673DC">
        <w:rPr>
          <w:lang w:val="en-GB"/>
        </w:rPr>
        <w:t>(Jankelová et al., 2024; Kim et al., 2017)</w:t>
      </w:r>
      <w:r w:rsidR="004E3527" w:rsidRPr="00E673DC">
        <w:rPr>
          <w:lang w:val="en-GB"/>
        </w:rPr>
        <w:fldChar w:fldCharType="end"/>
      </w:r>
      <w:r w:rsidR="00EC2F0C" w:rsidRPr="00E673DC">
        <w:rPr>
          <w:lang w:val="en-GB"/>
        </w:rPr>
        <w:t>.</w:t>
      </w:r>
    </w:p>
    <w:p w14:paraId="07F07A82" w14:textId="3D0BF841" w:rsidR="00D13C36" w:rsidRPr="00E673DC" w:rsidRDefault="007F5DFA" w:rsidP="00716EE2">
      <w:pPr>
        <w:pStyle w:val="Heading3"/>
        <w:rPr>
          <w:lang w:val="en-GB"/>
        </w:rPr>
      </w:pPr>
      <w:bookmarkStart w:id="10" w:name="_Toc187929093"/>
      <w:bookmarkStart w:id="11" w:name="_Toc197952391"/>
      <w:bookmarkStart w:id="12" w:name="_Hlk191544007"/>
      <w:r>
        <w:rPr>
          <w:lang w:val="en-GB"/>
        </w:rPr>
        <w:t>G</w:t>
      </w:r>
      <w:r w:rsidR="00D13C36" w:rsidRPr="00E673DC">
        <w:rPr>
          <w:lang w:val="en-GB"/>
        </w:rPr>
        <w:t>HRM Practices</w:t>
      </w:r>
      <w:bookmarkEnd w:id="10"/>
      <w:r w:rsidR="005D6E84" w:rsidRPr="00E673DC">
        <w:rPr>
          <w:lang w:val="en-GB"/>
        </w:rPr>
        <w:t xml:space="preserve"> and OCBE</w:t>
      </w:r>
      <w:bookmarkEnd w:id="11"/>
    </w:p>
    <w:p w14:paraId="7549A813" w14:textId="28CC95CE" w:rsidR="00D13C36" w:rsidRPr="00E673DC" w:rsidRDefault="005D6E84" w:rsidP="00D77795">
      <w:pPr>
        <w:ind w:firstLine="720"/>
        <w:rPr>
          <w:rFonts w:eastAsia="Times New Roman"/>
          <w:lang w:val="en-GB"/>
        </w:rPr>
      </w:pPr>
      <w:r w:rsidRPr="00E673DC">
        <w:rPr>
          <w:rFonts w:eastAsia="Times New Roman"/>
          <w:lang w:val="en-GB"/>
        </w:rPr>
        <w:t>Prior l</w:t>
      </w:r>
      <w:r w:rsidR="00D13C36" w:rsidRPr="00E673DC">
        <w:rPr>
          <w:rFonts w:eastAsia="Times New Roman"/>
          <w:lang w:val="en-GB"/>
        </w:rPr>
        <w:t xml:space="preserve">iterature concluded many definitions for </w:t>
      </w:r>
      <w:r w:rsidR="007F5DFA">
        <w:rPr>
          <w:rFonts w:eastAsia="Times New Roman"/>
          <w:lang w:val="en-GB"/>
        </w:rPr>
        <w:t>G</w:t>
      </w:r>
      <w:r w:rsidR="00D13C36" w:rsidRPr="00E673DC">
        <w:rPr>
          <w:rFonts w:eastAsia="Times New Roman"/>
          <w:lang w:val="en-GB"/>
        </w:rPr>
        <w:t xml:space="preserve">HRM. Ren </w:t>
      </w:r>
      <w:r w:rsidR="007F5DFA">
        <w:rPr>
          <w:rFonts w:eastAsia="Times New Roman"/>
          <w:lang w:val="en-GB"/>
        </w:rPr>
        <w:t>and</w:t>
      </w:r>
      <w:r w:rsidR="00D13C36" w:rsidRPr="00E673DC">
        <w:rPr>
          <w:rFonts w:eastAsia="Times New Roman"/>
          <w:lang w:val="en-GB"/>
        </w:rPr>
        <w:t xml:space="preserve"> Hussain </w:t>
      </w:r>
      <w:r w:rsidR="00D13C36" w:rsidRPr="00E673DC">
        <w:rPr>
          <w:rFonts w:eastAsia="Times New Roman"/>
          <w:lang w:val="en-GB"/>
        </w:rPr>
        <w:fldChar w:fldCharType="begin"/>
      </w:r>
      <w:r w:rsidR="00D13C36" w:rsidRPr="00E673DC">
        <w:rPr>
          <w:rFonts w:eastAsia="Times New Roman"/>
          <w:lang w:val="en-GB"/>
        </w:rPr>
        <w:instrText xml:space="preserve"> ADDIN ZOTERO_ITEM CSL_CITATION {"citationID":"3WmXNO3u","properties":{"formattedCitation":"(2022)","plainCitation":"(2022)","noteIndex":0},"citationItems":[{"id":152,"uris":["http://zotero.org/users/local/TOdoVrPG/items/YI3VE577"],"itemData":{"id":152,"type":"article-journal","container-title":"Frontiers in Environmental Science, 10, 973692.","language":"en","source":"Zotero","title":"A mediated–moderated model for green human resource management: An employee perspective","author":[{"family":"Ren","given":"Zhengyu"},{"family":"Hussain","given":"Rana Yassir"}],"issued":{"date-parts":[["2022"]]}},"suppress-author":true}],"schema":"https://github.com/citation-style-language/schema/raw/master/csl-citation.json"} </w:instrText>
      </w:r>
      <w:r w:rsidR="00D13C36" w:rsidRPr="00E673DC">
        <w:rPr>
          <w:rFonts w:eastAsia="Times New Roman"/>
          <w:lang w:val="en-GB"/>
        </w:rPr>
        <w:fldChar w:fldCharType="separate"/>
      </w:r>
      <w:r w:rsidR="00D13C36" w:rsidRPr="00D77795">
        <w:rPr>
          <w:rFonts w:eastAsia="Times New Roman"/>
          <w:lang w:val="en-GB"/>
        </w:rPr>
        <w:t>(2022)</w:t>
      </w:r>
      <w:r w:rsidR="00D13C36" w:rsidRPr="00E673DC">
        <w:rPr>
          <w:rFonts w:eastAsia="Times New Roman"/>
          <w:lang w:val="en-GB"/>
        </w:rPr>
        <w:fldChar w:fldCharType="end"/>
      </w:r>
      <w:r w:rsidR="00D13C36" w:rsidRPr="00E673DC">
        <w:rPr>
          <w:rFonts w:eastAsia="Times New Roman"/>
          <w:lang w:val="en-GB"/>
        </w:rPr>
        <w:t xml:space="preserve"> defined GHRM as the </w:t>
      </w:r>
      <w:r w:rsidR="00521208" w:rsidRPr="00E673DC">
        <w:rPr>
          <w:rFonts w:eastAsia="Times New Roman"/>
          <w:lang w:val="en-GB"/>
        </w:rPr>
        <w:t>implementation</w:t>
      </w:r>
      <w:r w:rsidR="00D13C36" w:rsidRPr="00E673DC">
        <w:rPr>
          <w:rFonts w:eastAsia="Times New Roman"/>
          <w:lang w:val="en-GB"/>
        </w:rPr>
        <w:t xml:space="preserve"> of HR</w:t>
      </w:r>
      <w:r w:rsidR="00521208" w:rsidRPr="00E673DC">
        <w:rPr>
          <w:rFonts w:eastAsia="Times New Roman"/>
          <w:lang w:val="en-GB"/>
        </w:rPr>
        <w:t>M</w:t>
      </w:r>
      <w:r w:rsidR="00D13C36" w:rsidRPr="00E673DC">
        <w:rPr>
          <w:rFonts w:eastAsia="Times New Roman"/>
          <w:lang w:val="en-GB"/>
        </w:rPr>
        <w:t xml:space="preserve"> practices and strategies designed to </w:t>
      </w:r>
      <w:r w:rsidR="00521208" w:rsidRPr="00E673DC">
        <w:rPr>
          <w:rFonts w:eastAsia="Times New Roman"/>
          <w:lang w:val="en-GB"/>
        </w:rPr>
        <w:t>urge</w:t>
      </w:r>
      <w:r w:rsidR="00D13C36" w:rsidRPr="00E673DC">
        <w:rPr>
          <w:rFonts w:eastAsia="Times New Roman"/>
          <w:lang w:val="en-GB"/>
        </w:rPr>
        <w:t xml:space="preserve"> the sustainable and responsible </w:t>
      </w:r>
      <w:r w:rsidR="007F5DFA">
        <w:rPr>
          <w:rFonts w:eastAsia="Times New Roman"/>
          <w:lang w:val="en-GB"/>
        </w:rPr>
        <w:t>utilis</w:t>
      </w:r>
      <w:r w:rsidR="00D13C36" w:rsidRPr="00E673DC">
        <w:rPr>
          <w:rFonts w:eastAsia="Times New Roman"/>
          <w:lang w:val="en-GB"/>
        </w:rPr>
        <w:t xml:space="preserve">ation of resources for environmental conservation. Shafaei et al. </w:t>
      </w:r>
      <w:r w:rsidR="00D13C36" w:rsidRPr="00E673DC">
        <w:rPr>
          <w:rFonts w:eastAsia="Times New Roman"/>
          <w:lang w:val="en-GB"/>
        </w:rPr>
        <w:fldChar w:fldCharType="begin"/>
      </w:r>
      <w:r w:rsidR="00E72F10" w:rsidRPr="00E673DC">
        <w:rPr>
          <w:rFonts w:eastAsia="Times New Roman"/>
          <w:lang w:val="en-GB"/>
        </w:rPr>
        <w:instrText xml:space="preserve"> ADDIN ZOTERO_ITEM CSL_CITATION {"citationID":"G3W32oDL","properties":{"formattedCitation":"(2020)","plainCitation":"(2020)","noteIndex":0},"citationItems":[{"id":165,"uris":["http://zotero.org/users/local/TOdoVrPG/items/RS5NWS2K"],"itemData":{"id":165,"type":"article-journal","abstract":"Purpose The study aimed to provide insights on antecedent and outcome of green HRM at the organisational level and the outcome of green HRM at the individual level. It also sought to examine the mechanism through which green HRM would lead to employees’ positive outcome. Design/methodology/approach A quantitative study design using a two-study approach was employed to collect and analyse the data. For study 1, 206 hotels from Malaysia were included in analysis at the organisational level, while in study 2 at the individual level, 508 employees from different sectors provided insights through an online questionnaire. For both studies, partial least squares (PLS–SEM) was used to assess the research model. Findings All the proposed hypotheses were supported. Specifically, at the organisational level, organisational environmental culture is positively related to green HRM, and green HRM management positively associates with organisation's environmental performance. At the individual level, green HRM positively influences employees' job satisfaction, and meaningfulness through work is a strong mediator in this relationship. Originality/value This study is significant as it contributes to both theory and practice by providing fresh insights on green HRM and its antecedent and outcomes at two levels (organisational and individual) and across two economies (emerging and developed). It also sheds some light on the outcome of green HRM at the employee level which is an area that is still under-researched. By focusing on meaningfulness through work as an important factor, the study contributes to better understanding of green HRM and employees’ positive outcomes.","container-title":"International Journal of Manpower","DOI":"10.1108/IJM-08-2019-0406","ISSN":"0143-7720","issue":"7","note":"publisher: Emerald Publishing Limited","page":"1041-1060","title":"Green human resource management","URL":"https://doi.org/10.1108/IJM-08-2019-0406","volume":"41","author":[{"family":"Shafaei","given":"Azadeh"},{"family":"Nejati","given":"Mehran"},{"family":"Mohd Yusoff","given":"Yusmani"}],"accessed":{"date-parts":[["2025",1,14]]},"issued":{"date-parts":[["2020"]]}},"suppress-author":true}],"schema":"https://github.com/citation-style-language/schema/raw/master/csl-citation.json"} </w:instrText>
      </w:r>
      <w:r w:rsidR="00D13C36" w:rsidRPr="00E673DC">
        <w:rPr>
          <w:rFonts w:eastAsia="Times New Roman"/>
          <w:lang w:val="en-GB"/>
        </w:rPr>
        <w:fldChar w:fldCharType="separate"/>
      </w:r>
      <w:r w:rsidR="00D13C36" w:rsidRPr="00E673DC">
        <w:rPr>
          <w:lang w:val="en-GB"/>
        </w:rPr>
        <w:t>(2020)</w:t>
      </w:r>
      <w:r w:rsidR="00D13C36" w:rsidRPr="00E673DC">
        <w:rPr>
          <w:rFonts w:eastAsia="Times New Roman"/>
          <w:lang w:val="en-GB"/>
        </w:rPr>
        <w:fldChar w:fldCharType="end"/>
      </w:r>
      <w:r w:rsidR="00D13C36" w:rsidRPr="00E673DC">
        <w:rPr>
          <w:rFonts w:eastAsia="Times New Roman"/>
          <w:lang w:val="en-GB"/>
        </w:rPr>
        <w:t xml:space="preserve"> </w:t>
      </w:r>
      <w:r w:rsidR="00536A9D" w:rsidRPr="00E673DC">
        <w:rPr>
          <w:rFonts w:eastAsia="Times New Roman"/>
          <w:lang w:val="en-GB"/>
        </w:rPr>
        <w:t>mentioned</w:t>
      </w:r>
      <w:r w:rsidR="00D13C36" w:rsidRPr="00E673DC">
        <w:rPr>
          <w:rFonts w:eastAsia="Times New Roman"/>
          <w:lang w:val="en-GB"/>
        </w:rPr>
        <w:t xml:space="preserve"> that GHRM primarily refers to the considerations of both employees and employers in developing and implementing practices for the </w:t>
      </w:r>
      <w:r w:rsidR="00DC79D6">
        <w:rPr>
          <w:rFonts w:eastAsia="Times New Roman"/>
          <w:lang w:val="en-GB"/>
        </w:rPr>
        <w:t>organis</w:t>
      </w:r>
      <w:r w:rsidR="00D13C36" w:rsidRPr="00E673DC">
        <w:rPr>
          <w:rFonts w:eastAsia="Times New Roman"/>
          <w:lang w:val="en-GB"/>
        </w:rPr>
        <w:t>ation's ecological planning</w:t>
      </w:r>
      <w:r w:rsidR="00387FC4">
        <w:rPr>
          <w:rFonts w:eastAsia="Times New Roman"/>
          <w:lang w:val="en-GB"/>
        </w:rPr>
        <w:t>,</w:t>
      </w:r>
      <w:r w:rsidR="00D13C36" w:rsidRPr="00E673DC">
        <w:rPr>
          <w:rFonts w:eastAsia="Times New Roman"/>
          <w:lang w:val="en-GB"/>
        </w:rPr>
        <w:t xml:space="preserve"> while Nagendra </w:t>
      </w:r>
      <w:r w:rsidR="007F5DFA">
        <w:rPr>
          <w:rFonts w:eastAsia="Times New Roman"/>
          <w:lang w:val="en-GB"/>
        </w:rPr>
        <w:t>and</w:t>
      </w:r>
      <w:r w:rsidR="00D13C36" w:rsidRPr="00E673DC">
        <w:rPr>
          <w:rFonts w:eastAsia="Times New Roman"/>
          <w:lang w:val="en-GB"/>
        </w:rPr>
        <w:t xml:space="preserve"> Kansal </w:t>
      </w:r>
      <w:r w:rsidR="00D13C36" w:rsidRPr="00E673DC">
        <w:rPr>
          <w:rFonts w:eastAsia="Times New Roman"/>
          <w:lang w:val="en-GB"/>
        </w:rPr>
        <w:fldChar w:fldCharType="begin"/>
      </w:r>
      <w:r w:rsidR="00D13C36" w:rsidRPr="00E673DC">
        <w:rPr>
          <w:rFonts w:eastAsia="Times New Roman"/>
          <w:lang w:val="en-GB"/>
        </w:rPr>
        <w:instrText xml:space="preserve"> ADDIN ZOTERO_ITEM CSL_CITATION {"citationID":"RuLtVm3S","properties":{"formattedCitation":"(2015)","plainCitation":"(2015)","noteIndex":0},"citationItems":[{"id":167,"uris":["http://zotero.org/users/local/TOdoVrPG/items/7G4ZCZ72"],"itemData":{"id":167,"type":"article-journal","container-title":"SAMVAD, 8","journalAbbreviation":"SAMVAD, 8","language":"en","title":"Reducing carbon footprint through green HRM","title-short":"Reducing carbon footprint through green HRM","author":[{"family":"Nagendra","given":"A"},{"family":"Kansal","given":"S"}],"accessed":{"date-parts":[["2024",10,14]]},"issued":{"date-parts":[["2015"]]}},"suppress-author":true}],"schema":"https://github.com/citation-style-language/schema/raw/master/csl-citation.json"} </w:instrText>
      </w:r>
      <w:r w:rsidR="00D13C36" w:rsidRPr="00E673DC">
        <w:rPr>
          <w:rFonts w:eastAsia="Times New Roman"/>
          <w:lang w:val="en-GB"/>
        </w:rPr>
        <w:fldChar w:fldCharType="separate"/>
      </w:r>
      <w:r w:rsidR="00D13C36" w:rsidRPr="00E673DC">
        <w:rPr>
          <w:lang w:val="en-GB"/>
        </w:rPr>
        <w:t>(2015)</w:t>
      </w:r>
      <w:r w:rsidR="00D13C36" w:rsidRPr="00E673DC">
        <w:rPr>
          <w:rFonts w:eastAsia="Times New Roman"/>
          <w:lang w:val="en-GB"/>
        </w:rPr>
        <w:fldChar w:fldCharType="end"/>
      </w:r>
      <w:r w:rsidR="00D13C36" w:rsidRPr="00E673DC">
        <w:rPr>
          <w:rFonts w:eastAsia="Times New Roman"/>
          <w:lang w:val="en-GB"/>
        </w:rPr>
        <w:t xml:space="preserve"> interpreted GHRM as the </w:t>
      </w:r>
      <w:r w:rsidR="00521208" w:rsidRPr="00E673DC">
        <w:rPr>
          <w:rFonts w:eastAsia="Times New Roman"/>
          <w:lang w:val="en-GB"/>
        </w:rPr>
        <w:t>environmental</w:t>
      </w:r>
      <w:r w:rsidR="00D13C36" w:rsidRPr="00E673DC">
        <w:rPr>
          <w:rFonts w:eastAsia="Times New Roman"/>
          <w:lang w:val="en-GB"/>
        </w:rPr>
        <w:t xml:space="preserve"> conditions of </w:t>
      </w:r>
      <w:r w:rsidR="00521208" w:rsidRPr="00E673DC">
        <w:rPr>
          <w:rFonts w:eastAsia="Times New Roman"/>
          <w:lang w:val="en-GB"/>
        </w:rPr>
        <w:t>financial,</w:t>
      </w:r>
      <w:r w:rsidR="00D13C36" w:rsidRPr="00E673DC">
        <w:rPr>
          <w:rFonts w:eastAsia="Times New Roman"/>
          <w:lang w:val="en-GB"/>
        </w:rPr>
        <w:t xml:space="preserve"> foreign</w:t>
      </w:r>
      <w:r w:rsidR="007F5DFA">
        <w:rPr>
          <w:rFonts w:eastAsia="Times New Roman"/>
          <w:lang w:val="en-GB"/>
        </w:rPr>
        <w:t>,</w:t>
      </w:r>
      <w:r w:rsidR="00D13C36" w:rsidRPr="00E673DC">
        <w:rPr>
          <w:rFonts w:eastAsia="Times New Roman"/>
          <w:lang w:val="en-GB"/>
        </w:rPr>
        <w:t xml:space="preserve"> and </w:t>
      </w:r>
      <w:r w:rsidR="00521208" w:rsidRPr="00E673DC">
        <w:rPr>
          <w:rFonts w:eastAsia="Times New Roman"/>
          <w:lang w:val="en-GB"/>
        </w:rPr>
        <w:t>business</w:t>
      </w:r>
      <w:r w:rsidR="00D13C36" w:rsidRPr="00E673DC">
        <w:rPr>
          <w:rFonts w:eastAsia="Times New Roman"/>
          <w:lang w:val="en-GB"/>
        </w:rPr>
        <w:t xml:space="preserve"> policies </w:t>
      </w:r>
      <w:r w:rsidR="007F5DFA">
        <w:rPr>
          <w:rFonts w:eastAsia="Times New Roman"/>
          <w:lang w:val="en-GB"/>
        </w:rPr>
        <w:t xml:space="preserve">that </w:t>
      </w:r>
      <w:r w:rsidR="00D13C36" w:rsidRPr="00E673DC">
        <w:rPr>
          <w:rFonts w:eastAsia="Times New Roman"/>
          <w:lang w:val="en-GB"/>
        </w:rPr>
        <w:t xml:space="preserve">aim to promote eco-friendly </w:t>
      </w:r>
      <w:r w:rsidR="00D13C36" w:rsidRPr="00E673DC">
        <w:rPr>
          <w:rFonts w:eastAsia="Times New Roman"/>
          <w:lang w:val="en-GB"/>
        </w:rPr>
        <w:lastRenderedPageBreak/>
        <w:t xml:space="preserve">practices by encouraging production in a cleaner environment, reducing paper consumption, maintaining high retention rates, and implementing suitable waste disposal methods. </w:t>
      </w:r>
      <w:r w:rsidR="00521208" w:rsidRPr="00E673DC">
        <w:rPr>
          <w:lang w:val="en-GB"/>
        </w:rPr>
        <w:t xml:space="preserve">GHRM incorporates environmental management goals into HR practices to enhance </w:t>
      </w:r>
      <w:r w:rsidR="00536A9D" w:rsidRPr="00E673DC">
        <w:rPr>
          <w:lang w:val="en-GB"/>
        </w:rPr>
        <w:t>performance</w:t>
      </w:r>
      <w:r w:rsidR="00521208" w:rsidRPr="00E673DC">
        <w:rPr>
          <w:lang w:val="en-GB"/>
        </w:rPr>
        <w:t xml:space="preserve"> and achieve a competitive advantage </w:t>
      </w:r>
      <w:r w:rsidR="00521208" w:rsidRPr="00E673DC">
        <w:rPr>
          <w:lang w:val="en-GB"/>
        </w:rPr>
        <w:fldChar w:fldCharType="begin"/>
      </w:r>
      <w:r w:rsidR="00521208" w:rsidRPr="00E673DC">
        <w:rPr>
          <w:lang w:val="en-GB"/>
        </w:rPr>
        <w:instrText xml:space="preserve"> ADDIN ZOTERO_ITEM CSL_CITATION {"citationID":"t268mXxg","properties":{"formattedCitation":"(Malik et al., 2021)","plainCitation":"(Malik et al., 2021)","noteIndex":0},"citationItems":[{"id":173,"uris":["http://zotero.org/users/local/TOdoVrPG/items/VP35VTX5"],"itemData":{"id":173,"type":"article-journal","abstract":"The manufacturing sector is one of the major sources contributing towards economies as well as environmental pollution. Contributing to the theory of ability motivation opportunity theory, the aim of the current study was to investigate the mediating role of organizational citizenship behavior towards the environment on the relationship between green human resources management (green recruitment and selection, green training, green rewards, and green performance evaluation), corporate social responsibility, and sustainable performance (economic, social, and environmental performance). The quantitative survey research design was used in the current study and structured questionnaires were distributed for the collection of data. The cross-sectional data were collected from 150 ﬁrms. Sample of the study was consisted of HRM managers, directors. Total 200 questionnaires were distributed but 150 completed responses were received and analyzed. A structured questionnaire was used. For data analysis, smart partial least square structural equation modeling (PLS-SEM) was used. The measurement model and the structural model were developed and tested in the study. The measurement model aim was to investigate and establish reliabilities and validities of the instrument while to test hypotheses structural model was formulated/developed. Results revealed that the instrument was found reliable and valid; the instrument has met all standard criteria for average variance extracted, composite/construct reliability factor loadings, and alpha values. While structural models illustrated that all hypotheses are accepted. It is concluded from the results that organizational citizenship behavior towards the environment signiﬁcantly mediated the relationship between corporate social responsibility and green human resource management practices. This implies that organizational citizenship behavior towards environment signiﬁcantly effects sustainable performance. The originality of the current study lies in highlighting corporate social responsibility, green human resources management practices to enhance sustainable performance through organizational citizenship behavior towards environment.","container-title":"Sustainability, 13(3), 1044.","DOI":"https://doi.org/10.3390/su13031044","language":"en","source":"Zotero","title":"Corporate Social Responsibility, Green Human Resources Management, and Sustainable Performance: Is Organizational Citizenship Behavior towards Environment the Missing Link?","author":[{"family":"Malik","given":"Saqib Yaqoob"},{"family":"Mughal","given":"Yasir Hayat"},{"family":"Azam","given":"Tamoor"},{"family":"Cao","given":"Yukun"},{"family":"Wan","given":"Zhifang"},{"family":"Zhu","given":"Hongge"},{"family":"Thurasamy","given":"Ramayah"}],"issued":{"date-parts":[["2021"]]}}}],"schema":"https://github.com/citation-style-language/schema/raw/master/csl-citation.json"} </w:instrText>
      </w:r>
      <w:r w:rsidR="00521208" w:rsidRPr="00E673DC">
        <w:rPr>
          <w:lang w:val="en-GB"/>
        </w:rPr>
        <w:fldChar w:fldCharType="separate"/>
      </w:r>
      <w:r w:rsidR="00521208" w:rsidRPr="00E673DC">
        <w:rPr>
          <w:lang w:val="en-GB"/>
        </w:rPr>
        <w:t>(Malik et al., 2021)</w:t>
      </w:r>
      <w:r w:rsidR="00521208" w:rsidRPr="00E673DC">
        <w:rPr>
          <w:lang w:val="en-GB"/>
        </w:rPr>
        <w:fldChar w:fldCharType="end"/>
      </w:r>
      <w:r w:rsidR="00D13C36" w:rsidRPr="00E673DC">
        <w:rPr>
          <w:rFonts w:eastAsia="Times New Roman"/>
          <w:lang w:val="en-GB"/>
        </w:rPr>
        <w:t xml:space="preserve">. In this study, </w:t>
      </w:r>
      <w:r w:rsidRPr="00E673DC">
        <w:rPr>
          <w:rFonts w:eastAsia="Times New Roman"/>
          <w:lang w:val="en-GB"/>
        </w:rPr>
        <w:t xml:space="preserve">two pillars </w:t>
      </w:r>
      <w:r w:rsidR="00F8610F" w:rsidRPr="00E673DC">
        <w:rPr>
          <w:rFonts w:eastAsia="Times New Roman"/>
          <w:lang w:val="en-GB"/>
        </w:rPr>
        <w:t>of GHRM</w:t>
      </w:r>
      <w:r w:rsidR="00D13C36" w:rsidRPr="00E673DC">
        <w:rPr>
          <w:rFonts w:eastAsia="Times New Roman"/>
          <w:lang w:val="en-GB"/>
        </w:rPr>
        <w:t xml:space="preserve"> practices</w:t>
      </w:r>
      <w:r w:rsidRPr="00E673DC">
        <w:rPr>
          <w:rFonts w:eastAsia="Times New Roman"/>
          <w:lang w:val="en-GB"/>
        </w:rPr>
        <w:t xml:space="preserve"> are explored</w:t>
      </w:r>
      <w:r w:rsidR="00D13C36" w:rsidRPr="00E673DC">
        <w:rPr>
          <w:rFonts w:eastAsia="Times New Roman"/>
          <w:lang w:val="en-GB"/>
        </w:rPr>
        <w:t>, which are GL&amp;D and GR&amp;</w:t>
      </w:r>
      <w:r w:rsidR="00F8610F" w:rsidRPr="00E673DC">
        <w:rPr>
          <w:rFonts w:eastAsia="Times New Roman"/>
          <w:lang w:val="en-GB"/>
        </w:rPr>
        <w:t>C,</w:t>
      </w:r>
      <w:r w:rsidRPr="00E673DC">
        <w:rPr>
          <w:rFonts w:eastAsia="Times New Roman"/>
          <w:lang w:val="en-GB"/>
        </w:rPr>
        <w:t xml:space="preserve"> respectively</w:t>
      </w:r>
      <w:r w:rsidR="00D13C36" w:rsidRPr="00E673DC">
        <w:rPr>
          <w:rFonts w:eastAsia="Times New Roman"/>
          <w:lang w:val="en-GB"/>
        </w:rPr>
        <w:t xml:space="preserve">. GL&amp;D aims to enhance employees' capabilities in environmental protection while bolstering their skills, </w:t>
      </w:r>
      <w:r w:rsidR="00521208" w:rsidRPr="00E673DC">
        <w:rPr>
          <w:rFonts w:eastAsia="Times New Roman"/>
          <w:lang w:val="en-GB"/>
        </w:rPr>
        <w:t>understanding</w:t>
      </w:r>
      <w:r w:rsidR="00D13C36" w:rsidRPr="00E673DC">
        <w:rPr>
          <w:rFonts w:eastAsia="Times New Roman"/>
          <w:lang w:val="en-GB"/>
        </w:rPr>
        <w:t xml:space="preserve">, and knowledge of sustainable </w:t>
      </w:r>
      <w:r w:rsidR="00521208" w:rsidRPr="00E673DC">
        <w:rPr>
          <w:rFonts w:eastAsia="Times New Roman"/>
          <w:lang w:val="en-GB"/>
        </w:rPr>
        <w:t>performance</w:t>
      </w:r>
      <w:r w:rsidR="00D13C36" w:rsidRPr="00E673DC">
        <w:rPr>
          <w:rFonts w:eastAsia="Times New Roman"/>
          <w:lang w:val="en-GB"/>
        </w:rPr>
        <w:t xml:space="preserve"> </w:t>
      </w:r>
      <w:r w:rsidR="00D13C36" w:rsidRPr="00E673DC">
        <w:rPr>
          <w:rFonts w:eastAsia="Times New Roman"/>
          <w:lang w:val="en-GB"/>
        </w:rPr>
        <w:fldChar w:fldCharType="begin"/>
      </w:r>
      <w:r w:rsidR="00D13C36" w:rsidRPr="00E673DC">
        <w:rPr>
          <w:rFonts w:eastAsia="Times New Roman"/>
          <w:lang w:val="en-GB"/>
        </w:rPr>
        <w:instrText xml:space="preserve"> ADDIN ZOTERO_ITEM CSL_CITATION {"citationID":"ShIX2BML","properties":{"formattedCitation":"(Amrutha &amp; Geetha, 2020; Tang et al., 2018)","plainCitation":"(Amrutha &amp; Geetha, 2020; Tang et al., 2018)","noteIndex":0},"citationItems":[{"id":202,"uris":["http://zotero.org/users/local/TOdoVrPG/items/J632DZT5"],"itemData":{"id":202,"type":"article-journal","abstract":"This article identiﬁes current progressions and research gaps in Green Human Resource Management literature and investigates the future of green practices in meeting the social sustainability requirements of an organisation. Considering the growing awareness on greening and sustainability, a systematic review of the domain speciﬁc literature was carried out using the Scopus and Google Scholar databases which resulted in a set of 174 scientiﬁc articles between 1995 and 2019. NVivo Plus software version 12 was used for quantitative processing as well as qualitative analysis of data. Content coding and cluster analysis were performed, the results of which exhibited three clusters namely, green human resource management practices, employee green behaviour at workplace and organisational sustainability. Further manual analysis revealed social sustainability to be the least explored area than economic and environmental pillars of sustainability. From this, the authors conceptually explored a theoretical model suggesting the mediational role of ‘employee green behaviour at workplace’ in the relationship between ‘green human resource management practices’ and ‘social sustainability’ of organisations using grounded theory approach. Therefore, prioritising social equity, health, wellness and well-being, this work examines the state-of-the-art in green human resource management research to unravel the enormous potential of core green practices envisioning social sustainability, which has not been established till date. Based on the content coding, clustering, and further analysis, propositions, future paths and implications are also presented.","container-title":"Journal of Cleaner production","DOI":"https://doi.org/10.1016/j.jclepro.2019.119131","journalAbbreviation":"Journal of Cleaner Production","language":"en","page":"119131","source":"Zotero","title":"A systematic review on green human resource management: Implications for social sustainability","URL":"https://www.sciencedirect.com/science/article/pii/S0959652619340016","volume":"247","author":[{"family":"Amrutha","given":"V N"},{"family":"Geetha","given":"S.N."}],"issued":{"date-parts":[["2020"]]}}},{"id":205,"uris":["http://zotero.org/users/local/TOdoVrPG/items/B7AZC9GG"],"itemData":{"id":205,"type":"article-journal","abstract":"Previous studies on green human resource management (GHRM) are mainly positioned at theoretical or qualitative level. There is urgent need to develop a valid measurement of GHRM and then to offer more insights into the implication of it on individual or organizational performance. The aim of this study was to propose and validate an instrument to measure GHRM. Based on exploratory analysis (study 1), it was established that GHRM includes ﬁve dimensions: green recruitment and selection, green training, green performance management, green pay and reward, and green involvement. Conﬁrmatory factor analysis (study 2) was used to conﬁrm the factor structure of study 1. The results indicated that the proposed measurement is valid. This study is the ﬁrst and also the most comprehensive one to measure main human resource practices for environmental management, which can provide broader focus for further research and for practitioners.","container-title":"Asia Paciﬁc Journal of Human Resources","DOI":"https://doi.org/10.1111/1744-7941.12147","issue":"1","language":"en","page":"31 - 55","source":"Zotero","title":"Green human resource management practices: scale development and validity","URL":"https://onlinelibrary.wiley.com/doi/10.1111/1744-7941.12147","volume":"56","author":[{"family":"Tang","given":"Guiyao"},{"family":"Chen","given":"Yang"},{"family":"Jiang","given":"Yuan"},{"family":"Paille","given":"Pascal"},{"family":"Jia","given":"Jin"}],"issued":{"date-parts":[["2018"]]}}}],"schema":"https://github.com/citation-style-language/schema/raw/master/csl-citation.json"} </w:instrText>
      </w:r>
      <w:r w:rsidR="00D13C36" w:rsidRPr="00E673DC">
        <w:rPr>
          <w:rFonts w:eastAsia="Times New Roman"/>
          <w:lang w:val="en-GB"/>
        </w:rPr>
        <w:fldChar w:fldCharType="separate"/>
      </w:r>
      <w:r w:rsidR="00D13C36" w:rsidRPr="00E673DC">
        <w:rPr>
          <w:rFonts w:eastAsia="Times New Roman"/>
          <w:lang w:val="en-GB"/>
        </w:rPr>
        <w:t>(Amrutha &amp; Geetha, 2020; Tang et al., 2018)</w:t>
      </w:r>
      <w:r w:rsidR="00D13C36" w:rsidRPr="00E673DC">
        <w:rPr>
          <w:rFonts w:eastAsia="Times New Roman"/>
          <w:lang w:val="en-GB"/>
        </w:rPr>
        <w:fldChar w:fldCharType="end"/>
      </w:r>
      <w:r w:rsidR="00A61F6A">
        <w:rPr>
          <w:rFonts w:eastAsia="Times New Roman"/>
          <w:lang w:val="en-GB"/>
        </w:rPr>
        <w:t>,</w:t>
      </w:r>
      <w:r w:rsidRPr="00E673DC">
        <w:rPr>
          <w:rFonts w:eastAsia="Times New Roman"/>
          <w:lang w:val="en-GB"/>
        </w:rPr>
        <w:t xml:space="preserve"> and </w:t>
      </w:r>
      <w:r w:rsidR="00D13C36" w:rsidRPr="00E673DC">
        <w:rPr>
          <w:rFonts w:eastAsia="Times New Roman"/>
          <w:lang w:val="en-GB"/>
        </w:rPr>
        <w:t xml:space="preserve">GR&amp;C </w:t>
      </w:r>
      <w:r w:rsidR="00A61F6A">
        <w:rPr>
          <w:rFonts w:eastAsia="Times New Roman"/>
          <w:lang w:val="en-GB"/>
        </w:rPr>
        <w:t xml:space="preserve">is </w:t>
      </w:r>
      <w:r w:rsidR="00D13C36" w:rsidRPr="00E673DC">
        <w:rPr>
          <w:rFonts w:eastAsia="Times New Roman"/>
          <w:lang w:val="en-GB"/>
        </w:rPr>
        <w:t xml:space="preserve">provided by the </w:t>
      </w:r>
      <w:r w:rsidR="00DC79D6">
        <w:rPr>
          <w:rFonts w:eastAsia="Times New Roman"/>
          <w:lang w:val="en-GB"/>
        </w:rPr>
        <w:t>organis</w:t>
      </w:r>
      <w:r w:rsidR="00D13C36" w:rsidRPr="00E673DC">
        <w:rPr>
          <w:rFonts w:eastAsia="Times New Roman"/>
          <w:lang w:val="en-GB"/>
        </w:rPr>
        <w:t xml:space="preserve">ation in recognition of employees' green performance </w:t>
      </w:r>
      <w:r w:rsidR="00D13C36" w:rsidRPr="00E673DC">
        <w:rPr>
          <w:rFonts w:eastAsia="Times New Roman"/>
          <w:lang w:val="en-GB"/>
        </w:rPr>
        <w:fldChar w:fldCharType="begin"/>
      </w:r>
      <w:r w:rsidR="00E72F10" w:rsidRPr="00E673DC">
        <w:rPr>
          <w:rFonts w:eastAsia="Times New Roman"/>
          <w:lang w:val="en-GB"/>
        </w:rPr>
        <w:instrText xml:space="preserve"> ADDIN ZOTERO_ITEM CSL_CITATION {"citationID":"YFF916rl","properties":{"formattedCitation":"(Jabbour, 2011)","plainCitation":"(Jabbour, 2011)","noteIndex":0},"citationItems":[{"id":206,"uris":["http://zotero.org/users/local/TOdoVrPG/items/6CZMPU87"],"itemData":{"id":206,"type":"article-journal","abstract":"Purpose The objective of this paper is to analyze the level of greening of HRM practices, organizational culture, learning, and teamwork in Brazilian companies. Design/methodology/approach The author surveyed 94 Brazilian companies with ISO 14001 certification. Findings Contrasting the data, two important conclusions can be drawn. The first one is related to the importance of considering the alignment of the human resource practices systematically in order to put workers in control of environmental management. The second conclusion is about the little formalization of the inclusion of environmental issues in traditional human resource practices, which can later badly affect the good performance observed in the formation of teams, organizational culture, and learning resulting in a negative cycle. Originality/value The greening of HRM, organizational culture, learning and teamwork is an emerging topic for scholars and consultants.","container-title":"Industrial and Commercial Training","DOI":"10.1108/00197851111108926","ISSN":"0019-7858","issue":"2","note":"publisher: Emerald Group Publishing Limited","page":"98-105","title":"How green are HRM practices, organizational culture, learning and teamwork? A Brazilian study","URL":"https://doi.org/10.1108/00197851111108926","volume":"43","author":[{"family":"Jabbour","given":"Charbel Jose Chiappetta"}],"accessed":{"date-parts":[["2025",1,15]]},"issued":{"date-parts":[["2011"]]}}}],"schema":"https://github.com/citation-style-language/schema/raw/master/csl-citation.json"} </w:instrText>
      </w:r>
      <w:r w:rsidR="00D13C36" w:rsidRPr="00E673DC">
        <w:rPr>
          <w:rFonts w:eastAsia="Times New Roman"/>
          <w:lang w:val="en-GB"/>
        </w:rPr>
        <w:fldChar w:fldCharType="separate"/>
      </w:r>
      <w:r w:rsidR="00D13C36" w:rsidRPr="00E673DC">
        <w:rPr>
          <w:rFonts w:eastAsia="Times New Roman"/>
          <w:lang w:val="en-GB"/>
        </w:rPr>
        <w:t>(Jabbour, 2011)</w:t>
      </w:r>
      <w:r w:rsidR="00D13C36" w:rsidRPr="00E673DC">
        <w:rPr>
          <w:rFonts w:eastAsia="Times New Roman"/>
          <w:lang w:val="en-GB"/>
        </w:rPr>
        <w:fldChar w:fldCharType="end"/>
      </w:r>
      <w:r w:rsidR="00D13C36" w:rsidRPr="00E673DC">
        <w:rPr>
          <w:rFonts w:eastAsia="Times New Roman"/>
          <w:lang w:val="en-GB"/>
        </w:rPr>
        <w:t>.</w:t>
      </w:r>
      <w:r w:rsidRPr="00E673DC">
        <w:rPr>
          <w:rFonts w:eastAsia="Times New Roman"/>
          <w:lang w:val="en-GB"/>
        </w:rPr>
        <w:t xml:space="preserve"> </w:t>
      </w:r>
      <w:bookmarkEnd w:id="12"/>
      <w:r w:rsidR="00D13C36" w:rsidRPr="00E673DC">
        <w:rPr>
          <w:rFonts w:eastAsia="Times New Roman"/>
          <w:lang w:val="en-GB"/>
        </w:rPr>
        <w:t xml:space="preserve">GL&amp;D encompasses designing activities aimed at enhancing employees' awareness of environmental protection. It focuses on imparting fundamental energy-saving </w:t>
      </w:r>
      <w:r w:rsidR="00521208" w:rsidRPr="00E673DC">
        <w:rPr>
          <w:rFonts w:eastAsia="Times New Roman"/>
          <w:lang w:val="en-GB"/>
        </w:rPr>
        <w:t>methods</w:t>
      </w:r>
      <w:r w:rsidR="00D13C36" w:rsidRPr="00E673DC">
        <w:rPr>
          <w:rFonts w:eastAsia="Times New Roman"/>
          <w:lang w:val="en-GB"/>
        </w:rPr>
        <w:t xml:space="preserve">, </w:t>
      </w:r>
      <w:r w:rsidR="00A61F6A">
        <w:rPr>
          <w:rFonts w:eastAsia="Times New Roman"/>
          <w:lang w:val="en-GB"/>
        </w:rPr>
        <w:t>optimis</w:t>
      </w:r>
      <w:r w:rsidR="00D13C36" w:rsidRPr="00E673DC">
        <w:rPr>
          <w:rFonts w:eastAsia="Times New Roman"/>
          <w:lang w:val="en-GB"/>
        </w:rPr>
        <w:t>ing efficiency, and minimi</w:t>
      </w:r>
      <w:r w:rsidR="00A61F6A">
        <w:rPr>
          <w:rFonts w:eastAsia="Times New Roman"/>
          <w:lang w:val="en-GB"/>
        </w:rPr>
        <w:t>s</w:t>
      </w:r>
      <w:r w:rsidR="00D13C36" w:rsidRPr="00E673DC">
        <w:rPr>
          <w:rFonts w:eastAsia="Times New Roman"/>
          <w:lang w:val="en-GB"/>
        </w:rPr>
        <w:t xml:space="preserve">ing waste and natural resource </w:t>
      </w:r>
      <w:r w:rsidR="007F5DFA">
        <w:rPr>
          <w:rFonts w:eastAsia="Times New Roman"/>
          <w:lang w:val="en-GB"/>
        </w:rPr>
        <w:t>utilis</w:t>
      </w:r>
      <w:r w:rsidR="00521208" w:rsidRPr="00E673DC">
        <w:rPr>
          <w:rFonts w:eastAsia="Times New Roman"/>
          <w:lang w:val="en-GB"/>
        </w:rPr>
        <w:t>ation</w:t>
      </w:r>
      <w:r w:rsidR="00D13C36" w:rsidRPr="00E673DC">
        <w:rPr>
          <w:rFonts w:eastAsia="Times New Roman"/>
          <w:lang w:val="en-GB"/>
        </w:rPr>
        <w:t xml:space="preserve">. It supports employees' voluntary activities by equipping them with essential knowledge. This enables them to link environmental awareness with </w:t>
      </w:r>
      <w:r w:rsidR="00DC79D6">
        <w:rPr>
          <w:rFonts w:eastAsia="Times New Roman"/>
          <w:lang w:val="en-GB"/>
        </w:rPr>
        <w:t>behaviour</w:t>
      </w:r>
      <w:r w:rsidR="00D13C36" w:rsidRPr="00E673DC">
        <w:rPr>
          <w:rFonts w:eastAsia="Times New Roman"/>
          <w:lang w:val="en-GB"/>
        </w:rPr>
        <w:t xml:space="preserve">, effectively addressing environmental issues </w:t>
      </w:r>
      <w:r w:rsidR="00D13C36" w:rsidRPr="00E673DC">
        <w:rPr>
          <w:rFonts w:eastAsia="Times New Roman"/>
          <w:lang w:val="en-GB"/>
        </w:rPr>
        <w:fldChar w:fldCharType="begin"/>
      </w:r>
      <w:r w:rsidR="00E72F10" w:rsidRPr="00E673DC">
        <w:rPr>
          <w:rFonts w:eastAsia="Times New Roman"/>
          <w:lang w:val="en-GB"/>
        </w:rPr>
        <w:instrText xml:space="preserve"> ADDIN ZOTERO_ITEM CSL_CITATION {"citationID":"QrojYldM","properties":{"formattedCitation":"(Anwar et al., 2020)","plainCitation":"(Anwar et al., 2020)","noteIndex":0},"citationItems":[{"id":175,"uris":["http://zotero.org/users/local/TOdoVrPG/items/7MT3AF3K"],"itemData":{"id":175,"type":"article-journal","abstract":"The slow and inefficient environmental performance of universities is drawing the attention of scholars towards behavioural change in employees rather than just relying on technological upgrades. Drawing upon the Ability-Motivation-Opportunity (AMO) theory, the purpose of this study is first to examine the influence of Green Human Resource Management (HRM) practices (green competence building practices, green motivation enhancing practices, and green employee involvement practices) on the organisational citizenship behaviour towards the environment (OCBE) of academic staff and, in turn, its impact on the environmental performance. Second, the mediating impact of OCBE between each of Green HRM practices and environmental performance is assessed. The data were collected from September until November 2017 on two campuses of a renowned public research university in Malaysia. Using quantitative research design, a structured questionnaire was used among the academic staff of the university. Convenience sampling was used to select the respondents from both campuses, and the Partial Least Squares (PLS) modelling technique was used to analyse the data, which comprised 122 respondents. Overall findings showed that three sets of Green HRM practices based on the Ability-Motivation-Opportunity framework had a significant impact on OCBE. Furthermore, OCBE had a significant relationship with environmental performance. For the mediation analysis, the results showed that OCBE exhibited by academic staff acted as a means through which the Green HRM practices of a university can positively influence the environmental performance of a university campus. The originality of this study rests in shedding light on Green HRM practices in the higher education sector and highlighting the critical role of academic staff’s environmentally friendly behaviour for improving the environmental performance of a university.","container-title":"Journal of Cleaner Production","DOI":"10.1016/j.jclepro.2020.120401","ISSN":"0959-6526","journalAbbreviation":"Journal of Cleaner Production","page":"120401","title":"Green Human Resource Management for organisational citizenship behaviour towards the environment and environmental performance on a university campus","URL":"https://www.sciencedirect.com/science/article/pii/S0959652620304480","volume":"256","author":[{"family":"Anwar","given":"Nosheen"},{"family":"Nik Mahmood","given":"Nik Hasnaa"},{"family":"Yusliza","given":"Mohd Yusoff"},{"family":"Ramayah","given":"T."},{"family":"Noor Faezah","given":"Juhari"},{"family":"Khalid","given":"Waqas"}],"issued":{"date-parts":[["2020"]]}}}],"schema":"https://github.com/citation-style-language/schema/raw/master/csl-citation.json"} </w:instrText>
      </w:r>
      <w:r w:rsidR="00D13C36" w:rsidRPr="00E673DC">
        <w:rPr>
          <w:rFonts w:eastAsia="Times New Roman"/>
          <w:lang w:val="en-GB"/>
        </w:rPr>
        <w:fldChar w:fldCharType="separate"/>
      </w:r>
      <w:r w:rsidR="00D13C36" w:rsidRPr="00E673DC">
        <w:rPr>
          <w:lang w:val="en-GB"/>
        </w:rPr>
        <w:t>(Anwar et al., 2020)</w:t>
      </w:r>
      <w:r w:rsidR="00D13C36" w:rsidRPr="00E673DC">
        <w:rPr>
          <w:rFonts w:eastAsia="Times New Roman"/>
          <w:lang w:val="en-GB"/>
        </w:rPr>
        <w:fldChar w:fldCharType="end"/>
      </w:r>
      <w:r w:rsidR="00D13C36" w:rsidRPr="00E673DC">
        <w:rPr>
          <w:rFonts w:eastAsia="Times New Roman"/>
          <w:lang w:val="en-GB"/>
        </w:rPr>
        <w:t xml:space="preserve">. ISO 14001 for </w:t>
      </w:r>
      <w:r w:rsidR="00A61F6A" w:rsidRPr="00E673DC">
        <w:rPr>
          <w:rFonts w:eastAsia="Times New Roman"/>
          <w:lang w:val="en-GB"/>
        </w:rPr>
        <w:t>Environmental Management Systems</w:t>
      </w:r>
      <w:r w:rsidR="00D13C36" w:rsidRPr="00E673DC">
        <w:rPr>
          <w:rFonts w:eastAsia="Times New Roman"/>
          <w:lang w:val="en-GB"/>
        </w:rPr>
        <w:t xml:space="preserve"> (EMS) offer</w:t>
      </w:r>
      <w:r w:rsidR="00A61F6A">
        <w:rPr>
          <w:rFonts w:eastAsia="Times New Roman"/>
          <w:lang w:val="en-GB"/>
        </w:rPr>
        <w:t>s</w:t>
      </w:r>
      <w:r w:rsidR="00D13C36" w:rsidRPr="00E673DC">
        <w:rPr>
          <w:rFonts w:eastAsia="Times New Roman"/>
          <w:lang w:val="en-GB"/>
        </w:rPr>
        <w:t xml:space="preserve"> a </w:t>
      </w:r>
      <w:r w:rsidR="00521208" w:rsidRPr="00E673DC">
        <w:rPr>
          <w:rFonts w:eastAsia="Times New Roman"/>
          <w:lang w:val="en-GB"/>
        </w:rPr>
        <w:t>context</w:t>
      </w:r>
      <w:r w:rsidR="00D13C36" w:rsidRPr="00E673DC">
        <w:rPr>
          <w:rFonts w:eastAsia="Times New Roman"/>
          <w:lang w:val="en-GB"/>
        </w:rPr>
        <w:t xml:space="preserve"> for </w:t>
      </w:r>
      <w:r w:rsidR="00521208" w:rsidRPr="00E673DC">
        <w:rPr>
          <w:rFonts w:eastAsia="Times New Roman"/>
          <w:lang w:val="en-GB"/>
        </w:rPr>
        <w:t>firms</w:t>
      </w:r>
      <w:r w:rsidR="00D13C36" w:rsidRPr="00E673DC">
        <w:rPr>
          <w:rFonts w:eastAsia="Times New Roman"/>
          <w:lang w:val="en-GB"/>
        </w:rPr>
        <w:t xml:space="preserve"> to create</w:t>
      </w:r>
      <w:r w:rsidR="00521208" w:rsidRPr="00E673DC">
        <w:rPr>
          <w:rFonts w:eastAsia="Times New Roman"/>
          <w:lang w:val="en-GB"/>
        </w:rPr>
        <w:t>,</w:t>
      </w:r>
      <w:r w:rsidR="00D13C36" w:rsidRPr="00E673DC">
        <w:rPr>
          <w:rFonts w:eastAsia="Times New Roman"/>
          <w:lang w:val="en-GB"/>
        </w:rPr>
        <w:t xml:space="preserve"> improve</w:t>
      </w:r>
      <w:r w:rsidR="00A61F6A">
        <w:rPr>
          <w:rFonts w:eastAsia="Times New Roman"/>
          <w:lang w:val="en-GB"/>
        </w:rPr>
        <w:t>,</w:t>
      </w:r>
      <w:r w:rsidR="00D13C36" w:rsidRPr="00E673DC">
        <w:rPr>
          <w:rFonts w:eastAsia="Times New Roman"/>
          <w:lang w:val="en-GB"/>
        </w:rPr>
        <w:t xml:space="preserve"> and enhance environmental performance to ensure that employees at all levels of the organisation </w:t>
      </w:r>
      <w:r w:rsidR="00720C30">
        <w:rPr>
          <w:rFonts w:eastAsia="Times New Roman"/>
          <w:lang w:val="en-GB"/>
        </w:rPr>
        <w:t>recognis</w:t>
      </w:r>
      <w:r w:rsidR="00BF5C73" w:rsidRPr="00E673DC">
        <w:rPr>
          <w:rFonts w:eastAsia="Times New Roman"/>
          <w:lang w:val="en-GB"/>
        </w:rPr>
        <w:t>e</w:t>
      </w:r>
      <w:r w:rsidR="00D13C36" w:rsidRPr="00E673DC">
        <w:rPr>
          <w:rFonts w:eastAsia="Times New Roman"/>
          <w:lang w:val="en-GB"/>
        </w:rPr>
        <w:t xml:space="preserve"> the ways their job activities impact the environment </w:t>
      </w:r>
      <w:r w:rsidR="00D13C36" w:rsidRPr="00E673DC">
        <w:rPr>
          <w:rFonts w:eastAsia="Times New Roman"/>
          <w:lang w:val="en-GB"/>
        </w:rPr>
        <w:fldChar w:fldCharType="begin"/>
      </w:r>
      <w:r w:rsidR="00D13C36" w:rsidRPr="00E673DC">
        <w:rPr>
          <w:rFonts w:eastAsia="Times New Roman"/>
          <w:lang w:val="en-GB"/>
        </w:rPr>
        <w:instrText xml:space="preserve"> ADDIN ZOTERO_ITEM CSL_CITATION {"citationID":"1CBqTFkZ","properties":{"formattedCitation":"(ISO, 2021)","plainCitation":"(ISO, 2021)","noteIndex":0},"citationItems":[{"id":176,"uris":["http://zotero.org/users/local/TOdoVrPG/items/FJSPHLXA"],"itemData":{"id":176,"type":"webpage","note":"publisher-place: Switzerland\npublisher: International Organization for Standardization (ISO)","title":"ISO 14001:2015, Environmental management systems — Requirements with guidance for use","URL":"https://www.iso.org/standard/60857-v2.html","author":[{"family":"ISO","given":""}],"issued":{"date-parts":[["2021"]]}}}],"schema":"https://github.com/citation-style-language/schema/raw/master/csl-citation.json"} </w:instrText>
      </w:r>
      <w:r w:rsidR="00D13C36" w:rsidRPr="00E673DC">
        <w:rPr>
          <w:rFonts w:eastAsia="Times New Roman"/>
          <w:lang w:val="en-GB"/>
        </w:rPr>
        <w:fldChar w:fldCharType="separate"/>
      </w:r>
      <w:r w:rsidR="00D13C36" w:rsidRPr="00E673DC">
        <w:rPr>
          <w:lang w:val="en-GB"/>
        </w:rPr>
        <w:t>(ISO, 2021)</w:t>
      </w:r>
      <w:r w:rsidR="00D13C36" w:rsidRPr="00E673DC">
        <w:rPr>
          <w:rFonts w:eastAsia="Times New Roman"/>
          <w:lang w:val="en-GB"/>
        </w:rPr>
        <w:fldChar w:fldCharType="end"/>
      </w:r>
      <w:r w:rsidR="00D13C36" w:rsidRPr="00E673DC">
        <w:rPr>
          <w:rFonts w:eastAsia="Times New Roman"/>
          <w:lang w:val="en-GB"/>
        </w:rPr>
        <w:t xml:space="preserve">. </w:t>
      </w:r>
    </w:p>
    <w:p w14:paraId="25C1EA79" w14:textId="786470C4" w:rsidR="00D13C36" w:rsidRPr="00E673DC" w:rsidRDefault="00536A9D" w:rsidP="00D77795">
      <w:pPr>
        <w:ind w:firstLine="720"/>
        <w:rPr>
          <w:rFonts w:eastAsia="Times New Roman"/>
          <w:lang w:val="en-GB"/>
        </w:rPr>
      </w:pPr>
      <w:r w:rsidRPr="00E673DC">
        <w:rPr>
          <w:lang w:val="en-GB"/>
        </w:rPr>
        <w:t xml:space="preserve">GL&amp;D expects employees to be knowledgeable about environmentally friendly practices, the significance of </w:t>
      </w:r>
      <w:r w:rsidR="00A61F6A" w:rsidRPr="00E673DC">
        <w:rPr>
          <w:lang w:val="en-GB"/>
        </w:rPr>
        <w:t xml:space="preserve">environmental management </w:t>
      </w:r>
      <w:r w:rsidRPr="00E673DC">
        <w:rPr>
          <w:lang w:val="en-GB"/>
        </w:rPr>
        <w:t>initiatives, and techniques to reduce waste and conserve energy.</w:t>
      </w:r>
      <w:r w:rsidR="00D13C36" w:rsidRPr="00E673DC">
        <w:rPr>
          <w:rFonts w:eastAsia="Times New Roman"/>
          <w:lang w:val="en-GB"/>
        </w:rPr>
        <w:t xml:space="preserve"> </w:t>
      </w:r>
      <w:r w:rsidR="00A61F6A">
        <w:rPr>
          <w:rFonts w:eastAsia="Times New Roman"/>
          <w:lang w:val="en-GB"/>
        </w:rPr>
        <w:t>G</w:t>
      </w:r>
      <w:r w:rsidRPr="00E673DC">
        <w:rPr>
          <w:lang w:val="en-GB"/>
        </w:rPr>
        <w:t xml:space="preserve">L&amp;D </w:t>
      </w:r>
      <w:r w:rsidR="00A61F6A">
        <w:rPr>
          <w:lang w:val="en-GB"/>
        </w:rPr>
        <w:t>programmes</w:t>
      </w:r>
      <w:r w:rsidRPr="00E673DC">
        <w:rPr>
          <w:lang w:val="en-GB"/>
        </w:rPr>
        <w:t xml:space="preserve"> should enhance employees' skills in environmental problem-solving and promote responsible citizenship </w:t>
      </w:r>
      <w:r w:rsidR="00D13C36" w:rsidRPr="00E673DC">
        <w:rPr>
          <w:rFonts w:eastAsia="Times New Roman"/>
          <w:lang w:val="en-GB"/>
        </w:rPr>
        <w:fldChar w:fldCharType="begin"/>
      </w:r>
      <w:r w:rsidR="00D13C36" w:rsidRPr="00E673DC">
        <w:rPr>
          <w:rFonts w:eastAsia="Times New Roman"/>
          <w:lang w:val="en-GB"/>
        </w:rPr>
        <w:instrText xml:space="preserve"> ADDIN ZOTERO_ITEM CSL_CITATION {"citationID":"hXlB4sLx","properties":{"formattedCitation":"(Zubair &amp; Khan, 2019)","plainCitation":"(Zubair &amp; Khan, 2019)","noteIndex":0},"citationItems":[{"id":179,"uris":["http://zotero.org/users/local/TOdoVrPG/items/YC7G9KDJ"],"itemData":{"id":179,"type":"article-journal","abstract":"Concern for environment friendly policies and actions is being highly stressed all across the globe. The recent climate conference held in Bonn where heads of several states sat together to develop a roadmap, is an evidence of the need to rethink our habits and take decisions that can benefit the society in the long run. Sustainable development has now become need of the hour. To ensure that this world remains a good place to live in, environment friendly policies should be adopted. Organizations may they be public or private can contribute significantly in ensuring a greener environment if they integrate different basic environment friendly initiatives in to their operations. This basic conceptual paper discusses one step that organizations can take in order to support the cause and need for sustainable growth or environment friendly missions. This study proposes the adoption of sustainable and ecofriendly practices by Human Resource Management departments in organizations in the shape of Green HRM. Green HRM is a concept that has gained attention of scholars recently, this conceptual paper further adds to the basic understanding of this idea.","container-title":"International Journal of Research in Human Resource Management","journalAbbreviation":"International Journal of Research in Human Resource Management","language":"en","page":"1-6","source":"Zotero","title":"Sustainable development: The role of green HRM","URL":"https://papers.ssrn.com/sol3/papers.cfm?abstract_id=3417040","volume":"1 (2)","author":[{"family":"Zubair","given":"Syed Sohaib"},{"family":"Khan","given":"Mukaram Ali"}],"issued":{"date-parts":[["2019"]]}}}],"schema":"https://github.com/citation-style-language/schema/raw/master/csl-citation.json"} </w:instrText>
      </w:r>
      <w:r w:rsidR="00D13C36" w:rsidRPr="00E673DC">
        <w:rPr>
          <w:rFonts w:eastAsia="Times New Roman"/>
          <w:lang w:val="en-GB"/>
        </w:rPr>
        <w:fldChar w:fldCharType="separate"/>
      </w:r>
      <w:r w:rsidR="00D13C36" w:rsidRPr="00E673DC">
        <w:rPr>
          <w:rFonts w:eastAsia="Times New Roman"/>
          <w:lang w:val="en-GB"/>
        </w:rPr>
        <w:t>(Zubair &amp; Khan, 2019)</w:t>
      </w:r>
      <w:r w:rsidR="00D13C36" w:rsidRPr="00E673DC">
        <w:rPr>
          <w:rFonts w:eastAsia="Times New Roman"/>
          <w:lang w:val="en-GB"/>
        </w:rPr>
        <w:fldChar w:fldCharType="end"/>
      </w:r>
      <w:r w:rsidR="00D13C36" w:rsidRPr="00E673DC">
        <w:rPr>
          <w:rFonts w:eastAsia="Times New Roman"/>
          <w:lang w:val="en-GB"/>
        </w:rPr>
        <w:t xml:space="preserve">. Liebowitz </w:t>
      </w:r>
      <w:r w:rsidR="00D13C36" w:rsidRPr="00E673DC">
        <w:rPr>
          <w:rFonts w:eastAsia="Times New Roman"/>
          <w:lang w:val="en-GB"/>
        </w:rPr>
        <w:fldChar w:fldCharType="begin"/>
      </w:r>
      <w:r w:rsidR="00D13C36" w:rsidRPr="00E673DC">
        <w:rPr>
          <w:rFonts w:eastAsia="Times New Roman"/>
          <w:lang w:val="en-GB"/>
        </w:rPr>
        <w:instrText xml:space="preserve"> ADDIN ZOTERO_ITEM CSL_CITATION {"citationID":"J8y5e99b","properties":{"formattedCitation":"(2010)","plainCitation":"(2010)","noteIndex":0},"citationItems":[{"id":180,"uris":["http://zotero.org/users/local/TOdoVrPG/items/8TWY3TS8"],"itemData":{"id":180,"type":"article-journal","abstract":"An organization's Human Resource function can be instrumental in facilitating a comprehensive approach for creating a culture of sustainability and environmental stewardship. As such, it is recommended that an organization's Sustainability Coordinator work more closely with the organization's Human Resource executive. This idea might be considered a new area of focus for the practical implementation of sustainable development in a company. The strategy involves making significant changes to the organization's systems for: recruiting applicants, selecting new employees, conducting new employee orientation, conducting performance evaluations, determining employee compensation, creating a succession planning process, providing employees with training and development, and mentoring employees and managers. It also involves creating a win-win-win collaboration among multiple stakeholders who are in conflict with each other. Numerous examples are provided demonstrating how a focus on each of the HR systems has helped organizations to create a sustainability culture.[PUBLICATION ABSTRACT]","container-title":"Journal of sustainable development, 3(4), 50.","issue":"(4)","journalAbbreviation":"Journal of sustainable development","language":"en","page":"50","source":"Zotero","title":"The role of HR in achieving a sustainability culture","volume":"3","author":[{"family":"Liebowitz","given":"Jay"}],"issued":{"date-parts":[["2010"]]}},"suppress-author":true}],"schema":"https://github.com/citation-style-language/schema/raw/master/csl-citation.json"} </w:instrText>
      </w:r>
      <w:r w:rsidR="00D13C36" w:rsidRPr="00E673DC">
        <w:rPr>
          <w:rFonts w:eastAsia="Times New Roman"/>
          <w:lang w:val="en-GB"/>
        </w:rPr>
        <w:fldChar w:fldCharType="separate"/>
      </w:r>
      <w:r w:rsidR="00D13C36" w:rsidRPr="00E673DC">
        <w:rPr>
          <w:rFonts w:eastAsia="Times New Roman"/>
          <w:lang w:val="en-GB"/>
        </w:rPr>
        <w:t>(2010)</w:t>
      </w:r>
      <w:r w:rsidR="00D13C36" w:rsidRPr="00E673DC">
        <w:rPr>
          <w:rFonts w:eastAsia="Times New Roman"/>
          <w:lang w:val="en-GB"/>
        </w:rPr>
        <w:fldChar w:fldCharType="end"/>
      </w:r>
      <w:r w:rsidR="00D13C36" w:rsidRPr="00E673DC">
        <w:rPr>
          <w:rFonts w:eastAsia="Times New Roman"/>
          <w:lang w:val="en-GB"/>
        </w:rPr>
        <w:t xml:space="preserve"> concluded that HRM should </w:t>
      </w:r>
      <w:r w:rsidR="00BF5C73" w:rsidRPr="00E673DC">
        <w:rPr>
          <w:rFonts w:eastAsia="Times New Roman"/>
          <w:lang w:val="en-GB"/>
        </w:rPr>
        <w:t>concentrate</w:t>
      </w:r>
      <w:r w:rsidR="00D13C36" w:rsidRPr="00E673DC">
        <w:rPr>
          <w:rFonts w:eastAsia="Times New Roman"/>
          <w:lang w:val="en-GB"/>
        </w:rPr>
        <w:t xml:space="preserve"> on </w:t>
      </w:r>
      <w:r w:rsidR="00A61F6A">
        <w:rPr>
          <w:rFonts w:eastAsia="Times New Roman"/>
          <w:lang w:val="en-GB"/>
        </w:rPr>
        <w:t xml:space="preserve">the </w:t>
      </w:r>
      <w:r w:rsidR="00BF5C73" w:rsidRPr="00E673DC">
        <w:rPr>
          <w:rFonts w:eastAsia="Times New Roman"/>
          <w:lang w:val="en-GB"/>
        </w:rPr>
        <w:t>enhancement</w:t>
      </w:r>
      <w:r w:rsidR="00D13C36" w:rsidRPr="00E673DC">
        <w:rPr>
          <w:rFonts w:eastAsia="Times New Roman"/>
          <w:lang w:val="en-GB"/>
        </w:rPr>
        <w:t xml:space="preserve"> of a sustainable culture in </w:t>
      </w:r>
      <w:r w:rsidR="00BF5C73" w:rsidRPr="00E673DC">
        <w:rPr>
          <w:rFonts w:eastAsia="Times New Roman"/>
          <w:lang w:val="en-GB"/>
        </w:rPr>
        <w:t>corporations</w:t>
      </w:r>
      <w:r w:rsidR="00D13C36" w:rsidRPr="00E673DC">
        <w:rPr>
          <w:rFonts w:eastAsia="Times New Roman"/>
          <w:lang w:val="en-GB"/>
        </w:rPr>
        <w:t xml:space="preserve"> </w:t>
      </w:r>
      <w:r w:rsidR="00A61F6A">
        <w:rPr>
          <w:rFonts w:eastAsia="Times New Roman"/>
          <w:lang w:val="en-GB"/>
        </w:rPr>
        <w:t>to</w:t>
      </w:r>
      <w:r w:rsidR="00D13C36" w:rsidRPr="00E673DC">
        <w:rPr>
          <w:rFonts w:eastAsia="Times New Roman"/>
          <w:lang w:val="en-GB"/>
        </w:rPr>
        <w:t xml:space="preserve"> hav</w:t>
      </w:r>
      <w:r w:rsidR="00A61F6A">
        <w:rPr>
          <w:rFonts w:eastAsia="Times New Roman"/>
          <w:lang w:val="en-GB"/>
        </w:rPr>
        <w:t>e</w:t>
      </w:r>
      <w:r w:rsidR="00D13C36" w:rsidRPr="00E673DC">
        <w:rPr>
          <w:rFonts w:eastAsia="Times New Roman"/>
          <w:lang w:val="en-GB"/>
        </w:rPr>
        <w:t xml:space="preserve"> a </w:t>
      </w:r>
      <w:r w:rsidR="00BF5C73" w:rsidRPr="00E673DC">
        <w:rPr>
          <w:rFonts w:eastAsia="Times New Roman"/>
          <w:lang w:val="en-GB"/>
        </w:rPr>
        <w:t>permanent</w:t>
      </w:r>
      <w:r w:rsidR="00D13C36" w:rsidRPr="00E673DC">
        <w:rPr>
          <w:rFonts w:eastAsia="Times New Roman"/>
          <w:lang w:val="en-GB"/>
        </w:rPr>
        <w:t xml:space="preserve"> impact.</w:t>
      </w:r>
    </w:p>
    <w:p w14:paraId="70C5EE67" w14:textId="7082D9D9" w:rsidR="00D13C36" w:rsidRPr="00E673DC" w:rsidRDefault="00D13C36" w:rsidP="00D77795">
      <w:pPr>
        <w:ind w:firstLine="720"/>
        <w:rPr>
          <w:lang w:val="en-GB"/>
        </w:rPr>
      </w:pPr>
      <w:r w:rsidRPr="00E673DC">
        <w:rPr>
          <w:lang w:val="en-GB"/>
        </w:rPr>
        <w:lastRenderedPageBreak/>
        <w:t xml:space="preserve">Ahmad </w:t>
      </w:r>
      <w:r w:rsidRPr="00E673DC">
        <w:rPr>
          <w:lang w:val="en-GB"/>
        </w:rPr>
        <w:fldChar w:fldCharType="begin"/>
      </w:r>
      <w:r w:rsidRPr="00E673DC">
        <w:rPr>
          <w:lang w:val="en-GB"/>
        </w:rPr>
        <w:instrText xml:space="preserve"> ADDIN ZOTERO_ITEM CSL_CITATION {"citationID":"R2uB1y3w","properties":{"formattedCitation":"(2015)","plainCitation":"(2015)","noteIndex":0},"citationItems":[{"id":189,"uris":["http://zotero.org/users/local/TOdoVrPG/items/MDVPFP4E"],"itemData":{"id":189,"type":"article-journal","abstract":"Recently, there has been observed an increasing awareness within business communities on the significance of going green and adopting various environment management techniques. As the corporate world is going global, the business is experiencing a shift from a conventional financial structure to a modern capacity-based economy which is ready to explore green economic facets of business. Today, Green Human Resource Management (GHRM) has become a key business strategy for the significant organizations where Human Resource Departments play an active part in going green at the office. The paper largely focuses upon the various Green Human Resource Practices pursued by the organizations all over the world and, explains the simplified meaning of GHRM. The study also adds to the extant literature by discussing future direction of some GHRM functions. Finally, the paper suggests some potentially prolific HR initiatives for Green organizations.","container-title":"Cogent business &amp; management","DOI":"http://dx.doi.org/10.1080/23311975.2015.1030817","issue":"1","language":"en","source":"Zotero","title":"Green Human Resource Management: Policies and practices","URL":"https://www.tandfonline.com/doi/epdf/10.1080/23311975.2015.1030817?needAccess=true","volume":"2","author":[{"family":"Ahmad","given":"Shoeb"}],"issued":{"date-parts":[["2015"]]}},"suppress-author":true}],"schema":"https://github.com/citation-style-language/schema/raw/master/csl-citation.json"} </w:instrText>
      </w:r>
      <w:r w:rsidRPr="00E673DC">
        <w:rPr>
          <w:lang w:val="en-GB"/>
        </w:rPr>
        <w:fldChar w:fldCharType="separate"/>
      </w:r>
      <w:r w:rsidRPr="00E673DC">
        <w:rPr>
          <w:lang w:val="en-GB"/>
        </w:rPr>
        <w:t>(2015)</w:t>
      </w:r>
      <w:r w:rsidRPr="00E673DC">
        <w:rPr>
          <w:lang w:val="en-GB"/>
        </w:rPr>
        <w:fldChar w:fldCharType="end"/>
      </w:r>
      <w:r w:rsidRPr="00E673DC">
        <w:rPr>
          <w:lang w:val="en-GB"/>
        </w:rPr>
        <w:t xml:space="preserve"> proposed that it is imperative for </w:t>
      </w:r>
      <w:r w:rsidR="00DC79D6">
        <w:rPr>
          <w:lang w:val="en-GB"/>
        </w:rPr>
        <w:t>organis</w:t>
      </w:r>
      <w:r w:rsidRPr="00E673DC">
        <w:rPr>
          <w:lang w:val="en-GB"/>
        </w:rPr>
        <w:t xml:space="preserve">ations to train their employees in the best practices that incorporate green initiatives. Furthermore, employees should receive sustainable training and education, enabling them to effectively </w:t>
      </w:r>
      <w:r w:rsidR="00BF5C73" w:rsidRPr="00E673DC">
        <w:rPr>
          <w:lang w:val="en-GB"/>
        </w:rPr>
        <w:t>inform</w:t>
      </w:r>
      <w:r w:rsidRPr="00E673DC">
        <w:rPr>
          <w:lang w:val="en-GB"/>
        </w:rPr>
        <w:t xml:space="preserve"> </w:t>
      </w:r>
      <w:r w:rsidR="00536A9D" w:rsidRPr="00E673DC">
        <w:rPr>
          <w:lang w:val="en-GB"/>
        </w:rPr>
        <w:t>consumers</w:t>
      </w:r>
      <w:r w:rsidRPr="00E673DC">
        <w:rPr>
          <w:lang w:val="en-GB"/>
        </w:rPr>
        <w:t xml:space="preserve"> about the </w:t>
      </w:r>
      <w:r w:rsidR="00536A9D" w:rsidRPr="00E673DC">
        <w:rPr>
          <w:lang w:val="en-GB"/>
        </w:rPr>
        <w:t>advantages</w:t>
      </w:r>
      <w:r w:rsidRPr="00E673DC">
        <w:rPr>
          <w:lang w:val="en-GB"/>
        </w:rPr>
        <w:t xml:space="preserve"> of adopting </w:t>
      </w:r>
      <w:r w:rsidR="00A61F6A">
        <w:rPr>
          <w:lang w:val="en-GB"/>
        </w:rPr>
        <w:t>eco-friendly</w:t>
      </w:r>
      <w:r w:rsidRPr="00E673DC">
        <w:rPr>
          <w:lang w:val="en-GB"/>
        </w:rPr>
        <w:t xml:space="preserve"> habits and </w:t>
      </w:r>
      <w:r w:rsidR="00BF5C73" w:rsidRPr="00E673DC">
        <w:rPr>
          <w:lang w:val="en-GB"/>
        </w:rPr>
        <w:t>buying</w:t>
      </w:r>
      <w:r w:rsidRPr="00E673DC">
        <w:rPr>
          <w:lang w:val="en-GB"/>
        </w:rPr>
        <w:t xml:space="preserve"> environmentally friendly </w:t>
      </w:r>
      <w:r w:rsidR="00BF5C73" w:rsidRPr="00E673DC">
        <w:rPr>
          <w:lang w:val="en-GB"/>
        </w:rPr>
        <w:t>goods</w:t>
      </w:r>
      <w:r w:rsidRPr="00E673DC">
        <w:rPr>
          <w:lang w:val="en-GB"/>
        </w:rPr>
        <w:t>.</w:t>
      </w:r>
    </w:p>
    <w:p w14:paraId="0949815A" w14:textId="0DFA3203" w:rsidR="005D6E84" w:rsidRPr="00E673DC" w:rsidRDefault="00D13C36" w:rsidP="00D77795">
      <w:pPr>
        <w:ind w:firstLine="720"/>
        <w:rPr>
          <w:rFonts w:eastAsia="Times New Roman"/>
          <w:lang w:val="en-GB"/>
        </w:rPr>
      </w:pPr>
      <w:r w:rsidRPr="00E673DC">
        <w:rPr>
          <w:lang w:val="en-GB"/>
        </w:rPr>
        <w:t xml:space="preserve">According to Masri </w:t>
      </w:r>
      <w:r w:rsidR="00A61F6A">
        <w:rPr>
          <w:lang w:val="en-GB"/>
        </w:rPr>
        <w:t>and</w:t>
      </w:r>
      <w:r w:rsidRPr="00E673DC">
        <w:rPr>
          <w:lang w:val="en-GB"/>
        </w:rPr>
        <w:t xml:space="preserve"> Jaaron </w:t>
      </w:r>
      <w:r w:rsidRPr="00E673DC">
        <w:rPr>
          <w:lang w:val="en-GB"/>
        </w:rPr>
        <w:fldChar w:fldCharType="begin"/>
      </w:r>
      <w:r w:rsidR="00E72F10" w:rsidRPr="00E673DC">
        <w:rPr>
          <w:lang w:val="en-GB"/>
        </w:rPr>
        <w:instrText xml:space="preserve"> ADDIN ZOTERO_ITEM CSL_CITATION {"citationID":"k6OjZkpu","properties":{"formattedCitation":"(2017)","plainCitation":"(2017)","noteIndex":0},"citationItems":[{"id":138,"uris":["http://zotero.org/users/local/TOdoVrPG/items/QKVYXW2D"],"itemData":{"id":138,"type":"article-journal","container-title":"Journal of Cleaner Production","DOI":"10.1016/j.jclepro.2016.12.087","ISSN":"09596526","journalAbbreviation":"Journal of Cleaner Production","language":"en","page":"474-489","source":"DOI.org (Crossref)","title":"Assessing green human resources management practices in Palestinian manufacturing context: An empirical study","title-short":"Assessing green human resources management practices in Palestinian manufacturing context","URL":"https://linkinghub.elsevier.com/retrieve/pii/S0959652616321515","volume":"143","author":[{"family":"Masri","given":"Hiba A."},{"family":"Jaaron","given":"Ayham A.M."}],"accessed":{"date-parts":[["2024",12,16]]},"issued":{"date-parts":[["2017"]]}},"suppress-author":true}],"schema":"https://github.com/citation-style-language/schema/raw/master/csl-citation.json"} </w:instrText>
      </w:r>
      <w:r w:rsidRPr="00E673DC">
        <w:rPr>
          <w:lang w:val="en-GB"/>
        </w:rPr>
        <w:fldChar w:fldCharType="separate"/>
      </w:r>
      <w:r w:rsidRPr="00E673DC">
        <w:rPr>
          <w:lang w:val="en-GB"/>
        </w:rPr>
        <w:t>(2017)</w:t>
      </w:r>
      <w:r w:rsidRPr="00E673DC">
        <w:rPr>
          <w:lang w:val="en-GB"/>
        </w:rPr>
        <w:fldChar w:fldCharType="end"/>
      </w:r>
      <w:r w:rsidRPr="00E673DC">
        <w:rPr>
          <w:lang w:val="en-GB"/>
        </w:rPr>
        <w:t xml:space="preserve">, employees can engage in environmental problem-solving initiatives through job rotation, incorporating </w:t>
      </w:r>
      <w:r w:rsidR="00A61F6A">
        <w:rPr>
          <w:lang w:val="en-GB"/>
        </w:rPr>
        <w:t>eco-friendly</w:t>
      </w:r>
      <w:r w:rsidR="0021023C" w:rsidRPr="00E673DC">
        <w:rPr>
          <w:lang w:val="en-GB"/>
        </w:rPr>
        <w:t xml:space="preserve"> </w:t>
      </w:r>
      <w:r w:rsidR="00BF5C73" w:rsidRPr="00E673DC">
        <w:rPr>
          <w:lang w:val="en-GB"/>
        </w:rPr>
        <w:t>tasks</w:t>
      </w:r>
      <w:r w:rsidRPr="00E673DC">
        <w:rPr>
          <w:lang w:val="en-GB"/>
        </w:rPr>
        <w:t xml:space="preserve"> as a key component of their career training and development </w:t>
      </w:r>
      <w:r w:rsidR="00A61F6A">
        <w:rPr>
          <w:lang w:val="en-GB"/>
        </w:rPr>
        <w:t>programmes</w:t>
      </w:r>
      <w:r w:rsidRPr="00E673DC">
        <w:rPr>
          <w:lang w:val="en-GB"/>
        </w:rPr>
        <w:t xml:space="preserve">. Niyomdecha </w:t>
      </w:r>
      <w:r w:rsidR="00A61F6A">
        <w:rPr>
          <w:lang w:val="en-GB"/>
        </w:rPr>
        <w:t>and</w:t>
      </w:r>
      <w:r w:rsidRPr="00E673DC">
        <w:rPr>
          <w:lang w:val="en-GB"/>
        </w:rPr>
        <w:t xml:space="preserve"> Yahya </w:t>
      </w:r>
      <w:r w:rsidRPr="00E673DC">
        <w:rPr>
          <w:lang w:val="en-GB"/>
        </w:rPr>
        <w:fldChar w:fldCharType="begin"/>
      </w:r>
      <w:r w:rsidRPr="00E673DC">
        <w:rPr>
          <w:lang w:val="en-GB"/>
        </w:rPr>
        <w:instrText xml:space="preserve"> ADDIN ZOTERO_ITEM CSL_CITATION {"citationID":"wZVvPuN1","properties":{"formattedCitation":"(2015)","plainCitation":"(2015)","noteIndex":0},"citationItems":[{"id":198,"uris":["http://zotero.org/users/local/TOdoVrPG/items/GU3B2XCX"],"itemData":{"id":198,"type":"article-journal","language":"en","source":"Zotero","title":"Examining The Relationship Between Human Resource Management Practices And Organizational Citizenship Behavior For Environment Among Administrative Staff In A Thailand University","author":[{"family":"Niyomdecha","given":"Lubna"},{"family":"Yahya","given":"Khulida Kirana"}],"issued":{"date-parts":[["2015"]]}},"suppress-author":true}],"schema":"https://github.com/citation-style-language/schema/raw/master/csl-citation.json"} </w:instrText>
      </w:r>
      <w:r w:rsidRPr="00E673DC">
        <w:rPr>
          <w:lang w:val="en-GB"/>
        </w:rPr>
        <w:fldChar w:fldCharType="separate"/>
      </w:r>
      <w:r w:rsidRPr="00E673DC">
        <w:rPr>
          <w:lang w:val="en-GB"/>
        </w:rPr>
        <w:t>(2015)</w:t>
      </w:r>
      <w:r w:rsidRPr="00E673DC">
        <w:rPr>
          <w:lang w:val="en-GB"/>
        </w:rPr>
        <w:fldChar w:fldCharType="end"/>
      </w:r>
      <w:r w:rsidRPr="00E673DC">
        <w:rPr>
          <w:lang w:val="en-GB"/>
        </w:rPr>
        <w:t xml:space="preserve"> examined the relationship between HRM practices and OCBE among administrative staff in a Thai university and show</w:t>
      </w:r>
      <w:r w:rsidR="00A61F6A">
        <w:rPr>
          <w:lang w:val="en-GB"/>
        </w:rPr>
        <w:t>ed</w:t>
      </w:r>
      <w:r w:rsidRPr="00E673DC">
        <w:rPr>
          <w:lang w:val="en-GB"/>
        </w:rPr>
        <w:t xml:space="preserve"> that </w:t>
      </w:r>
      <w:r w:rsidR="00A61F6A">
        <w:rPr>
          <w:lang w:val="en-GB"/>
        </w:rPr>
        <w:t>G</w:t>
      </w:r>
      <w:r w:rsidRPr="00E673DC">
        <w:rPr>
          <w:lang w:val="en-GB"/>
        </w:rPr>
        <w:t xml:space="preserve">L&amp;D has </w:t>
      </w:r>
      <w:r w:rsidR="00A61F6A">
        <w:rPr>
          <w:lang w:val="en-GB"/>
        </w:rPr>
        <w:t xml:space="preserve">a </w:t>
      </w:r>
      <w:r w:rsidRPr="00E673DC">
        <w:rPr>
          <w:lang w:val="en-GB"/>
        </w:rPr>
        <w:t xml:space="preserve">positive significant relationship with OCBE. Pham et al. </w:t>
      </w:r>
      <w:r w:rsidRPr="00E673DC">
        <w:rPr>
          <w:lang w:val="en-GB"/>
        </w:rPr>
        <w:fldChar w:fldCharType="begin"/>
      </w:r>
      <w:r w:rsidRPr="00E673DC">
        <w:rPr>
          <w:lang w:val="en-GB"/>
        </w:rPr>
        <w:instrText xml:space="preserve"> ADDIN ZOTERO_ITEM CSL_CITATION {"citationID":"eOLxrjfF","properties":{"formattedCitation":"(2018)","plainCitation":"(2018)","noteIndex":0},"citationItems":[{"id":191,"uris":["http://zotero.org/users/local/TOdoVrPG/items/4MNKBTE9"],"itemData":{"id":191,"type":"article-journal","abstract":"The environmental concern has become an emerging topic in organization’s human resource management strategy, especially in improving employee’s environmental behavior at work. Thus, the organizational citizenship behavior toward the environment (OCBE) has been currently attracting scholars in management. However, published studies contain research gaps in investigation of the relationships between both green training and organizational culture and OCBE, especially in the hotel industry. Following the social exchange and Ability-MotivationOpportunity theories, this study aims to examine the effects of two green practices on OCBE and the moderating role of green organizational culture to the effect of green training on OCBE. A quantitative approach with survey strategy is employed and conducted in 4-5 star hotels to test these relationships. The PLS-SEM and K-means Cluster Analysis techniques are applied to analyze data. The findings reveal that green training and organizational culture positively influence OCBE. Also, the effect of green training on OCBE is moderated by green organizational culture. Finally, our study provides limitations of research and further studies, and the implications for management practices concerned with improving employee’s voluntary eco-behavior in the hotel industry.","container-title":"Management &amp; Marketing","DOI":"https://doi.org/10.2478/mmcks-2018-0030","ISSN":"2069-8887","issue":"4","language":"en","page":"1174 - 1189","source":"Zotero","title":"Enhancing the organizational citizenship behavior for the environment: the roles of green training and organizational culture","URL":"https://sciendo.com/article/10.2478/mmcks-2018-0030","volume":"13","author":[{"family":"Pham","given":"Nhat Tan"},{"family":"Phan","given":"Quyen Phu Thi"},{"family":"Tučková","given":"Zuzana"}],"issued":{"date-parts":[["2018"]]}},"suppress-author":true}],"schema":"https://github.com/citation-style-language/schema/raw/master/csl-citation.json"} </w:instrText>
      </w:r>
      <w:r w:rsidRPr="00E673DC">
        <w:rPr>
          <w:lang w:val="en-GB"/>
        </w:rPr>
        <w:fldChar w:fldCharType="separate"/>
      </w:r>
      <w:r w:rsidRPr="00E673DC">
        <w:rPr>
          <w:lang w:val="en-GB"/>
        </w:rPr>
        <w:t>(2018)</w:t>
      </w:r>
      <w:r w:rsidRPr="00E673DC">
        <w:rPr>
          <w:lang w:val="en-GB"/>
        </w:rPr>
        <w:fldChar w:fldCharType="end"/>
      </w:r>
      <w:r w:rsidRPr="00E673DC">
        <w:rPr>
          <w:lang w:val="en-GB"/>
        </w:rPr>
        <w:t xml:space="preserve"> explored the effects of two GHRM practices on OCBE in 4</w:t>
      </w:r>
      <w:r w:rsidR="00A61F6A">
        <w:rPr>
          <w:lang w:val="en-GB"/>
        </w:rPr>
        <w:t>–</w:t>
      </w:r>
      <w:r w:rsidRPr="00E673DC">
        <w:rPr>
          <w:lang w:val="en-GB"/>
        </w:rPr>
        <w:t>5 star hotels</w:t>
      </w:r>
      <w:r w:rsidR="00A61F6A">
        <w:rPr>
          <w:lang w:val="en-GB"/>
        </w:rPr>
        <w:t>,</w:t>
      </w:r>
      <w:r w:rsidRPr="00E673DC">
        <w:rPr>
          <w:lang w:val="en-GB"/>
        </w:rPr>
        <w:t xml:space="preserve"> </w:t>
      </w:r>
      <w:r w:rsidR="00A61F6A">
        <w:rPr>
          <w:lang w:val="en-GB"/>
        </w:rPr>
        <w:t xml:space="preserve">with </w:t>
      </w:r>
      <w:r w:rsidRPr="00E673DC">
        <w:rPr>
          <w:lang w:val="en-GB"/>
        </w:rPr>
        <w:t>the findings reveal</w:t>
      </w:r>
      <w:r w:rsidR="00A61F6A">
        <w:rPr>
          <w:lang w:val="en-GB"/>
        </w:rPr>
        <w:t>ing</w:t>
      </w:r>
      <w:r w:rsidRPr="00E673DC">
        <w:rPr>
          <w:lang w:val="en-GB"/>
        </w:rPr>
        <w:t xml:space="preserve"> that GL&amp;D positively influence</w:t>
      </w:r>
      <w:r w:rsidR="00A61F6A">
        <w:rPr>
          <w:lang w:val="en-GB"/>
        </w:rPr>
        <w:t>s</w:t>
      </w:r>
      <w:r w:rsidRPr="00E673DC">
        <w:rPr>
          <w:lang w:val="en-GB"/>
        </w:rPr>
        <w:t xml:space="preserve"> OCBE. </w:t>
      </w:r>
      <w:r w:rsidR="0021023C" w:rsidRPr="00E673DC">
        <w:rPr>
          <w:lang w:val="en-GB"/>
        </w:rPr>
        <w:t>A G</w:t>
      </w:r>
      <w:r w:rsidR="003148AD">
        <w:rPr>
          <w:lang w:val="en-GB"/>
        </w:rPr>
        <w:t xml:space="preserve">reen </w:t>
      </w:r>
      <w:r w:rsidR="0021023C" w:rsidRPr="00E673DC">
        <w:rPr>
          <w:lang w:val="en-GB"/>
        </w:rPr>
        <w:t>R</w:t>
      </w:r>
      <w:r w:rsidR="003148AD">
        <w:rPr>
          <w:lang w:val="en-GB"/>
        </w:rPr>
        <w:t xml:space="preserve">ewards </w:t>
      </w:r>
      <w:r w:rsidR="0021023C" w:rsidRPr="00E673DC">
        <w:rPr>
          <w:lang w:val="en-GB"/>
        </w:rPr>
        <w:t>&amp;C</w:t>
      </w:r>
      <w:r w:rsidR="003148AD">
        <w:rPr>
          <w:lang w:val="en-GB"/>
        </w:rPr>
        <w:t xml:space="preserve">ompensation </w:t>
      </w:r>
      <w:r w:rsidR="0021023C" w:rsidRPr="00E673DC">
        <w:rPr>
          <w:lang w:val="en-GB"/>
        </w:rPr>
        <w:t>M</w:t>
      </w:r>
      <w:r w:rsidR="003148AD">
        <w:rPr>
          <w:lang w:val="en-GB"/>
        </w:rPr>
        <w:t>anagement (GR&amp;CM)</w:t>
      </w:r>
      <w:r w:rsidR="00A61F6A">
        <w:rPr>
          <w:lang w:val="en-GB"/>
        </w:rPr>
        <w:t xml:space="preserve"> </w:t>
      </w:r>
      <w:r w:rsidR="0021023C" w:rsidRPr="00E673DC">
        <w:rPr>
          <w:lang w:val="en-GB"/>
        </w:rPr>
        <w:t>pertains to the alignment of this system with the firm's environmental policies and practices.</w:t>
      </w:r>
      <w:r w:rsidR="005D6E84" w:rsidRPr="00E673DC">
        <w:rPr>
          <w:rFonts w:eastAsia="Times New Roman"/>
          <w:lang w:val="en-GB"/>
        </w:rPr>
        <w:t xml:space="preserve"> It should be structured to encourage green initiatives within the workplace, promote sustainable lifestyles, and reduce carbon footprints </w:t>
      </w:r>
      <w:r w:rsidR="005D6E84" w:rsidRPr="00E673DC">
        <w:rPr>
          <w:rFonts w:eastAsia="Times New Roman"/>
          <w:lang w:val="en-GB"/>
        </w:rPr>
        <w:fldChar w:fldCharType="begin"/>
      </w:r>
      <w:r w:rsidR="005D6E84" w:rsidRPr="00E673DC">
        <w:rPr>
          <w:rFonts w:eastAsia="Times New Roman"/>
          <w:lang w:val="en-GB"/>
        </w:rPr>
        <w:instrText xml:space="preserve"> ADDIN ZOTERO_ITEM CSL_CITATION {"citationID":"6tTwBFoN","properties":{"formattedCitation":"(Pillai &amp; Sivathanu, 2014)","plainCitation":"(Pillai &amp; Sivathanu, 2014)","noteIndex":0},"citationItems":[{"id":186,"uris":["http://zotero.org/users/local/TOdoVrPG/items/VKH6BICV"],"itemData":{"id":186,"type":"article-journal","container-title":"ZENITH International Journal of Multidisciplinary Research","ISSN":"2231-5780.","issue":"1","page":"72 - 82","title":"Green human resource management","volume":"4","author":[{"family":"Pillai","given":"Rajasshrie"},{"family":"Sivathanu","given":"Brijesh"}],"issued":{"date-parts":[["2014"]]}}}],"schema":"https://github.com/citation-style-language/schema/raw/master/csl-citation.json"} </w:instrText>
      </w:r>
      <w:r w:rsidR="005D6E84" w:rsidRPr="00E673DC">
        <w:rPr>
          <w:rFonts w:eastAsia="Times New Roman"/>
          <w:lang w:val="en-GB"/>
        </w:rPr>
        <w:fldChar w:fldCharType="separate"/>
      </w:r>
      <w:r w:rsidR="005D6E84" w:rsidRPr="00E673DC">
        <w:rPr>
          <w:lang w:val="en-GB"/>
        </w:rPr>
        <w:t>(Pillai &amp; Sivathanu, 2014)</w:t>
      </w:r>
      <w:r w:rsidR="005D6E84" w:rsidRPr="00E673DC">
        <w:rPr>
          <w:rFonts w:eastAsia="Times New Roman"/>
          <w:lang w:val="en-GB"/>
        </w:rPr>
        <w:fldChar w:fldCharType="end"/>
      </w:r>
      <w:r w:rsidR="005D6E84" w:rsidRPr="00E673DC">
        <w:rPr>
          <w:rFonts w:eastAsia="Times New Roman"/>
          <w:lang w:val="en-GB"/>
        </w:rPr>
        <w:t xml:space="preserve">. To enhance environmental performance, many </w:t>
      </w:r>
      <w:r w:rsidR="00DC79D6">
        <w:rPr>
          <w:rFonts w:eastAsia="Times New Roman"/>
          <w:lang w:val="en-GB"/>
        </w:rPr>
        <w:t>organis</w:t>
      </w:r>
      <w:r w:rsidR="005D6E84" w:rsidRPr="00E673DC">
        <w:rPr>
          <w:rFonts w:eastAsia="Times New Roman"/>
          <w:lang w:val="en-GB"/>
        </w:rPr>
        <w:t>ations implement GR&amp;C</w:t>
      </w:r>
      <w:r w:rsidR="00A61F6A">
        <w:rPr>
          <w:rFonts w:eastAsia="Times New Roman"/>
          <w:lang w:val="en-GB"/>
        </w:rPr>
        <w:t>, which</w:t>
      </w:r>
      <w:r w:rsidR="005D6E84" w:rsidRPr="00E673DC">
        <w:rPr>
          <w:rFonts w:eastAsia="Times New Roman"/>
          <w:lang w:val="en-GB"/>
        </w:rPr>
        <w:t xml:space="preserve"> serve</w:t>
      </w:r>
      <w:r w:rsidR="00A61F6A">
        <w:rPr>
          <w:rFonts w:eastAsia="Times New Roman"/>
          <w:lang w:val="en-GB"/>
        </w:rPr>
        <w:t>s</w:t>
      </w:r>
      <w:r w:rsidR="005D6E84" w:rsidRPr="00E673DC">
        <w:rPr>
          <w:rFonts w:eastAsia="Times New Roman"/>
          <w:lang w:val="en-GB"/>
        </w:rPr>
        <w:t xml:space="preserve"> as </w:t>
      </w:r>
      <w:r w:rsidR="00A61F6A">
        <w:rPr>
          <w:rFonts w:eastAsia="Times New Roman"/>
          <w:lang w:val="en-GB"/>
        </w:rPr>
        <w:t xml:space="preserve">a </w:t>
      </w:r>
      <w:r w:rsidR="005D6E84" w:rsidRPr="00E673DC">
        <w:rPr>
          <w:rFonts w:eastAsia="Times New Roman"/>
          <w:lang w:val="en-GB"/>
        </w:rPr>
        <w:t xml:space="preserve">key tool to align individual </w:t>
      </w:r>
      <w:r w:rsidR="00DC79D6">
        <w:rPr>
          <w:rFonts w:eastAsia="Times New Roman"/>
          <w:lang w:val="en-GB"/>
        </w:rPr>
        <w:t>behaviour</w:t>
      </w:r>
      <w:r w:rsidR="005D6E84" w:rsidRPr="00E673DC">
        <w:rPr>
          <w:rFonts w:eastAsia="Times New Roman"/>
          <w:lang w:val="en-GB"/>
        </w:rPr>
        <w:t>s with</w:t>
      </w:r>
      <w:r w:rsidR="00387FC4">
        <w:rPr>
          <w:rFonts w:eastAsia="Times New Roman"/>
          <w:lang w:val="en-GB"/>
        </w:rPr>
        <w:t xml:space="preserve"> the</w:t>
      </w:r>
      <w:r w:rsidR="005D6E84" w:rsidRPr="00E673DC">
        <w:rPr>
          <w:rFonts w:eastAsia="Times New Roman"/>
          <w:lang w:val="en-GB"/>
        </w:rPr>
        <w:t xml:space="preserve"> </w:t>
      </w:r>
      <w:r w:rsidR="00DC79D6">
        <w:rPr>
          <w:rFonts w:eastAsia="Times New Roman"/>
          <w:lang w:val="en-GB"/>
        </w:rPr>
        <w:t>organis</w:t>
      </w:r>
      <w:r w:rsidR="005D6E84" w:rsidRPr="00E673DC">
        <w:rPr>
          <w:rFonts w:eastAsia="Times New Roman"/>
          <w:lang w:val="en-GB"/>
        </w:rPr>
        <w:t xml:space="preserve">ational objectives. Research has demonstrated that GR&amp;C </w:t>
      </w:r>
      <w:r w:rsidR="00A61F6A">
        <w:rPr>
          <w:rFonts w:eastAsia="Times New Roman"/>
          <w:lang w:val="en-GB"/>
        </w:rPr>
        <w:t>is</w:t>
      </w:r>
      <w:r w:rsidR="005D6E84" w:rsidRPr="00E673DC">
        <w:rPr>
          <w:rFonts w:eastAsia="Times New Roman"/>
          <w:lang w:val="en-GB"/>
        </w:rPr>
        <w:t xml:space="preserve"> effective for implementing GHRM practices </w:t>
      </w:r>
      <w:r w:rsidR="005D6E84" w:rsidRPr="00E673DC">
        <w:rPr>
          <w:rFonts w:eastAsia="Times New Roman"/>
          <w:lang w:val="en-GB"/>
        </w:rPr>
        <w:fldChar w:fldCharType="begin"/>
      </w:r>
      <w:r w:rsidR="005D6E84" w:rsidRPr="00E673DC">
        <w:rPr>
          <w:rFonts w:eastAsia="Times New Roman"/>
          <w:lang w:val="en-GB"/>
        </w:rPr>
        <w:instrText xml:space="preserve"> ADDIN ZOTERO_ITEM CSL_CITATION {"citationID":"EFYanGth","properties":{"formattedCitation":"(Jackson et al., 2011)","plainCitation":"(Jackson et al., 2011)","noteIndex":0},"citationItems":[{"id":181,"uris":["http://zotero.org/users/local/TOdoVrPG/items/3YDJT624"],"itemData":{"id":181,"type":"article-journal","abstract":"The topic of environmental sustainability is generating increased concern among business executives, governments, consumers, and management scholars. As these stakeholders struggle with the challenges and opportunities presented by an array of environmental issues, HRM scholars and practitioners alike have been relatively slow to engage in the ongoing discussions and debates. Through this special issue on Green HRM, we seek to stimulate the field of HRM to expand its role in the pursuit of environmentally sustainable business. In this introduction to the special issue, we first provide an overview of the articles that appear in the special issue. Next we present a detailed discussion of research questions that arise from a consideration of several functional HRM practices, including performance management; training, development, and learning; compensation and rewards; and organizational culture. We conclude by describing opportunities for research at the intersection of strategic HRM and environmental management. If pursued with vigor, research addressing this extensive agenda could begin to establish a healthy field of Green HRM scholarship.","container-title":"German Journal of Human Resource Management: Zeitschrift für Personalforschung","DOI":"https://doi.org/10.1177/239700221102500203","journalAbbreviation":"German Journal of Human Resource Management: Zeitschrift für Personalforschung","language":"en","page":"99-116.","source":"Zotero","title":"State-of-the-Art and Future Directions for Green Human Resource Management: Introduction to the Special Issue","volume":"25(2)","author":[{"family":"Jackson","given":"Susan E."},{"family":"Renwick","given":"Douglas W. S."},{"family":"Jabbour","given":"Charbel J. C."},{"family":"Muller-Camen*","given":"Michael"}],"issued":{"date-parts":[["2011"]]}}}],"schema":"https://github.com/citation-style-language/schema/raw/master/csl-citation.json"} </w:instrText>
      </w:r>
      <w:r w:rsidR="005D6E84" w:rsidRPr="00E673DC">
        <w:rPr>
          <w:rFonts w:eastAsia="Times New Roman"/>
          <w:lang w:val="en-GB"/>
        </w:rPr>
        <w:fldChar w:fldCharType="separate"/>
      </w:r>
      <w:r w:rsidR="005D6E84" w:rsidRPr="00E673DC">
        <w:rPr>
          <w:rFonts w:eastAsia="Times New Roman"/>
          <w:lang w:val="en-GB"/>
        </w:rPr>
        <w:t>(Jackson et al., 2011)</w:t>
      </w:r>
      <w:r w:rsidR="005D6E84" w:rsidRPr="00E673DC">
        <w:rPr>
          <w:rFonts w:eastAsia="Times New Roman"/>
          <w:lang w:val="en-GB"/>
        </w:rPr>
        <w:fldChar w:fldCharType="end"/>
      </w:r>
      <w:r w:rsidR="005D6E84" w:rsidRPr="00E673DC">
        <w:rPr>
          <w:rFonts w:eastAsia="Times New Roman"/>
          <w:lang w:val="en-GB"/>
        </w:rPr>
        <w:t xml:space="preserve">. </w:t>
      </w:r>
    </w:p>
    <w:p w14:paraId="2550DB28" w14:textId="6B554B04" w:rsidR="005D6E84" w:rsidRPr="00E673DC" w:rsidRDefault="0021023C" w:rsidP="00D77795">
      <w:pPr>
        <w:ind w:firstLine="720"/>
        <w:rPr>
          <w:rFonts w:eastAsia="Times New Roman"/>
          <w:lang w:val="en-GB"/>
        </w:rPr>
      </w:pPr>
      <w:r w:rsidRPr="00E673DC">
        <w:rPr>
          <w:lang w:val="en-GB"/>
        </w:rPr>
        <w:t>T</w:t>
      </w:r>
      <w:r w:rsidR="00BC63DC" w:rsidRPr="00E673DC">
        <w:rPr>
          <w:lang w:val="en-GB"/>
        </w:rPr>
        <w:t xml:space="preserve">o attract and retain environmentally conscious workers, </w:t>
      </w:r>
      <w:r w:rsidR="00DC79D6">
        <w:rPr>
          <w:lang w:val="en-GB"/>
        </w:rPr>
        <w:t>organis</w:t>
      </w:r>
      <w:r w:rsidR="00BC63DC" w:rsidRPr="00E673DC">
        <w:rPr>
          <w:lang w:val="en-GB"/>
        </w:rPr>
        <w:t xml:space="preserve">ations should establish </w:t>
      </w:r>
      <w:r w:rsidR="00A61F6A">
        <w:rPr>
          <w:lang w:val="en-GB"/>
        </w:rPr>
        <w:t xml:space="preserve">an </w:t>
      </w:r>
      <w:r w:rsidR="00BC63DC" w:rsidRPr="00E673DC">
        <w:rPr>
          <w:lang w:val="en-GB"/>
        </w:rPr>
        <w:t xml:space="preserve">efficient reward </w:t>
      </w:r>
      <w:r w:rsidRPr="00E673DC">
        <w:rPr>
          <w:lang w:val="en-GB"/>
        </w:rPr>
        <w:t>scheme</w:t>
      </w:r>
      <w:r w:rsidR="00BC63DC" w:rsidRPr="00E673DC">
        <w:rPr>
          <w:lang w:val="en-GB"/>
        </w:rPr>
        <w:t xml:space="preserve"> that accommodate</w:t>
      </w:r>
      <w:r w:rsidR="00A61F6A">
        <w:rPr>
          <w:lang w:val="en-GB"/>
        </w:rPr>
        <w:t>s</w:t>
      </w:r>
      <w:r w:rsidR="00BC63DC" w:rsidRPr="00E673DC">
        <w:rPr>
          <w:lang w:val="en-GB"/>
        </w:rPr>
        <w:t xml:space="preserve"> all individuals, </w:t>
      </w:r>
      <w:r w:rsidR="00A61F6A">
        <w:rPr>
          <w:lang w:val="en-GB"/>
        </w:rPr>
        <w:t>since</w:t>
      </w:r>
      <w:r w:rsidR="00BC63DC" w:rsidRPr="00E673DC">
        <w:rPr>
          <w:lang w:val="en-GB"/>
        </w:rPr>
        <w:t xml:space="preserve"> many view the reward system as essential for </w:t>
      </w:r>
      <w:r w:rsidR="00DC79D6">
        <w:rPr>
          <w:lang w:val="en-GB"/>
        </w:rPr>
        <w:t>organis</w:t>
      </w:r>
      <w:r w:rsidR="00BC63DC" w:rsidRPr="00E673DC">
        <w:rPr>
          <w:lang w:val="en-GB"/>
        </w:rPr>
        <w:t>ational operation</w:t>
      </w:r>
      <w:r w:rsidR="00387FC4">
        <w:rPr>
          <w:lang w:val="en-GB"/>
        </w:rPr>
        <w:t>s</w:t>
      </w:r>
      <w:r w:rsidR="00BC63DC" w:rsidRPr="00E673DC">
        <w:rPr>
          <w:lang w:val="en-GB"/>
        </w:rPr>
        <w:t xml:space="preserve"> </w:t>
      </w:r>
      <w:r w:rsidR="005D6E84" w:rsidRPr="00E673DC">
        <w:rPr>
          <w:rFonts w:eastAsia="Times New Roman"/>
          <w:lang w:val="en-GB"/>
        </w:rPr>
        <w:fldChar w:fldCharType="begin"/>
      </w:r>
      <w:r w:rsidR="005D6E84" w:rsidRPr="00E673DC">
        <w:rPr>
          <w:rFonts w:eastAsia="Times New Roman"/>
          <w:lang w:val="en-GB"/>
        </w:rPr>
        <w:instrText xml:space="preserve"> ADDIN ZOTERO_ITEM CSL_CITATION {"citationID":"fswLiecN","properties":{"formattedCitation":"(Rawashdeh, 2018)","plainCitation":"(Rawashdeh, 2018)","noteIndex":0},"citationItems":[{"id":182,"uris":["http://zotero.org/users/local/TOdoVrPG/items/SKDPKXNM"],"itemData":{"id":182,"type":"article-journal","container-title":"Management Science Letters,","DOI":"10.5267/j.msl.2018.7.006","journalAbbreviation":"Management Science Letters,","page":"1049-1058.","title":"The impact of green human resource management on organizational environmental performance in Jordanian health service organizations","URL":"https://www.growingscience.com/msl/Vol8/msl_2018_80.pdf","volume":"8(10),","author":[{"family":"Rawashdeh","given":"Adnan M."}],"accessed":{"date-parts":[["2025",1,14]]},"issued":{"date-parts":[["2018"]]}}}],"schema":"https://github.com/citation-style-language/schema/raw/master/csl-citation.json"} </w:instrText>
      </w:r>
      <w:r w:rsidR="005D6E84" w:rsidRPr="00E673DC">
        <w:rPr>
          <w:rFonts w:eastAsia="Times New Roman"/>
          <w:lang w:val="en-GB"/>
        </w:rPr>
        <w:fldChar w:fldCharType="separate"/>
      </w:r>
      <w:r w:rsidR="005D6E84" w:rsidRPr="00E673DC">
        <w:rPr>
          <w:lang w:val="en-GB"/>
        </w:rPr>
        <w:t>(Rawashdeh, 2018)</w:t>
      </w:r>
      <w:r w:rsidR="005D6E84" w:rsidRPr="00E673DC">
        <w:rPr>
          <w:rFonts w:eastAsia="Times New Roman"/>
          <w:lang w:val="en-GB"/>
        </w:rPr>
        <w:fldChar w:fldCharType="end"/>
      </w:r>
      <w:r w:rsidR="005D6E84" w:rsidRPr="00E673DC">
        <w:rPr>
          <w:rFonts w:eastAsia="Times New Roman"/>
          <w:lang w:val="en-GB"/>
        </w:rPr>
        <w:t>.</w:t>
      </w:r>
      <w:r w:rsidR="00BC63DC" w:rsidRPr="00E673DC">
        <w:rPr>
          <w:rFonts w:eastAsia="Times New Roman"/>
          <w:lang w:val="en-GB"/>
        </w:rPr>
        <w:t xml:space="preserve"> </w:t>
      </w:r>
      <w:r w:rsidR="005D6E84" w:rsidRPr="00E673DC">
        <w:rPr>
          <w:rFonts w:eastAsia="Times New Roman"/>
          <w:lang w:val="en-GB"/>
        </w:rPr>
        <w:t>Rewards can include financial incentives (e.g., premiums, cash,</w:t>
      </w:r>
      <w:r w:rsidR="00A61F6A">
        <w:rPr>
          <w:rFonts w:eastAsia="Times New Roman"/>
          <w:lang w:val="en-GB"/>
        </w:rPr>
        <w:t xml:space="preserve"> and</w:t>
      </w:r>
      <w:r w:rsidR="005D6E84" w:rsidRPr="00E673DC">
        <w:rPr>
          <w:rFonts w:eastAsia="Times New Roman"/>
          <w:lang w:val="en-GB"/>
        </w:rPr>
        <w:t xml:space="preserve"> bonuses), non-financial incentives (e.g., leave, gifts, </w:t>
      </w:r>
      <w:r w:rsidR="00A61F6A">
        <w:rPr>
          <w:rFonts w:eastAsia="Times New Roman"/>
          <w:lang w:val="en-GB"/>
        </w:rPr>
        <w:t xml:space="preserve">and </w:t>
      </w:r>
      <w:r w:rsidR="005D6E84" w:rsidRPr="00E673DC">
        <w:rPr>
          <w:rFonts w:eastAsia="Times New Roman"/>
          <w:lang w:val="en-GB"/>
        </w:rPr>
        <w:t xml:space="preserve">sabbaticals), recognition-based rewards (e.g., external roles, daily praise, </w:t>
      </w:r>
      <w:r w:rsidR="00A61F6A">
        <w:rPr>
          <w:rFonts w:eastAsia="Times New Roman"/>
          <w:lang w:val="en-GB"/>
        </w:rPr>
        <w:t xml:space="preserve">and </w:t>
      </w:r>
      <w:r w:rsidR="005D6E84" w:rsidRPr="00E673DC">
        <w:rPr>
          <w:rFonts w:eastAsia="Times New Roman"/>
          <w:lang w:val="en-GB"/>
        </w:rPr>
        <w:lastRenderedPageBreak/>
        <w:t xml:space="preserve">dinners), and positive feedback. These reward </w:t>
      </w:r>
      <w:r w:rsidR="00BC63DC" w:rsidRPr="00E673DC">
        <w:rPr>
          <w:rFonts w:eastAsia="Times New Roman"/>
          <w:lang w:val="en-GB"/>
        </w:rPr>
        <w:t>schemes</w:t>
      </w:r>
      <w:r w:rsidR="005D6E84" w:rsidRPr="00E673DC">
        <w:rPr>
          <w:rFonts w:eastAsia="Times New Roman"/>
          <w:lang w:val="en-GB"/>
        </w:rPr>
        <w:t xml:space="preserve"> value employees who engage in </w:t>
      </w:r>
      <w:r w:rsidR="003F6583" w:rsidRPr="00E673DC">
        <w:rPr>
          <w:rFonts w:eastAsia="Times New Roman"/>
          <w:lang w:val="en-GB"/>
        </w:rPr>
        <w:t>ecologically</w:t>
      </w:r>
      <w:r w:rsidR="005D6E84" w:rsidRPr="00E673DC">
        <w:rPr>
          <w:rFonts w:eastAsia="Times New Roman"/>
          <w:lang w:val="en-GB"/>
        </w:rPr>
        <w:t xml:space="preserve"> friendly practices by acknowledging and rewarding individuals dedicated to achieving environmental goals, as well as managers who inspire their teams to undertake eco-initiatives </w:t>
      </w:r>
      <w:r w:rsidR="005D6E84" w:rsidRPr="00E673DC">
        <w:rPr>
          <w:rFonts w:eastAsia="Times New Roman"/>
          <w:lang w:val="en-GB"/>
        </w:rPr>
        <w:fldChar w:fldCharType="begin"/>
      </w:r>
      <w:r w:rsidR="005D6E84" w:rsidRPr="00E673DC">
        <w:rPr>
          <w:rFonts w:eastAsia="Times New Roman"/>
          <w:lang w:val="en-GB"/>
        </w:rPr>
        <w:instrText xml:space="preserve"> ADDIN ZOTERO_ITEM CSL_CITATION {"citationID":"JpsstwMW","properties":{"formattedCitation":"(Renwick et al., 2013)","plainCitation":"(Renwick et al., 2013)","noteIndex":0},"citationItems":[{"id":187,"uris":["http://zotero.org/users/local/TOdoVrPG/items/BIAC7685"],"itemData":{"id":187,"type":"article-journal","container-title":"International journal of management reviews","DOI":"https://doi.org/10.1111/j.1468-2370.2011.00328.x","issue":"1","page":"1 - 14","title":"Green Human Resource Management: A Review and Research Agenda","URL":"https://onlinelibrary.wiley.com/doi/abs/10.1111/j.1468-2370.2011.00328.x","volume":"15","author":[{"family":"Renwick","given":"Douglas W.S."},{"family":"Redman","given":"Tom"},{"family":"Maguire","given":"Stuart"}],"issued":{"date-parts":[["2013"]]}}}],"schema":"https://github.com/citation-style-language/schema/raw/master/csl-citation.json"} </w:instrText>
      </w:r>
      <w:r w:rsidR="005D6E84" w:rsidRPr="00E673DC">
        <w:rPr>
          <w:rFonts w:eastAsia="Times New Roman"/>
          <w:lang w:val="en-GB"/>
        </w:rPr>
        <w:fldChar w:fldCharType="separate"/>
      </w:r>
      <w:r w:rsidR="005D6E84" w:rsidRPr="00E673DC">
        <w:rPr>
          <w:lang w:val="en-GB"/>
        </w:rPr>
        <w:t>(Renwick et al., 2013)</w:t>
      </w:r>
      <w:r w:rsidR="005D6E84" w:rsidRPr="00E673DC">
        <w:rPr>
          <w:rFonts w:eastAsia="Times New Roman"/>
          <w:lang w:val="en-GB"/>
        </w:rPr>
        <w:fldChar w:fldCharType="end"/>
      </w:r>
      <w:r w:rsidR="005D6E84" w:rsidRPr="00E673DC">
        <w:rPr>
          <w:rFonts w:eastAsia="Times New Roman"/>
          <w:lang w:val="en-GB"/>
        </w:rPr>
        <w:t>.</w:t>
      </w:r>
    </w:p>
    <w:p w14:paraId="7457E278" w14:textId="3E77DC17" w:rsidR="00D13C36" w:rsidRPr="00E673DC" w:rsidRDefault="005D6E84" w:rsidP="00D77795">
      <w:pPr>
        <w:ind w:firstLine="720"/>
        <w:rPr>
          <w:lang w:val="en-GB"/>
        </w:rPr>
      </w:pPr>
      <w:r w:rsidRPr="00E673DC">
        <w:rPr>
          <w:lang w:val="en-GB"/>
        </w:rPr>
        <w:t xml:space="preserve">According to Ahmad </w:t>
      </w:r>
      <w:r w:rsidRPr="00E673DC">
        <w:rPr>
          <w:lang w:val="en-GB"/>
        </w:rPr>
        <w:fldChar w:fldCharType="begin"/>
      </w:r>
      <w:r w:rsidRPr="00E673DC">
        <w:rPr>
          <w:lang w:val="en-GB"/>
        </w:rPr>
        <w:instrText xml:space="preserve"> ADDIN ZOTERO_ITEM CSL_CITATION {"citationID":"nMCX6BbS","properties":{"formattedCitation":"(2015)","plainCitation":"(2015)","noteIndex":0},"citationItems":[{"id":189,"uris":["http://zotero.org/users/local/TOdoVrPG/items/MDVPFP4E"],"itemData":{"id":189,"type":"article-journal","abstract":"Recently, there has been observed an increasing awareness within business communities on the significance of going green and adopting various environment management techniques. As the corporate world is going global, the business is experiencing a shift from a conventional financial structure to a modern capacity-based economy which is ready to explore green economic facets of business. Today, Green Human Resource Management (GHRM) has become a key business strategy for the significant organizations where Human Resource Departments play an active part in going green at the office. The paper largely focuses upon the various Green Human Resource Practices pursued by the organizations all over the world and, explains the simplified meaning of GHRM. The study also adds to the extant literature by discussing future direction of some GHRM functions. Finally, the paper suggests some potentially prolific HR initiatives for Green organizations.","container-title":"Cogent business &amp; management","DOI":"http://dx.doi.org/10.1080/23311975.2015.1030817","issue":"1","language":"en","source":"Zotero","title":"Green Human Resource Management: Policies and practices","URL":"https://www.tandfonline.com/doi/epdf/10.1080/23311975.2015.1030817?needAccess=true","volume":"2","author":[{"family":"Ahmad","given":"Shoeb"}],"issued":{"date-parts":[["2015"]]}},"suppress-author":true}],"schema":"https://github.com/citation-style-language/schema/raw/master/csl-citation.json"} </w:instrText>
      </w:r>
      <w:r w:rsidRPr="00E673DC">
        <w:rPr>
          <w:lang w:val="en-GB"/>
        </w:rPr>
        <w:fldChar w:fldCharType="separate"/>
      </w:r>
      <w:r w:rsidRPr="00E673DC">
        <w:rPr>
          <w:lang w:val="en-GB"/>
        </w:rPr>
        <w:t>(2015)</w:t>
      </w:r>
      <w:r w:rsidRPr="00E673DC">
        <w:rPr>
          <w:lang w:val="en-GB"/>
        </w:rPr>
        <w:fldChar w:fldCharType="end"/>
      </w:r>
      <w:r w:rsidRPr="00E673DC">
        <w:rPr>
          <w:lang w:val="en-GB"/>
        </w:rPr>
        <w:t xml:space="preserve">, GR&amp;CM can influence OCBE in the workplace. He encouraged an increased focus to be placed on research that identifies effective strategies for designing and implementing GR&amp;C as these practices can contribute to the achievement of corporate </w:t>
      </w:r>
      <w:r w:rsidR="0021023C" w:rsidRPr="00E673DC">
        <w:rPr>
          <w:lang w:val="en-GB"/>
        </w:rPr>
        <w:t>green</w:t>
      </w:r>
      <w:r w:rsidRPr="00E673DC">
        <w:rPr>
          <w:lang w:val="en-GB"/>
        </w:rPr>
        <w:t xml:space="preserve"> objectives. Additionally, the research findings of Anwar et al. </w:t>
      </w:r>
      <w:r w:rsidRPr="00E673DC">
        <w:rPr>
          <w:lang w:val="en-GB"/>
        </w:rPr>
        <w:fldChar w:fldCharType="begin"/>
      </w:r>
      <w:r w:rsidR="00E72F10" w:rsidRPr="00E673DC">
        <w:rPr>
          <w:lang w:val="en-GB"/>
        </w:rPr>
        <w:instrText xml:space="preserve"> ADDIN ZOTERO_ITEM CSL_CITATION {"citationID":"8VBY2BrE","properties":{"formattedCitation":"(2020)","plainCitation":"(2020)","noteIndex":0},"citationItems":[{"id":175,"uris":["http://zotero.org/users/local/TOdoVrPG/items/7MT3AF3K"],"itemData":{"id":175,"type":"article-journal","abstract":"The slow and inefficient environmental performance of universities is drawing the attention of scholars towards behavioural change in employees rather than just relying on technological upgrades. Drawing upon the Ability-Motivation-Opportunity (AMO) theory, the purpose of this study is first to examine the influence of Green Human Resource Management (HRM) practices (green competence building practices, green motivation enhancing practices, and green employee involvement practices) on the organisational citizenship behaviour towards the environment (OCBE) of academic staff and, in turn, its impact on the environmental performance. Second, the mediating impact of OCBE between each of Green HRM practices and environmental performance is assessed. The data were collected from September until November 2017 on two campuses of a renowned public research university in Malaysia. Using quantitative research design, a structured questionnaire was used among the academic staff of the university. Convenience sampling was used to select the respondents from both campuses, and the Partial Least Squares (PLS) modelling technique was used to analyse the data, which comprised 122 respondents. Overall findings showed that three sets of Green HRM practices based on the Ability-Motivation-Opportunity framework had a significant impact on OCBE. Furthermore, OCBE had a significant relationship with environmental performance. For the mediation analysis, the results showed that OCBE exhibited by academic staff acted as a means through which the Green HRM practices of a university can positively influence the environmental performance of a university campus. The originality of this study rests in shedding light on Green HRM practices in the higher education sector and highlighting the critical role of academic staff’s environmentally friendly behaviour for improving the environmental performance of a university.","container-title":"Journal of Cleaner Production","DOI":"10.1016/j.jclepro.2020.120401","ISSN":"0959-6526","journalAbbreviation":"Journal of Cleaner Production","page":"120401","title":"Green Human Resource Management for organisational citizenship behaviour towards the environment and environmental performance on a university campus","URL":"https://www.sciencedirect.com/science/article/pii/S0959652620304480","volume":"256","author":[{"family":"Anwar","given":"Nosheen"},{"family":"Nik Mahmood","given":"Nik Hasnaa"},{"family":"Yusliza","given":"Mohd Yusoff"},{"family":"Ramayah","given":"T."},{"family":"Noor Faezah","given":"Juhari"},{"family":"Khalid","given":"Waqas"}],"issued":{"date-parts":[["2020"]]}},"suppress-author":true}],"schema":"https://github.com/citation-style-language/schema/raw/master/csl-citation.json"} </w:instrText>
      </w:r>
      <w:r w:rsidRPr="00E673DC">
        <w:rPr>
          <w:lang w:val="en-GB"/>
        </w:rPr>
        <w:fldChar w:fldCharType="separate"/>
      </w:r>
      <w:r w:rsidRPr="00E673DC">
        <w:rPr>
          <w:lang w:val="en-GB"/>
        </w:rPr>
        <w:t>(2020)</w:t>
      </w:r>
      <w:r w:rsidRPr="00E673DC">
        <w:rPr>
          <w:lang w:val="en-GB"/>
        </w:rPr>
        <w:fldChar w:fldCharType="end"/>
      </w:r>
      <w:r w:rsidRPr="00E673DC">
        <w:rPr>
          <w:lang w:val="en-GB"/>
        </w:rPr>
        <w:t xml:space="preserve"> indicated a significant relationship between green motivation practices, (here</w:t>
      </w:r>
      <w:r w:rsidR="00A61F6A">
        <w:rPr>
          <w:lang w:val="en-GB"/>
        </w:rPr>
        <w:t>,</w:t>
      </w:r>
      <w:r w:rsidRPr="00E673DC">
        <w:rPr>
          <w:lang w:val="en-GB"/>
        </w:rPr>
        <w:t xml:space="preserve"> GR&amp;CM), and OCBE</w:t>
      </w:r>
      <w:r w:rsidR="00785F5E" w:rsidRPr="00E673DC">
        <w:rPr>
          <w:lang w:val="en-GB"/>
        </w:rPr>
        <w:t>.</w:t>
      </w:r>
      <w:r w:rsidR="00786DEB" w:rsidRPr="00E673DC">
        <w:rPr>
          <w:lang w:val="en-GB"/>
        </w:rPr>
        <w:t xml:space="preserve"> </w:t>
      </w:r>
      <w:r w:rsidR="007F5DFA">
        <w:rPr>
          <w:lang w:val="en-GB"/>
        </w:rPr>
        <w:t>G</w:t>
      </w:r>
      <w:r w:rsidR="00786DEB" w:rsidRPr="00E673DC">
        <w:rPr>
          <w:lang w:val="en-GB"/>
        </w:rPr>
        <w:t>HRM is a strategic driver of sustainability, with GL&amp;D building employees</w:t>
      </w:r>
      <w:r w:rsidR="00A61F6A">
        <w:rPr>
          <w:lang w:val="en-GB"/>
        </w:rPr>
        <w:t>'</w:t>
      </w:r>
      <w:r w:rsidR="00786DEB" w:rsidRPr="00E673DC">
        <w:rPr>
          <w:lang w:val="en-GB"/>
        </w:rPr>
        <w:t xml:space="preserve"> eco-competence and GR&amp;C reinforcing green </w:t>
      </w:r>
      <w:r w:rsidR="00DC79D6">
        <w:rPr>
          <w:lang w:val="en-GB"/>
        </w:rPr>
        <w:t>behaviour</w:t>
      </w:r>
      <w:r w:rsidR="00786DEB" w:rsidRPr="00E673DC">
        <w:rPr>
          <w:lang w:val="en-GB"/>
        </w:rPr>
        <w:t xml:space="preserve">s. When </w:t>
      </w:r>
      <w:r w:rsidR="00DC79D6">
        <w:rPr>
          <w:lang w:val="en-GB"/>
        </w:rPr>
        <w:t>organis</w:t>
      </w:r>
      <w:r w:rsidR="00786DEB" w:rsidRPr="00E673DC">
        <w:rPr>
          <w:lang w:val="en-GB"/>
        </w:rPr>
        <w:t xml:space="preserve">ations invest in training and rewards for sustainability, employees are more likely to engage in OCBE, aligning personal actions with </w:t>
      </w:r>
      <w:r w:rsidR="00A61F6A">
        <w:rPr>
          <w:lang w:val="en-GB"/>
        </w:rPr>
        <w:t xml:space="preserve">the </w:t>
      </w:r>
      <w:r w:rsidR="00786DEB" w:rsidRPr="00E673DC">
        <w:rPr>
          <w:lang w:val="en-GB"/>
        </w:rPr>
        <w:t xml:space="preserve">environmental goals. However, the direct impact of these practices, particularly in government </w:t>
      </w:r>
      <w:r w:rsidR="00DC79D6">
        <w:rPr>
          <w:lang w:val="en-GB"/>
        </w:rPr>
        <w:t>organis</w:t>
      </w:r>
      <w:r w:rsidR="00786DEB" w:rsidRPr="00E673DC">
        <w:rPr>
          <w:lang w:val="en-GB"/>
        </w:rPr>
        <w:t>ations, remains underexplored and requires further investigation.</w:t>
      </w:r>
      <w:r w:rsidR="00B02EB0" w:rsidRPr="00E673DC">
        <w:rPr>
          <w:lang w:val="en-GB"/>
        </w:rPr>
        <w:t xml:space="preserve"> </w:t>
      </w:r>
      <w:r w:rsidR="00D13C36" w:rsidRPr="00E673DC">
        <w:rPr>
          <w:lang w:val="en-GB"/>
        </w:rPr>
        <w:t xml:space="preserve">Thus, the following </w:t>
      </w:r>
      <w:r w:rsidR="00F8610F" w:rsidRPr="00E673DC">
        <w:rPr>
          <w:lang w:val="en-GB"/>
        </w:rPr>
        <w:t>hypotheses</w:t>
      </w:r>
      <w:r w:rsidRPr="00E673DC">
        <w:rPr>
          <w:lang w:val="en-GB"/>
        </w:rPr>
        <w:t xml:space="preserve"> </w:t>
      </w:r>
      <w:r w:rsidR="00F8610F" w:rsidRPr="00E673DC">
        <w:rPr>
          <w:lang w:val="en-GB"/>
        </w:rPr>
        <w:t>are suggested</w:t>
      </w:r>
      <w:r w:rsidR="00D13C36" w:rsidRPr="00E673DC">
        <w:rPr>
          <w:lang w:val="en-GB"/>
        </w:rPr>
        <w:t>:</w:t>
      </w:r>
    </w:p>
    <w:p w14:paraId="4BE391FB" w14:textId="171582BC" w:rsidR="007D4ECF" w:rsidRPr="00E673DC" w:rsidRDefault="00D13C36" w:rsidP="005D6E84">
      <w:pPr>
        <w:jc w:val="center"/>
        <w:rPr>
          <w:b/>
          <w:bCs/>
          <w:lang w:val="en-GB"/>
        </w:rPr>
      </w:pPr>
      <w:r w:rsidRPr="00E673DC">
        <w:rPr>
          <w:b/>
          <w:bCs/>
          <w:lang w:val="en-GB"/>
        </w:rPr>
        <w:t>H1a: There is a significant positive relationship between GL&amp;D and OCBE</w:t>
      </w:r>
    </w:p>
    <w:p w14:paraId="6BB081A6" w14:textId="7AC0A76A" w:rsidR="005D6E84" w:rsidRPr="00E673DC" w:rsidRDefault="005D6E84" w:rsidP="005D6E84">
      <w:pPr>
        <w:jc w:val="center"/>
        <w:rPr>
          <w:b/>
          <w:bCs/>
          <w:lang w:val="en-GB"/>
        </w:rPr>
      </w:pPr>
      <w:r w:rsidRPr="00E673DC">
        <w:rPr>
          <w:b/>
          <w:bCs/>
          <w:lang w:val="en-GB"/>
        </w:rPr>
        <w:t>H1b: There is a significant positive relationship between GR&amp;CM and OCBE</w:t>
      </w:r>
    </w:p>
    <w:p w14:paraId="69A380C7" w14:textId="7D5B4056" w:rsidR="00786DEB" w:rsidRPr="00E673DC" w:rsidRDefault="00453B6E" w:rsidP="00716EE2">
      <w:pPr>
        <w:pStyle w:val="Heading3"/>
        <w:rPr>
          <w:lang w:val="en-GB"/>
        </w:rPr>
      </w:pPr>
      <w:bookmarkStart w:id="13" w:name="_Toc197952392"/>
      <w:r w:rsidRPr="00E673DC">
        <w:rPr>
          <w:lang w:val="en-GB"/>
        </w:rPr>
        <w:t xml:space="preserve">Green Human Resource </w:t>
      </w:r>
      <w:r w:rsidR="00F8610F" w:rsidRPr="00E673DC">
        <w:rPr>
          <w:lang w:val="en-GB"/>
        </w:rPr>
        <w:t>Management and</w:t>
      </w:r>
      <w:r w:rsidRPr="00E673DC">
        <w:rPr>
          <w:lang w:val="en-GB"/>
        </w:rPr>
        <w:t xml:space="preserve"> Green Innovative </w:t>
      </w:r>
      <w:r w:rsidR="00DC79D6">
        <w:rPr>
          <w:lang w:val="en-GB"/>
        </w:rPr>
        <w:t>Behaviour</w:t>
      </w:r>
      <w:bookmarkEnd w:id="13"/>
    </w:p>
    <w:p w14:paraId="08F962CF" w14:textId="422BDA87" w:rsidR="00786DEB" w:rsidRPr="00E673DC" w:rsidRDefault="003301FD" w:rsidP="00D77795">
      <w:pPr>
        <w:ind w:firstLine="720"/>
        <w:rPr>
          <w:lang w:val="en-GB"/>
        </w:rPr>
      </w:pPr>
      <w:r w:rsidRPr="00E673DC">
        <w:rPr>
          <w:lang w:val="en-GB"/>
        </w:rPr>
        <w:t>Sobaih et al.</w:t>
      </w:r>
      <w:r w:rsidR="00982DA1">
        <w:rPr>
          <w:lang w:val="en-GB"/>
        </w:rPr>
        <w:t xml:space="preserve"> </w:t>
      </w:r>
      <w:r w:rsidRPr="00E673DC">
        <w:rPr>
          <w:lang w:val="en-GB"/>
        </w:rPr>
        <w:fldChar w:fldCharType="begin"/>
      </w:r>
      <w:r w:rsidR="00E72F10" w:rsidRPr="00E673DC">
        <w:rPr>
          <w:lang w:val="en-GB"/>
        </w:rPr>
        <w:instrText xml:space="preserve"> ADDIN ZOTERO_ITEM CSL_CITATION {"citationID":"igOZo8Md","properties":{"formattedCitation":"(Sobaih et al., 2020)","plainCitation":"(Sobaih et al., 2020)","dontUpdate":true,"noteIndex":0},"citationItems":[{"id":153,"uris":["http://zotero.org/users/local/TOdoVrPG/items/JSJSKEHR"],"itemData":{"id":153,"type":"article-journal","abstract":"Small lodging enterprises encompass a major proportion of the lodging industry worldwide. Nonetheless, limited research has addressed the HRM-innovation-performance link on these enterprises. This research draws on ability, motivation, opportunity (AMO) theory and resource-based view (RBV) theory to examine the inﬂuences of green human resources management (GHRM) practices by owner-managers of small lodging enterprises on their enterprises’ green innovation and environmental performance. More speciﬁcally, the research examines the direct inﬂuence of GHRM on the environmental performance of small lodging enterprises and the indirect inﬂuence through green innovation. A self-administered questionnaire was given to owner-managers of small lodging enterprises in Greater Cairo, Egypt. The results of structural equation modeling (SEM) showed direct, positive and signiﬁcant inﬂuences of owner-managers’ green ability, motivation and opportunity on both enterprise green innovation and environmental performance. The ability of owner-managers was the most inﬂuential GHRM practices on both green innovation and environmental performance. Moreover, the results showed that the inﬂuence of GHRM on environmental performance was doubled with green innovation, reﬂecting the value and vital role of green innovation in small lodging enterprises’ environmental performance. Several policy-level, theoretical and practical implications are identiﬁed and discussed.","container-title":"Sustainability","issue":"24","language":"en","page":"10371","source":"Zotero","title":"Influences of Green Human Resources Management on Environmental Performance in Small Lodging Enterprises: The Role of Green Innovation","volume":"12","author":[{"family":"Sobaih","given":"Abu Elnasr E"},{"family":"Hasanein","given":"Ahmed"},{"family":"Elshaer","given":"Ibrahim"}],"issued":{"date-parts":[["2020"]]}}}],"schema":"https://github.com/citation-style-language/schema/raw/master/csl-citation.json"} </w:instrText>
      </w:r>
      <w:r w:rsidRPr="00E673DC">
        <w:rPr>
          <w:lang w:val="en-GB"/>
        </w:rPr>
        <w:fldChar w:fldCharType="separate"/>
      </w:r>
      <w:r w:rsidRPr="00E673DC">
        <w:rPr>
          <w:lang w:val="en-GB"/>
        </w:rPr>
        <w:t>(2020)</w:t>
      </w:r>
      <w:r w:rsidRPr="00E673DC">
        <w:rPr>
          <w:lang w:val="en-GB"/>
        </w:rPr>
        <w:fldChar w:fldCharType="end"/>
      </w:r>
      <w:r w:rsidRPr="00E673DC">
        <w:rPr>
          <w:lang w:val="en-GB"/>
        </w:rPr>
        <w:t xml:space="preserve"> </w:t>
      </w:r>
      <w:r w:rsidR="00453B6E" w:rsidRPr="00E673DC">
        <w:rPr>
          <w:lang w:val="en-GB"/>
        </w:rPr>
        <w:t xml:space="preserve">indicated that HRM can improve employees' knowledge, skills, and abilities, thereby fostering </w:t>
      </w:r>
      <w:r w:rsidRPr="00E673DC">
        <w:rPr>
          <w:lang w:val="en-GB"/>
        </w:rPr>
        <w:t xml:space="preserve">innovative </w:t>
      </w:r>
      <w:r w:rsidR="00DC79D6">
        <w:rPr>
          <w:lang w:val="en-GB"/>
        </w:rPr>
        <w:t>behaviour</w:t>
      </w:r>
      <w:r w:rsidR="00453B6E" w:rsidRPr="00E673DC">
        <w:rPr>
          <w:lang w:val="en-GB"/>
        </w:rPr>
        <w:t>.</w:t>
      </w:r>
      <w:r w:rsidRPr="00E673DC">
        <w:rPr>
          <w:lang w:val="en-GB"/>
        </w:rPr>
        <w:t xml:space="preserve"> </w:t>
      </w:r>
      <w:r w:rsidR="00786DEB" w:rsidRPr="00E673DC">
        <w:rPr>
          <w:lang w:val="en-GB"/>
        </w:rPr>
        <w:t xml:space="preserve">Through </w:t>
      </w:r>
      <w:r w:rsidR="00982DA1">
        <w:rPr>
          <w:lang w:val="en-GB"/>
        </w:rPr>
        <w:t xml:space="preserve">the </w:t>
      </w:r>
      <w:r w:rsidR="00786DEB" w:rsidRPr="00E673DC">
        <w:rPr>
          <w:lang w:val="en-GB"/>
        </w:rPr>
        <w:t>sensiti</w:t>
      </w:r>
      <w:r w:rsidR="00982DA1">
        <w:rPr>
          <w:lang w:val="en-GB"/>
        </w:rPr>
        <w:t>s</w:t>
      </w:r>
      <w:r w:rsidR="00786DEB" w:rsidRPr="00E673DC">
        <w:rPr>
          <w:lang w:val="en-GB"/>
        </w:rPr>
        <w:t xml:space="preserve">ation of eco-friendly technologies and practices, </w:t>
      </w:r>
      <w:r w:rsidRPr="00E673DC">
        <w:rPr>
          <w:lang w:val="en-GB"/>
        </w:rPr>
        <w:t xml:space="preserve">GL&amp;D </w:t>
      </w:r>
      <w:r w:rsidR="0021023C" w:rsidRPr="00E673DC">
        <w:rPr>
          <w:lang w:val="en-GB"/>
        </w:rPr>
        <w:t>is</w:t>
      </w:r>
      <w:r w:rsidRPr="00E673DC">
        <w:rPr>
          <w:lang w:val="en-GB"/>
        </w:rPr>
        <w:t xml:space="preserve"> critical for </w:t>
      </w:r>
      <w:r w:rsidR="0021023C" w:rsidRPr="00E673DC">
        <w:rPr>
          <w:lang w:val="en-GB"/>
        </w:rPr>
        <w:t>creating</w:t>
      </w:r>
      <w:r w:rsidRPr="00E673DC">
        <w:rPr>
          <w:lang w:val="en-GB"/>
        </w:rPr>
        <w:t xml:space="preserve"> </w:t>
      </w:r>
      <w:r w:rsidR="00982DA1">
        <w:rPr>
          <w:lang w:val="en-GB"/>
        </w:rPr>
        <w:t xml:space="preserve">an </w:t>
      </w:r>
      <w:r w:rsidR="00A61F6A">
        <w:rPr>
          <w:lang w:val="en-GB"/>
        </w:rPr>
        <w:t>eco-friendly</w:t>
      </w:r>
      <w:r w:rsidRPr="00E673DC">
        <w:rPr>
          <w:lang w:val="en-GB"/>
        </w:rPr>
        <w:t xml:space="preserve"> </w:t>
      </w:r>
      <w:r w:rsidR="00DC79D6">
        <w:rPr>
          <w:lang w:val="en-GB"/>
        </w:rPr>
        <w:t>organis</w:t>
      </w:r>
      <w:r w:rsidRPr="00E673DC">
        <w:rPr>
          <w:lang w:val="en-GB"/>
        </w:rPr>
        <w:t xml:space="preserve">ational culture </w:t>
      </w:r>
      <w:r w:rsidRPr="00E673DC">
        <w:rPr>
          <w:lang w:val="en-GB"/>
        </w:rPr>
        <w:fldChar w:fldCharType="begin"/>
      </w:r>
      <w:r w:rsidR="00E72F10" w:rsidRPr="00E673DC">
        <w:rPr>
          <w:lang w:val="en-GB"/>
        </w:rPr>
        <w:instrText xml:space="preserve"> ADDIN ZOTERO_ITEM CSL_CITATION {"citationID":"so4EVTlG","properties":{"formattedCitation":"(Muisyo &amp; Qin, 2021)","plainCitation":"(Muisyo &amp; Qin, 2021)","noteIndex":0},"citationItems":[{"id":387,"uris":["http://zotero.org/users/local/TOdoVrPG/items/GLHSCETW"],"itemData":{"id":387,"type":"article-journal","abstract":"Prior scholarships have documented that green human resource management practices have performance enabling effects on a firm’s green performance. However, there is a dearth of studies that empirically model the extent to which green innovation culture moderates the relationship between green human resource practices and the firm’s green performance. To address this gap, this paper established two-fold objectives. First, to examine the effects of green human resource practices and green innovation culture on firm green performance. Second, to model the extent to which green innovation culture moderates the relationship between green human resource management and manufacturing firms’ green performance in China. This was done using data obtained from an extensive scale survey of 300 employees in Chinese manufacturing firms located in the Jiangsu Province. The study suggests that green human resource management practices which include recruitment and selection, training and development, performance management and appraisal, reward and payment, and employee involvement and leadership have a significant effect on green or environmental performance. The study also suggests that green innovation which includes green product innovation culture and green process innovation culture enhances firm green performance. Our paper further suggests that firms that integrate green human resource management practices and green innovation culture are associated with higher green performance than firms that practice green human resource management only.","container-title":"Journal of Cleaner Production","DOI":"10.1016/j.jclepro.2020.125720","ISSN":"0959-6526","journalAbbreviation":"Journal of Cleaner Production","page":"125720","title":"Enhancing the FIRM’S green performance through green HRM: The moderating role of green innovation culture","URL":"https://www.sciencedirect.com/science/article/pii/S0959652620357668","volume":"289","author":[{"family":"Muisyo","given":"Paul Kivinda"},{"family":"Qin","given":"Su"}],"issued":{"date-parts":[["2021"]]}}}],"schema":"https://github.com/citation-style-language/schema/raw/master/csl-citation.json"} </w:instrText>
      </w:r>
      <w:r w:rsidRPr="00E673DC">
        <w:rPr>
          <w:lang w:val="en-GB"/>
        </w:rPr>
        <w:fldChar w:fldCharType="separate"/>
      </w:r>
      <w:r w:rsidRPr="00E673DC">
        <w:rPr>
          <w:lang w:val="en-GB"/>
        </w:rPr>
        <w:t>(Muisyo &amp; Qin, 2021)</w:t>
      </w:r>
      <w:r w:rsidRPr="00E673DC">
        <w:rPr>
          <w:lang w:val="en-GB"/>
        </w:rPr>
        <w:fldChar w:fldCharType="end"/>
      </w:r>
      <w:r w:rsidRPr="00E673DC">
        <w:rPr>
          <w:lang w:val="en-GB"/>
        </w:rPr>
        <w:t xml:space="preserve">. GL&amp;D </w:t>
      </w:r>
      <w:r w:rsidR="00A61F6A">
        <w:rPr>
          <w:lang w:val="en-GB"/>
        </w:rPr>
        <w:t>programmes</w:t>
      </w:r>
      <w:r w:rsidR="00786DEB" w:rsidRPr="00E673DC">
        <w:rPr>
          <w:lang w:val="en-GB"/>
        </w:rPr>
        <w:t xml:space="preserve"> empower employees to devise innovative </w:t>
      </w:r>
      <w:r w:rsidR="00786DEB" w:rsidRPr="00E673DC">
        <w:rPr>
          <w:lang w:val="en-GB"/>
        </w:rPr>
        <w:lastRenderedPageBreak/>
        <w:t xml:space="preserve">solutions for environmental issues. Consequently, employees who participate in </w:t>
      </w:r>
      <w:r w:rsidRPr="00E673DC">
        <w:rPr>
          <w:lang w:val="en-GB"/>
        </w:rPr>
        <w:t xml:space="preserve">GL&amp;D </w:t>
      </w:r>
      <w:r w:rsidR="00A61F6A">
        <w:rPr>
          <w:lang w:val="en-GB"/>
        </w:rPr>
        <w:t>programmes</w:t>
      </w:r>
      <w:r w:rsidR="00786DEB" w:rsidRPr="00E673DC">
        <w:rPr>
          <w:lang w:val="en-GB"/>
        </w:rPr>
        <w:t xml:space="preserve"> have a higher probability of engaging in environmentally sustainable innovative </w:t>
      </w:r>
      <w:r w:rsidR="00DC79D6">
        <w:rPr>
          <w:lang w:val="en-GB"/>
        </w:rPr>
        <w:t>behaviour</w:t>
      </w:r>
      <w:r w:rsidR="00786DEB" w:rsidRPr="00E673DC">
        <w:rPr>
          <w:lang w:val="en-GB"/>
        </w:rPr>
        <w:t>s</w:t>
      </w:r>
      <w:r w:rsidRPr="00E673DC">
        <w:rPr>
          <w:lang w:val="en-GB"/>
        </w:rPr>
        <w:t xml:space="preserve"> </w:t>
      </w:r>
      <w:r w:rsidRPr="00E673DC">
        <w:rPr>
          <w:lang w:val="en-GB"/>
        </w:rPr>
        <w:fldChar w:fldCharType="begin"/>
      </w:r>
      <w:r w:rsidR="00E72F10" w:rsidRPr="00E673DC">
        <w:rPr>
          <w:lang w:val="en-GB"/>
        </w:rPr>
        <w:instrText xml:space="preserve"> ADDIN ZOTERO_ITEM CSL_CITATION {"citationID":"AjvOGn0c","properties":{"formattedCitation":"(Mostafa &amp; Saleh, 2023)","plainCitation":"(Mostafa &amp; Saleh, 2023)","noteIndex":0},"citationItems":[{"id":67,"uris":["http://zotero.org/users/local/TOdoVrPG/items/T5ESCEI5"],"itemData":{"id":67,"type":"article-journal","abstract":"In an era of green environmental awareness, Green Human Resources Management (GHRM) uses human resources management practices to support green environmental functions. It embraces green environmental concerns by applying human resources initiatives to generate high performance and better efficiency in operations. Although the literature on GHRM is growing, a few studies investigated to what extent green innovative culture (GIC) moderates the relationship between green human resources management practices and organizational citizenship behavior towards the environment (OCBE). To address this research gap, the authors tested a new conceptual framework investigating the direct and interactive effects of GHRM practices and GIC on OCBE. A quantitative study uses a survey from a 174 convenient sample of employees selected from a manufacturing firm operating in Egypt. The research results revealed that (1) GHRM practices are crucial for encouraging employees to engage in green activities, in addition (2) there is a significant positive effect of GHRM practices on OCBE, while on the other hand, (3) the interaction of GHRM and GIC can foster employees’ engagement in OCBE. The research significance lies in identifying and validating the GHRM practices applied in the manufacturing firm, as it advances the previous studies by developing a research model that offers critical insights on how manufacturing organizations working in industrial and agricultural packaging solutions could strategically link their GHRM practices and green innovative culture to support their OCBE in creating a competitive advantage in the market.","container-title":"International Business Research","DOI":"10.5539/ibr.v16n4p15","ISSN":"1913-9012, 1913-9004","issue":"4","journalAbbreviation":"IBR","language":"en","license":"https://creativecommons.org/licenses/by/4.0","page":"15","source":"DOI.org (Crossref)","title":"The Relationship between Green Human Resource Management Practices and Organizational Citizenship Behavior","URL":"https://ccsenet.org/journal/index.php/ibr/article/view/0/48544","volume":"16","author":[{"family":"Mostafa","given":"Bassant Adel"},{"family":"Saleh","given":"Reham Saber"}],"accessed":{"date-parts":[["2024",10,16]]},"issued":{"date-parts":[["2023"]]}}}],"schema":"https://github.com/citation-style-language/schema/raw/master/csl-citation.json"} </w:instrText>
      </w:r>
      <w:r w:rsidRPr="00E673DC">
        <w:rPr>
          <w:lang w:val="en-GB"/>
        </w:rPr>
        <w:fldChar w:fldCharType="separate"/>
      </w:r>
      <w:r w:rsidRPr="00E673DC">
        <w:rPr>
          <w:lang w:val="en-GB"/>
        </w:rPr>
        <w:t>(Mostafa &amp; Saleh, 2023)</w:t>
      </w:r>
      <w:r w:rsidRPr="00E673DC">
        <w:rPr>
          <w:lang w:val="en-GB"/>
        </w:rPr>
        <w:fldChar w:fldCharType="end"/>
      </w:r>
      <w:r w:rsidR="00786DEB" w:rsidRPr="00E673DC">
        <w:rPr>
          <w:lang w:val="en-GB"/>
        </w:rPr>
        <w:t xml:space="preserve">. On the contrary, </w:t>
      </w:r>
      <w:r w:rsidR="00BA5CEE" w:rsidRPr="00E673DC">
        <w:rPr>
          <w:lang w:val="en-GB"/>
        </w:rPr>
        <w:t>GR&amp;C</w:t>
      </w:r>
      <w:r w:rsidR="00786DEB" w:rsidRPr="00E673DC">
        <w:rPr>
          <w:lang w:val="en-GB"/>
        </w:rPr>
        <w:t xml:space="preserve"> in terms of monetary incentives and appreciation for sustainability achievement </w:t>
      </w:r>
      <w:r w:rsidR="00F8610F" w:rsidRPr="00E673DC">
        <w:rPr>
          <w:lang w:val="en-GB"/>
        </w:rPr>
        <w:t>motivates</w:t>
      </w:r>
      <w:r w:rsidR="00786DEB" w:rsidRPr="00E673DC">
        <w:rPr>
          <w:lang w:val="en-GB"/>
        </w:rPr>
        <w:t xml:space="preserve"> employees to commit their efforts towards </w:t>
      </w:r>
      <w:r w:rsidR="00DC79D6">
        <w:rPr>
          <w:lang w:val="en-GB"/>
        </w:rPr>
        <w:t>organis</w:t>
      </w:r>
      <w:r w:rsidR="00786DEB" w:rsidRPr="00E673DC">
        <w:rPr>
          <w:lang w:val="en-GB"/>
        </w:rPr>
        <w:t xml:space="preserve">ational sustainability goals. </w:t>
      </w:r>
      <w:r w:rsidR="0021023C" w:rsidRPr="00E673DC">
        <w:rPr>
          <w:lang w:val="en-GB"/>
        </w:rPr>
        <w:t xml:space="preserve">The GR&amp;C scheme encourages employees to share green innovation ideas related to their jobs </w:t>
      </w:r>
      <w:r w:rsidR="00803088" w:rsidRPr="00E673DC">
        <w:rPr>
          <w:lang w:val="en-GB"/>
        </w:rPr>
        <w:fldChar w:fldCharType="begin"/>
      </w:r>
      <w:r w:rsidR="00E72F10" w:rsidRPr="00E673DC">
        <w:rPr>
          <w:lang w:val="en-GB"/>
        </w:rPr>
        <w:instrText xml:space="preserve"> ADDIN ZOTERO_ITEM CSL_CITATION {"citationID":"K4561xoO","properties":{"formattedCitation":"(Masri &amp; Jaaron, 2017)","plainCitation":"(Masri &amp; Jaaron, 2017)","noteIndex":0},"citationItems":[{"id":138,"uris":["http://zotero.org/users/local/TOdoVrPG/items/QKVYXW2D"],"itemData":{"id":138,"type":"article-journal","container-title":"Journal of Cleaner Production","DOI":"10.1016/j.jclepro.2016.12.087","ISSN":"09596526","journalAbbreviation":"Journal of Cleaner Production","language":"en","page":"474-489","source":"DOI.org (Crossref)","title":"Assessing green human resources management practices in Palestinian manufacturing context: An empirical study","title-short":"Assessing green human resources management practices in Palestinian manufacturing context","URL":"https://linkinghub.elsevier.com/retrieve/pii/S0959652616321515","volume":"143","author":[{"family":"Masri","given":"Hiba A."},{"family":"Jaaron","given":"Ayham A.M."}],"accessed":{"date-parts":[["2024",12,16]]},"issued":{"date-parts":[["2017"]]}}}],"schema":"https://github.com/citation-style-language/schema/raw/master/csl-citation.json"} </w:instrText>
      </w:r>
      <w:r w:rsidR="00803088" w:rsidRPr="00E673DC">
        <w:rPr>
          <w:lang w:val="en-GB"/>
        </w:rPr>
        <w:fldChar w:fldCharType="separate"/>
      </w:r>
      <w:r w:rsidR="00803088" w:rsidRPr="00E673DC">
        <w:rPr>
          <w:lang w:val="en-GB"/>
        </w:rPr>
        <w:t>(Masri &amp; Jaaron, 2017)</w:t>
      </w:r>
      <w:r w:rsidR="00803088" w:rsidRPr="00E673DC">
        <w:rPr>
          <w:lang w:val="en-GB"/>
        </w:rPr>
        <w:fldChar w:fldCharType="end"/>
      </w:r>
      <w:r w:rsidRPr="00E673DC">
        <w:rPr>
          <w:lang w:val="en-GB"/>
        </w:rPr>
        <w:t xml:space="preserve">. </w:t>
      </w:r>
      <w:r w:rsidR="00786DEB" w:rsidRPr="00E673DC">
        <w:rPr>
          <w:lang w:val="en-GB"/>
        </w:rPr>
        <w:t xml:space="preserve">Providing these incentives reinforces </w:t>
      </w:r>
      <w:r w:rsidR="00DC79D6">
        <w:rPr>
          <w:lang w:val="en-GB"/>
        </w:rPr>
        <w:t>behaviour</w:t>
      </w:r>
      <w:r w:rsidR="00786DEB" w:rsidRPr="00E673DC">
        <w:rPr>
          <w:lang w:val="en-GB"/>
        </w:rPr>
        <w:t xml:space="preserve"> that facilitates environmental sustainability, which encourages employees to search for and be actively engaged in green innovation.</w:t>
      </w:r>
      <w:r w:rsidRPr="00E673DC">
        <w:rPr>
          <w:lang w:val="en-GB"/>
        </w:rPr>
        <w:t xml:space="preserve"> </w:t>
      </w:r>
      <w:r w:rsidR="008B5533" w:rsidRPr="00E673DC">
        <w:rPr>
          <w:lang w:val="en-GB"/>
        </w:rPr>
        <w:t>Due to the conclusion that no company can become green if its personnel lack green competences and capabilities</w:t>
      </w:r>
      <w:r w:rsidR="0021023C" w:rsidRPr="00E673DC">
        <w:rPr>
          <w:lang w:val="en-GB"/>
        </w:rPr>
        <w:t xml:space="preserve"> </w:t>
      </w:r>
      <w:r w:rsidR="00803088" w:rsidRPr="00E673DC">
        <w:rPr>
          <w:lang w:val="en-GB"/>
        </w:rPr>
        <w:fldChar w:fldCharType="begin"/>
      </w:r>
      <w:r w:rsidR="00E72F10" w:rsidRPr="00E673DC">
        <w:rPr>
          <w:lang w:val="en-GB"/>
        </w:rPr>
        <w:instrText xml:space="preserve"> ADDIN ZOTERO_ITEM CSL_CITATION {"citationID":"lHloVPqt","properties":{"formattedCitation":"(Jabbour, 2011)","plainCitation":"(Jabbour, 2011)","noteIndex":0},"citationItems":[{"id":206,"uris":["http://zotero.org/users/local/TOdoVrPG/items/6CZMPU87"],"itemData":{"id":206,"type":"article-journal","abstract":"Purpose The objective of this paper is to analyze the level of greening of HRM practices, organizational culture, learning, and teamwork in Brazilian companies. Design/methodology/approach The author surveyed 94 Brazilian companies with ISO 14001 certification. Findings Contrasting the data, two important conclusions can be drawn. The first one is related to the importance of considering the alignment of the human resource practices systematically in order to put workers in control of environmental management. The second conclusion is about the little formalization of the inclusion of environmental issues in traditional human resource practices, which can later badly affect the good performance observed in the formation of teams, organizational culture, and learning resulting in a negative cycle. Originality/value The greening of HRM, organizational culture, learning and teamwork is an emerging topic for scholars and consultants.","container-title":"Industrial and Commercial Training","DOI":"10.1108/00197851111108926","ISSN":"0019-7858","issue":"2","note":"publisher: Emerald Group Publishing Limited","page":"98-105","title":"How green are HRM practices, organizational culture, learning and teamwork? A Brazilian study","URL":"https://doi.org/10.1108/00197851111108926","volume":"43","author":[{"family":"Jabbour","given":"Charbel Jose Chiappetta"}],"accessed":{"date-parts":[["2025",1,15]]},"issued":{"date-parts":[["2011"]]}}}],"schema":"https://github.com/citation-style-language/schema/raw/master/csl-citation.json"} </w:instrText>
      </w:r>
      <w:r w:rsidR="00803088" w:rsidRPr="00E673DC">
        <w:rPr>
          <w:lang w:val="en-GB"/>
        </w:rPr>
        <w:fldChar w:fldCharType="separate"/>
      </w:r>
      <w:r w:rsidR="00803088" w:rsidRPr="00E673DC">
        <w:rPr>
          <w:lang w:val="en-GB"/>
        </w:rPr>
        <w:t>(Jabbour, 2011)</w:t>
      </w:r>
      <w:r w:rsidR="00803088" w:rsidRPr="00E673DC">
        <w:rPr>
          <w:lang w:val="en-GB"/>
        </w:rPr>
        <w:fldChar w:fldCharType="end"/>
      </w:r>
      <w:r w:rsidR="008B5533" w:rsidRPr="00E673DC">
        <w:rPr>
          <w:lang w:val="en-GB"/>
        </w:rPr>
        <w:t>, GHRM has received a lot of attention</w:t>
      </w:r>
      <w:r w:rsidRPr="00E673DC">
        <w:rPr>
          <w:lang w:val="en-GB"/>
        </w:rPr>
        <w:t xml:space="preserve">. </w:t>
      </w:r>
      <w:r w:rsidR="00803088" w:rsidRPr="00E673DC">
        <w:rPr>
          <w:lang w:val="en-GB"/>
        </w:rPr>
        <w:t>Hence the following hypothes</w:t>
      </w:r>
      <w:r w:rsidR="00982DA1">
        <w:rPr>
          <w:lang w:val="en-GB"/>
        </w:rPr>
        <w:t>es</w:t>
      </w:r>
      <w:r w:rsidR="00803088" w:rsidRPr="00E673DC">
        <w:rPr>
          <w:lang w:val="en-GB"/>
        </w:rPr>
        <w:t xml:space="preserve"> </w:t>
      </w:r>
      <w:r w:rsidR="00982DA1">
        <w:rPr>
          <w:lang w:val="en-GB"/>
        </w:rPr>
        <w:t xml:space="preserve">are </w:t>
      </w:r>
      <w:r w:rsidR="00803088" w:rsidRPr="00E673DC">
        <w:rPr>
          <w:lang w:val="en-GB"/>
        </w:rPr>
        <w:t>suggested:</w:t>
      </w:r>
    </w:p>
    <w:p w14:paraId="62504363" w14:textId="5EFCAA40" w:rsidR="00786DEB" w:rsidRPr="003148AD" w:rsidRDefault="00786DEB" w:rsidP="00803088">
      <w:pPr>
        <w:ind w:firstLine="720"/>
        <w:jc w:val="both"/>
        <w:rPr>
          <w:b/>
          <w:bCs/>
          <w:lang w:val="en-GB"/>
        </w:rPr>
      </w:pPr>
      <w:r w:rsidRPr="003148AD">
        <w:rPr>
          <w:b/>
          <w:bCs/>
          <w:lang w:val="en-GB"/>
        </w:rPr>
        <w:t xml:space="preserve">H2a: </w:t>
      </w:r>
      <w:r w:rsidR="00720C30" w:rsidRPr="003148AD">
        <w:rPr>
          <w:b/>
          <w:bCs/>
          <w:lang w:val="en-GB"/>
        </w:rPr>
        <w:t>G</w:t>
      </w:r>
      <w:r w:rsidR="00803088" w:rsidRPr="003148AD">
        <w:rPr>
          <w:b/>
          <w:bCs/>
          <w:lang w:val="en-GB"/>
        </w:rPr>
        <w:t>L&amp;</w:t>
      </w:r>
      <w:r w:rsidR="00F8610F" w:rsidRPr="003148AD">
        <w:rPr>
          <w:b/>
          <w:bCs/>
          <w:lang w:val="en-GB"/>
        </w:rPr>
        <w:t>D has</w:t>
      </w:r>
      <w:r w:rsidRPr="003148AD">
        <w:rPr>
          <w:b/>
          <w:bCs/>
          <w:lang w:val="en-GB"/>
        </w:rPr>
        <w:t xml:space="preserve"> a positive impact </w:t>
      </w:r>
      <w:r w:rsidR="00F8610F" w:rsidRPr="003148AD">
        <w:rPr>
          <w:b/>
          <w:bCs/>
          <w:lang w:val="en-GB"/>
        </w:rPr>
        <w:t>on GIB</w:t>
      </w:r>
      <w:r w:rsidRPr="003148AD">
        <w:rPr>
          <w:b/>
          <w:bCs/>
          <w:lang w:val="en-GB"/>
        </w:rPr>
        <w:t xml:space="preserve"> in </w:t>
      </w:r>
      <w:r w:rsidR="00DC79D6" w:rsidRPr="003148AD">
        <w:rPr>
          <w:b/>
          <w:bCs/>
          <w:lang w:val="en-GB"/>
        </w:rPr>
        <w:t>organis</w:t>
      </w:r>
      <w:r w:rsidRPr="003148AD">
        <w:rPr>
          <w:b/>
          <w:bCs/>
          <w:lang w:val="en-GB"/>
        </w:rPr>
        <w:t>ations</w:t>
      </w:r>
      <w:r w:rsidR="00F8610F" w:rsidRPr="003148AD">
        <w:rPr>
          <w:b/>
          <w:bCs/>
          <w:lang w:val="en-GB"/>
        </w:rPr>
        <w:t>.</w:t>
      </w:r>
    </w:p>
    <w:p w14:paraId="3C3622E7" w14:textId="3C6D792E" w:rsidR="00786DEB" w:rsidRPr="003148AD" w:rsidRDefault="00786DEB" w:rsidP="00803088">
      <w:pPr>
        <w:ind w:firstLine="720"/>
        <w:jc w:val="both"/>
        <w:rPr>
          <w:b/>
          <w:bCs/>
          <w:lang w:val="en-GB"/>
        </w:rPr>
      </w:pPr>
      <w:r w:rsidRPr="003148AD">
        <w:rPr>
          <w:b/>
          <w:bCs/>
          <w:lang w:val="en-GB"/>
        </w:rPr>
        <w:t xml:space="preserve">H2b: </w:t>
      </w:r>
      <w:r w:rsidR="00720C30" w:rsidRPr="003148AD">
        <w:rPr>
          <w:b/>
          <w:bCs/>
          <w:lang w:val="en-GB"/>
        </w:rPr>
        <w:t>G</w:t>
      </w:r>
      <w:r w:rsidR="00803088" w:rsidRPr="003148AD">
        <w:rPr>
          <w:b/>
          <w:bCs/>
          <w:lang w:val="en-GB"/>
        </w:rPr>
        <w:t>R&amp;C</w:t>
      </w:r>
      <w:r w:rsidRPr="003148AD">
        <w:rPr>
          <w:b/>
          <w:bCs/>
          <w:lang w:val="en-GB"/>
        </w:rPr>
        <w:t xml:space="preserve"> </w:t>
      </w:r>
      <w:r w:rsidR="00803088" w:rsidRPr="003148AD">
        <w:rPr>
          <w:b/>
          <w:bCs/>
          <w:lang w:val="en-GB"/>
        </w:rPr>
        <w:t>h</w:t>
      </w:r>
      <w:r w:rsidRPr="003148AD">
        <w:rPr>
          <w:b/>
          <w:bCs/>
          <w:lang w:val="en-GB"/>
        </w:rPr>
        <w:t>as a positive impact on </w:t>
      </w:r>
      <w:r w:rsidR="00BA5CEE" w:rsidRPr="003148AD">
        <w:rPr>
          <w:b/>
          <w:bCs/>
          <w:lang w:val="en-GB"/>
        </w:rPr>
        <w:t>GIB</w:t>
      </w:r>
      <w:r w:rsidRPr="003148AD">
        <w:rPr>
          <w:b/>
          <w:bCs/>
          <w:lang w:val="en-GB"/>
        </w:rPr>
        <w:t xml:space="preserve"> in </w:t>
      </w:r>
      <w:r w:rsidR="00DC79D6" w:rsidRPr="003148AD">
        <w:rPr>
          <w:b/>
          <w:bCs/>
          <w:lang w:val="en-GB"/>
        </w:rPr>
        <w:t>organis</w:t>
      </w:r>
      <w:r w:rsidRPr="003148AD">
        <w:rPr>
          <w:b/>
          <w:bCs/>
          <w:lang w:val="en-GB"/>
        </w:rPr>
        <w:t>ations.</w:t>
      </w:r>
    </w:p>
    <w:p w14:paraId="1F3E0EFE" w14:textId="57A76875" w:rsidR="00D13C36" w:rsidRPr="00E673DC" w:rsidRDefault="00D13C36" w:rsidP="00716EE2">
      <w:pPr>
        <w:pStyle w:val="Heading3"/>
        <w:rPr>
          <w:lang w:val="en-GB"/>
        </w:rPr>
      </w:pPr>
      <w:bookmarkStart w:id="14" w:name="_Toc187929098"/>
      <w:bookmarkStart w:id="15" w:name="_Toc197952393"/>
      <w:r w:rsidRPr="00E673DC">
        <w:rPr>
          <w:lang w:val="en-GB"/>
        </w:rPr>
        <w:t xml:space="preserve">The Role of GIB as a </w:t>
      </w:r>
      <w:r w:rsidR="003A7565">
        <w:rPr>
          <w:lang w:val="en-GB"/>
        </w:rPr>
        <w:t>M</w:t>
      </w:r>
      <w:r w:rsidRPr="00E673DC">
        <w:rPr>
          <w:lang w:val="en-GB"/>
        </w:rPr>
        <w:t xml:space="preserve">ediator in the Relationship </w:t>
      </w:r>
      <w:r w:rsidR="003A7565">
        <w:rPr>
          <w:lang w:val="en-GB"/>
        </w:rPr>
        <w:t>B</w:t>
      </w:r>
      <w:r w:rsidRPr="00E673DC">
        <w:rPr>
          <w:lang w:val="en-GB"/>
        </w:rPr>
        <w:t xml:space="preserve">etween GHRM </w:t>
      </w:r>
      <w:r w:rsidR="003A7565">
        <w:rPr>
          <w:lang w:val="en-GB"/>
        </w:rPr>
        <w:t>P</w:t>
      </w:r>
      <w:r w:rsidRPr="00E673DC">
        <w:rPr>
          <w:lang w:val="en-GB"/>
        </w:rPr>
        <w:t>ractices and OCBE</w:t>
      </w:r>
      <w:bookmarkEnd w:id="14"/>
      <w:bookmarkEnd w:id="15"/>
    </w:p>
    <w:p w14:paraId="68355821" w14:textId="1EAC53B4" w:rsidR="00E72F10" w:rsidRPr="00E673DC" w:rsidRDefault="00E72F10" w:rsidP="00D77795">
      <w:pPr>
        <w:ind w:firstLine="720"/>
        <w:rPr>
          <w:lang w:val="en-GB"/>
        </w:rPr>
      </w:pPr>
      <w:r w:rsidRPr="00E673DC">
        <w:rPr>
          <w:lang w:val="en-GB"/>
        </w:rPr>
        <w:t xml:space="preserve">Engaging in green innovation is regarded as a key </w:t>
      </w:r>
      <w:r w:rsidR="003F6583" w:rsidRPr="00E673DC">
        <w:rPr>
          <w:lang w:val="en-GB"/>
        </w:rPr>
        <w:t>approach</w:t>
      </w:r>
      <w:r w:rsidRPr="00E673DC">
        <w:rPr>
          <w:lang w:val="en-GB"/>
        </w:rPr>
        <w:t xml:space="preserve"> for enhancing business performance </w:t>
      </w:r>
      <w:r w:rsidRPr="00E673DC">
        <w:rPr>
          <w:lang w:val="en-GB"/>
        </w:rPr>
        <w:fldChar w:fldCharType="begin"/>
      </w:r>
      <w:r w:rsidRPr="00E673DC">
        <w:rPr>
          <w:lang w:val="en-GB"/>
        </w:rPr>
        <w:instrText xml:space="preserve"> ADDIN ZOTERO_ITEM CSL_CITATION {"citationID":"hI47Ln5B","properties":{"formattedCitation":"(Sobaih et al., 2020)","plainCitation":"(Sobaih et al., 2020)","noteIndex":0},"citationItems":[{"id":153,"uris":["http://zotero.org/users/local/TOdoVrPG/items/JSJSKEHR"],"itemData":{"id":153,"type":"article-journal","abstract":"Small lodging enterprises encompass a major proportion of the lodging industry worldwide. Nonetheless, limited research has addressed the HRM-innovation-performance link on these enterprises. This research draws on ability, motivation, opportunity (AMO) theory and resource-based view (RBV) theory to examine the inﬂuences of green human resources management (GHRM) practices by owner-managers of small lodging enterprises on their enterprises’ green innovation and environmental performance. More speciﬁcally, the research examines the direct inﬂuence of GHRM on the environmental performance of small lodging enterprises and the indirect inﬂuence through green innovation. A self-administered questionnaire was given to owner-managers of small lodging enterprises in Greater Cairo, Egypt. The results of structural equation modeling (SEM) showed direct, positive and signiﬁcant inﬂuences of owner-managers’ green ability, motivation and opportunity on both enterprise green innovation and environmental performance. The ability of owner-managers was the most inﬂuential GHRM practices on both green innovation and environmental performance. Moreover, the results showed that the inﬂuence of GHRM on environmental performance was doubled with green innovation, reﬂecting the value and vital role of green innovation in small lodging enterprises’ environmental performance. Several policy-level, theoretical and practical implications are identiﬁed and discussed.","container-title":"Sustainability","issue":"24","language":"en","page":"10371","source":"Zotero","title":"Influences of Green Human Resources Management on Environmental Performance in Small Lodging Enterprises: The Role of Green Innovation","volume":"12","author":[{"family":"Sobaih","given":"Abu Elnasr E"},{"family":"Hasanein","given":"Ahmed"},{"family":"Elshaer","given":"Ibrahim"}],"issued":{"date-parts":[["2020"]]}}}],"schema":"https://github.com/citation-style-language/schema/raw/master/csl-citation.json"} </w:instrText>
      </w:r>
      <w:r w:rsidRPr="00E673DC">
        <w:rPr>
          <w:lang w:val="en-GB"/>
        </w:rPr>
        <w:fldChar w:fldCharType="separate"/>
      </w:r>
      <w:r w:rsidRPr="00E673DC">
        <w:rPr>
          <w:lang w:val="en-GB"/>
        </w:rPr>
        <w:t>(Sobaih et al., 2020)</w:t>
      </w:r>
      <w:r w:rsidRPr="00E673DC">
        <w:rPr>
          <w:lang w:val="en-GB"/>
        </w:rPr>
        <w:fldChar w:fldCharType="end"/>
      </w:r>
      <w:r w:rsidRPr="00E673DC">
        <w:rPr>
          <w:lang w:val="en-GB"/>
        </w:rPr>
        <w:t xml:space="preserve">. GIB fosters employees' proactive engagement in environmentally friendly initiatives, enhancing their willingness to go beyond formal job responsibilities to support sustainability efforts </w:t>
      </w:r>
      <w:r w:rsidRPr="00E673DC">
        <w:rPr>
          <w:lang w:val="en-GB"/>
        </w:rPr>
        <w:fldChar w:fldCharType="begin"/>
      </w:r>
      <w:r w:rsidRPr="00E673DC">
        <w:rPr>
          <w:lang w:val="en-GB"/>
        </w:rPr>
        <w:instrText xml:space="preserve"> ADDIN ZOTERO_ITEM CSL_CITATION {"citationID":"yiHvKHGk","properties":{"formattedCitation":"(Chen &amp; Chang, 2013)","plainCitation":"(Chen &amp; Chang, 2013)","noteIndex":0},"citationItems":[{"id":388,"uris":["http://zotero.org/users/local/TOdoVrPG/items/G4UBKUFY"],"itemData":{"id":388,"type":"article-journal","abstract":"The paper explores the influence of greenwash on green trust and discusses the mediation roles of green consumer confusion and green perceived risk. The research object of this study focuses on Taiwanese consumers who have the purchase experience of information and electronics products in Taiwan. This research employs an empirical study by means of the structural equation modeling. The results show that greenwash is negatively related to green trust. Therefore, this study suggests that companies must reduce their greenwash behaviors to enhance their consumers’ green trust. In addition, this study finds out that green consumer confusion and green perceived risk mediate the negative relationship between greenwash and green trust. The results also demonstrate that greenwash is positively associated with green consumer confusion and green perceived risk which would negatively affect green trust. It means that greenwash does not only negatively affect green trust directly but also negatively influence it via green consumer confusion and green perceived risk indirectly. Hence, if companies would like to reduce the negative relationship between greenwash and green trust, they need to decrease their consumers’ green consumer confusion and green perceived risk.","container-title":"Journal of Business Ethics","DOI":"10.1007/s10551-012-1360-0","ISSN":"1573-0697","issue":"3","journalAbbreviation":"Journal of Business Ethics","page":"489-500","title":"Greenwash and Green Trust: The Mediation Effects of Green Consumer Confusion and Green Perceived Risk","URL":"https://doi.org/10.1007/s10551-012-1360-0","volume":"114","author":[{"family":"Chen","given":"Yu-Shan"},{"family":"Chang","given":"Ching-Hsun"}],"issued":{"date-parts":[["2013",5,1]]}}}],"schema":"https://github.com/citation-style-language/schema/raw/master/csl-citation.json"} </w:instrText>
      </w:r>
      <w:r w:rsidRPr="00E673DC">
        <w:rPr>
          <w:lang w:val="en-GB"/>
        </w:rPr>
        <w:fldChar w:fldCharType="separate"/>
      </w:r>
      <w:r w:rsidRPr="00E673DC">
        <w:rPr>
          <w:lang w:val="en-GB"/>
        </w:rPr>
        <w:t>(Chen &amp; Chang, 2013)</w:t>
      </w:r>
      <w:r w:rsidRPr="00E673DC">
        <w:rPr>
          <w:lang w:val="en-GB"/>
        </w:rPr>
        <w:fldChar w:fldCharType="end"/>
      </w:r>
      <w:r w:rsidRPr="00E673DC">
        <w:rPr>
          <w:lang w:val="en-GB"/>
        </w:rPr>
        <w:t xml:space="preserve">. By promoting creativity in green practices, GIB strengthens employees' commitment to environmental stewardship, leading to increased voluntary </w:t>
      </w:r>
      <w:r w:rsidR="00DC79D6">
        <w:rPr>
          <w:lang w:val="en-GB"/>
        </w:rPr>
        <w:t>behaviour</w:t>
      </w:r>
      <w:r w:rsidRPr="00E673DC">
        <w:rPr>
          <w:lang w:val="en-GB"/>
        </w:rPr>
        <w:t xml:space="preserve">s that benefit </w:t>
      </w:r>
      <w:r w:rsidR="003F6583" w:rsidRPr="00E673DC">
        <w:rPr>
          <w:lang w:val="en-GB"/>
        </w:rPr>
        <w:t>firms</w:t>
      </w:r>
      <w:r w:rsidRPr="00E673DC">
        <w:rPr>
          <w:lang w:val="en-GB"/>
        </w:rPr>
        <w:t xml:space="preserve"> and society </w:t>
      </w:r>
      <w:r w:rsidR="00F36BA2" w:rsidRPr="00E673DC">
        <w:rPr>
          <w:lang w:val="en-GB"/>
        </w:rPr>
        <w:fldChar w:fldCharType="begin"/>
      </w:r>
      <w:r w:rsidR="00F36BA2" w:rsidRPr="00E673DC">
        <w:rPr>
          <w:lang w:val="en-GB"/>
        </w:rPr>
        <w:instrText xml:space="preserve"> ADDIN ZOTERO_ITEM CSL_CITATION {"citationID":"FZOWNsoZ","properties":{"formattedCitation":"(Jia et al., 2018)","plainCitation":"(Jia et al., 2018)","noteIndex":0},"citationItems":[{"id":389,"uris":["http://zotero.org/users/local/TOdoVrPG/items/ESDQB5KM"],"itemData":{"id":389,"type":"article-journal","abstract":"Responding to environmental challenges is a new manifestation of innovation for organizations, which enables firms to gain competitive advantages by conducting innovative activities for not only themselves, but also for the whole society. In this context, much attention has been paid to “green creativity.” However, few studies have explored the impact of green creativity from the perspective of interactions between individuals and organizational contexts. Therefore, we aimed to explain the variance in employees’ green creativity by examining three factors outside the organizational context: transformational leadership, green human resource management (GHRM), and individual factors including employees’ green passion. Drawing from the ability–motivation–opportunity theory, we found that transformational leaders can inspire employees’ green passion through influencing GHRM, and ultimately positively affect employees’ green creativity. Data collected from two sources (employees and human resources managers) in medical firms in northeast China at two time points demonstrated the important effects of transformational leadership, GHRM, and employees’ green passion on green creativity, thus offering new theoretical insights and practical suggestions.","container-title":"Sustainability","DOI":"10.3390/su10093237","ISSN":"2071-1050","issue":"9","title":"The Continuous Mediating Effects of GHRM on Employees’ Green Passion via Transformational Leadership and Green Creativity","volume":"10","author":[{"family":"Jia","given":"Jianfeng"},{"family":"Liu","given":"Huanxin"},{"family":"Chin","given":"Tachia"},{"family":"Hu","given":"Dongqing"}],"accessed":{"date-parts":[["2025",3,16]]},"issued":{"date-parts":[["2018"]]}}}],"schema":"https://github.com/citation-style-language/schema/raw/master/csl-citation.json"} </w:instrText>
      </w:r>
      <w:r w:rsidR="00F36BA2" w:rsidRPr="00E673DC">
        <w:rPr>
          <w:lang w:val="en-GB"/>
        </w:rPr>
        <w:fldChar w:fldCharType="separate"/>
      </w:r>
      <w:r w:rsidR="00F36BA2" w:rsidRPr="00E673DC">
        <w:rPr>
          <w:lang w:val="en-GB"/>
        </w:rPr>
        <w:t>(Jia et al., 2018)</w:t>
      </w:r>
      <w:r w:rsidR="00F36BA2" w:rsidRPr="00E673DC">
        <w:rPr>
          <w:lang w:val="en-GB"/>
        </w:rPr>
        <w:fldChar w:fldCharType="end"/>
      </w:r>
      <w:r w:rsidRPr="00E673DC">
        <w:rPr>
          <w:lang w:val="en-GB"/>
        </w:rPr>
        <w:t xml:space="preserve">. Consequently, employees exhibiting GIB are more likely to display OCBE, as </w:t>
      </w:r>
      <w:r w:rsidRPr="00E673DC">
        <w:rPr>
          <w:lang w:val="en-GB"/>
        </w:rPr>
        <w:lastRenderedPageBreak/>
        <w:t xml:space="preserve">innovation-driven environmental </w:t>
      </w:r>
      <w:r w:rsidR="00DC79D6">
        <w:rPr>
          <w:lang w:val="en-GB"/>
        </w:rPr>
        <w:t>behaviour</w:t>
      </w:r>
      <w:r w:rsidRPr="00E673DC">
        <w:rPr>
          <w:lang w:val="en-GB"/>
        </w:rPr>
        <w:t xml:space="preserve">s encourage long-term sustainable contributions </w:t>
      </w:r>
      <w:r w:rsidR="00F36BA2" w:rsidRPr="00E673DC">
        <w:rPr>
          <w:lang w:val="en-GB"/>
        </w:rPr>
        <w:fldChar w:fldCharType="begin"/>
      </w:r>
      <w:r w:rsidR="00F36BA2" w:rsidRPr="00E673DC">
        <w:rPr>
          <w:lang w:val="en-GB"/>
        </w:rPr>
        <w:instrText xml:space="preserve"> ADDIN ZOTERO_ITEM CSL_CITATION {"citationID":"3EA08QE9","properties":{"formattedCitation":"(Renwick et al., 2013)","plainCitation":"(Renwick et al., 2013)","noteIndex":0},"citationItems":[{"id":187,"uris":["http://zotero.org/users/local/TOdoVrPG/items/BIAC7685"],"itemData":{"id":187,"type":"article-journal","container-title":"International journal of management reviews","DOI":"https://doi.org/10.1111/j.1468-2370.2011.00328.x","issue":"1","page":"1 - 14","title":"Green Human Resource Management: A Review and Research Agenda","URL":"https://onlinelibrary.wiley.com/doi/abs/10.1111/j.1468-2370.2011.00328.x","volume":"15","author":[{"family":"Renwick","given":"Douglas W.S."},{"family":"Redman","given":"Tom"},{"family":"Maguire","given":"Stuart"}],"issued":{"date-parts":[["2013"]]}}}],"schema":"https://github.com/citation-style-language/schema/raw/master/csl-citation.json"} </w:instrText>
      </w:r>
      <w:r w:rsidR="00F36BA2" w:rsidRPr="00E673DC">
        <w:rPr>
          <w:lang w:val="en-GB"/>
        </w:rPr>
        <w:fldChar w:fldCharType="separate"/>
      </w:r>
      <w:r w:rsidR="00F36BA2" w:rsidRPr="00E673DC">
        <w:rPr>
          <w:lang w:val="en-GB"/>
        </w:rPr>
        <w:t>(Renwick et al., 2013)</w:t>
      </w:r>
      <w:r w:rsidR="00F36BA2" w:rsidRPr="00E673DC">
        <w:rPr>
          <w:lang w:val="en-GB"/>
        </w:rPr>
        <w:fldChar w:fldCharType="end"/>
      </w:r>
      <w:r w:rsidRPr="00E673DC">
        <w:rPr>
          <w:lang w:val="en-GB"/>
        </w:rPr>
        <w:t>.</w:t>
      </w:r>
    </w:p>
    <w:p w14:paraId="2AD1E211" w14:textId="3A6E1F9E" w:rsidR="00D13C36" w:rsidRPr="00E673DC" w:rsidRDefault="003F6583" w:rsidP="00D77795">
      <w:pPr>
        <w:ind w:firstLine="720"/>
        <w:rPr>
          <w:rFonts w:eastAsia="Times New Roman"/>
          <w:lang w:val="en-GB"/>
        </w:rPr>
      </w:pPr>
      <w:r w:rsidRPr="00E673DC">
        <w:rPr>
          <w:lang w:val="en-GB"/>
        </w:rPr>
        <w:t>This</w:t>
      </w:r>
      <w:r w:rsidR="00D13C36" w:rsidRPr="00E673DC">
        <w:rPr>
          <w:lang w:val="en-GB"/>
        </w:rPr>
        <w:t xml:space="preserve"> study examine</w:t>
      </w:r>
      <w:r w:rsidR="00387FC4">
        <w:rPr>
          <w:lang w:val="en-GB"/>
        </w:rPr>
        <w:t>s</w:t>
      </w:r>
      <w:r w:rsidR="00D13C36" w:rsidRPr="00E673DC">
        <w:rPr>
          <w:lang w:val="en-GB"/>
        </w:rPr>
        <w:t xml:space="preserve"> the role of GIB as a mediator</w:t>
      </w:r>
      <w:r w:rsidR="00982DA1">
        <w:rPr>
          <w:lang w:val="en-GB"/>
        </w:rPr>
        <w:t>,</w:t>
      </w:r>
      <w:r w:rsidR="00D13C36" w:rsidRPr="00E673DC">
        <w:rPr>
          <w:lang w:val="en-GB"/>
        </w:rPr>
        <w:t xml:space="preserve"> which strengthen</w:t>
      </w:r>
      <w:r w:rsidR="00387FC4">
        <w:rPr>
          <w:lang w:val="en-GB"/>
        </w:rPr>
        <w:t>s</w:t>
      </w:r>
      <w:r w:rsidR="00D13C36" w:rsidRPr="00E673DC">
        <w:rPr>
          <w:lang w:val="en-GB"/>
        </w:rPr>
        <w:t xml:space="preserve"> </w:t>
      </w:r>
      <w:r w:rsidR="00387FC4">
        <w:rPr>
          <w:lang w:val="en-GB"/>
        </w:rPr>
        <w:t xml:space="preserve">understanding of </w:t>
      </w:r>
      <w:r w:rsidR="00D13C36" w:rsidRPr="00E673DC">
        <w:rPr>
          <w:lang w:val="en-GB"/>
        </w:rPr>
        <w:t xml:space="preserve">the relation between GHRP and OCBE </w:t>
      </w:r>
      <w:r w:rsidR="00387FC4">
        <w:rPr>
          <w:lang w:val="en-GB"/>
        </w:rPr>
        <w:t xml:space="preserve">that </w:t>
      </w:r>
      <w:r w:rsidR="00D13C36" w:rsidRPr="00E673DC">
        <w:rPr>
          <w:lang w:val="en-GB"/>
        </w:rPr>
        <w:t xml:space="preserve">remains underexplored. While there is a substantial and growing body of literature on GHRM in developed countries </w:t>
      </w:r>
      <w:r w:rsidR="00D13C36" w:rsidRPr="00E673DC">
        <w:rPr>
          <w:lang w:val="en-GB"/>
        </w:rPr>
        <w:fldChar w:fldCharType="begin"/>
      </w:r>
      <w:r w:rsidR="00E72F10" w:rsidRPr="00E673DC">
        <w:rPr>
          <w:lang w:val="en-GB"/>
        </w:rPr>
        <w:instrText xml:space="preserve"> ADDIN ZOTERO_ITEM CSL_CITATION {"citationID":"cZeilGZ8","properties":{"formattedCitation":"(Masri &amp; Jaaron, 2017; Renwick et al., 2016)","plainCitation":"(Masri &amp; Jaaron, 2017; Renwick et al., 2016)","noteIndex":0},"citationItems":[{"id":138,"uris":["http://zotero.org/users/local/TOdoVrPG/items/QKVYXW2D"],"itemData":{"id":138,"type":"article-journal","container-title":"Journal of Cleaner Production","DOI":"10.1016/j.jclepro.2016.12.087","ISSN":"09596526","journalAbbreviation":"Journal of Cleaner Production","language":"en","page":"474-489","source":"DOI.org (Crossref)","title":"Assessing green human resources management practices in Palestinian manufacturing context: An empirical study","title-short":"Assessing green human resources management practices in Palestinian manufacturing context","URL":"https://linkinghub.elsevier.com/retrieve/pii/S0959652616321515","volume":"143","author":[{"family":"Masri","given":"Hiba A."},{"family":"Jaaron","given":"Ayham A.M."}],"accessed":{"date-parts":[["2024",12,16]]},"issued":{"date-parts":[["2017"]]}}},{"id":214,"uris":["http://zotero.org/users/local/TOdoVrPG/items/PEQXL62U"],"itemData":{"id":214,"type":"article-journal","abstract":"This article reviews the contemporary literature on Green Human Resource Management (GHRM) to contextually frame the seven articles appearing in this Special Issue. Review findings reveal the embedded nature of GHRM workplace-level practices and additional research needing to focus on HR systems, individual behaviors and emerging theoretical lenses. As a set, the articles herein span green recruitment, competencies, employee participation, financial/environmental performance links, and contextual issues utilizing national culture, paradox, and stakeholder theories. By recognizing such multi-level dynamics, HRM scholars and practitioners can enhance GHRM initiatives that stimulate progress toward workplace environmental sustainability.","container-title":"The International Journal of Human Resource Management","DOI":"10.1080/09585192.2015.1105844","ISSN":"0958-5192","issue":"2","journalAbbreviation":"The International Journal of Human Resource Management","note":"publisher: Routledge","page":"114-128","title":"Contemporary developments in Green (environmental) HRM scholarship","URL":"https://doi.org/10.1080/09585192.2015.1105844","volume":"27","author":[{"family":"Renwick","given":"Douglas W.S."},{"family":"Jabbour","given":"Charbel J.C."},{"family":"Muller-Camen","given":"Michael"},{"family":"Redman","given":"Tom"},{"family":"Wilkinson","given":"Adrian"}],"issued":{"date-parts":[["2016"]]}}}],"schema":"https://github.com/citation-style-language/schema/raw/master/csl-citation.json"} </w:instrText>
      </w:r>
      <w:r w:rsidR="00D13C36" w:rsidRPr="00E673DC">
        <w:rPr>
          <w:lang w:val="en-GB"/>
        </w:rPr>
        <w:fldChar w:fldCharType="separate"/>
      </w:r>
      <w:r w:rsidR="00D13C36" w:rsidRPr="00E673DC">
        <w:rPr>
          <w:lang w:val="en-GB"/>
        </w:rPr>
        <w:t>(Masri &amp; Jaaron, 2017; Renwick et al., 2016)</w:t>
      </w:r>
      <w:r w:rsidR="00D13C36" w:rsidRPr="00E673DC">
        <w:rPr>
          <w:lang w:val="en-GB"/>
        </w:rPr>
        <w:fldChar w:fldCharType="end"/>
      </w:r>
      <w:r w:rsidR="00D13C36" w:rsidRPr="00E673DC">
        <w:rPr>
          <w:lang w:val="en-GB"/>
        </w:rPr>
        <w:t xml:space="preserve">, its effective implementation in developing countries, which face more significant </w:t>
      </w:r>
      <w:r w:rsidRPr="00E673DC">
        <w:rPr>
          <w:lang w:val="en-GB"/>
        </w:rPr>
        <w:t>environmental</w:t>
      </w:r>
      <w:r w:rsidR="00D13C36" w:rsidRPr="00E673DC">
        <w:rPr>
          <w:lang w:val="en-GB"/>
        </w:rPr>
        <w:t xml:space="preserve"> challenges and ha</w:t>
      </w:r>
      <w:r w:rsidR="00982DA1">
        <w:rPr>
          <w:lang w:val="en-GB"/>
        </w:rPr>
        <w:t>ve</w:t>
      </w:r>
      <w:r w:rsidR="00D13C36" w:rsidRPr="00E673DC">
        <w:rPr>
          <w:lang w:val="en-GB"/>
        </w:rPr>
        <w:t xml:space="preserve"> a big</w:t>
      </w:r>
      <w:r w:rsidRPr="00E673DC">
        <w:rPr>
          <w:lang w:val="en-GB"/>
        </w:rPr>
        <w:t>ger</w:t>
      </w:r>
      <w:r w:rsidR="00D13C36" w:rsidRPr="00E673DC">
        <w:rPr>
          <w:lang w:val="en-GB"/>
        </w:rPr>
        <w:t xml:space="preserve"> carbon footprint, remains uncertain. Therefore, it is crucial to concentrate on addressing environmental issues in these regions to contribute effectively towards their mitigation </w:t>
      </w:r>
      <w:r w:rsidR="00D13C36" w:rsidRPr="00E673DC">
        <w:rPr>
          <w:lang w:val="en-GB"/>
        </w:rPr>
        <w:fldChar w:fldCharType="begin"/>
      </w:r>
      <w:r w:rsidR="00E72F10" w:rsidRPr="00E673DC">
        <w:rPr>
          <w:lang w:val="en-GB"/>
        </w:rPr>
        <w:instrText xml:space="preserve"> ADDIN ZOTERO_ITEM CSL_CITATION {"citationID":"YVgubPSu","properties":{"formattedCitation":"(Anwar et al., 2020; Malik et al., 2021)","plainCitation":"(Anwar et al., 2020; Malik et al., 2021)","noteIndex":0},"citationItems":[{"id":175,"uris":["http://zotero.org/users/local/TOdoVrPG/items/7MT3AF3K"],"itemData":{"id":175,"type":"article-journal","abstract":"The slow and inefficient environmental performance of universities is drawing the attention of scholars towards behavioural change in employees rather than just relying on technological upgrades. Drawing upon the Ability-Motivation-Opportunity (AMO) theory, the purpose of this study is first to examine the influence of Green Human Resource Management (HRM) practices (green competence building practices, green motivation enhancing practices, and green employee involvement practices) on the organisational citizenship behaviour towards the environment (OCBE) of academic staff and, in turn, its impact on the environmental performance. Second, the mediating impact of OCBE between each of Green HRM practices and environmental performance is assessed. The data were collected from September until November 2017 on two campuses of a renowned public research university in Malaysia. Using quantitative research design, a structured questionnaire was used among the academic staff of the university. Convenience sampling was used to select the respondents from both campuses, and the Partial Least Squares (PLS) modelling technique was used to analyse the data, which comprised 122 respondents. Overall findings showed that three sets of Green HRM practices based on the Ability-Motivation-Opportunity framework had a significant impact on OCBE. Furthermore, OCBE had a significant relationship with environmental performance. For the mediation analysis, the results showed that OCBE exhibited by academic staff acted as a means through which the Green HRM practices of a university can positively influence the environmental performance of a university campus. The originality of this study rests in shedding light on Green HRM practices in the higher education sector and highlighting the critical role of academic staff’s environmentally friendly behaviour for improving the environmental performance of a university.","container-title":"Journal of Cleaner Production","DOI":"10.1016/j.jclepro.2020.120401","ISSN":"0959-6526","journalAbbreviation":"Journal of Cleaner Production","page":"120401","title":"Green Human Resource Management for organisational citizenship behaviour towards the environment and environmental performance on a university campus","URL":"https://www.sciencedirect.com/science/article/pii/S0959652620304480","volume":"256","author":[{"family":"Anwar","given":"Nosheen"},{"family":"Nik Mahmood","given":"Nik Hasnaa"},{"family":"Yusliza","given":"Mohd Yusoff"},{"family":"Ramayah","given":"T."},{"family":"Noor Faezah","given":"Juhari"},{"family":"Khalid","given":"Waqas"}],"issued":{"date-parts":[["2020"]]}}},{"id":173,"uris":["http://zotero.org/users/local/TOdoVrPG/items/VP35VTX5"],"itemData":{"id":173,"type":"article-journal","abstract":"The manufacturing sector is one of the major sources contributing towards economies as well as environmental pollution. Contributing to the theory of ability motivation opportunity theory, the aim of the current study was to investigate the mediating role of organizational citizenship behavior towards the environment on the relationship between green human resources management (green recruitment and selection, green training, green rewards, and green performance evaluation), corporate social responsibility, and sustainable performance (economic, social, and environmental performance). The quantitative survey research design was used in the current study and structured questionnaires were distributed for the collection of data. The cross-sectional data were collected from 150 ﬁrms. Sample of the study was consisted of HRM managers, directors. Total 200 questionnaires were distributed but 150 completed responses were received and analyzed. A structured questionnaire was used. For data analysis, smart partial least square structural equation modeling (PLS-SEM) was used. The measurement model and the structural model were developed and tested in the study. The measurement model aim was to investigate and establish reliabilities and validities of the instrument while to test hypotheses structural model was formulated/developed. Results revealed that the instrument was found reliable and valid; the instrument has met all standard criteria for average variance extracted, composite/construct reliability factor loadings, and alpha values. While structural models illustrated that all hypotheses are accepted. It is concluded from the results that organizational citizenship behavior towards the environment signiﬁcantly mediated the relationship between corporate social responsibility and green human resource management practices. This implies that organizational citizenship behavior towards environment signiﬁcantly effects sustainable performance. The originality of the current study lies in highlighting corporate social responsibility, green human resources management practices to enhance sustainable performance through organizational citizenship behavior towards environment.","container-title":"Sustainability, 13(3), 1044.","DOI":"https://doi.org/10.3390/su13031044","language":"en","source":"Zotero","title":"Corporate Social Responsibility, Green Human Resources Management, and Sustainable Performance: Is Organizational Citizenship Behavior towards Environment the Missing Link?","author":[{"family":"Malik","given":"Saqib Yaqoob"},{"family":"Mughal","given":"Yasir Hayat"},{"family":"Azam","given":"Tamoor"},{"family":"Cao","given":"Yukun"},{"family":"Wan","given":"Zhifang"},{"family":"Zhu","given":"Hongge"},{"family":"Thurasamy","given":"Ramayah"}],"issued":{"date-parts":[["2021"]]}}}],"schema":"https://github.com/citation-style-language/schema/raw/master/csl-citation.json"} </w:instrText>
      </w:r>
      <w:r w:rsidR="00D13C36" w:rsidRPr="00E673DC">
        <w:rPr>
          <w:lang w:val="en-GB"/>
        </w:rPr>
        <w:fldChar w:fldCharType="separate"/>
      </w:r>
      <w:r w:rsidR="00D13C36" w:rsidRPr="00E673DC">
        <w:rPr>
          <w:lang w:val="en-GB"/>
        </w:rPr>
        <w:t>(Anwar et al., 2020; Malik et al., 2021)</w:t>
      </w:r>
      <w:r w:rsidR="00D13C36" w:rsidRPr="00E673DC">
        <w:rPr>
          <w:lang w:val="en-GB"/>
        </w:rPr>
        <w:fldChar w:fldCharType="end"/>
      </w:r>
      <w:r w:rsidR="00D13C36" w:rsidRPr="00E673DC">
        <w:rPr>
          <w:lang w:val="en-GB"/>
        </w:rPr>
        <w:t xml:space="preserve">. </w:t>
      </w:r>
      <w:r w:rsidR="008B5533" w:rsidRPr="00E673DC">
        <w:rPr>
          <w:rFonts w:eastAsia="Times New Roman"/>
          <w:lang w:val="en-GB"/>
        </w:rPr>
        <w:t xml:space="preserve">Workers are more likely to act in ways that advance the company's environmental objectives if they are given the right tools, are inspired by </w:t>
      </w:r>
      <w:r w:rsidR="00DC79D6">
        <w:rPr>
          <w:rFonts w:eastAsia="Times New Roman"/>
          <w:lang w:val="en-GB"/>
        </w:rPr>
        <w:t>organis</w:t>
      </w:r>
      <w:r w:rsidR="008B5533" w:rsidRPr="00E673DC">
        <w:rPr>
          <w:rFonts w:eastAsia="Times New Roman"/>
          <w:lang w:val="en-GB"/>
        </w:rPr>
        <w:t xml:space="preserve">ational rewards, and are given chances to innovate </w:t>
      </w:r>
      <w:r w:rsidR="00D13C36" w:rsidRPr="00E673DC">
        <w:rPr>
          <w:rFonts w:eastAsia="Times New Roman"/>
          <w:lang w:val="en-GB"/>
        </w:rPr>
        <w:fldChar w:fldCharType="begin"/>
      </w:r>
      <w:r w:rsidR="00E72F10" w:rsidRPr="00E673DC">
        <w:rPr>
          <w:rFonts w:eastAsia="Times New Roman"/>
          <w:lang w:val="en-GB"/>
        </w:rPr>
        <w:instrText xml:space="preserve"> ADDIN ZOTERO_ITEM CSL_CITATION {"citationID":"sSmvsgOu","properties":{"formattedCitation":"(Singh et al., 2020)","plainCitation":"(Singh et al., 2020)","noteIndex":0},"citationItems":[{"id":246,"uris":["http://zotero.org/users/local/TOdoVrPG/items/DJJXD563"],"itemData":{"id":246,"type":"article-journal","abstract":"Drawing upon the resource-based view and the ability-motivation-opportunity theory, we examined how green human resource management interplays on to the linkages amongst green transformational leadership, green innovation and environmental performance. Using a survey questionnaire, we collected triadic data from 309 manufacturing sector small and medium-sized enterprises (SMEs). We used covariance-based structural equation modeling (SEM) to examine hypotheses in this study. Results of the study suggest that green HRM practices mediates the influence of green transformational leadership on green innovation. We also found that green HRM indirectly through green innovation influences firm's environmental performance. Overall, the findings of our study support all hypotheses of direct and indirect effects and have several theoretical and practical implications. Finally, our study significantly advances theory and suggests that HRM-performance relationship neither depends upon the additive effect of green transformational leadership and green innovation as antecedent and mediator, respectively, nor on their interactive effect but a mix of both combinational forms (ie., additive and interactive) to affect firm environmental performance. Overall, our study contributes and advances the previous studies wherein in leadership plays critical role to influence the HRM practices and that in turn to predict green innovation in the organization.","container-title":"Technological Forecasting and Social Change","DOI":"10.1016/j.techfore.2019.119762","ISSN":"0040-1625","journalAbbreviation":"Technological Forecasting and Social Change","page":"119762","title":"Green innovation and environmental performance: The role of green transformational leadership and green human resource management","URL":"https://www.sciencedirect.com/science/article/pii/S0040162519309588","volume":"150","author":[{"family":"Singh","given":"Sanjay Kumar"},{"family":"Giudice","given":"Manlio Del"},{"family":"Chierici","given":"Roberto"},{"family":"Graziano","given":"Domenico"}],"issued":{"date-parts":[["2020"]]}}}],"schema":"https://github.com/citation-style-language/schema/raw/master/csl-citation.json"} </w:instrText>
      </w:r>
      <w:r w:rsidR="00D13C36" w:rsidRPr="00E673DC">
        <w:rPr>
          <w:rFonts w:eastAsia="Times New Roman"/>
          <w:lang w:val="en-GB"/>
        </w:rPr>
        <w:fldChar w:fldCharType="separate"/>
      </w:r>
      <w:r w:rsidR="00D13C36" w:rsidRPr="00E673DC">
        <w:rPr>
          <w:lang w:val="en-GB"/>
        </w:rPr>
        <w:t>(Singh et al., 2020)</w:t>
      </w:r>
      <w:r w:rsidR="00D13C36" w:rsidRPr="00E673DC">
        <w:rPr>
          <w:rFonts w:eastAsia="Times New Roman"/>
          <w:lang w:val="en-GB"/>
        </w:rPr>
        <w:fldChar w:fldCharType="end"/>
      </w:r>
      <w:r w:rsidR="00D13C36" w:rsidRPr="00E673DC">
        <w:rPr>
          <w:rFonts w:eastAsia="Times New Roman"/>
          <w:lang w:val="en-GB"/>
        </w:rPr>
        <w:t xml:space="preserve">. When </w:t>
      </w:r>
      <w:r w:rsidR="00DC79D6">
        <w:rPr>
          <w:rFonts w:eastAsia="Times New Roman"/>
          <w:lang w:val="en-GB"/>
        </w:rPr>
        <w:t>organis</w:t>
      </w:r>
      <w:r w:rsidR="00D13C36" w:rsidRPr="00E673DC">
        <w:rPr>
          <w:rFonts w:eastAsia="Times New Roman"/>
          <w:lang w:val="en-GB"/>
        </w:rPr>
        <w:t xml:space="preserve">ations adopt GHRM practices, they create an environment that nurtures GIB, which in turn enhances OCBE. Thus, the </w:t>
      </w:r>
      <w:r w:rsidR="00F8610F" w:rsidRPr="00E673DC">
        <w:rPr>
          <w:rFonts w:eastAsia="Times New Roman"/>
          <w:lang w:val="en-GB"/>
        </w:rPr>
        <w:t>following hypotheses</w:t>
      </w:r>
      <w:r w:rsidR="005D6E84" w:rsidRPr="00E673DC">
        <w:rPr>
          <w:rFonts w:eastAsia="Times New Roman"/>
          <w:lang w:val="en-GB"/>
        </w:rPr>
        <w:t xml:space="preserve"> </w:t>
      </w:r>
      <w:r w:rsidR="00D13C36" w:rsidRPr="00E673DC">
        <w:rPr>
          <w:rFonts w:eastAsia="Times New Roman"/>
          <w:lang w:val="en-GB"/>
        </w:rPr>
        <w:t xml:space="preserve">are formulated: </w:t>
      </w:r>
    </w:p>
    <w:p w14:paraId="5A2F10D5" w14:textId="376EC5B9" w:rsidR="00A13B9A" w:rsidRPr="003148AD" w:rsidRDefault="00A13B9A" w:rsidP="00A13B9A">
      <w:pPr>
        <w:jc w:val="both"/>
        <w:rPr>
          <w:rFonts w:eastAsia="Times New Roman"/>
          <w:b/>
          <w:bCs/>
          <w:lang w:val="en-GB"/>
        </w:rPr>
      </w:pPr>
      <w:r w:rsidRPr="003148AD">
        <w:rPr>
          <w:rFonts w:eastAsia="Times New Roman"/>
          <w:b/>
          <w:bCs/>
          <w:lang w:val="en-GB"/>
        </w:rPr>
        <w:t xml:space="preserve">H3a: GIB has a positive impact on </w:t>
      </w:r>
      <w:r w:rsidR="00F8610F" w:rsidRPr="003148AD">
        <w:rPr>
          <w:rFonts w:eastAsia="Times New Roman"/>
          <w:b/>
          <w:bCs/>
          <w:lang w:val="en-GB"/>
        </w:rPr>
        <w:t>OCBE.</w:t>
      </w:r>
    </w:p>
    <w:p w14:paraId="59FC9D37" w14:textId="65FF9CCB" w:rsidR="00D13C36" w:rsidRPr="003148AD" w:rsidRDefault="00D13C36" w:rsidP="00A13B9A">
      <w:pPr>
        <w:rPr>
          <w:b/>
          <w:bCs/>
          <w:lang w:val="en-GB"/>
        </w:rPr>
      </w:pPr>
      <w:bookmarkStart w:id="16" w:name="_Hlk191544076"/>
      <w:r w:rsidRPr="003148AD">
        <w:rPr>
          <w:rFonts w:eastAsia="Times New Roman"/>
          <w:b/>
          <w:bCs/>
          <w:lang w:val="en-GB"/>
        </w:rPr>
        <w:t>H</w:t>
      </w:r>
      <w:r w:rsidR="00061A54" w:rsidRPr="003148AD">
        <w:rPr>
          <w:rFonts w:eastAsia="Times New Roman"/>
          <w:b/>
          <w:bCs/>
          <w:lang w:val="en-GB"/>
        </w:rPr>
        <w:t>3</w:t>
      </w:r>
      <w:r w:rsidR="00A13B9A" w:rsidRPr="003148AD">
        <w:rPr>
          <w:rFonts w:eastAsia="Times New Roman"/>
          <w:b/>
          <w:bCs/>
          <w:lang w:val="en-GB"/>
        </w:rPr>
        <w:t>b</w:t>
      </w:r>
      <w:r w:rsidRPr="003148AD">
        <w:rPr>
          <w:rFonts w:eastAsia="Times New Roman"/>
          <w:b/>
          <w:bCs/>
          <w:lang w:val="en-GB"/>
        </w:rPr>
        <w:t>: GIB mediates the relationship between GR&amp;C and OCBE.</w:t>
      </w:r>
    </w:p>
    <w:p w14:paraId="4B28247E" w14:textId="0C88F34D" w:rsidR="00D13C36" w:rsidRPr="003148AD" w:rsidRDefault="00D13C36" w:rsidP="00A13B9A">
      <w:pPr>
        <w:rPr>
          <w:rFonts w:eastAsia="Times New Roman"/>
          <w:b/>
          <w:bCs/>
          <w:lang w:val="en-GB"/>
        </w:rPr>
      </w:pPr>
      <w:r w:rsidRPr="003148AD">
        <w:rPr>
          <w:rFonts w:eastAsia="Times New Roman"/>
          <w:b/>
          <w:bCs/>
          <w:lang w:val="en-GB"/>
        </w:rPr>
        <w:t>H</w:t>
      </w:r>
      <w:r w:rsidR="00A13B9A" w:rsidRPr="003148AD">
        <w:rPr>
          <w:rFonts w:eastAsia="Times New Roman"/>
          <w:b/>
          <w:bCs/>
          <w:lang w:val="en-GB"/>
        </w:rPr>
        <w:t>3c</w:t>
      </w:r>
      <w:r w:rsidRPr="003148AD">
        <w:rPr>
          <w:rFonts w:eastAsia="Times New Roman"/>
          <w:b/>
          <w:bCs/>
          <w:lang w:val="en-GB"/>
        </w:rPr>
        <w:t>: GIB mediates the relationship between GL&amp;D and OCBE.</w:t>
      </w:r>
    </w:p>
    <w:p w14:paraId="56F0B5C7" w14:textId="77777777" w:rsidR="00D13C36" w:rsidRPr="00E673DC" w:rsidRDefault="00D13C36">
      <w:pPr>
        <w:spacing w:before="0" w:beforeAutospacing="0" w:after="160" w:afterAutospacing="0" w:line="259" w:lineRule="auto"/>
        <w:ind w:firstLine="0"/>
        <w:contextualSpacing w:val="0"/>
        <w:rPr>
          <w:rFonts w:eastAsia="Times New Roman"/>
          <w:lang w:val="en-GB"/>
        </w:rPr>
      </w:pPr>
      <w:r w:rsidRPr="00E673DC">
        <w:rPr>
          <w:rFonts w:eastAsia="Times New Roman"/>
          <w:lang w:val="en-GB"/>
        </w:rPr>
        <w:br w:type="page"/>
      </w:r>
    </w:p>
    <w:p w14:paraId="068A0B3C" w14:textId="5801CB61" w:rsidR="00D13C36" w:rsidRPr="00E673DC" w:rsidRDefault="008A74BD" w:rsidP="00007936">
      <w:pPr>
        <w:pStyle w:val="Heading1"/>
        <w:ind w:left="0" w:firstLine="0"/>
        <w:rPr>
          <w:lang w:val="en-GB"/>
        </w:rPr>
      </w:pPr>
      <w:bookmarkStart w:id="17" w:name="_Toc197952394"/>
      <w:r w:rsidRPr="00E673DC">
        <w:rPr>
          <w:lang w:val="en-GB"/>
        </w:rPr>
        <w:lastRenderedPageBreak/>
        <w:t>Materials and Methods</w:t>
      </w:r>
      <w:bookmarkEnd w:id="17"/>
    </w:p>
    <w:p w14:paraId="1BDBEC80" w14:textId="77777777" w:rsidR="008A74BD" w:rsidRPr="00E673DC" w:rsidRDefault="008A74BD">
      <w:pPr>
        <w:pStyle w:val="ListParagraph"/>
        <w:keepNext/>
        <w:keepLines/>
        <w:numPr>
          <w:ilvl w:val="0"/>
          <w:numId w:val="5"/>
        </w:numPr>
        <w:suppressAutoHyphens/>
        <w:overflowPunct w:val="0"/>
        <w:autoSpaceDE w:val="0"/>
        <w:autoSpaceDN w:val="0"/>
        <w:adjustRightInd w:val="0"/>
        <w:spacing w:beforeAutospacing="0" w:afterAutospacing="0" w:line="300" w:lineRule="atLeast"/>
        <w:contextualSpacing w:val="0"/>
        <w:jc w:val="both"/>
        <w:textAlignment w:val="baseline"/>
        <w:outlineLvl w:val="0"/>
        <w:rPr>
          <w:rFonts w:asciiTheme="majorBidi" w:hAnsiTheme="majorBidi" w:cstheme="majorBidi"/>
          <w:b/>
          <w:bCs w:val="0"/>
          <w:vanish/>
          <w:lang w:val="en-GB" w:bidi="ar-SA"/>
        </w:rPr>
      </w:pPr>
    </w:p>
    <w:p w14:paraId="2F634367" w14:textId="0CE8CA11" w:rsidR="007927B7" w:rsidRPr="00E673DC" w:rsidRDefault="007927B7" w:rsidP="00D77795">
      <w:pPr>
        <w:ind w:firstLine="720"/>
        <w:rPr>
          <w:lang w:val="en-GB"/>
        </w:rPr>
      </w:pPr>
      <w:r w:rsidRPr="00E673DC">
        <w:rPr>
          <w:lang w:val="en-GB"/>
        </w:rPr>
        <w:t xml:space="preserve">The purpose of this research is to study and investigate the determinants of </w:t>
      </w:r>
      <w:r w:rsidR="00982DA1">
        <w:rPr>
          <w:lang w:val="en-GB"/>
        </w:rPr>
        <w:t xml:space="preserve">the </w:t>
      </w:r>
      <w:r w:rsidR="00DC79D6">
        <w:rPr>
          <w:lang w:val="en-GB"/>
        </w:rPr>
        <w:t>behaviour</w:t>
      </w:r>
      <w:r w:rsidRPr="00E673DC">
        <w:rPr>
          <w:lang w:val="en-GB"/>
        </w:rPr>
        <w:t xml:space="preserve"> and attitude</w:t>
      </w:r>
      <w:r w:rsidR="00697E8C">
        <w:rPr>
          <w:lang w:val="en-GB"/>
        </w:rPr>
        <w:t>s</w:t>
      </w:r>
      <w:r w:rsidRPr="00E673DC">
        <w:rPr>
          <w:lang w:val="en-GB"/>
        </w:rPr>
        <w:t xml:space="preserve"> of Dubai Government employees. A careful and systematic process </w:t>
      </w:r>
      <w:r w:rsidR="001E2322">
        <w:rPr>
          <w:lang w:val="en-GB"/>
        </w:rPr>
        <w:t>is</w:t>
      </w:r>
      <w:r w:rsidRPr="00E673DC">
        <w:rPr>
          <w:lang w:val="en-GB"/>
        </w:rPr>
        <w:t xml:space="preserve"> followed to maintain the validity and reliability of the findings of the study.</w:t>
      </w:r>
    </w:p>
    <w:p w14:paraId="0E1D8E94" w14:textId="77777777" w:rsidR="007927B7" w:rsidRPr="00E673DC" w:rsidRDefault="007927B7">
      <w:pPr>
        <w:pStyle w:val="heading2"/>
        <w:numPr>
          <w:ilvl w:val="1"/>
          <w:numId w:val="5"/>
        </w:numPr>
        <w:spacing w:before="0"/>
        <w:jc w:val="both"/>
        <w:rPr>
          <w:rFonts w:asciiTheme="majorBidi" w:hAnsiTheme="majorBidi" w:cstheme="majorBidi"/>
          <w:sz w:val="24"/>
          <w:szCs w:val="24"/>
          <w:lang w:val="en-GB"/>
        </w:rPr>
      </w:pPr>
      <w:bookmarkStart w:id="18" w:name="_Toc197952395"/>
      <w:r w:rsidRPr="00E673DC">
        <w:rPr>
          <w:rFonts w:asciiTheme="majorBidi" w:hAnsiTheme="majorBidi" w:cstheme="majorBidi"/>
          <w:sz w:val="24"/>
          <w:szCs w:val="24"/>
          <w:lang w:val="en-GB"/>
        </w:rPr>
        <w:t>Research Onion</w:t>
      </w:r>
      <w:bookmarkEnd w:id="18"/>
    </w:p>
    <w:p w14:paraId="1EF3742C" w14:textId="49D896BD" w:rsidR="007927B7" w:rsidRPr="00E673DC" w:rsidRDefault="007927B7" w:rsidP="00D77795">
      <w:pPr>
        <w:ind w:firstLine="720"/>
        <w:rPr>
          <w:lang w:val="en-GB"/>
        </w:rPr>
      </w:pPr>
      <w:r w:rsidRPr="00E673DC">
        <w:rPr>
          <w:lang w:val="en-GB"/>
        </w:rPr>
        <w:t>The research process adheres to the research onion</w:t>
      </w:r>
      <w:r w:rsidR="00982DA1">
        <w:rPr>
          <w:lang w:val="en-GB"/>
        </w:rPr>
        <w:t>'s</w:t>
      </w:r>
      <w:r w:rsidRPr="00E673DC">
        <w:rPr>
          <w:lang w:val="en-GB"/>
        </w:rPr>
        <w:t xml:space="preserve"> formal </w:t>
      </w:r>
      <w:r w:rsidR="00F8610F" w:rsidRPr="00E673DC">
        <w:rPr>
          <w:lang w:val="en-GB"/>
        </w:rPr>
        <w:t>structure</w:t>
      </w:r>
      <w:r w:rsidR="00982DA1">
        <w:rPr>
          <w:lang w:val="en-GB"/>
        </w:rPr>
        <w:t>, which is</w:t>
      </w:r>
      <w:r w:rsidR="00F8610F" w:rsidRPr="00E673DC">
        <w:rPr>
          <w:lang w:val="en-GB"/>
        </w:rPr>
        <w:t xml:space="preserve"> </w:t>
      </w:r>
      <w:r w:rsidRPr="00E673DC">
        <w:rPr>
          <w:lang w:val="en-GB"/>
        </w:rPr>
        <w:t xml:space="preserve">used as a guide in </w:t>
      </w:r>
      <w:r w:rsidR="00DC79D6">
        <w:rPr>
          <w:lang w:val="en-GB"/>
        </w:rPr>
        <w:t>organis</w:t>
      </w:r>
      <w:r w:rsidRPr="00E673DC">
        <w:rPr>
          <w:lang w:val="en-GB"/>
        </w:rPr>
        <w:t>ing and arranging the various phases of the research process. The onion metaphor represents various layers of research choices, beginning with the outermost research philosophy layer and moving inward to the innermost data collection methods layer. This research employs all the layers of the onion, providing a systematic and routine approach to the research</w:t>
      </w:r>
      <w:r w:rsidR="00782EAE" w:rsidRPr="00E673DC">
        <w:rPr>
          <w:lang w:val="en-GB"/>
        </w:rPr>
        <w:t xml:space="preserve"> </w:t>
      </w:r>
      <w:r w:rsidR="00782EAE" w:rsidRPr="00E673DC">
        <w:rPr>
          <w:lang w:val="en-GB"/>
        </w:rPr>
        <w:fldChar w:fldCharType="begin"/>
      </w:r>
      <w:r w:rsidR="00782EAE" w:rsidRPr="00E673DC">
        <w:rPr>
          <w:lang w:val="en-GB"/>
        </w:rPr>
        <w:instrText xml:space="preserve"> ADDIN ZOTERO_ITEM CSL_CITATION {"citationID":"usEy03Kt","properties":{"formattedCitation":"(Saunders et al., 2019)","plainCitation":"(Saunders et al., 2019)","noteIndex":0},"citationItems":[{"id":380,"uris":["http://zotero.org/users/local/TOdoVrPG/items/Y4H23Q7W"],"itemData":{"id":380,"type":"book","publisher":"Pearson Education","title":"Research Methods for Business Students","author":[{"family":"Saunders","given":"M."},{"family":"Lewis","given":"P."},{"family":"Thornhill","given":"A."}],"issued":{"date-parts":[["2019"]]}}}],"schema":"https://github.com/citation-style-language/schema/raw/master/csl-citation.json"} </w:instrText>
      </w:r>
      <w:r w:rsidR="00782EAE" w:rsidRPr="00E673DC">
        <w:rPr>
          <w:lang w:val="en-GB"/>
        </w:rPr>
        <w:fldChar w:fldCharType="separate"/>
      </w:r>
      <w:r w:rsidR="00782EAE" w:rsidRPr="00E673DC">
        <w:rPr>
          <w:lang w:val="en-GB"/>
        </w:rPr>
        <w:t>(Saunders et al., 2019)</w:t>
      </w:r>
      <w:r w:rsidR="00782EAE" w:rsidRPr="00E673DC">
        <w:rPr>
          <w:lang w:val="en-GB"/>
        </w:rPr>
        <w:fldChar w:fldCharType="end"/>
      </w:r>
      <w:r w:rsidRPr="00E673DC">
        <w:rPr>
          <w:lang w:val="en-GB"/>
        </w:rPr>
        <w:t>.</w:t>
      </w:r>
    </w:p>
    <w:p w14:paraId="5524D0C3" w14:textId="629F3434" w:rsidR="007927B7" w:rsidRPr="00E673DC" w:rsidRDefault="007927B7">
      <w:pPr>
        <w:pStyle w:val="heading2"/>
        <w:numPr>
          <w:ilvl w:val="1"/>
          <w:numId w:val="5"/>
        </w:numPr>
        <w:spacing w:before="0"/>
        <w:jc w:val="both"/>
        <w:rPr>
          <w:rFonts w:asciiTheme="majorBidi" w:hAnsiTheme="majorBidi" w:cstheme="majorBidi"/>
          <w:sz w:val="24"/>
          <w:szCs w:val="24"/>
          <w:lang w:val="en-GB"/>
        </w:rPr>
      </w:pPr>
      <w:bookmarkStart w:id="19" w:name="_Toc197952396"/>
      <w:r w:rsidRPr="00E673DC">
        <w:rPr>
          <w:rFonts w:asciiTheme="majorBidi" w:hAnsiTheme="majorBidi" w:cstheme="majorBidi"/>
          <w:sz w:val="24"/>
          <w:szCs w:val="24"/>
          <w:lang w:val="en-GB"/>
        </w:rPr>
        <w:t>Research Philosophy</w:t>
      </w:r>
      <w:bookmarkEnd w:id="19"/>
    </w:p>
    <w:p w14:paraId="7CBC7C7F" w14:textId="6D3CC252" w:rsidR="007927B7" w:rsidRPr="00E673DC" w:rsidRDefault="007927B7" w:rsidP="00D77795">
      <w:pPr>
        <w:ind w:firstLine="720"/>
        <w:rPr>
          <w:lang w:val="en-GB"/>
        </w:rPr>
      </w:pPr>
      <w:r w:rsidRPr="00E673DC">
        <w:rPr>
          <w:lang w:val="en-GB"/>
        </w:rPr>
        <w:t xml:space="preserve">The study follows </w:t>
      </w:r>
      <w:r w:rsidR="001E2322">
        <w:rPr>
          <w:lang w:val="en-GB"/>
        </w:rPr>
        <w:t>the</w:t>
      </w:r>
      <w:r w:rsidRPr="00E673DC">
        <w:rPr>
          <w:lang w:val="en-GB"/>
        </w:rPr>
        <w:t xml:space="preserve"> positivist philosophy</w:t>
      </w:r>
      <w:r w:rsidR="001E2322">
        <w:rPr>
          <w:lang w:val="en-GB"/>
        </w:rPr>
        <w:t>,</w:t>
      </w:r>
      <w:r w:rsidRPr="00E673DC">
        <w:rPr>
          <w:lang w:val="en-GB"/>
        </w:rPr>
        <w:t xml:space="preserve"> which focuses on using objective approaches in investigating observable occurrences. Positivism is guided by the principle that reality exists independently of the researcher and is quantifiable using empirical observations. Positivism is based on the writings of early philosophers like Comte </w:t>
      </w:r>
      <w:r w:rsidR="00782EAE" w:rsidRPr="00E673DC">
        <w:rPr>
          <w:lang w:val="en-GB"/>
        </w:rPr>
        <w:fldChar w:fldCharType="begin"/>
      </w:r>
      <w:r w:rsidR="00782EAE" w:rsidRPr="00E673DC">
        <w:rPr>
          <w:lang w:val="en-GB"/>
        </w:rPr>
        <w:instrText xml:space="preserve"> ADDIN ZOTERO_ITEM CSL_CITATION {"citationID":"Ik5V63gr","properties":{"formattedCitation":"(1853)","plainCitation":"(1853)","noteIndex":0},"citationItems":[{"id":400,"uris":["http://zotero.org/users/local/TOdoVrPG/items/EEAR8G6Q"],"itemData":{"id":400,"type":"book","publisher":"John Chapman","title":"The Positive Philosophy","volume":"1","author":[{"family":"Comte","given":"A."}],"issued":{"date-parts":[["1853"]]}},"suppress-author":true}],"schema":"https://github.com/citation-style-language/schema/raw/master/csl-citation.json"} </w:instrText>
      </w:r>
      <w:r w:rsidR="00782EAE" w:rsidRPr="00E673DC">
        <w:rPr>
          <w:lang w:val="en-GB"/>
        </w:rPr>
        <w:fldChar w:fldCharType="separate"/>
      </w:r>
      <w:r w:rsidR="00782EAE" w:rsidRPr="00E673DC">
        <w:rPr>
          <w:lang w:val="en-GB"/>
        </w:rPr>
        <w:t>(1853)</w:t>
      </w:r>
      <w:r w:rsidR="00782EAE" w:rsidRPr="00E673DC">
        <w:rPr>
          <w:lang w:val="en-GB"/>
        </w:rPr>
        <w:fldChar w:fldCharType="end"/>
      </w:r>
      <w:r w:rsidR="00782EAE" w:rsidRPr="00E673DC">
        <w:rPr>
          <w:lang w:val="en-GB"/>
        </w:rPr>
        <w:t xml:space="preserve"> </w:t>
      </w:r>
      <w:r w:rsidRPr="00E673DC">
        <w:rPr>
          <w:lang w:val="en-GB"/>
        </w:rPr>
        <w:t>and is commonly used in quantitative research to come to generali</w:t>
      </w:r>
      <w:r w:rsidR="00982DA1">
        <w:rPr>
          <w:lang w:val="en-GB"/>
        </w:rPr>
        <w:t>s</w:t>
      </w:r>
      <w:r w:rsidRPr="00E673DC">
        <w:rPr>
          <w:lang w:val="en-GB"/>
        </w:rPr>
        <w:t xml:space="preserve">able findings from empirical data </w:t>
      </w:r>
      <w:r w:rsidR="00782EAE" w:rsidRPr="00E673DC">
        <w:rPr>
          <w:lang w:val="en-GB"/>
        </w:rPr>
        <w:fldChar w:fldCharType="begin"/>
      </w:r>
      <w:r w:rsidR="00782EAE" w:rsidRPr="00E673DC">
        <w:rPr>
          <w:lang w:val="en-GB"/>
        </w:rPr>
        <w:instrText xml:space="preserve"> ADDIN ZOTERO_ITEM CSL_CITATION {"citationID":"HOMaZzRP","properties":{"formattedCitation":"(Bryman &amp; Bell, 2015)","plainCitation":"(Bryman &amp; Bell, 2015)","noteIndex":0},"citationItems":[{"id":394,"uris":["http://zotero.org/users/local/TOdoVrPG/items/V9I6IJ7C"],"itemData":{"id":394,"type":"book","publisher":"Oxford University Press","title":"Business Research Methods (4th ed.)","URL":"https://books.google.ae/books?hl=en&amp;lr=&amp;id=hptjEAAAQBAJ&amp;oi=fnd&amp;pg=PP1&amp;dq=%E2%80%A2%09Bryman,+A.,+%26+Bell,+E.+(2015).+Business+Research+Methods+(4th+ed.).+Oxford+University+Press&amp;ots=Ddnf0ezX1y&amp;sig=kSGLlpeCEd99Jo-3WYLFrQMgXNU&amp;redir_esc=y#v=onepage&amp;q=%E2%80%A2%09Bryman%2C%20A.%2C%20%26%20Bell%2C%20E.%20(2015).%20Business%20Research%20Methods%20(4th%20ed.).%20Oxford%20University%20Press&amp;f=false","author":[{"family":"Bryman","given":"A."},{"family":"Bell","given":"E."}],"issued":{"date-parts":[["2015"]]}}}],"schema":"https://github.com/citation-style-language/schema/raw/master/csl-citation.json"} </w:instrText>
      </w:r>
      <w:r w:rsidR="00782EAE" w:rsidRPr="00E673DC">
        <w:rPr>
          <w:lang w:val="en-GB"/>
        </w:rPr>
        <w:fldChar w:fldCharType="separate"/>
      </w:r>
      <w:r w:rsidR="00782EAE" w:rsidRPr="00E673DC">
        <w:rPr>
          <w:lang w:val="en-GB"/>
        </w:rPr>
        <w:t>(Bryman &amp; Bell, 2015)</w:t>
      </w:r>
      <w:r w:rsidR="00782EAE" w:rsidRPr="00E673DC">
        <w:rPr>
          <w:lang w:val="en-GB"/>
        </w:rPr>
        <w:fldChar w:fldCharType="end"/>
      </w:r>
      <w:r w:rsidRPr="00E673DC">
        <w:rPr>
          <w:lang w:val="en-GB"/>
        </w:rPr>
        <w:t>. In accordance with this philosophy, the study is concerned with quantitative data collection and analysis in pursuit of generali</w:t>
      </w:r>
      <w:r w:rsidR="00982DA1">
        <w:rPr>
          <w:lang w:val="en-GB"/>
        </w:rPr>
        <w:t>s</w:t>
      </w:r>
      <w:r w:rsidRPr="00E673DC">
        <w:rPr>
          <w:lang w:val="en-GB"/>
        </w:rPr>
        <w:t>able trends and relationships among the variables.</w:t>
      </w:r>
    </w:p>
    <w:p w14:paraId="07194FBF" w14:textId="096F9D9B" w:rsidR="007927B7" w:rsidRPr="00E673DC" w:rsidRDefault="007927B7">
      <w:pPr>
        <w:pStyle w:val="heading2"/>
        <w:numPr>
          <w:ilvl w:val="1"/>
          <w:numId w:val="5"/>
        </w:numPr>
        <w:spacing w:before="0"/>
        <w:jc w:val="both"/>
        <w:rPr>
          <w:rFonts w:asciiTheme="majorBidi" w:hAnsiTheme="majorBidi" w:cstheme="majorBidi"/>
          <w:sz w:val="24"/>
          <w:szCs w:val="24"/>
          <w:lang w:val="en-GB"/>
        </w:rPr>
      </w:pPr>
      <w:bookmarkStart w:id="20" w:name="_Toc197952397"/>
      <w:r w:rsidRPr="00E673DC">
        <w:rPr>
          <w:rFonts w:asciiTheme="majorBidi" w:hAnsiTheme="majorBidi" w:cstheme="majorBidi"/>
          <w:sz w:val="24"/>
          <w:szCs w:val="24"/>
          <w:lang w:val="en-GB"/>
        </w:rPr>
        <w:lastRenderedPageBreak/>
        <w:t>Research Design</w:t>
      </w:r>
      <w:bookmarkEnd w:id="20"/>
    </w:p>
    <w:p w14:paraId="6600FD09" w14:textId="46DD6560" w:rsidR="007927B7" w:rsidRPr="00E673DC" w:rsidRDefault="007927B7" w:rsidP="00D77795">
      <w:pPr>
        <w:ind w:firstLine="720"/>
        <w:rPr>
          <w:lang w:val="en-GB"/>
        </w:rPr>
      </w:pPr>
      <w:r w:rsidRPr="00E673DC">
        <w:rPr>
          <w:lang w:val="en-GB"/>
        </w:rPr>
        <w:t>The research is deductive in design</w:t>
      </w:r>
      <w:r w:rsidR="00982DA1">
        <w:rPr>
          <w:lang w:val="en-GB"/>
        </w:rPr>
        <w:t>,</w:t>
      </w:r>
      <w:r w:rsidRPr="00E673DC">
        <w:rPr>
          <w:lang w:val="en-GB"/>
        </w:rPr>
        <w:t xml:space="preserve"> in that the study begins with a hypothesis or theory and then moves to test these hypotheses using empirical evidence</w:t>
      </w:r>
      <w:r w:rsidR="00982DA1">
        <w:rPr>
          <w:lang w:val="en-GB"/>
        </w:rPr>
        <w:t xml:space="preserve"> </w:t>
      </w:r>
      <w:r w:rsidR="00170A80" w:rsidRPr="00E673DC">
        <w:rPr>
          <w:lang w:val="en-GB"/>
        </w:rPr>
        <w:fldChar w:fldCharType="begin"/>
      </w:r>
      <w:r w:rsidR="00170A80" w:rsidRPr="00E673DC">
        <w:rPr>
          <w:lang w:val="en-GB"/>
        </w:rPr>
        <w:instrText xml:space="preserve"> ADDIN ZOTERO_ITEM CSL_CITATION {"citationID":"exbtPAC0","properties":{"formattedCitation":"(Creswell, 2014)","plainCitation":"(Creswell, 2014)","noteIndex":0},"citationItems":[{"id":401,"uris":["http://zotero.org/users/local/TOdoVrPG/items/J22SWCJF"],"itemData":{"id":401,"type":"book","publisher":"SAGE Publications","title":"Research Design: Qualitative, Quantitative, and Mixed Methods Approaches","URL":"https://books.google.ae/books?hl=en&amp;lr=&amp;id=335ZDwAAQBAJ&amp;oi=fnd&amp;pg=PT16&amp;dq=Creswell,+J.+W.+(2014).+Research+design:+Qualitative,+quantitative,+and+mixed+methods+approaches.+Thousand+Oaks,+CA:+SAGE+Publications&amp;ots=YEwRIRwosM&amp;sig=JB51TcNGnpLfjACC969SiZ6Wdpw&amp;redir_esc=y#v=onepage&amp;q&amp;f=false","author":[{"family":"Creswell","given":"J. W."}],"accessed":{"date-parts":[["2025",3,17]]},"issued":{"date-parts":[["2014"]]}}}],"schema":"https://github.com/citation-style-language/schema/raw/master/csl-citation.json"} </w:instrText>
      </w:r>
      <w:r w:rsidR="00170A80" w:rsidRPr="00E673DC">
        <w:rPr>
          <w:lang w:val="en-GB"/>
        </w:rPr>
        <w:fldChar w:fldCharType="separate"/>
      </w:r>
      <w:r w:rsidR="00170A80" w:rsidRPr="00E673DC">
        <w:rPr>
          <w:lang w:val="en-GB"/>
        </w:rPr>
        <w:t>(Creswell, 2014)</w:t>
      </w:r>
      <w:r w:rsidR="00170A80" w:rsidRPr="00E673DC">
        <w:rPr>
          <w:lang w:val="en-GB"/>
        </w:rPr>
        <w:fldChar w:fldCharType="end"/>
      </w:r>
      <w:r w:rsidRPr="00E673DC">
        <w:rPr>
          <w:lang w:val="en-GB"/>
        </w:rPr>
        <w:t xml:space="preserve">. Deductive research is appropriate </w:t>
      </w:r>
      <w:r w:rsidR="00982DA1">
        <w:rPr>
          <w:lang w:val="en-GB"/>
        </w:rPr>
        <w:t>for</w:t>
      </w:r>
      <w:r w:rsidRPr="00E673DC">
        <w:rPr>
          <w:lang w:val="en-GB"/>
        </w:rPr>
        <w:t xml:space="preserve"> this research</w:t>
      </w:r>
      <w:r w:rsidR="00982DA1">
        <w:rPr>
          <w:lang w:val="en-GB"/>
        </w:rPr>
        <w:t>,</w:t>
      </w:r>
      <w:r w:rsidRPr="00E673DC">
        <w:rPr>
          <w:lang w:val="en-GB"/>
        </w:rPr>
        <w:t xml:space="preserve"> in that the study aims to confirm existing theory and government employee </w:t>
      </w:r>
      <w:r w:rsidR="00DC79D6">
        <w:rPr>
          <w:lang w:val="en-GB"/>
        </w:rPr>
        <w:t>behaviour</w:t>
      </w:r>
      <w:r w:rsidRPr="00E673DC">
        <w:rPr>
          <w:lang w:val="en-GB"/>
        </w:rPr>
        <w:t xml:space="preserve"> models by using existing concepts and constructs. The deductive approach facilitates gathering data in a systematic way, which </w:t>
      </w:r>
      <w:r w:rsidR="00982DA1">
        <w:rPr>
          <w:lang w:val="en-GB"/>
        </w:rPr>
        <w:t>are</w:t>
      </w:r>
      <w:r w:rsidRPr="00E673DC">
        <w:rPr>
          <w:lang w:val="en-GB"/>
        </w:rPr>
        <w:t xml:space="preserve"> </w:t>
      </w:r>
      <w:r w:rsidR="00DC79D6">
        <w:rPr>
          <w:lang w:val="en-GB"/>
        </w:rPr>
        <w:t>analys</w:t>
      </w:r>
      <w:r w:rsidRPr="00E673DC">
        <w:rPr>
          <w:lang w:val="en-GB"/>
        </w:rPr>
        <w:t xml:space="preserve">ed with the perspective of confirming or rejecting the proposed hypotheses </w:t>
      </w:r>
      <w:r w:rsidR="00170A80" w:rsidRPr="00E673DC">
        <w:rPr>
          <w:lang w:val="en-GB"/>
        </w:rPr>
        <w:fldChar w:fldCharType="begin"/>
      </w:r>
      <w:r w:rsidR="00170A80" w:rsidRPr="00E673DC">
        <w:rPr>
          <w:lang w:val="en-GB"/>
        </w:rPr>
        <w:instrText xml:space="preserve"> ADDIN ZOTERO_ITEM CSL_CITATION {"citationID":"zrdafaf5","properties":{"formattedCitation":"(Saunders et al., 2019)","plainCitation":"(Saunders et al., 2019)","noteIndex":0},"citationItems":[{"id":380,"uris":["http://zotero.org/users/local/TOdoVrPG/items/Y4H23Q7W"],"itemData":{"id":380,"type":"book","publisher":"Pearson Education","title":"Research Methods for Business Students","author":[{"family":"Saunders","given":"M."},{"family":"Lewis","given":"P."},{"family":"Thornhill","given":"A."}],"issued":{"date-parts":[["2019"]]}}}],"schema":"https://github.com/citation-style-language/schema/raw/master/csl-citation.json"} </w:instrText>
      </w:r>
      <w:r w:rsidR="00170A80" w:rsidRPr="00E673DC">
        <w:rPr>
          <w:lang w:val="en-GB"/>
        </w:rPr>
        <w:fldChar w:fldCharType="separate"/>
      </w:r>
      <w:r w:rsidR="00170A80" w:rsidRPr="00E673DC">
        <w:rPr>
          <w:lang w:val="en-GB"/>
        </w:rPr>
        <w:t>(Saunders et al., 2019)</w:t>
      </w:r>
      <w:r w:rsidR="00170A80" w:rsidRPr="00E673DC">
        <w:rPr>
          <w:lang w:val="en-GB"/>
        </w:rPr>
        <w:fldChar w:fldCharType="end"/>
      </w:r>
      <w:r w:rsidRPr="00E673DC">
        <w:rPr>
          <w:lang w:val="en-GB"/>
        </w:rPr>
        <w:t>.</w:t>
      </w:r>
    </w:p>
    <w:p w14:paraId="4AFB7F5C" w14:textId="6F9FAB11" w:rsidR="007927B7" w:rsidRPr="00E673DC" w:rsidRDefault="007927B7">
      <w:pPr>
        <w:pStyle w:val="heading2"/>
        <w:numPr>
          <w:ilvl w:val="1"/>
          <w:numId w:val="5"/>
        </w:numPr>
        <w:spacing w:before="0"/>
        <w:jc w:val="both"/>
        <w:rPr>
          <w:rFonts w:asciiTheme="majorBidi" w:hAnsiTheme="majorBidi" w:cstheme="majorBidi"/>
          <w:sz w:val="24"/>
          <w:szCs w:val="24"/>
          <w:lang w:val="en-GB"/>
        </w:rPr>
      </w:pPr>
      <w:bookmarkStart w:id="21" w:name="_Toc197952398"/>
      <w:r w:rsidRPr="00E673DC">
        <w:rPr>
          <w:rFonts w:asciiTheme="majorBidi" w:hAnsiTheme="majorBidi" w:cstheme="majorBidi"/>
          <w:sz w:val="24"/>
          <w:szCs w:val="24"/>
          <w:lang w:val="en-GB"/>
        </w:rPr>
        <w:t>Research Methodology</w:t>
      </w:r>
      <w:bookmarkEnd w:id="21"/>
    </w:p>
    <w:p w14:paraId="4EF8277F" w14:textId="1D3CC073" w:rsidR="007927B7" w:rsidRPr="00E673DC" w:rsidRDefault="007927B7" w:rsidP="00D77795">
      <w:pPr>
        <w:ind w:firstLine="720"/>
        <w:rPr>
          <w:lang w:val="en-GB"/>
        </w:rPr>
      </w:pPr>
      <w:r w:rsidRPr="00E673DC">
        <w:rPr>
          <w:lang w:val="en-GB"/>
        </w:rPr>
        <w:t xml:space="preserve">The methodology adopted to carry out this </w:t>
      </w:r>
      <w:r w:rsidR="00982DA1">
        <w:rPr>
          <w:lang w:val="en-GB"/>
        </w:rPr>
        <w:t>study</w:t>
      </w:r>
      <w:r w:rsidRPr="00E673DC">
        <w:rPr>
          <w:lang w:val="en-GB"/>
        </w:rPr>
        <w:t xml:space="preserve"> is descriptive research, which is designed to describe the </w:t>
      </w:r>
      <w:r w:rsidR="00DC79D6">
        <w:rPr>
          <w:lang w:val="en-GB"/>
        </w:rPr>
        <w:t>behaviour</w:t>
      </w:r>
      <w:r w:rsidRPr="00E673DC">
        <w:rPr>
          <w:lang w:val="en-GB"/>
        </w:rPr>
        <w:t>, attitude</w:t>
      </w:r>
      <w:r w:rsidR="00982DA1">
        <w:rPr>
          <w:lang w:val="en-GB"/>
        </w:rPr>
        <w:t>s</w:t>
      </w:r>
      <w:r w:rsidRPr="00E673DC">
        <w:rPr>
          <w:lang w:val="en-GB"/>
        </w:rPr>
        <w:t xml:space="preserve">, and characteristics of the employees of the Dubai Government without any manipulation of </w:t>
      </w:r>
      <w:r w:rsidR="00982DA1">
        <w:rPr>
          <w:lang w:val="en-GB"/>
        </w:rPr>
        <w:t xml:space="preserve">the </w:t>
      </w:r>
      <w:r w:rsidRPr="00E673DC">
        <w:rPr>
          <w:lang w:val="en-GB"/>
        </w:rPr>
        <w:t>variables. Descriptive research is useful to give a complete description of the population being studied</w:t>
      </w:r>
      <w:r w:rsidR="00982DA1">
        <w:rPr>
          <w:lang w:val="en-GB"/>
        </w:rPr>
        <w:t>,</w:t>
      </w:r>
      <w:r w:rsidRPr="00E673DC">
        <w:rPr>
          <w:lang w:val="en-GB"/>
        </w:rPr>
        <w:t xml:space="preserve"> and enables one to know specifically how various factors relate to each other </w:t>
      </w:r>
      <w:r w:rsidR="00170A80" w:rsidRPr="00E673DC">
        <w:rPr>
          <w:lang w:val="en-GB"/>
        </w:rPr>
        <w:fldChar w:fldCharType="begin"/>
      </w:r>
      <w:r w:rsidR="00170A80" w:rsidRPr="00E673DC">
        <w:rPr>
          <w:lang w:val="en-GB"/>
        </w:rPr>
        <w:instrText xml:space="preserve"> ADDIN ZOTERO_ITEM CSL_CITATION {"citationID":"q1wWF63k","properties":{"formattedCitation":"(Alvesson &amp; Sandberg, 2013)","plainCitation":"(Alvesson &amp; Sandberg, 2013)","noteIndex":0},"citationItems":[{"id":391,"uris":["http://zotero.org/users/local/TOdoVrPG/items/N8E93ES2"],"itemData":{"id":391,"type":"book","publisher":"Sage Publications","title":"Constructing Research Questions: Doing Interesting Research","URL":"https://books.google.ae/books?hl=en&amp;lr=&amp;id=csrfEAAAQBAJ&amp;oi=fnd&amp;pg=PP2&amp;dq=Alvesson,+M.,+%26+Sandberg,+J.+(2013).+Constructing+Research+Questions:+Doing+Interesting+Research.+Sage+Publications.&amp;ots=RkiV3CMqGk&amp;sig=aS6rT3Dv09HPdoWfzX5h9meKkHQ&amp;redir_esc=y#v=onepage&amp;q=Alvesson%2C%20M.%2C%20%26%20Sandberg%2C%20J.%20(2013).%20Constructing%20Research%20Questions%3A%20Doing%20Interesting%20Research.%20Sage%20Publications.&amp;f=false","author":[{"family":"Alvesson","given":"M."},{"family":"Sandberg","given":"J."}],"accessed":{"date-parts":[["2025",3,17]]},"issued":{"date-parts":[["2013"]]}}}],"schema":"https://github.com/citation-style-language/schema/raw/master/csl-citation.json"} </w:instrText>
      </w:r>
      <w:r w:rsidR="00170A80" w:rsidRPr="00E673DC">
        <w:rPr>
          <w:lang w:val="en-GB"/>
        </w:rPr>
        <w:fldChar w:fldCharType="separate"/>
      </w:r>
      <w:r w:rsidR="00170A80" w:rsidRPr="00E673DC">
        <w:rPr>
          <w:lang w:val="en-GB"/>
        </w:rPr>
        <w:t>(Alvesson &amp; Sandberg, 2013)</w:t>
      </w:r>
      <w:r w:rsidR="00170A80" w:rsidRPr="00E673DC">
        <w:rPr>
          <w:lang w:val="en-GB"/>
        </w:rPr>
        <w:fldChar w:fldCharType="end"/>
      </w:r>
      <w:r w:rsidRPr="00E673DC">
        <w:rPr>
          <w:lang w:val="en-GB"/>
        </w:rPr>
        <w:t xml:space="preserve">. By concentrating on Dubai Government workers, the study will shed light on the demographic and </w:t>
      </w:r>
      <w:r w:rsidR="00DC79D6">
        <w:rPr>
          <w:lang w:val="en-GB"/>
        </w:rPr>
        <w:t>organis</w:t>
      </w:r>
      <w:r w:rsidRPr="00E673DC">
        <w:rPr>
          <w:lang w:val="en-GB"/>
        </w:rPr>
        <w:t xml:space="preserve">ational variables that shape their work attitudes and </w:t>
      </w:r>
      <w:r w:rsidR="00DC79D6">
        <w:rPr>
          <w:lang w:val="en-GB"/>
        </w:rPr>
        <w:t>behaviour</w:t>
      </w:r>
      <w:r w:rsidRPr="00E673DC">
        <w:rPr>
          <w:lang w:val="en-GB"/>
        </w:rPr>
        <w:t>.</w:t>
      </w:r>
    </w:p>
    <w:p w14:paraId="21101C30" w14:textId="77777777" w:rsidR="007927B7" w:rsidRPr="00E673DC" w:rsidRDefault="007927B7">
      <w:pPr>
        <w:pStyle w:val="heading2"/>
        <w:numPr>
          <w:ilvl w:val="1"/>
          <w:numId w:val="5"/>
        </w:numPr>
        <w:spacing w:before="0"/>
        <w:jc w:val="both"/>
        <w:rPr>
          <w:rFonts w:asciiTheme="majorBidi" w:hAnsiTheme="majorBidi" w:cstheme="majorBidi"/>
          <w:sz w:val="24"/>
          <w:szCs w:val="24"/>
          <w:lang w:val="en-GB"/>
        </w:rPr>
      </w:pPr>
      <w:bookmarkStart w:id="22" w:name="_Toc197952399"/>
      <w:r w:rsidRPr="00E673DC">
        <w:rPr>
          <w:rFonts w:asciiTheme="majorBidi" w:hAnsiTheme="majorBidi" w:cstheme="majorBidi"/>
          <w:sz w:val="24"/>
          <w:szCs w:val="24"/>
          <w:lang w:val="en-GB"/>
        </w:rPr>
        <w:t>Sampling Techniques</w:t>
      </w:r>
      <w:bookmarkEnd w:id="22"/>
    </w:p>
    <w:p w14:paraId="02162A3E" w14:textId="3EAFC3EF" w:rsidR="007927B7" w:rsidRPr="00E673DC" w:rsidRDefault="007927B7" w:rsidP="00D77795">
      <w:pPr>
        <w:ind w:firstLine="720"/>
        <w:rPr>
          <w:lang w:val="en-GB"/>
        </w:rPr>
      </w:pPr>
      <w:r w:rsidRPr="00E673DC">
        <w:rPr>
          <w:lang w:val="en-GB"/>
        </w:rPr>
        <w:t>To meet the research goals, a non-probability sampling method is applied, enabling a representative sample to be selected from the population of Dubai Government employees. There are two sampling techniques used: convenience sampling and snowball sampling.</w:t>
      </w:r>
    </w:p>
    <w:p w14:paraId="275F46F8" w14:textId="5517B17D" w:rsidR="007927B7" w:rsidRPr="00E673DC" w:rsidRDefault="007927B7" w:rsidP="00D77795">
      <w:pPr>
        <w:ind w:firstLine="720"/>
        <w:rPr>
          <w:lang w:val="en-GB"/>
        </w:rPr>
      </w:pPr>
      <w:r w:rsidRPr="00E673DC">
        <w:rPr>
          <w:b/>
          <w:bCs/>
          <w:lang w:val="en-GB"/>
        </w:rPr>
        <w:t>a.</w:t>
      </w:r>
      <w:r w:rsidRPr="00E673DC">
        <w:rPr>
          <w:lang w:val="en-GB"/>
        </w:rPr>
        <w:t xml:space="preserve"> </w:t>
      </w:r>
      <w:r w:rsidRPr="00E673DC">
        <w:rPr>
          <w:b/>
          <w:bCs/>
          <w:lang w:val="en-GB"/>
        </w:rPr>
        <w:t>Convenience Sampling:</w:t>
      </w:r>
      <w:r w:rsidRPr="00E673DC">
        <w:rPr>
          <w:lang w:val="en-GB"/>
        </w:rPr>
        <w:t xml:space="preserve"> </w:t>
      </w:r>
      <w:r w:rsidR="00982DA1">
        <w:rPr>
          <w:lang w:val="en-GB"/>
        </w:rPr>
        <w:t>This</w:t>
      </w:r>
      <w:r w:rsidRPr="00E673DC">
        <w:rPr>
          <w:lang w:val="en-GB"/>
        </w:rPr>
        <w:t xml:space="preserve"> entails the choice of subjects that are readily accessible and volunteer to take part in the research. Based on the expansive government employees' population in Dubai, convenience sampling provides an easy and affordable </w:t>
      </w:r>
      <w:r w:rsidRPr="00E673DC">
        <w:rPr>
          <w:lang w:val="en-GB"/>
        </w:rPr>
        <w:lastRenderedPageBreak/>
        <w:t xml:space="preserve">method of gathering information </w:t>
      </w:r>
      <w:r w:rsidR="00170A80" w:rsidRPr="00E673DC">
        <w:rPr>
          <w:lang w:val="en-GB"/>
        </w:rPr>
        <w:fldChar w:fldCharType="begin"/>
      </w:r>
      <w:r w:rsidR="00170A80" w:rsidRPr="00E673DC">
        <w:rPr>
          <w:lang w:val="en-GB"/>
        </w:rPr>
        <w:instrText xml:space="preserve"> ADDIN ZOTERO_ITEM CSL_CITATION {"citationID":"DihiMFqi","properties":{"formattedCitation":"(Etikan et al., 2016)","plainCitation":"(Etikan et al., 2016)","noteIndex":0},"citationItems":[{"id":395,"uris":["http://zotero.org/users/local/TOdoVrPG/items/6RYMDTA8"],"itemData":{"id":395,"type":"article-journal","container-title":"American Journal of Theoretical and Applied Statistics","issue":"1","journalAbbreviation":"PDF Document","page":"1 - 4","title":"Comparison of Convenience Sampling and Purposive Sampling","URL":"https://d1wqtxts1xzle7.cloudfront.net/55796997/Comparison_Convenience_and_Purposive_Sampling-2016_4p-libre.pdf?1518575584=&amp;response-content-disposition=inline%3B+filename%3DComparison_of_Convenience_Sampling_and_P.pdf&amp;Expires=1742211403&amp;Signature=CfgjttXTUoYovHVzITMYhViC-0BRR31SdPMWqNl71W2dDP6s3TONkR7zejlgsaYb~HdqoCcnAmcUpJWNHZwUuQAuWPcWFbPhaXTlDbLBmG-WjPULQgzUh3zfK0wJuMgQKQP~sxeeng8Q37DtNeY1LRZf9AGBTcqmyZNBRQgZ6G7wYaibcWecqrL35CCCYvYmjoyyjpRDWJyUSBIGbGo2HQBe6X92oNK-72u85iIvKvHt-tjVTc7elG8IY6KFptu7V4GyyzhMqA32qoSlNyrGlVZLbv4VaepgSt9W4gU1LL3T7q5HGSM3s6yAXRRaZlTZL7o0qGqCS5Nel9pQLxdYfg__&amp;Key-Pair-Id=APKAJLOHF5GGSLRBV4ZA","volume":"5","author":[{"family":"Etikan","given":"I."},{"family":"Musa","given":"","suffix":"S. A."},{"family":"Alkassim,","given":"R. S."}],"issued":{"date-parts":[["2016"]]}}}],"schema":"https://github.com/citation-style-language/schema/raw/master/csl-citation.json"} </w:instrText>
      </w:r>
      <w:r w:rsidR="00170A80" w:rsidRPr="00E673DC">
        <w:rPr>
          <w:lang w:val="en-GB"/>
        </w:rPr>
        <w:fldChar w:fldCharType="separate"/>
      </w:r>
      <w:r w:rsidR="00170A80" w:rsidRPr="00E673DC">
        <w:rPr>
          <w:lang w:val="en-GB"/>
        </w:rPr>
        <w:t>(Etikan et al., 2016)</w:t>
      </w:r>
      <w:r w:rsidR="00170A80" w:rsidRPr="00E673DC">
        <w:rPr>
          <w:lang w:val="en-GB"/>
        </w:rPr>
        <w:fldChar w:fldCharType="end"/>
      </w:r>
      <w:r w:rsidRPr="00E673DC">
        <w:rPr>
          <w:lang w:val="en-GB"/>
        </w:rPr>
        <w:t xml:space="preserve">. This approach proves to be especially useful in cases with limitations regarding time and resources, as the present research, for example, is working with the </w:t>
      </w:r>
      <w:r w:rsidR="00F8610F" w:rsidRPr="00E673DC">
        <w:rPr>
          <w:lang w:val="en-GB"/>
        </w:rPr>
        <w:t>time limit</w:t>
      </w:r>
      <w:r w:rsidRPr="00E673DC">
        <w:rPr>
          <w:lang w:val="en-GB"/>
        </w:rPr>
        <w:t xml:space="preserve"> of November 2024 to February 2025.</w:t>
      </w:r>
    </w:p>
    <w:p w14:paraId="0D3265A6" w14:textId="335DB4BC" w:rsidR="007927B7" w:rsidRPr="00E673DC" w:rsidRDefault="007927B7" w:rsidP="00D77795">
      <w:pPr>
        <w:ind w:firstLine="720"/>
        <w:rPr>
          <w:lang w:val="en-GB"/>
        </w:rPr>
      </w:pPr>
      <w:r w:rsidRPr="00E673DC">
        <w:rPr>
          <w:b/>
          <w:bCs/>
          <w:lang w:val="en-GB"/>
        </w:rPr>
        <w:t>b.</w:t>
      </w:r>
      <w:r w:rsidRPr="00E673DC">
        <w:rPr>
          <w:lang w:val="en-GB"/>
        </w:rPr>
        <w:t xml:space="preserve"> </w:t>
      </w:r>
      <w:r w:rsidRPr="00E673DC">
        <w:rPr>
          <w:b/>
          <w:bCs/>
          <w:lang w:val="en-GB"/>
        </w:rPr>
        <w:t>Snowball Sampling:</w:t>
      </w:r>
      <w:r w:rsidRPr="00E673DC">
        <w:rPr>
          <w:lang w:val="en-GB"/>
        </w:rPr>
        <w:t xml:space="preserve"> In the hope of expanding the sample and accessing individuals who might be difficult to reach, the snowball sampling technique is employed. The method begins with an initial participant who recommends other potential respondents who fulfil the requirements of the study. The approach enables </w:t>
      </w:r>
      <w:r w:rsidR="008C3C17">
        <w:rPr>
          <w:lang w:val="en-GB"/>
        </w:rPr>
        <w:t xml:space="preserve">the </w:t>
      </w:r>
      <w:r w:rsidRPr="00E673DC">
        <w:rPr>
          <w:lang w:val="en-GB"/>
        </w:rPr>
        <w:t xml:space="preserve">collection of data from a large and varied sample of government employees, particularly those that are difficult to access using the normal avenues </w:t>
      </w:r>
      <w:r w:rsidR="00170A80" w:rsidRPr="00E673DC">
        <w:rPr>
          <w:lang w:val="en-GB"/>
        </w:rPr>
        <w:fldChar w:fldCharType="begin"/>
      </w:r>
      <w:r w:rsidR="00170A80" w:rsidRPr="00E673DC">
        <w:rPr>
          <w:lang w:val="en-GB"/>
        </w:rPr>
        <w:instrText xml:space="preserve"> ADDIN ZOTERO_ITEM CSL_CITATION {"citationID":"8bGy5IHn","properties":{"formattedCitation":"(Goodman, 1961)","plainCitation":"(Goodman, 1961)","noteIndex":0},"citationItems":[{"id":396,"uris":["http://zotero.org/users/local/TOdoVrPG/items/KRASJWUX"],"itemData":{"id":396,"type":"article-journal","abstract":"[An s stage k name snowball sampling procedure is defined as follows: A random sample of individuals is drawn from a given finite population. (The kind of random sample will be discussed later in this section.) Each individual in the sample is asked to name k different individuals in the population, where k is a specified integer; for example, each individual may be asked to name his \"k best friends,\" or the \"k individuals with whom he most frequently associates,\" or the \"k individuals whose opinions he most frequently seeks,\" etc. (For the sake of simplicity, we assume throughout that an individual cannot include himself in his list of k individuals.) The individuals who were not in the random sample but were named by individuals in it form the first stage. Each of the individuals in the first stage is then asked to name k different individuals. (We assume that the question asked of the individuals in the random sample and of those in each stage is the same and that k is the same.) The individuals who were not in the random sample nor in the first stage but were named by individuals who were in the first stage form the second stage. Each of the individuals in the second stage is then asked to name k different individuals. The individuals who were not in the random sample nor in the first or second stages but were named by individuals who were in the second stage form the third stage. Each of the individuals in the third stage is then asked to name k different individuals. This procedure is continued until each of the individuals in the sth stage has been asked to name k different individuals. The data obtained using an s stage k name snowball sampling procedure can be utilized to make statistical inferences about various aspects of the relationships present in the population. The relationships present, in the hypothetical situation where each individual in the population is asked to name k different individuals, can be described by a matrix with rows and columns corresponding to the members of the population, rows for the individuals naming and columns for the individuals named, where the entry θij in the ith row and jth column is 1 if the ith individual in the population includes the jth individual among the k individuals he would name, and it is 0 otherwise. While the matrix of the θ's cannot be known in general unless every individual in the population is interviewed (i.e., asked to name k different individuals), it will be possible to make statistical inferences about various aspects of this matrix from the data obtained using an s stage k name snowball sampling procedure. For example, when s = k = 1, the number, M11, of mutual relationships present in the population (i.e., the number of values i with θij = θji = 1 for some value of $j &gt; i$) can be estimated. The methods of statistical inference applied to the data obtained from an s stage k name snowball sample will of course depend on the kind of random sample drawn as the initial step. In most of the present paper, we shall suppose that a random sample (i.e., the \"zero stage\" in snowball sample) is drawn so that the probability, p, that a given individual in the population will be in the sample is independent of whether a different given individual has appeared. This kind of sampling has been called binomial sampling; the specified value of p (assumed known) has been called the sampling fraction [4]. This sampling scheme might also be described by saying that a given individual is included in the sample just when a coin, which has a probability p of \"heads,\" comes up \"heads,\" where the tosses of the coin from individual to individual are independent. (To each individual there corresponds an independent Bernoulli trial determining whether he will or will not be included in the sample.) This sampling scheme differs in some respects from the more usual models where the sample size is fixed in advance or where the ratio of the sample size to the population size (i.e., the sample size-population size ratio) is fixed. For binomial sampling, this ratio is a random variable whose expected value is p. (The variance of this ratio approaches zero as the population becomes infinite.) In some situations (where, for example, the variance of this ratio is near zero), mathematical results obtained for binomial sampling are sometimes quite similar to results obtained using some of the more usual sampling models (see [4], [7]; compare the variance formulas in [3] and [5]); in such cases it will often not make much difference, from a practical point of view, which sampling model is utilized. (In Section 6 of the present paper some results for snowball sampling based on an initial sample of the more usual kind are obtained and compared with results presented in the earlier sections of this paper obtained for snowball sampling based on an initial binomial sample.) For snowball sampling based on an initial binomial sample, and with s = k = 1, so that each individual asked names just one other individual and there is just one stage beyond the initial sample, Section 2 of this paper discusses unbiased estimation of M11, the number of pairs of individuals in the population who would name each other. One of the unbiased estimators considered (among a certain specified class of estimators) has uniformly smallest variance when the population characteristics are unknown; this one is based on a sufficient statistic for a simplified summary of the data and is the only unbiased estimator of M11 based on that sufficient statistic (when the population characteristics are unknown). This estimator (when s = k = 1) has a smaller variance than a comparable minimum variance unbiased estimator computed from a larger random sample when s = 0 and k = 1 (i.e., where only the individuals in the random sample are interviewed) even where the expected number of individuals in the larger random sample (s = 0, k = 1) is equal to the maximum expected number of individuals studied when s = k = 1 (i.e., the sum of the expected number of individuals in the initial sample and the maximum expected number of individuals in the first stage). In fact, the variance of the estimator when s = 0 and k = 1 is at least twice as large as the variance of the comparable estimator when s = k = 1 even where the expected number of individuals studied when s = 0 and k = 1 is as large as the maximum expected number of individuals studied when s = k = 1. Thus, for estimating M11, the sampling scheme with s = k = 1 is preferable to the sampling scheme with s = 0 and k = 1. Furthermore, we observe that when s = k = 1 the unbiased estimator based on the simplified summary of the data having minimum variance when the population characteristics are unknown can be improved upon in cases where certain population characteristics are known, or where additional data not included in the simplified summary are available. Several improved estimators are derived and discussed. Some of the results for the special case of s = k = 1 are generalized in Sections 3 and 4 to deal with cases where s and k are any specified positive integers. In Section 5, results are presented about s stage k name snowball sampling procedures, where each individual asked to name k different individuals chooses k individuals at random from the population. (Except in Section 5, the numbers θij, which form the matrix referred to earlier, are assumed to be fixed (i.e., to be population parameters); in Section 5, they are random variables. A variable response error is not considered except in so far as Section 5 deals with an extreme case of this.) For social science literature that discusses problems related to snowball sampling, see [2], [8], and the articles they cite. This literature indicates, among other things, the importance of studying \"social structure and...the relations among individuals\" [2].]","archive":"JSTOR","container-title":"The Annals of Mathematical Statistics","ISSN":"00034851","issue":"1","note":"publisher: Institute of Mathematical Statistics","page":"148-170","title":"Snowball Sampling","URL":"http://www.jstor.org/stable/2237615","volume":"32","author":[{"family":"Goodman","given":"Leo A."}],"accessed":{"date-parts":[["2025",3,17]]},"issued":{"date-parts":[["1961"]]}}}],"schema":"https://github.com/citation-style-language/schema/raw/master/csl-citation.json"} </w:instrText>
      </w:r>
      <w:r w:rsidR="00170A80" w:rsidRPr="00E673DC">
        <w:rPr>
          <w:lang w:val="en-GB"/>
        </w:rPr>
        <w:fldChar w:fldCharType="separate"/>
      </w:r>
      <w:r w:rsidR="00170A80" w:rsidRPr="00E673DC">
        <w:rPr>
          <w:lang w:val="en-GB"/>
        </w:rPr>
        <w:t>(Goodman, 1961)</w:t>
      </w:r>
      <w:r w:rsidR="00170A80" w:rsidRPr="00E673DC">
        <w:rPr>
          <w:lang w:val="en-GB"/>
        </w:rPr>
        <w:fldChar w:fldCharType="end"/>
      </w:r>
      <w:r w:rsidRPr="00E673DC">
        <w:rPr>
          <w:lang w:val="en-GB"/>
        </w:rPr>
        <w:t xml:space="preserve">. Snowball sampling is effective in reaching individuals in difficult-to-reach populations </w:t>
      </w:r>
      <w:r w:rsidR="00170A80" w:rsidRPr="00E673DC">
        <w:rPr>
          <w:lang w:val="en-GB"/>
        </w:rPr>
        <w:fldChar w:fldCharType="begin"/>
      </w:r>
      <w:r w:rsidR="00170A80" w:rsidRPr="00E673DC">
        <w:rPr>
          <w:lang w:val="en-GB"/>
        </w:rPr>
        <w:instrText xml:space="preserve"> ADDIN ZOTERO_ITEM CSL_CITATION {"citationID":"39DQaf1P","properties":{"formattedCitation":"(Biernacki &amp; Waldorf, 1981)","plainCitation":"(Biernacki &amp; Waldorf, 1981)","noteIndex":0},"citationItems":[{"id":392,"uris":["http://zotero.org/users/local/TOdoVrPG/items/3J9BWZEQ"],"itemData":{"id":392,"type":"article-journal","abstract":"In spite of the fact that chain referral sampling has been widely used in qualitative sociological research, especially in the study of deviant behavior, the problems and techniques involved in its use have not been adequately explained. The procedures of chain referral sampling are not self-evident or obvious. This article attempts to rectify this methodological neglect. The article provides a description and analysis of some of the problems that were encountered and resolved in the course of using the method in a relatively large exploratory study of ex-opiate addicts.","container-title":"Sociological Methods &amp; Research","DOI":"10.1177/004912418101000205","ISSN":"0049-1241","issue":"2","note":"publisher: SAGE Publications Inc","page":"141-163","title":"Snowball Sampling: Problems and Techniques of Chain Referral Sampling","URL":"https://doi.org/10.1177/004912418101000205","volume":"10","author":[{"family":"Biernacki","given":"Patrick"},{"family":"Waldorf","given":"Dan"}],"accessed":{"date-parts":[["2025",3,17]]},"issued":{"date-parts":[["1981",11,1]]}}}],"schema":"https://github.com/citation-style-language/schema/raw/master/csl-citation.json"} </w:instrText>
      </w:r>
      <w:r w:rsidR="00170A80" w:rsidRPr="00E673DC">
        <w:rPr>
          <w:lang w:val="en-GB"/>
        </w:rPr>
        <w:fldChar w:fldCharType="separate"/>
      </w:r>
      <w:r w:rsidR="00170A80" w:rsidRPr="00E673DC">
        <w:rPr>
          <w:lang w:val="en-GB"/>
        </w:rPr>
        <w:t>(Biernacki &amp; Waldorf, 1981)</w:t>
      </w:r>
      <w:r w:rsidR="00170A80" w:rsidRPr="00E673DC">
        <w:rPr>
          <w:lang w:val="en-GB"/>
        </w:rPr>
        <w:fldChar w:fldCharType="end"/>
      </w:r>
      <w:r w:rsidRPr="00E673DC">
        <w:rPr>
          <w:lang w:val="en-GB"/>
        </w:rPr>
        <w:t>. The sample size under consideration in this study is 309 respondents who are Dubai Government</w:t>
      </w:r>
      <w:r w:rsidR="00170A80" w:rsidRPr="00E673DC">
        <w:rPr>
          <w:lang w:val="en-GB"/>
        </w:rPr>
        <w:t xml:space="preserve"> employees</w:t>
      </w:r>
      <w:r w:rsidRPr="00E673DC">
        <w:rPr>
          <w:lang w:val="en-GB"/>
        </w:rPr>
        <w:t xml:space="preserve">. </w:t>
      </w:r>
    </w:p>
    <w:p w14:paraId="61725BB5" w14:textId="77777777" w:rsidR="007927B7" w:rsidRPr="00E673DC" w:rsidRDefault="007927B7">
      <w:pPr>
        <w:pStyle w:val="heading2"/>
        <w:numPr>
          <w:ilvl w:val="1"/>
          <w:numId w:val="5"/>
        </w:numPr>
        <w:spacing w:before="0"/>
        <w:jc w:val="both"/>
        <w:rPr>
          <w:rFonts w:asciiTheme="majorBidi" w:hAnsiTheme="majorBidi" w:cstheme="majorBidi"/>
          <w:sz w:val="24"/>
          <w:szCs w:val="24"/>
          <w:lang w:val="en-GB"/>
        </w:rPr>
      </w:pPr>
      <w:bookmarkStart w:id="23" w:name="_Toc197952400"/>
      <w:r w:rsidRPr="00E673DC">
        <w:rPr>
          <w:rFonts w:asciiTheme="majorBidi" w:hAnsiTheme="majorBidi" w:cstheme="majorBidi"/>
          <w:sz w:val="24"/>
          <w:szCs w:val="24"/>
          <w:lang w:val="en-GB"/>
        </w:rPr>
        <w:t>Data Collection</w:t>
      </w:r>
      <w:bookmarkEnd w:id="23"/>
    </w:p>
    <w:p w14:paraId="7B3516C0" w14:textId="3D3163D5" w:rsidR="007927B7" w:rsidRPr="00E673DC" w:rsidRDefault="001E2322" w:rsidP="00D77795">
      <w:pPr>
        <w:ind w:firstLine="720"/>
        <w:rPr>
          <w:lang w:val="en-GB"/>
        </w:rPr>
      </w:pPr>
      <w:r>
        <w:rPr>
          <w:lang w:val="en-GB"/>
        </w:rPr>
        <w:t>The d</w:t>
      </w:r>
      <w:r w:rsidR="007927B7" w:rsidRPr="00E673DC">
        <w:rPr>
          <w:lang w:val="en-GB"/>
        </w:rPr>
        <w:t xml:space="preserve">ata for the present research </w:t>
      </w:r>
      <w:r>
        <w:rPr>
          <w:lang w:val="en-GB"/>
        </w:rPr>
        <w:t>were</w:t>
      </w:r>
      <w:r w:rsidR="007927B7" w:rsidRPr="00E673DC">
        <w:rPr>
          <w:lang w:val="en-GB"/>
        </w:rPr>
        <w:t xml:space="preserve"> gathered by means of a standard questionnaire, which </w:t>
      </w:r>
      <w:r>
        <w:rPr>
          <w:lang w:val="en-GB"/>
        </w:rPr>
        <w:t>was</w:t>
      </w:r>
      <w:r w:rsidR="007927B7" w:rsidRPr="00E673DC">
        <w:rPr>
          <w:lang w:val="en-GB"/>
        </w:rPr>
        <w:t xml:space="preserve"> distributed among the chosen participants via online and offline media (WhatsApp, QR code, and email). The questionnaire ha</w:t>
      </w:r>
      <w:r>
        <w:rPr>
          <w:lang w:val="en-GB"/>
        </w:rPr>
        <w:t>d</w:t>
      </w:r>
      <w:r w:rsidR="007927B7" w:rsidRPr="00E673DC">
        <w:rPr>
          <w:lang w:val="en-GB"/>
        </w:rPr>
        <w:t xml:space="preserve"> closed-ended and Likert scale questions, which aim</w:t>
      </w:r>
      <w:r>
        <w:rPr>
          <w:lang w:val="en-GB"/>
        </w:rPr>
        <w:t>ed</w:t>
      </w:r>
      <w:r w:rsidR="007927B7" w:rsidRPr="00E673DC">
        <w:rPr>
          <w:lang w:val="en-GB"/>
        </w:rPr>
        <w:t xml:space="preserve"> at addressing the demographic features, attitudes, </w:t>
      </w:r>
      <w:r w:rsidR="00DC79D6">
        <w:rPr>
          <w:lang w:val="en-GB"/>
        </w:rPr>
        <w:t>behaviour</w:t>
      </w:r>
      <w:r w:rsidR="007927B7" w:rsidRPr="00E673DC">
        <w:rPr>
          <w:lang w:val="en-GB"/>
        </w:rPr>
        <w:t xml:space="preserve">, and perceptions of the respondents </w:t>
      </w:r>
      <w:r w:rsidR="008C3C17">
        <w:rPr>
          <w:lang w:val="en-GB"/>
        </w:rPr>
        <w:t>in</w:t>
      </w:r>
      <w:r w:rsidR="007927B7" w:rsidRPr="00E673DC">
        <w:rPr>
          <w:lang w:val="en-GB"/>
        </w:rPr>
        <w:t xml:space="preserve"> their </w:t>
      </w:r>
      <w:r w:rsidR="00DC79D6">
        <w:rPr>
          <w:lang w:val="en-GB"/>
        </w:rPr>
        <w:t>organis</w:t>
      </w:r>
      <w:r w:rsidR="007927B7" w:rsidRPr="00E673DC">
        <w:rPr>
          <w:lang w:val="en-GB"/>
        </w:rPr>
        <w:t xml:space="preserve">ational culture and working environment </w:t>
      </w:r>
      <w:r w:rsidR="00170A80" w:rsidRPr="00E673DC">
        <w:rPr>
          <w:lang w:val="en-GB"/>
        </w:rPr>
        <w:fldChar w:fldCharType="begin"/>
      </w:r>
      <w:r w:rsidR="00170A80" w:rsidRPr="00E673DC">
        <w:rPr>
          <w:lang w:val="en-GB"/>
        </w:rPr>
        <w:instrText xml:space="preserve"> ADDIN ZOTERO_ITEM CSL_CITATION {"citationID":"kDTWRTMB","properties":{"formattedCitation":"(Bryman &amp; Bell, 2015)","plainCitation":"(Bryman &amp; Bell, 2015)","noteIndex":0},"citationItems":[{"id":394,"uris":["http://zotero.org/users/local/TOdoVrPG/items/V9I6IJ7C"],"itemData":{"id":394,"type":"book","publisher":"Oxford University Press","title":"Business Research Methods (4th ed.)","URL":"https://books.google.ae/books?hl=en&amp;lr=&amp;id=hptjEAAAQBAJ&amp;oi=fnd&amp;pg=PP1&amp;dq=%E2%80%A2%09Bryman,+A.,+%26+Bell,+E.+(2015).+Business+Research+Methods+(4th+ed.).+Oxford+University+Press&amp;ots=Ddnf0ezX1y&amp;sig=kSGLlpeCEd99Jo-3WYLFrQMgXNU&amp;redir_esc=y#v=onepage&amp;q=%E2%80%A2%09Bryman%2C%20A.%2C%20%26%20Bell%2C%20E.%20(2015).%20Business%20Research%20Methods%20(4th%20ed.).%20Oxford%20University%20Press&amp;f=false","author":[{"family":"Bryman","given":"A."},{"family":"Bell","given":"E."}],"issued":{"date-parts":[["2015"]]}}}],"schema":"https://github.com/citation-style-language/schema/raw/master/csl-citation.json"} </w:instrText>
      </w:r>
      <w:r w:rsidR="00170A80" w:rsidRPr="00E673DC">
        <w:rPr>
          <w:lang w:val="en-GB"/>
        </w:rPr>
        <w:fldChar w:fldCharType="separate"/>
      </w:r>
      <w:r w:rsidR="00170A80" w:rsidRPr="00E673DC">
        <w:rPr>
          <w:lang w:val="en-GB"/>
        </w:rPr>
        <w:t>(Bryman &amp; Bell, 2015)</w:t>
      </w:r>
      <w:r w:rsidR="00170A80" w:rsidRPr="00E673DC">
        <w:rPr>
          <w:lang w:val="en-GB"/>
        </w:rPr>
        <w:fldChar w:fldCharType="end"/>
      </w:r>
      <w:r w:rsidR="007927B7" w:rsidRPr="00E673DC">
        <w:rPr>
          <w:lang w:val="en-GB"/>
        </w:rPr>
        <w:t xml:space="preserve">. The data obtained will be </w:t>
      </w:r>
      <w:r w:rsidR="00DC79D6">
        <w:rPr>
          <w:lang w:val="en-GB"/>
        </w:rPr>
        <w:t>analys</w:t>
      </w:r>
      <w:r w:rsidR="00F8610F" w:rsidRPr="00E673DC">
        <w:rPr>
          <w:lang w:val="en-GB"/>
        </w:rPr>
        <w:t>ed</w:t>
      </w:r>
      <w:r w:rsidR="007927B7" w:rsidRPr="00E673DC">
        <w:rPr>
          <w:lang w:val="en-GB"/>
        </w:rPr>
        <w:t xml:space="preserve"> quantitatively, thereby allowing statistical analysis procedures to be used for subsequent analysis. A structured questionnaire using a five-point Likert-type scale ranging from strongly disagree to strongly agree was employed for </w:t>
      </w:r>
      <w:r w:rsidR="008C3C17">
        <w:rPr>
          <w:lang w:val="en-GB"/>
        </w:rPr>
        <w:t xml:space="preserve">the </w:t>
      </w:r>
      <w:r w:rsidR="007927B7" w:rsidRPr="00E673DC">
        <w:rPr>
          <w:lang w:val="en-GB"/>
        </w:rPr>
        <w:t xml:space="preserve">data collection in this quantitative research. The primary data </w:t>
      </w:r>
      <w:r w:rsidR="008C3C17">
        <w:rPr>
          <w:lang w:val="en-GB"/>
        </w:rPr>
        <w:t>were</w:t>
      </w:r>
      <w:r w:rsidR="007927B7" w:rsidRPr="00E673DC">
        <w:rPr>
          <w:lang w:val="en-GB"/>
        </w:rPr>
        <w:t xml:space="preserve"> collected from full-time employees of governmental </w:t>
      </w:r>
      <w:r w:rsidR="00DC79D6">
        <w:rPr>
          <w:lang w:val="en-GB"/>
        </w:rPr>
        <w:t>organis</w:t>
      </w:r>
      <w:r w:rsidR="007927B7" w:rsidRPr="00E673DC">
        <w:rPr>
          <w:lang w:val="en-GB"/>
        </w:rPr>
        <w:t xml:space="preserve">ations based in Dubai. Dubai Government </w:t>
      </w:r>
      <w:r w:rsidR="00DC79D6">
        <w:rPr>
          <w:lang w:val="en-GB"/>
        </w:rPr>
        <w:t>organis</w:t>
      </w:r>
      <w:r w:rsidR="007927B7" w:rsidRPr="00E673DC">
        <w:rPr>
          <w:lang w:val="en-GB"/>
        </w:rPr>
        <w:t xml:space="preserve">ations </w:t>
      </w:r>
      <w:r w:rsidR="007927B7" w:rsidRPr="00E673DC">
        <w:rPr>
          <w:lang w:val="en-GB"/>
        </w:rPr>
        <w:lastRenderedPageBreak/>
        <w:t xml:space="preserve">were selected because the national strategies and wise vision of His Highness Sheikh Mohammed bin Rashid Al Maktoum, Vice President and Prime Minister of the UAE, and Ruler of Dubai, </w:t>
      </w:r>
      <w:r>
        <w:rPr>
          <w:lang w:val="en-GB"/>
        </w:rPr>
        <w:t xml:space="preserve">are </w:t>
      </w:r>
      <w:r w:rsidR="007927B7" w:rsidRPr="00E673DC">
        <w:rPr>
          <w:lang w:val="en-GB"/>
        </w:rPr>
        <w:t xml:space="preserve">to transform Dubai into a global hub for innovation and creativity </w:t>
      </w:r>
      <w:r w:rsidR="007927B7" w:rsidRPr="00E673DC">
        <w:rPr>
          <w:lang w:val="en-GB"/>
        </w:rPr>
        <w:fldChar w:fldCharType="begin"/>
      </w:r>
      <w:r w:rsidR="007927B7" w:rsidRPr="00E673DC">
        <w:rPr>
          <w:lang w:val="en-GB"/>
        </w:rPr>
        <w:instrText xml:space="preserve"> ADDIN ZOTERO_ITEM CSL_CITATION {"citationID":"yEDZSIM7","properties":{"formattedCitation":"(WAM, 2024)","plainCitation":"(WAM, 2024)","noteIndex":0},"citationItems":[{"id":349,"uris":["http://zotero.org/users/local/TOdoVrPG/items/GY2AA68M"],"itemData":{"id":349,"type":"article-newspaper","container-title":"WAM","note":"journalAbbreviation: WAM","title":"DGHR unveils report on the future of human resources","URL":"https://www.wam.ae/en/article/b4e0s2x-dghr-unveils-report-future-human-resources","author":[{"literal":"WAM"}],"accessed":{"date-parts":[["2025",10,2]]},"issued":{"date-parts":[["2024"]]}}}],"schema":"https://github.com/citation-style-language/schema/raw/master/csl-citation.json"} </w:instrText>
      </w:r>
      <w:r w:rsidR="007927B7" w:rsidRPr="00E673DC">
        <w:rPr>
          <w:lang w:val="en-GB"/>
        </w:rPr>
        <w:fldChar w:fldCharType="separate"/>
      </w:r>
      <w:r w:rsidR="007927B7" w:rsidRPr="00E673DC">
        <w:rPr>
          <w:lang w:val="en-GB"/>
        </w:rPr>
        <w:t>(WAM, 2024)</w:t>
      </w:r>
      <w:r w:rsidR="007927B7" w:rsidRPr="00E673DC">
        <w:rPr>
          <w:lang w:val="en-GB"/>
        </w:rPr>
        <w:fldChar w:fldCharType="end"/>
      </w:r>
      <w:r w:rsidR="007927B7" w:rsidRPr="00E673DC">
        <w:rPr>
          <w:lang w:val="en-GB"/>
        </w:rPr>
        <w:t>. H</w:t>
      </w:r>
      <w:r w:rsidR="008C3C17">
        <w:rPr>
          <w:lang w:val="en-GB"/>
        </w:rPr>
        <w:t xml:space="preserve">is </w:t>
      </w:r>
      <w:r w:rsidR="007927B7" w:rsidRPr="00E673DC">
        <w:rPr>
          <w:lang w:val="en-GB"/>
        </w:rPr>
        <w:t>H</w:t>
      </w:r>
      <w:r w:rsidR="008C3C17">
        <w:rPr>
          <w:lang w:val="en-GB"/>
        </w:rPr>
        <w:t>ighness</w:t>
      </w:r>
      <w:r w:rsidR="007927B7" w:rsidRPr="00E673DC">
        <w:rPr>
          <w:lang w:val="en-GB"/>
        </w:rPr>
        <w:t xml:space="preserve"> is giving high concern </w:t>
      </w:r>
      <w:r>
        <w:rPr>
          <w:lang w:val="en-GB"/>
        </w:rPr>
        <w:t xml:space="preserve">to </w:t>
      </w:r>
      <w:r w:rsidR="007927B7" w:rsidRPr="00E673DC">
        <w:rPr>
          <w:lang w:val="en-GB"/>
        </w:rPr>
        <w:t xml:space="preserve">sustainability and green practices. Government </w:t>
      </w:r>
      <w:r w:rsidR="00DC79D6">
        <w:rPr>
          <w:lang w:val="en-GB"/>
        </w:rPr>
        <w:t>organis</w:t>
      </w:r>
      <w:r w:rsidR="007927B7" w:rsidRPr="00E673DC">
        <w:rPr>
          <w:lang w:val="en-GB"/>
        </w:rPr>
        <w:t xml:space="preserve">ations in Dubai are implementing GHRM practices in their daily operations, aligning closely with the focus of this research topic. This research is expected to offer valuable guidelines to Dubai Government </w:t>
      </w:r>
      <w:r w:rsidR="00DC79D6">
        <w:rPr>
          <w:lang w:val="en-GB"/>
        </w:rPr>
        <w:t>organis</w:t>
      </w:r>
      <w:r w:rsidR="007927B7" w:rsidRPr="00E673DC">
        <w:rPr>
          <w:lang w:val="en-GB"/>
        </w:rPr>
        <w:t xml:space="preserve">ations for potentially enhancing OCBE by adopting sustainable HR practices. </w:t>
      </w:r>
    </w:p>
    <w:p w14:paraId="0534B1A2" w14:textId="77777777" w:rsidR="007927B7" w:rsidRPr="00E673DC" w:rsidRDefault="007927B7">
      <w:pPr>
        <w:pStyle w:val="heading2"/>
        <w:numPr>
          <w:ilvl w:val="1"/>
          <w:numId w:val="5"/>
        </w:numPr>
        <w:spacing w:before="0"/>
        <w:jc w:val="both"/>
        <w:rPr>
          <w:rFonts w:asciiTheme="majorBidi" w:hAnsiTheme="majorBidi" w:cstheme="majorBidi"/>
          <w:sz w:val="24"/>
          <w:szCs w:val="24"/>
          <w:lang w:val="en-GB"/>
        </w:rPr>
      </w:pPr>
      <w:bookmarkStart w:id="24" w:name="_Toc197952401"/>
      <w:r w:rsidRPr="00E673DC">
        <w:rPr>
          <w:rFonts w:asciiTheme="majorBidi" w:hAnsiTheme="majorBidi" w:cstheme="majorBidi"/>
          <w:sz w:val="24"/>
          <w:szCs w:val="24"/>
          <w:lang w:val="en-GB"/>
        </w:rPr>
        <w:t>Data Analysis</w:t>
      </w:r>
      <w:bookmarkEnd w:id="24"/>
    </w:p>
    <w:p w14:paraId="518F3CC3" w14:textId="18494E02" w:rsidR="007927B7" w:rsidRPr="00E673DC" w:rsidRDefault="008C3C17" w:rsidP="00D77795">
      <w:pPr>
        <w:ind w:firstLine="720"/>
        <w:rPr>
          <w:lang w:val="en-GB"/>
        </w:rPr>
      </w:pPr>
      <w:r>
        <w:rPr>
          <w:lang w:val="en-GB"/>
        </w:rPr>
        <w:t xml:space="preserve">The </w:t>
      </w:r>
      <w:r w:rsidR="007927B7" w:rsidRPr="00E673DC">
        <w:rPr>
          <w:lang w:val="en-GB"/>
        </w:rPr>
        <w:t xml:space="preserve">collected </w:t>
      </w:r>
      <w:r>
        <w:rPr>
          <w:lang w:val="en-GB"/>
        </w:rPr>
        <w:t xml:space="preserve">data </w:t>
      </w:r>
      <w:r w:rsidR="007927B7" w:rsidRPr="00E673DC">
        <w:rPr>
          <w:lang w:val="en-GB"/>
        </w:rPr>
        <w:t xml:space="preserve">will be </w:t>
      </w:r>
      <w:r w:rsidR="00DC79D6">
        <w:rPr>
          <w:lang w:val="en-GB"/>
        </w:rPr>
        <w:t>analys</w:t>
      </w:r>
      <w:r w:rsidR="00F8610F" w:rsidRPr="00E673DC">
        <w:rPr>
          <w:lang w:val="en-GB"/>
        </w:rPr>
        <w:t>ed</w:t>
      </w:r>
      <w:r w:rsidR="007927B7" w:rsidRPr="00E673DC">
        <w:rPr>
          <w:lang w:val="en-GB"/>
        </w:rPr>
        <w:t xml:space="preserve"> using Partial Least Squares Structural Equation Modelling (PLS-SEM)</w:t>
      </w:r>
      <w:r>
        <w:rPr>
          <w:lang w:val="en-GB"/>
        </w:rPr>
        <w:t xml:space="preserve">, which </w:t>
      </w:r>
      <w:r w:rsidR="007927B7" w:rsidRPr="00E673DC">
        <w:rPr>
          <w:lang w:val="en-GB"/>
        </w:rPr>
        <w:t xml:space="preserve">is a robust statistical tool that is specifically useful in investigating complex relationships between several variables. It allows the testing of structural and measurement models, which is ideal for measuring the relationships between </w:t>
      </w:r>
      <w:r w:rsidR="001E2322">
        <w:rPr>
          <w:lang w:val="en-GB"/>
        </w:rPr>
        <w:t xml:space="preserve">the </w:t>
      </w:r>
      <w:r w:rsidR="007927B7" w:rsidRPr="00E673DC">
        <w:rPr>
          <w:lang w:val="en-GB"/>
        </w:rPr>
        <w:t xml:space="preserve">various latent constructs in this study </w:t>
      </w:r>
      <w:r w:rsidR="00170A80" w:rsidRPr="00E673DC">
        <w:rPr>
          <w:lang w:val="en-GB"/>
        </w:rPr>
        <w:fldChar w:fldCharType="begin"/>
      </w:r>
      <w:r w:rsidR="00170A80" w:rsidRPr="00E673DC">
        <w:rPr>
          <w:lang w:val="en-GB"/>
        </w:rPr>
        <w:instrText xml:space="preserve"> ADDIN ZOTERO_ITEM CSL_CITATION {"citationID":"e3RHBwo8","properties":{"formattedCitation":"(Hair et al., 2019)","plainCitation":"(Hair et al., 2019)","noteIndex":0},"citationItems":[{"id":382,"uris":["http://zotero.org/users/local/TOdoVrPG/items/FN3HD3T6"],"itemData":{"id":382,"type":"article-journal","abstract":"Purpose – The purpose of this paper is to provide a comprehensive, yet concise, overview of the considerations and metrics required for partial least squares structural equation modeling (PLS-SEM) analysis and result reporting. Preliminary considerations are summarized ﬁrst, including reasons for choosing PLS-SEM, recommended sample size in selected contexts, distributional assumptions, use of secondary data, statistical power and the need for goodness-of-ﬁt testing. Next, the metrics as well as the rules of thumb that should be applied to assess the PLS-SEM results are covered. Besides presenting established PLS-SEM evaluation criteria, the overview includes the following new guidelines: PLSpredict (i.e., a novel approach for assessing a model’s out-of-sample prediction), metrics for model comparisons, and several complementary methods for checking the results’ robustness.","container-title":"European business review","DOI":"https:// doi. org/ 10. 1108/ EBR-11- 2018- 0203","issue":"1","language":"en","page":"2 - 24","source":"Zotero","title":"When to use and how to report the results of PLS-SEM","volume":"31","author":[{"family":"Hair","given":"Joseph F"},{"family":"Risher","given":"Jeffrey J"},{"family":"Sarstedt","given":"Marko"},{"family":"Ringle","given":"Christian M"}],"accessed":{"date-parts":[["2025",2,25]]},"issued":{"date-parts":[["2019"]]}}}],"schema":"https://github.com/citation-style-language/schema/raw/master/csl-citation.json"} </w:instrText>
      </w:r>
      <w:r w:rsidR="00170A80" w:rsidRPr="00E673DC">
        <w:rPr>
          <w:lang w:val="en-GB"/>
        </w:rPr>
        <w:fldChar w:fldCharType="separate"/>
      </w:r>
      <w:r w:rsidR="00170A80" w:rsidRPr="00E673DC">
        <w:rPr>
          <w:lang w:val="en-GB"/>
        </w:rPr>
        <w:t>(Hair et al., 2019)</w:t>
      </w:r>
      <w:r w:rsidR="00170A80" w:rsidRPr="00E673DC">
        <w:rPr>
          <w:lang w:val="en-GB"/>
        </w:rPr>
        <w:fldChar w:fldCharType="end"/>
      </w:r>
      <w:r w:rsidR="007927B7" w:rsidRPr="00E673DC">
        <w:rPr>
          <w:lang w:val="en-GB"/>
        </w:rPr>
        <w:t xml:space="preserve">. This technique will be used to determine the strength, direction, and significance of the relationships between the </w:t>
      </w:r>
      <w:r w:rsidR="00F8610F" w:rsidRPr="00E673DC">
        <w:rPr>
          <w:lang w:val="en-GB"/>
        </w:rPr>
        <w:t>factors</w:t>
      </w:r>
      <w:r w:rsidR="007927B7" w:rsidRPr="00E673DC">
        <w:rPr>
          <w:lang w:val="en-GB"/>
        </w:rPr>
        <w:t xml:space="preserve"> that shape employee attitudes and </w:t>
      </w:r>
      <w:r w:rsidR="00DC79D6">
        <w:rPr>
          <w:lang w:val="en-GB"/>
        </w:rPr>
        <w:t>behaviour</w:t>
      </w:r>
      <w:r w:rsidR="007927B7" w:rsidRPr="00E673DC">
        <w:rPr>
          <w:lang w:val="en-GB"/>
        </w:rPr>
        <w:t xml:space="preserve">. PLS-SEM is particularly beneficial in studies with a moderate-sized sample, and predictive validity is required rather than rigid theory verification </w:t>
      </w:r>
      <w:r w:rsidR="00170A80" w:rsidRPr="00E673DC">
        <w:rPr>
          <w:lang w:val="en-GB"/>
        </w:rPr>
        <w:fldChar w:fldCharType="begin"/>
      </w:r>
      <w:r w:rsidR="00170A80" w:rsidRPr="00E673DC">
        <w:rPr>
          <w:lang w:val="en-GB"/>
        </w:rPr>
        <w:instrText xml:space="preserve"> ADDIN ZOTERO_ITEM CSL_CITATION {"citationID":"W8Cf8Td8","properties":{"formattedCitation":"(Sarstedt et al., 2022)","plainCitation":"(Sarstedt et al., 2022)","noteIndex":0},"citationItems":[{"id":399,"uris":["http://zotero.org/users/local/TOdoVrPG/items/WWGEFXCN"],"itemData":{"id":399,"type":"chapter","abstract":"Partial least squares structural equation modeling (PLS-SEM) has become a popular method for estimating path models with latent variables and their relationships. A common goal of PLS-SEM analyses is to identify key success factors and sources of competitive advantage for important target constructs such as customer satisfaction, customer loyalty, behavioral intentions, and user behavior. Building on an introduction of the fundamentals of measurement and structural theory, this chapter explains how to specify and estimate path models using PLS-SEM. Complementing the introduction of the PLS-SEM method and the description of how to evaluate analysis results, the chapter also offers an overview of complementary analytical techniques. A PLS-SEM application of the widely recognized corporate reputation model illustrates the method.","container-title":"Handbook of Market Research","event-place":"Cham","ISBN":"978-3-319-57413-4","note":"DOI: 10.1007/978-3-319-57413-4_15","page":"587-632","publisher":"Springer International Publishing","publisher-place":"Cham","title":"Partial Least Squares Structural Equation Modeling","URL":"https://doi.org/10.1007/978-3-319-57413-4_15","author":[{"family":"Sarstedt","given":"Marko"},{"family":"Ringle","given":"Christian M."},{"family":"Hair","given":"Joseph F."}],"editor":[{"family":"Homburg","given":"Christian"},{"family":"Klarmann","given":"Martin"},{"family":"Vomberg","given":"Arnd"}],"issued":{"date-parts":[["2022"]]}}}],"schema":"https://github.com/citation-style-language/schema/raw/master/csl-citation.json"} </w:instrText>
      </w:r>
      <w:r w:rsidR="00170A80" w:rsidRPr="00E673DC">
        <w:rPr>
          <w:lang w:val="en-GB"/>
        </w:rPr>
        <w:fldChar w:fldCharType="separate"/>
      </w:r>
      <w:r w:rsidR="00170A80" w:rsidRPr="00E673DC">
        <w:rPr>
          <w:lang w:val="en-GB"/>
        </w:rPr>
        <w:t>(Sarstedt et al., 2022)</w:t>
      </w:r>
      <w:r w:rsidR="00170A80" w:rsidRPr="00E673DC">
        <w:rPr>
          <w:lang w:val="en-GB"/>
        </w:rPr>
        <w:fldChar w:fldCharType="end"/>
      </w:r>
      <w:r w:rsidR="007927B7" w:rsidRPr="00E673DC">
        <w:rPr>
          <w:lang w:val="en-GB"/>
        </w:rPr>
        <w:t>.</w:t>
      </w:r>
    </w:p>
    <w:p w14:paraId="7F1AE56B" w14:textId="77777777" w:rsidR="007927B7" w:rsidRPr="00E673DC" w:rsidRDefault="007927B7">
      <w:pPr>
        <w:pStyle w:val="heading2"/>
        <w:numPr>
          <w:ilvl w:val="1"/>
          <w:numId w:val="5"/>
        </w:numPr>
        <w:spacing w:before="0"/>
        <w:jc w:val="both"/>
        <w:rPr>
          <w:rFonts w:asciiTheme="majorBidi" w:hAnsiTheme="majorBidi" w:cstheme="majorBidi"/>
          <w:sz w:val="24"/>
          <w:szCs w:val="24"/>
          <w:lang w:val="en-GB"/>
        </w:rPr>
      </w:pPr>
      <w:bookmarkStart w:id="25" w:name="_Toc197952402"/>
      <w:r w:rsidRPr="00E673DC">
        <w:rPr>
          <w:rFonts w:asciiTheme="majorBidi" w:hAnsiTheme="majorBidi" w:cstheme="majorBidi"/>
          <w:sz w:val="24"/>
          <w:szCs w:val="24"/>
          <w:lang w:val="en-GB"/>
        </w:rPr>
        <w:t>Ethical Considerations</w:t>
      </w:r>
      <w:bookmarkEnd w:id="25"/>
    </w:p>
    <w:p w14:paraId="45E03F3E" w14:textId="097739CD" w:rsidR="007927B7" w:rsidRPr="00E673DC" w:rsidRDefault="007927B7" w:rsidP="00D77795">
      <w:pPr>
        <w:ind w:firstLine="720"/>
        <w:rPr>
          <w:lang w:val="en-GB"/>
        </w:rPr>
      </w:pPr>
      <w:r w:rsidRPr="00E673DC">
        <w:rPr>
          <w:lang w:val="en-GB"/>
        </w:rPr>
        <w:t xml:space="preserve">The study obtained all </w:t>
      </w:r>
      <w:r w:rsidR="008C3C17">
        <w:rPr>
          <w:lang w:val="en-GB"/>
        </w:rPr>
        <w:t xml:space="preserve">the </w:t>
      </w:r>
      <w:r w:rsidRPr="00E673DC">
        <w:rPr>
          <w:lang w:val="en-GB"/>
        </w:rPr>
        <w:t xml:space="preserve">participants' informed consent and ensured that participation </w:t>
      </w:r>
      <w:r w:rsidR="008C3C17">
        <w:rPr>
          <w:lang w:val="en-GB"/>
        </w:rPr>
        <w:t>was</w:t>
      </w:r>
      <w:r w:rsidRPr="00E673DC">
        <w:rPr>
          <w:lang w:val="en-GB"/>
        </w:rPr>
        <w:t xml:space="preserve"> voluntary. </w:t>
      </w:r>
      <w:r w:rsidR="008C3C17">
        <w:rPr>
          <w:lang w:val="en-GB"/>
        </w:rPr>
        <w:t>The p</w:t>
      </w:r>
      <w:r w:rsidRPr="00E673DC">
        <w:rPr>
          <w:lang w:val="en-GB"/>
        </w:rPr>
        <w:t xml:space="preserve">articipants </w:t>
      </w:r>
      <w:r w:rsidR="008C3C17">
        <w:rPr>
          <w:lang w:val="en-GB"/>
        </w:rPr>
        <w:t xml:space="preserve">were </w:t>
      </w:r>
      <w:r w:rsidRPr="00E673DC">
        <w:rPr>
          <w:lang w:val="en-GB"/>
        </w:rPr>
        <w:t xml:space="preserve">well-informed about the study's purpose, the nature of the data collection process, and how their answers would be used. Confidentiality and </w:t>
      </w:r>
      <w:r w:rsidRPr="00E673DC">
        <w:rPr>
          <w:lang w:val="en-GB"/>
        </w:rPr>
        <w:lastRenderedPageBreak/>
        <w:t xml:space="preserve">anonymity </w:t>
      </w:r>
      <w:r w:rsidR="00F8610F" w:rsidRPr="00E673DC">
        <w:rPr>
          <w:lang w:val="en-GB"/>
        </w:rPr>
        <w:t>were</w:t>
      </w:r>
      <w:r w:rsidRPr="00E673DC">
        <w:rPr>
          <w:lang w:val="en-GB"/>
        </w:rPr>
        <w:t xml:space="preserve"> maintained during the research so that no personal or identifiable information would be published or used outside this study.</w:t>
      </w:r>
    </w:p>
    <w:p w14:paraId="264FB0C7" w14:textId="77777777" w:rsidR="00D13C36" w:rsidRPr="00E673DC" w:rsidRDefault="00D13C36" w:rsidP="00D13C36">
      <w:pPr>
        <w:pStyle w:val="heading2"/>
        <w:rPr>
          <w:rFonts w:asciiTheme="majorBidi" w:hAnsiTheme="majorBidi" w:cstheme="majorBidi"/>
          <w:sz w:val="24"/>
          <w:szCs w:val="24"/>
          <w:lang w:val="en-GB"/>
        </w:rPr>
      </w:pPr>
      <w:bookmarkStart w:id="26" w:name="_Toc197952403"/>
      <w:r w:rsidRPr="00E673DC">
        <w:rPr>
          <w:rFonts w:asciiTheme="majorBidi" w:hAnsiTheme="majorBidi" w:cstheme="majorBidi"/>
          <w:sz w:val="24"/>
          <w:szCs w:val="24"/>
          <w:lang w:val="en-GB"/>
        </w:rPr>
        <w:t>Measures</w:t>
      </w:r>
      <w:bookmarkEnd w:id="26"/>
    </w:p>
    <w:p w14:paraId="5A3D838E" w14:textId="084DB47E" w:rsidR="00D13C36" w:rsidRPr="00E673DC" w:rsidRDefault="00D13C36" w:rsidP="00D77795">
      <w:pPr>
        <w:ind w:firstLine="720"/>
        <w:rPr>
          <w:lang w:val="en-GB"/>
        </w:rPr>
      </w:pPr>
      <w:r w:rsidRPr="00E673DC">
        <w:rPr>
          <w:lang w:val="en-GB"/>
        </w:rPr>
        <w:t>The survey covered statements related to OCBE, GL&amp;D, GR&amp;CM</w:t>
      </w:r>
      <w:r w:rsidR="008C3C17">
        <w:rPr>
          <w:lang w:val="en-GB"/>
        </w:rPr>
        <w:t>,</w:t>
      </w:r>
      <w:r w:rsidRPr="00E673DC">
        <w:rPr>
          <w:lang w:val="en-GB"/>
        </w:rPr>
        <w:t xml:space="preserve"> and GI</w:t>
      </w:r>
      <w:r w:rsidR="002D4B1E" w:rsidRPr="00E673DC">
        <w:rPr>
          <w:lang w:val="en-GB"/>
        </w:rPr>
        <w:t>B</w:t>
      </w:r>
      <w:r w:rsidRPr="00E673DC">
        <w:rPr>
          <w:lang w:val="en-GB"/>
        </w:rPr>
        <w:t xml:space="preserve">. The </w:t>
      </w:r>
      <w:r w:rsidR="00D1287F" w:rsidRPr="00E673DC">
        <w:rPr>
          <w:lang w:val="en-GB"/>
        </w:rPr>
        <w:t>subsequent</w:t>
      </w:r>
      <w:r w:rsidRPr="00E673DC">
        <w:rPr>
          <w:lang w:val="en-GB"/>
        </w:rPr>
        <w:t xml:space="preserve"> section was related to the demographic data of the respondent, like </w:t>
      </w:r>
      <w:r w:rsidR="008C3C17">
        <w:rPr>
          <w:lang w:val="en-GB"/>
        </w:rPr>
        <w:t xml:space="preserve">their </w:t>
      </w:r>
      <w:r w:rsidRPr="00E673DC">
        <w:rPr>
          <w:lang w:val="en-GB"/>
        </w:rPr>
        <w:t xml:space="preserve">nationality, gender, age, and tenure. </w:t>
      </w:r>
      <w:r w:rsidR="008B5533" w:rsidRPr="00E673DC">
        <w:rPr>
          <w:lang w:val="en-GB"/>
        </w:rPr>
        <w:t>The questionnaire used constructs adapted from previous journal articles</w:t>
      </w:r>
      <w:r w:rsidR="007927B7" w:rsidRPr="00E673DC">
        <w:rPr>
          <w:lang w:val="en-GB"/>
        </w:rPr>
        <w:t xml:space="preserve"> as follow</w:t>
      </w:r>
      <w:r w:rsidR="008C3C17">
        <w:rPr>
          <w:lang w:val="en-GB"/>
        </w:rPr>
        <w:t>s</w:t>
      </w:r>
      <w:r w:rsidR="007927B7" w:rsidRPr="00E673DC">
        <w:rPr>
          <w:lang w:val="en-GB"/>
        </w:rPr>
        <w:t>:</w:t>
      </w:r>
    </w:p>
    <w:p w14:paraId="04ECC072" w14:textId="281207F0" w:rsidR="00D13C36" w:rsidRPr="00E673DC" w:rsidRDefault="00D13C36" w:rsidP="00D77795">
      <w:pPr>
        <w:ind w:firstLine="720"/>
        <w:rPr>
          <w:lang w:val="en-GB"/>
        </w:rPr>
      </w:pPr>
      <w:r w:rsidRPr="00E673DC">
        <w:rPr>
          <w:b/>
          <w:bCs/>
          <w:lang w:val="en-GB"/>
        </w:rPr>
        <w:t>OCBE:</w:t>
      </w:r>
      <w:r w:rsidRPr="00E673DC">
        <w:rPr>
          <w:lang w:val="en-GB"/>
        </w:rPr>
        <w:t xml:space="preserve"> The construct adopted the five-item scale developed by Boiral and Paillé </w:t>
      </w:r>
      <w:r w:rsidRPr="00E673DC">
        <w:rPr>
          <w:lang w:val="en-GB"/>
        </w:rPr>
        <w:fldChar w:fldCharType="begin"/>
      </w:r>
      <w:r w:rsidR="00E72F10" w:rsidRPr="00E673DC">
        <w:rPr>
          <w:lang w:val="en-GB"/>
        </w:rPr>
        <w:instrText xml:space="preserve"> ADDIN ZOTERO_ITEM CSL_CITATION {"citationID":"TObBbH3O","properties":{"formattedCitation":"(2012)","plainCitation":"(2012)","noteIndex":0},"citationItems":[{"id":89,"uris":["http://zotero.org/users/local/TOdoVrPG/items/EFTYDN7E"],"itemData":{"id":89,"type":"article-journal","container-title":"Journal of Business Ethics","DOI":"10.1007/s10551-011-1138-9","ISSN":"0167-4544, 1573-0697","issue":"4","journalAbbreviation":"J Bus Ethics","language":"en","license":"http://www.springer.com/tdm","page":"431-445","source":"DOI.org (Crossref)","title":"Organizational Citizenship Behaviour for the Environment: Measurement and Validation","title-short":"Organizational Citizenship Behaviour for the Environment","URL":"http://link.springer.com/10.1007/s10551-011-1138-9","volume":"109","author":[{"family":"Boiral","given":"Olivier"},{"family":"Paillé","given":"Pascal"}],"accessed":{"date-parts":[["2024",10,24]]},"issued":{"date-parts":[["2012"]]}},"suppress-author":true}],"schema":"https://github.com/citation-style-language/schema/raw/master/csl-citation.json"} </w:instrText>
      </w:r>
      <w:r w:rsidRPr="00E673DC">
        <w:rPr>
          <w:lang w:val="en-GB"/>
        </w:rPr>
        <w:fldChar w:fldCharType="separate"/>
      </w:r>
      <w:r w:rsidRPr="00E673DC">
        <w:rPr>
          <w:lang w:val="en-GB"/>
        </w:rPr>
        <w:t>(2012)</w:t>
      </w:r>
      <w:r w:rsidRPr="00E673DC">
        <w:rPr>
          <w:lang w:val="en-GB"/>
        </w:rPr>
        <w:fldChar w:fldCharType="end"/>
      </w:r>
      <w:r w:rsidR="008C3C17">
        <w:rPr>
          <w:lang w:val="en-GB"/>
        </w:rPr>
        <w:t>,</w:t>
      </w:r>
      <w:r w:rsidRPr="00E673DC">
        <w:rPr>
          <w:lang w:val="en-GB"/>
        </w:rPr>
        <w:t xml:space="preserve"> which was also adopted by Yong et al. </w:t>
      </w:r>
      <w:r w:rsidRPr="00E673DC">
        <w:rPr>
          <w:lang w:val="en-GB"/>
        </w:rPr>
        <w:fldChar w:fldCharType="begin"/>
      </w:r>
      <w:r w:rsidR="00E72F10" w:rsidRPr="00E673DC">
        <w:rPr>
          <w:lang w:val="en-GB"/>
        </w:rPr>
        <w:instrText xml:space="preserve"> ADDIN ZOTERO_ITEM CSL_CITATION {"citationID":"Mri8DVAa","properties":{"formattedCitation":"(2019)","plainCitation":"(2019)","noteIndex":0},"citationItems":[{"id":375,"uris":["http://zotero.org/users/local/TOdoVrPG/items/8HDPM7ZM"],"itemData":{"id":375,"type":"article-journal","abstract":"This research was a pioneering study that examined the relationship between green intellectual capital and green human resource management. A quantitative research approach using a mail survey was employed to get insights from 112 large manufacturing firms in Malaysia. Partial Least Squares Regression Analysis was employed to examine the proposed relationship. The results indicated that green human capital and green relational capital influenced green human resource management. Surprisingly, green structural capital was not significantly related to green human resource management. As revealed by searches of ISI Web of Knowledge and Scopus, no similar work has tested a similar framework based on evidence from all over the world.","container-title":"Journal of Cleaner Production","DOI":"10.1016/j.jclepro.2018.12.306","ISSN":"0959-6526","journalAbbreviation":"Journal of Cleaner Production","page":"364-374","title":"Nexus between green intellectual capital and green human resource management","URL":"https://www.sciencedirect.com/science/article/pii/S095965261834037X","volume":"215","author":[{"family":"Yong","given":"Jing Yi"},{"family":"Yusliza","given":"M-Y"},{"family":"Ramayah","given":"T."},{"family":"Fawehinmi","given":"Olawole"}],"issued":{"date-parts":[["2019"]]}},"suppress-author":true}],"schema":"https://github.com/citation-style-language/schema/raw/master/csl-citation.json"} </w:instrText>
      </w:r>
      <w:r w:rsidRPr="00E673DC">
        <w:rPr>
          <w:lang w:val="en-GB"/>
        </w:rPr>
        <w:fldChar w:fldCharType="separate"/>
      </w:r>
      <w:r w:rsidRPr="00E673DC">
        <w:rPr>
          <w:lang w:val="en-GB"/>
        </w:rPr>
        <w:t>(2019)</w:t>
      </w:r>
      <w:r w:rsidRPr="00E673DC">
        <w:rPr>
          <w:lang w:val="en-GB"/>
        </w:rPr>
        <w:fldChar w:fldCharType="end"/>
      </w:r>
      <w:r w:rsidRPr="00E673DC">
        <w:rPr>
          <w:lang w:val="en-GB"/>
        </w:rPr>
        <w:t xml:space="preserve"> and Pillai et al. </w:t>
      </w:r>
      <w:r w:rsidRPr="00E673DC">
        <w:rPr>
          <w:lang w:val="en-GB"/>
        </w:rPr>
        <w:fldChar w:fldCharType="begin"/>
      </w:r>
      <w:r w:rsidR="00E72F10" w:rsidRPr="00E673DC">
        <w:rPr>
          <w:lang w:val="en-GB"/>
        </w:rPr>
        <w:instrText xml:space="preserve"> ADDIN ZOTERO_ITEM CSL_CITATION {"citationID":"RwVsLVtm","properties":{"formattedCitation":"(2024)","plainCitation":"(2024)","noteIndex":0},"citationItems":[{"id":61,"uris":["http://zotero.org/users/local/TOdoVrPG/items/E5XP3PYF"],"itemData":{"id":61,"type":"article-journal","abstract":"Organisational citizenship behaviour towards the environment (OCBE) aids in both environmental protection and in harnessing sustainable competitive organisational advantage. This study proposed a conceptual research model which investigated managerial perceptions of the relationship between OCBE and economic cost performance (ECP) in the UAE hospitality sector, with green innovative behaviour (GIB) mediating and green training moderating the relationship. Drawing on the theory of planned behaviour and abilities motivation opportunity theory, the study administered 479 structured questionnaires to hotel managers in the UAE using purposive and snowball sampling techniques. Partial least squares structural equation modelling was applied to test the hypotheses in SmartPLS3.3. Findings showed that OCBE had a direct and significant impact on ECP, with GIB emerging both as a direct and mediating predictor. Additionally, green training directly and significantly moderated the OCBE–cost performance relationship. These results evince the integration of sustainable philosophies with innovative mindsets to encourage green innovative endeavours among hotel managers.","container-title":"Business Ethics, the Environment &amp; Responsibility","DOI":"10.1111/beer.12700","ISSN":"2694-6416, 2694-6424","journalAbbreviation":"Business Ethics Env &amp; Resp","language":"en","license":"http://onlinelibrary.wiley.com/termsAndConditions#vor","page":"beer.12700","source":"DOI.org (Crossref)","title":"Assessing the influence of organisational citizenship behaviour towards environment on economic cost performance in &lt;span style=\"font-variant:small-caps;\"&gt;UAE&lt;/span&gt; hotels","title-short":"Assessing the influence of organisational citizenship behaviour towards environment on economic cost performance in &lt;span style=\"font-variant","URL":"https://onlinelibrary.wiley.com/doi/10.1111/beer.12700","author":[{"family":"Pillai","given":"Rekha"},{"family":"Islam","given":"Aminul"},{"family":"Kumar","given":"Parul"},{"family":"Almustafa","given":"Hamza"}],"accessed":{"date-parts":[["2024",10,14]]},"issued":{"date-parts":[["2024"]]}},"suppress-author":true}],"schema":"https://github.com/citation-style-language/schema/raw/master/csl-citation.json"} </w:instrText>
      </w:r>
      <w:r w:rsidRPr="00E673DC">
        <w:rPr>
          <w:lang w:val="en-GB"/>
        </w:rPr>
        <w:fldChar w:fldCharType="separate"/>
      </w:r>
      <w:r w:rsidRPr="00E673DC">
        <w:rPr>
          <w:lang w:val="en-GB"/>
        </w:rPr>
        <w:t>(2024)</w:t>
      </w:r>
      <w:r w:rsidRPr="00E673DC">
        <w:rPr>
          <w:lang w:val="en-GB"/>
        </w:rPr>
        <w:fldChar w:fldCharType="end"/>
      </w:r>
      <w:r w:rsidRPr="00E673DC">
        <w:rPr>
          <w:lang w:val="en-GB"/>
        </w:rPr>
        <w:t>.</w:t>
      </w:r>
    </w:p>
    <w:p w14:paraId="099F916F" w14:textId="1F6E8198" w:rsidR="00D13C36" w:rsidRPr="00E673DC" w:rsidRDefault="00D13C36" w:rsidP="00D77795">
      <w:pPr>
        <w:ind w:firstLine="720"/>
        <w:rPr>
          <w:lang w:val="en-GB"/>
        </w:rPr>
      </w:pPr>
      <w:r w:rsidRPr="00D77795">
        <w:rPr>
          <w:lang w:val="en-GB"/>
        </w:rPr>
        <w:t>GL&amp;D:</w:t>
      </w:r>
      <w:r w:rsidRPr="00E673DC">
        <w:rPr>
          <w:lang w:val="en-GB"/>
        </w:rPr>
        <w:t xml:space="preserve"> The construct depended on the five-item scale developed by Daily et al</w:t>
      </w:r>
      <w:r w:rsidR="008C3C17">
        <w:rPr>
          <w:lang w:val="en-GB"/>
        </w:rPr>
        <w:t>.</w:t>
      </w:r>
      <w:r w:rsidRPr="00E673DC">
        <w:rPr>
          <w:lang w:val="en-GB"/>
        </w:rPr>
        <w:t xml:space="preserve"> </w:t>
      </w:r>
      <w:r w:rsidRPr="00E673DC">
        <w:rPr>
          <w:lang w:val="en-GB"/>
        </w:rPr>
        <w:fldChar w:fldCharType="begin"/>
      </w:r>
      <w:r w:rsidR="00E72F10" w:rsidRPr="00E673DC">
        <w:rPr>
          <w:lang w:val="en-GB"/>
        </w:rPr>
        <w:instrText xml:space="preserve"> ADDIN ZOTERO_ITEM CSL_CITATION {"citationID":"pUdpcaq5","properties":{"formattedCitation":"(2012)","plainCitation":"(2012)","noteIndex":0},"citationItems":[{"id":247,"uris":["http://zotero.org/users/local/TOdoVrPG/items/QRB3Z3TF"],"itemData":{"id":247,"type":"article-journal","abstract":"Purpose The purpose of this study to propose a model that links the following human resource (HR) factors: employee environmental empowerment, employee environmental training, employee environmental teamwork, managerial environmental empowerment and managerial environmental training, to environmental performance as perceived by managers. Design/methodology/approach A survey was administered to 220 manufacturing organizations in Mexico. The survey instrument was self‐report format with attitudinal variables. Items were adopted from previously published scales. A hypothesized model of the variable relationships with structural equation modelling analysis was tested. Findings The results suggest that managers perceive that both environmental training and environmental empowerment are important to themselves and employees. In this study, overall environmental training had a stronger relationship with the dependent variables than environmental empowerment. In the case of the employee level, the effects were mediated through environmental teamwork. Originality/value This study contributes to both theory and praxis. First, it extends the literature related to environmental management and HR management. Second, it examines managerial perceptions of the HR role within the firm for both manager/supervisors and hourly/direct workers. Third, the study is one of the first to investigate the relationships between HR factors and environmental issues in Mexican manufacturing firms. Finally, the study has important implications for practitioners in the manufacturing sector.","container-title":"International Journal of Operations &amp; Production Management","DOI":"10.1108/01443571211226524","ISSN":"0144-3577","issue":"5","note":"publisher: Emerald Group Publishing Limited","page":"631-647","title":"The role of training and empowerment in environmental performance","URL":"https://doi.org/10.1108/01443571211226524","volume":"32","author":[{"family":"Daily","given":"Bonnie F."},{"family":"Bishop","given":"John W."},{"family":"Massoud","given":"Jacob A."}],"accessed":{"date-parts":[["2025",1,20]]},"issued":{"date-parts":[["2012"]]}},"suppress-author":true}],"schema":"https://github.com/citation-style-language/schema/raw/master/csl-citation.json"} </w:instrText>
      </w:r>
      <w:r w:rsidRPr="00E673DC">
        <w:rPr>
          <w:lang w:val="en-GB"/>
        </w:rPr>
        <w:fldChar w:fldCharType="separate"/>
      </w:r>
      <w:r w:rsidRPr="00E673DC">
        <w:rPr>
          <w:lang w:val="en-GB"/>
        </w:rPr>
        <w:t>(2012)</w:t>
      </w:r>
      <w:r w:rsidRPr="00E673DC">
        <w:rPr>
          <w:lang w:val="en-GB"/>
        </w:rPr>
        <w:fldChar w:fldCharType="end"/>
      </w:r>
      <w:r w:rsidR="008C3C17">
        <w:rPr>
          <w:lang w:val="en-GB"/>
        </w:rPr>
        <w:t>,</w:t>
      </w:r>
      <w:r w:rsidRPr="00E673DC">
        <w:rPr>
          <w:lang w:val="en-GB"/>
        </w:rPr>
        <w:t xml:space="preserve"> which was also employed by Pham et al. </w:t>
      </w:r>
      <w:r w:rsidRPr="00E673DC">
        <w:rPr>
          <w:lang w:val="en-GB"/>
        </w:rPr>
        <w:fldChar w:fldCharType="begin"/>
      </w:r>
      <w:r w:rsidRPr="00E673DC">
        <w:rPr>
          <w:lang w:val="en-GB"/>
        </w:rPr>
        <w:instrText xml:space="preserve"> ADDIN ZOTERO_ITEM CSL_CITATION {"citationID":"rl8QPTaR","properties":{"formattedCitation":"(2018)","plainCitation":"(2018)","noteIndex":0},"citationItems":[{"id":191,"uris":["http://zotero.org/users/local/TOdoVrPG/items/4MNKBTE9"],"itemData":{"id":191,"type":"article-journal","abstract":"The environmental concern has become an emerging topic in organization’s human resource management strategy, especially in improving employee’s environmental behavior at work. Thus, the organizational citizenship behavior toward the environment (OCBE) has been currently attracting scholars in management. However, published studies contain research gaps in investigation of the relationships between both green training and organizational culture and OCBE, especially in the hotel industry. Following the social exchange and Ability-MotivationOpportunity theories, this study aims to examine the effects of two green practices on OCBE and the moderating role of green organizational culture to the effect of green training on OCBE. A quantitative approach with survey strategy is employed and conducted in 4-5 star hotels to test these relationships. The PLS-SEM and K-means Cluster Analysis techniques are applied to analyze data. The findings reveal that green training and organizational culture positively influence OCBE. Also, the effect of green training on OCBE is moderated by green organizational culture. Finally, our study provides limitations of research and further studies, and the implications for management practices concerned with improving employee’s voluntary eco-behavior in the hotel industry.","container-title":"Management &amp; Marketing","DOI":"https://doi.org/10.2478/mmcks-2018-0030","ISSN":"2069-8887","issue":"4","language":"en","page":"1174 - 1189","source":"Zotero","title":"Enhancing the organizational citizenship behavior for the environment: the roles of green training and organizational culture","URL":"https://sciendo.com/article/10.2478/mmcks-2018-0030","volume":"13","author":[{"family":"Pham","given":"Nhat Tan"},{"family":"Phan","given":"Quyen Phu Thi"},{"family":"Tučková","given":"Zuzana"}],"issued":{"date-parts":[["2018"]]}},"suppress-author":true}],"schema":"https://github.com/citation-style-language/schema/raw/master/csl-citation.json"} </w:instrText>
      </w:r>
      <w:r w:rsidRPr="00E673DC">
        <w:rPr>
          <w:lang w:val="en-GB"/>
        </w:rPr>
        <w:fldChar w:fldCharType="separate"/>
      </w:r>
      <w:r w:rsidRPr="00E673DC">
        <w:rPr>
          <w:lang w:val="en-GB"/>
        </w:rPr>
        <w:t>(2018)</w:t>
      </w:r>
      <w:r w:rsidRPr="00E673DC">
        <w:rPr>
          <w:lang w:val="en-GB"/>
        </w:rPr>
        <w:fldChar w:fldCharType="end"/>
      </w:r>
      <w:r w:rsidRPr="00E673DC">
        <w:rPr>
          <w:lang w:val="en-GB"/>
        </w:rPr>
        <w:t xml:space="preserve"> and Pillai et al. </w:t>
      </w:r>
      <w:r w:rsidRPr="00E673DC">
        <w:rPr>
          <w:lang w:val="en-GB"/>
        </w:rPr>
        <w:fldChar w:fldCharType="begin"/>
      </w:r>
      <w:r w:rsidR="00E72F10" w:rsidRPr="00E673DC">
        <w:rPr>
          <w:lang w:val="en-GB"/>
        </w:rPr>
        <w:instrText xml:space="preserve"> ADDIN ZOTERO_ITEM CSL_CITATION {"citationID":"vAJJheds","properties":{"formattedCitation":"(2024)","plainCitation":"(2024)","noteIndex":0},"citationItems":[{"id":61,"uris":["http://zotero.org/users/local/TOdoVrPG/items/E5XP3PYF"],"itemData":{"id":61,"type":"article-journal","abstract":"Organisational citizenship behaviour towards the environment (OCBE) aids in both environmental protection and in harnessing sustainable competitive organisational advantage. This study proposed a conceptual research model which investigated managerial perceptions of the relationship between OCBE and economic cost performance (ECP) in the UAE hospitality sector, with green innovative behaviour (GIB) mediating and green training moderating the relationship. Drawing on the theory of planned behaviour and abilities motivation opportunity theory, the study administered 479 structured questionnaires to hotel managers in the UAE using purposive and snowball sampling techniques. Partial least squares structural equation modelling was applied to test the hypotheses in SmartPLS3.3. Findings showed that OCBE had a direct and significant impact on ECP, with GIB emerging both as a direct and mediating predictor. Additionally, green training directly and significantly moderated the OCBE–cost performance relationship. These results evince the integration of sustainable philosophies with innovative mindsets to encourage green innovative endeavours among hotel managers.","container-title":"Business Ethics, the Environment &amp; Responsibility","DOI":"10.1111/beer.12700","ISSN":"2694-6416, 2694-6424","journalAbbreviation":"Business Ethics Env &amp; Resp","language":"en","license":"http://onlinelibrary.wiley.com/termsAndConditions#vor","page":"beer.12700","source":"DOI.org (Crossref)","title":"Assessing the influence of organisational citizenship behaviour towards environment on economic cost performance in &lt;span style=\"font-variant:small-caps;\"&gt;UAE&lt;/span&gt; hotels","title-short":"Assessing the influence of organisational citizenship behaviour towards environment on economic cost performance in &lt;span style=\"font-variant","URL":"https://onlinelibrary.wiley.com/doi/10.1111/beer.12700","author":[{"family":"Pillai","given":"Rekha"},{"family":"Islam","given":"Aminul"},{"family":"Kumar","given":"Parul"},{"family":"Almustafa","given":"Hamza"}],"accessed":{"date-parts":[["2024",10,14]]},"issued":{"date-parts":[["2024"]]}},"suppress-author":true}],"schema":"https://github.com/citation-style-language/schema/raw/master/csl-citation.json"} </w:instrText>
      </w:r>
      <w:r w:rsidRPr="00E673DC">
        <w:rPr>
          <w:lang w:val="en-GB"/>
        </w:rPr>
        <w:fldChar w:fldCharType="separate"/>
      </w:r>
      <w:r w:rsidRPr="00E673DC">
        <w:rPr>
          <w:lang w:val="en-GB"/>
        </w:rPr>
        <w:t>(2024)</w:t>
      </w:r>
      <w:r w:rsidRPr="00E673DC">
        <w:rPr>
          <w:lang w:val="en-GB"/>
        </w:rPr>
        <w:fldChar w:fldCharType="end"/>
      </w:r>
      <w:r w:rsidRPr="00E673DC">
        <w:rPr>
          <w:lang w:val="en-GB"/>
        </w:rPr>
        <w:t>.</w:t>
      </w:r>
    </w:p>
    <w:p w14:paraId="499B15C2" w14:textId="1F6988E2" w:rsidR="00D13C36" w:rsidRPr="00E673DC" w:rsidRDefault="00D13C36" w:rsidP="00D77795">
      <w:pPr>
        <w:ind w:firstLine="720"/>
        <w:rPr>
          <w:lang w:val="en-GB"/>
        </w:rPr>
      </w:pPr>
      <w:r w:rsidRPr="00D77795">
        <w:rPr>
          <w:lang w:val="en-GB"/>
        </w:rPr>
        <w:t>GR&amp;CM:</w:t>
      </w:r>
      <w:r w:rsidRPr="00E673DC">
        <w:rPr>
          <w:lang w:val="en-GB"/>
        </w:rPr>
        <w:t xml:space="preserve"> The construct depended on five measurement items adapted from Shah</w:t>
      </w:r>
      <w:r w:rsidR="008C3C17">
        <w:rPr>
          <w:lang w:val="en-GB"/>
        </w:rPr>
        <w:t>'s</w:t>
      </w:r>
      <w:r w:rsidRPr="00E673DC">
        <w:rPr>
          <w:lang w:val="en-GB"/>
        </w:rPr>
        <w:t xml:space="preserve"> </w:t>
      </w:r>
      <w:r w:rsidRPr="00E673DC">
        <w:rPr>
          <w:lang w:val="en-GB"/>
        </w:rPr>
        <w:fldChar w:fldCharType="begin"/>
      </w:r>
      <w:r w:rsidR="00E72F10" w:rsidRPr="00E673DC">
        <w:rPr>
          <w:lang w:val="en-GB"/>
        </w:rPr>
        <w:instrText xml:space="preserve"> ADDIN ZOTERO_ITEM CSL_CITATION {"citationID":"ZwCiMe6v","properties":{"formattedCitation":"(2019)","plainCitation":"(2019)","noteIndex":0},"citationItems":[{"id":68,"uris":["http://zotero.org/users/local/TOdoVrPG/items/38JG68WQ"],"itemData":{"id":68,"type":"article-journal","abstract":"The objective of the study was to develop a valid measurement scale for green human resource management (HRM). Even though the common practices of green HRM have been presented in much of the literature, the previous studies focused only on a small number of functions in integrating environmental management with HRM. Additionally, the measurement of green HRM practices still calls for empirical validation. The two‐stage methodology of structural equation modeling in AMOS was employed for data analysis. Exploratory factor analysis revealed seven dimensions of the construct measured by 28 items. Confirmatory factor analysis confirmed the factor structure. The measuring instruments revealed convergent and discriminant validity. Several model fit indices indicated the model fitness. The study provided supplementary evidence on the underlying structure of the construct that can be valuable to researchers and practitioners in this area.","container-title":"Business Strategy and the Environment","DOI":"10.1002/bse.2279","ISSN":"0964-4733, 1099-0836","issue":"5","journalAbbreviation":"Bus Strat Env","language":"en","page":"771-785","source":"DOI.org (Crossref)","title":"Green human resource management: Development of a valid measurement scale","title-short":"Green human resource management","URL":"https://onlinelibrary.wiley.com/doi/10.1002/bse.2279","volume":"28","author":[{"family":"Shah","given":"Muzammel"}],"accessed":{"date-parts":[["2024",10,16]]},"issued":{"date-parts":[["2019"]]}},"suppress-author":true}],"schema":"https://github.com/citation-style-language/schema/raw/master/csl-citation.json"} </w:instrText>
      </w:r>
      <w:r w:rsidRPr="00E673DC">
        <w:rPr>
          <w:lang w:val="en-GB"/>
        </w:rPr>
        <w:fldChar w:fldCharType="separate"/>
      </w:r>
      <w:r w:rsidRPr="00E673DC">
        <w:rPr>
          <w:lang w:val="en-GB"/>
        </w:rPr>
        <w:t>(2019)</w:t>
      </w:r>
      <w:r w:rsidRPr="00E673DC">
        <w:rPr>
          <w:lang w:val="en-GB"/>
        </w:rPr>
        <w:fldChar w:fldCharType="end"/>
      </w:r>
      <w:r w:rsidRPr="00E673DC">
        <w:rPr>
          <w:lang w:val="en-GB"/>
        </w:rPr>
        <w:t xml:space="preserve"> study</w:t>
      </w:r>
      <w:r w:rsidR="00B421C5">
        <w:rPr>
          <w:lang w:val="en-GB"/>
        </w:rPr>
        <w:t>,</w:t>
      </w:r>
      <w:r w:rsidRPr="00E673DC">
        <w:rPr>
          <w:lang w:val="en-GB"/>
        </w:rPr>
        <w:t xml:space="preserve"> which was employed by Mostafa </w:t>
      </w:r>
      <w:r w:rsidR="008C3C17">
        <w:rPr>
          <w:lang w:val="en-GB"/>
        </w:rPr>
        <w:t>and</w:t>
      </w:r>
      <w:r w:rsidRPr="00E673DC">
        <w:rPr>
          <w:lang w:val="en-GB"/>
        </w:rPr>
        <w:t xml:space="preserve"> Saleh </w:t>
      </w:r>
      <w:r w:rsidRPr="00E673DC">
        <w:rPr>
          <w:lang w:val="en-GB"/>
        </w:rPr>
        <w:fldChar w:fldCharType="begin"/>
      </w:r>
      <w:r w:rsidR="00E72F10" w:rsidRPr="00E673DC">
        <w:rPr>
          <w:lang w:val="en-GB"/>
        </w:rPr>
        <w:instrText xml:space="preserve"> ADDIN ZOTERO_ITEM CSL_CITATION {"citationID":"7aGHU3q9","properties":{"formattedCitation":"(2023)","plainCitation":"(2023)","noteIndex":0},"citationItems":[{"id":67,"uris":["http://zotero.org/users/local/TOdoVrPG/items/T5ESCEI5"],"itemData":{"id":67,"type":"article-journal","abstract":"In an era of green environmental awareness, Green Human Resources Management (GHRM) uses human resources management practices to support green environmental functions. It embraces green environmental concerns by applying human resources initiatives to generate high performance and better efficiency in operations. Although the literature on GHRM is growing, a few studies investigated to what extent green innovative culture (GIC) moderates the relationship between green human resources management practices and organizational citizenship behavior towards the environment (OCBE). To address this research gap, the authors tested a new conceptual framework investigating the direct and interactive effects of GHRM practices and GIC on OCBE. A quantitative study uses a survey from a 174 convenient sample of employees selected from a manufacturing firm operating in Egypt. The research results revealed that (1) GHRM practices are crucial for encouraging employees to engage in green activities, in addition (2) there is a significant positive effect of GHRM practices on OCBE, while on the other hand, (3) the interaction of GHRM and GIC can foster employees’ engagement in OCBE. The research significance lies in identifying and validating the GHRM practices applied in the manufacturing firm, as it advances the previous studies by developing a research model that offers critical insights on how manufacturing organizations working in industrial and agricultural packaging solutions could strategically link their GHRM practices and green innovative culture to support their OCBE in creating a competitive advantage in the market.","container-title":"International Business Research","DOI":"10.5539/ibr.v16n4p15","ISSN":"1913-9012, 1913-9004","issue":"4","journalAbbreviation":"IBR","language":"en","license":"https://creativecommons.org/licenses/by/4.0","page":"15","source":"DOI.org (Crossref)","title":"The Relationship between Green Human Resource Management Practices and Organizational Citizenship Behavior","URL":"https://ccsenet.org/journal/index.php/ibr/article/view/0/48544","volume":"16","author":[{"family":"Mostafa","given":"Bassant Adel"},{"family":"Saleh","given":"Reham Saber"}],"accessed":{"date-parts":[["2024",10,16]]},"issued":{"date-parts":[["2023"]]}},"suppress-author":true}],"schema":"https://github.com/citation-style-language/schema/raw/master/csl-citation.json"} </w:instrText>
      </w:r>
      <w:r w:rsidRPr="00E673DC">
        <w:rPr>
          <w:lang w:val="en-GB"/>
        </w:rPr>
        <w:fldChar w:fldCharType="separate"/>
      </w:r>
      <w:r w:rsidRPr="00E673DC">
        <w:rPr>
          <w:lang w:val="en-GB"/>
        </w:rPr>
        <w:t>(2023)</w:t>
      </w:r>
      <w:r w:rsidRPr="00E673DC">
        <w:rPr>
          <w:lang w:val="en-GB"/>
        </w:rPr>
        <w:fldChar w:fldCharType="end"/>
      </w:r>
      <w:r w:rsidRPr="00E673DC">
        <w:rPr>
          <w:lang w:val="en-GB"/>
        </w:rPr>
        <w:t xml:space="preserve">. </w:t>
      </w:r>
    </w:p>
    <w:p w14:paraId="5D9E836C" w14:textId="54F42C72" w:rsidR="00D13C36" w:rsidRPr="00E673DC" w:rsidRDefault="00D13C36" w:rsidP="00D77795">
      <w:pPr>
        <w:ind w:firstLine="720"/>
        <w:rPr>
          <w:lang w:val="en-GB"/>
        </w:rPr>
      </w:pPr>
      <w:r w:rsidRPr="00D77795">
        <w:rPr>
          <w:lang w:val="en-GB"/>
        </w:rPr>
        <w:t>GIB:</w:t>
      </w:r>
      <w:r w:rsidRPr="00E673DC">
        <w:rPr>
          <w:lang w:val="en-GB"/>
        </w:rPr>
        <w:t xml:space="preserve"> A four-item scale modified by Pillai et al. </w:t>
      </w:r>
      <w:r w:rsidRPr="00E673DC">
        <w:rPr>
          <w:lang w:val="en-GB"/>
        </w:rPr>
        <w:fldChar w:fldCharType="begin"/>
      </w:r>
      <w:r w:rsidR="00E72F10" w:rsidRPr="00E673DC">
        <w:rPr>
          <w:lang w:val="en-GB"/>
        </w:rPr>
        <w:instrText xml:space="preserve"> ADDIN ZOTERO_ITEM CSL_CITATION {"citationID":"HgdsvUT3","properties":{"formattedCitation":"(2024)","plainCitation":"(2024)","noteIndex":0},"citationItems":[{"id":61,"uris":["http://zotero.org/users/local/TOdoVrPG/items/E5XP3PYF"],"itemData":{"id":61,"type":"article-journal","abstract":"Organisational citizenship behaviour towards the environment (OCBE) aids in both environmental protection and in harnessing sustainable competitive organisational advantage. This study proposed a conceptual research model which investigated managerial perceptions of the relationship between OCBE and economic cost performance (ECP) in the UAE hospitality sector, with green innovative behaviour (GIB) mediating and green training moderating the relationship. Drawing on the theory of planned behaviour and abilities motivation opportunity theory, the study administered 479 structured questionnaires to hotel managers in the UAE using purposive and snowball sampling techniques. Partial least squares structural equation modelling was applied to test the hypotheses in SmartPLS3.3. Findings showed that OCBE had a direct and significant impact on ECP, with GIB emerging both as a direct and mediating predictor. Additionally, green training directly and significantly moderated the OCBE–cost performance relationship. These results evince the integration of sustainable philosophies with innovative mindsets to encourage green innovative endeavours among hotel managers.","container-title":"Business Ethics, the Environment &amp; Responsibility","DOI":"10.1111/beer.12700","ISSN":"2694-6416, 2694-6424","journalAbbreviation":"Business Ethics Env &amp; Resp","language":"en","license":"http://onlinelibrary.wiley.com/termsAndConditions#vor","page":"beer.12700","source":"DOI.org (Crossref)","title":"Assessing the influence of organisational citizenship behaviour towards environment on economic cost performance in &lt;span style=\"font-variant:small-caps;\"&gt;UAE&lt;/span&gt; hotels","title-short":"Assessing the influence of organisational citizenship behaviour towards environment on economic cost performance in &lt;span style=\"font-variant","URL":"https://onlinelibrary.wiley.com/doi/10.1111/beer.12700","author":[{"family":"Pillai","given":"Rekha"},{"family":"Islam","given":"Aminul"},{"family":"Kumar","given":"Parul"},{"family":"Almustafa","given":"Hamza"}],"accessed":{"date-parts":[["2024",10,14]]},"issued":{"date-parts":[["2024"]]}},"suppress-author":true}],"schema":"https://github.com/citation-style-language/schema/raw/master/csl-citation.json"} </w:instrText>
      </w:r>
      <w:r w:rsidRPr="00E673DC">
        <w:rPr>
          <w:lang w:val="en-GB"/>
        </w:rPr>
        <w:fldChar w:fldCharType="separate"/>
      </w:r>
      <w:r w:rsidRPr="00E673DC">
        <w:rPr>
          <w:lang w:val="en-GB"/>
        </w:rPr>
        <w:t>(2024)</w:t>
      </w:r>
      <w:r w:rsidRPr="00E673DC">
        <w:rPr>
          <w:lang w:val="en-GB"/>
        </w:rPr>
        <w:fldChar w:fldCharType="end"/>
      </w:r>
      <w:r w:rsidRPr="00E673DC">
        <w:rPr>
          <w:lang w:val="en-GB"/>
        </w:rPr>
        <w:t xml:space="preserve"> was used for the present study. The original scale </w:t>
      </w:r>
      <w:r w:rsidR="008C3C17">
        <w:rPr>
          <w:lang w:val="en-GB"/>
        </w:rPr>
        <w:t xml:space="preserve">was </w:t>
      </w:r>
      <w:r w:rsidRPr="00E673DC">
        <w:rPr>
          <w:lang w:val="en-GB"/>
        </w:rPr>
        <w:t xml:space="preserve">developed by Hu et al. </w:t>
      </w:r>
      <w:r w:rsidRPr="00E673DC">
        <w:rPr>
          <w:lang w:val="en-GB"/>
        </w:rPr>
        <w:fldChar w:fldCharType="begin"/>
      </w:r>
      <w:r w:rsidR="00E72F10" w:rsidRPr="00E673DC">
        <w:rPr>
          <w:lang w:val="en-GB"/>
        </w:rPr>
        <w:instrText xml:space="preserve"> ADDIN ZOTERO_ITEM CSL_CITATION {"citationID":"N7Ro2Bpa","properties":{"formattedCitation":"(2009)","plainCitation":"(2009)","noteIndex":0},"citationItems":[{"id":373,"uris":["http://zotero.org/users/local/TOdoVrPG/items/Z3XR88TQ"],"itemData":{"id":373,"type":"article-journal","abstract":"Knowledge sharing and team culture have been found to have an important influence on service innovation performance. However, there has been relatively little substantive research focusing on these issues. This study's results support team culture's role in maintaining and moderating the relationship between knowledge sharing and service innovation performance. The research framework developed in this study was tested by 621 employees of international tourist hotels. The survey responses indicated that the relationships between and among knowledge sharing, team culture and service innovation performance are significant and strong. The main overall practical implication that can be drawn from these findings is that to achieve high service innovation performance, organizations first need to develop knowledge sharing behaviors plus a better team culture.","container-title":"Tourism Management","DOI":"10.1016/j.tourman.2008.04.009","ISSN":"0261-5177","issue":"1","journalAbbreviation":"Tourism Management","page":"41-50","title":"Hospitality teams: Knowledge sharing and service innovation performance","URL":"https://www.sciencedirect.com/science/article/pii/S0261517708000769","volume":"30","author":[{"family":"Hu","given":"Meng-Lei Monica"},{"family":"Horng","given":"Jeou-Shyan"},{"family":"Sun","given":"Yu-Hua Christine"}],"accessed":{"date-parts":[["2025",2,17]]},"issued":{"date-parts":[["2009"]]}},"suppress-author":true}],"schema":"https://github.com/citation-style-language/schema/raw/master/csl-citation.json"} </w:instrText>
      </w:r>
      <w:r w:rsidRPr="00E673DC">
        <w:rPr>
          <w:lang w:val="en-GB"/>
        </w:rPr>
        <w:fldChar w:fldCharType="separate"/>
      </w:r>
      <w:r w:rsidRPr="00E673DC">
        <w:rPr>
          <w:lang w:val="en-GB"/>
        </w:rPr>
        <w:t>(2009)</w:t>
      </w:r>
      <w:r w:rsidRPr="00E673DC">
        <w:rPr>
          <w:lang w:val="en-GB"/>
        </w:rPr>
        <w:fldChar w:fldCharType="end"/>
      </w:r>
      <w:r w:rsidRPr="00E673DC">
        <w:rPr>
          <w:lang w:val="en-GB"/>
        </w:rPr>
        <w:t xml:space="preserve"> and Janssen </w:t>
      </w:r>
      <w:r w:rsidRPr="00E673DC">
        <w:rPr>
          <w:lang w:val="en-GB"/>
        </w:rPr>
        <w:fldChar w:fldCharType="begin"/>
      </w:r>
      <w:r w:rsidRPr="00E673DC">
        <w:rPr>
          <w:lang w:val="en-GB"/>
        </w:rPr>
        <w:instrText xml:space="preserve"> ADDIN ZOTERO_ITEM CSL_CITATION {"citationID":"kFQsjJYq","properties":{"formattedCitation":"(2000)","plainCitation":"(2000)","noteIndex":0},"citationItems":[{"id":211,"uris":["http://zotero.org/users/local/TOdoVrPG/items/ARLL2AL5"],"itemData":{"id":211,"type":"article-journal","container-title":"Journal of Occupational and organizational psychology","DOI":"https://doi.org/10.1348/096317900167038","issue":"3","page":"287-302","title":"Job demands, perceptions of effort-reward fairness and innovative work behaviour","URL":"https://bpspsychub.onlinelibrary.wiley.com/doi/abs/10.1348/096317900167038","volume":"73","author":[{"family":"Janssen","given":"Onne"}],"accessed":{"date-parts":[["2025",1,15]]},"issued":{"date-parts":[["2000"]]}},"suppress-author":true}],"schema":"https://github.com/citation-style-language/schema/raw/master/csl-citation.json"} </w:instrText>
      </w:r>
      <w:r w:rsidRPr="00E673DC">
        <w:rPr>
          <w:lang w:val="en-GB"/>
        </w:rPr>
        <w:fldChar w:fldCharType="separate"/>
      </w:r>
      <w:r w:rsidRPr="00E673DC">
        <w:rPr>
          <w:lang w:val="en-GB"/>
        </w:rPr>
        <w:t>(2000)</w:t>
      </w:r>
      <w:r w:rsidRPr="00E673DC">
        <w:rPr>
          <w:lang w:val="en-GB"/>
        </w:rPr>
        <w:fldChar w:fldCharType="end"/>
      </w:r>
      <w:r w:rsidRPr="00E673DC">
        <w:rPr>
          <w:lang w:val="en-GB"/>
        </w:rPr>
        <w:t xml:space="preserve">. </w:t>
      </w:r>
    </w:p>
    <w:p w14:paraId="2524BF2C" w14:textId="5DC703E4" w:rsidR="00D13C36" w:rsidRPr="00E673DC" w:rsidRDefault="00D13C36" w:rsidP="00D77795">
      <w:pPr>
        <w:ind w:firstLine="720"/>
        <w:rPr>
          <w:lang w:val="en-GB"/>
        </w:rPr>
      </w:pPr>
      <w:r w:rsidRPr="00E673DC">
        <w:rPr>
          <w:lang w:val="en-GB"/>
        </w:rPr>
        <w:t xml:space="preserve">Using a consistent scale across various constructs, we made sure </w:t>
      </w:r>
      <w:r w:rsidR="008C3C17">
        <w:rPr>
          <w:lang w:val="en-GB"/>
        </w:rPr>
        <w:t xml:space="preserve">that </w:t>
      </w:r>
      <w:r w:rsidRPr="00E673DC">
        <w:rPr>
          <w:lang w:val="en-GB"/>
        </w:rPr>
        <w:t>the phrasing of the questions was non-leading and objective, thereby reducing response bias.</w:t>
      </w:r>
    </w:p>
    <w:p w14:paraId="0DC6B4E8" w14:textId="7F0025AB" w:rsidR="00D13C36" w:rsidRPr="00E673DC" w:rsidRDefault="00FD7179" w:rsidP="00D13C36">
      <w:pPr>
        <w:pStyle w:val="heading2"/>
        <w:rPr>
          <w:rFonts w:asciiTheme="majorBidi" w:hAnsiTheme="majorBidi" w:cstheme="majorBidi"/>
          <w:sz w:val="24"/>
          <w:szCs w:val="24"/>
          <w:lang w:val="en-GB"/>
        </w:rPr>
      </w:pPr>
      <w:bookmarkStart w:id="27" w:name="_Toc187929101"/>
      <w:bookmarkStart w:id="28" w:name="_Toc197952404"/>
      <w:r>
        <w:rPr>
          <w:rFonts w:asciiTheme="majorBidi" w:hAnsiTheme="majorBidi" w:cstheme="majorBidi"/>
          <w:sz w:val="24"/>
          <w:szCs w:val="24"/>
          <w:lang w:val="en-GB"/>
        </w:rPr>
        <w:t xml:space="preserve">The </w:t>
      </w:r>
      <w:r w:rsidR="00D13C36" w:rsidRPr="00E673DC">
        <w:rPr>
          <w:rFonts w:asciiTheme="majorBidi" w:hAnsiTheme="majorBidi" w:cstheme="majorBidi"/>
          <w:sz w:val="24"/>
          <w:szCs w:val="24"/>
          <w:lang w:val="en-GB"/>
        </w:rPr>
        <w:t>Study Variables</w:t>
      </w:r>
      <w:bookmarkEnd w:id="27"/>
      <w:bookmarkEnd w:id="28"/>
    </w:p>
    <w:p w14:paraId="1B16EB6B" w14:textId="094D8E4C" w:rsidR="00D13C36" w:rsidRPr="00E673DC" w:rsidRDefault="00D13C36" w:rsidP="00D77795">
      <w:pPr>
        <w:ind w:firstLine="720"/>
        <w:rPr>
          <w:lang w:val="en-GB"/>
        </w:rPr>
      </w:pPr>
      <w:r w:rsidRPr="00E673DC">
        <w:rPr>
          <w:lang w:val="en-GB"/>
        </w:rPr>
        <w:t xml:space="preserve">The study </w:t>
      </w:r>
      <w:r w:rsidR="008B5533" w:rsidRPr="00E673DC">
        <w:rPr>
          <w:lang w:val="en-GB"/>
        </w:rPr>
        <w:t>contains</w:t>
      </w:r>
      <w:r w:rsidRPr="00E673DC">
        <w:rPr>
          <w:lang w:val="en-GB"/>
        </w:rPr>
        <w:t xml:space="preserve"> two main variables, </w:t>
      </w:r>
      <w:r w:rsidR="00F8610F" w:rsidRPr="00E673DC">
        <w:rPr>
          <w:lang w:val="en-GB"/>
        </w:rPr>
        <w:t>namely</w:t>
      </w:r>
      <w:r w:rsidRPr="00E673DC">
        <w:rPr>
          <w:lang w:val="en-GB"/>
        </w:rPr>
        <w:t xml:space="preserve"> Green HR Practices and OCBE. The Green HR Practices variable has different levels or facets. For instance, in this study, it will consist of two levels: the first is </w:t>
      </w:r>
      <w:r w:rsidR="00720C30">
        <w:rPr>
          <w:lang w:val="en-GB"/>
        </w:rPr>
        <w:t>G</w:t>
      </w:r>
      <w:r w:rsidRPr="00E673DC">
        <w:rPr>
          <w:lang w:val="en-GB"/>
        </w:rPr>
        <w:t xml:space="preserve">L&amp;D Practices, </w:t>
      </w:r>
      <w:r w:rsidR="00B421C5">
        <w:rPr>
          <w:lang w:val="en-GB"/>
        </w:rPr>
        <w:t xml:space="preserve">and </w:t>
      </w:r>
      <w:r w:rsidRPr="00E673DC">
        <w:rPr>
          <w:lang w:val="en-GB"/>
        </w:rPr>
        <w:t xml:space="preserve">the second is </w:t>
      </w:r>
      <w:r w:rsidR="00720C30">
        <w:rPr>
          <w:lang w:val="en-GB"/>
        </w:rPr>
        <w:t>G</w:t>
      </w:r>
      <w:r w:rsidRPr="00E673DC">
        <w:rPr>
          <w:lang w:val="en-GB"/>
        </w:rPr>
        <w:t xml:space="preserve">R&amp;C Practices. </w:t>
      </w:r>
    </w:p>
    <w:p w14:paraId="23F99E1A" w14:textId="67D0F82C" w:rsidR="00D13C36" w:rsidRPr="00E673DC" w:rsidRDefault="00D13C36">
      <w:pPr>
        <w:spacing w:before="0" w:beforeAutospacing="0" w:after="160" w:afterAutospacing="0" w:line="259" w:lineRule="auto"/>
        <w:ind w:firstLine="0"/>
        <w:contextualSpacing w:val="0"/>
        <w:rPr>
          <w:lang w:val="en-GB"/>
        </w:rPr>
      </w:pPr>
      <w:r w:rsidRPr="00E673DC">
        <w:rPr>
          <w:lang w:val="en-GB"/>
        </w:rPr>
        <w:br w:type="page"/>
      </w:r>
    </w:p>
    <w:p w14:paraId="634EF607" w14:textId="0DEDC7F7" w:rsidR="00D13C36" w:rsidRPr="00E673DC" w:rsidRDefault="00D13C36" w:rsidP="00007936">
      <w:pPr>
        <w:pStyle w:val="Heading1"/>
        <w:ind w:left="0" w:firstLine="0"/>
        <w:rPr>
          <w:lang w:val="en-GB"/>
        </w:rPr>
      </w:pPr>
      <w:bookmarkStart w:id="29" w:name="_Toc197952405"/>
      <w:r w:rsidRPr="00E673DC">
        <w:rPr>
          <w:lang w:val="en-GB"/>
        </w:rPr>
        <w:lastRenderedPageBreak/>
        <w:t xml:space="preserve">Data </w:t>
      </w:r>
      <w:r w:rsidR="003A7565">
        <w:rPr>
          <w:lang w:val="en-GB"/>
        </w:rPr>
        <w:t>A</w:t>
      </w:r>
      <w:r w:rsidRPr="00E673DC">
        <w:rPr>
          <w:lang w:val="en-GB"/>
        </w:rPr>
        <w:t xml:space="preserve">nalysis and </w:t>
      </w:r>
      <w:r w:rsidR="003A7565">
        <w:rPr>
          <w:lang w:val="en-GB"/>
        </w:rPr>
        <w:t>R</w:t>
      </w:r>
      <w:r w:rsidRPr="00E673DC">
        <w:rPr>
          <w:lang w:val="en-GB"/>
        </w:rPr>
        <w:t>esults</w:t>
      </w:r>
      <w:bookmarkEnd w:id="29"/>
      <w:r w:rsidRPr="00E673DC">
        <w:rPr>
          <w:lang w:val="en-GB"/>
        </w:rPr>
        <w:t xml:space="preserve"> </w:t>
      </w:r>
    </w:p>
    <w:p w14:paraId="312BDEE4" w14:textId="77777777" w:rsidR="00803C0A" w:rsidRPr="00E673DC" w:rsidRDefault="00803C0A">
      <w:pPr>
        <w:pStyle w:val="ListParagraph"/>
        <w:keepNext/>
        <w:keepLines/>
        <w:numPr>
          <w:ilvl w:val="0"/>
          <w:numId w:val="1"/>
        </w:numPr>
        <w:suppressAutoHyphens/>
        <w:overflowPunct w:val="0"/>
        <w:autoSpaceDE w:val="0"/>
        <w:autoSpaceDN w:val="0"/>
        <w:adjustRightInd w:val="0"/>
        <w:spacing w:before="360" w:beforeAutospacing="0" w:afterAutospacing="0" w:line="300" w:lineRule="atLeast"/>
        <w:contextualSpacing w:val="0"/>
        <w:textAlignment w:val="baseline"/>
        <w:outlineLvl w:val="0"/>
        <w:rPr>
          <w:b/>
          <w:bCs w:val="0"/>
          <w:vanish/>
          <w:szCs w:val="20"/>
          <w:lang w:val="en-GB" w:bidi="ar-SA"/>
        </w:rPr>
      </w:pPr>
    </w:p>
    <w:p w14:paraId="05855E6F" w14:textId="558BFA3A" w:rsidR="00D13C36" w:rsidRPr="00E673DC" w:rsidRDefault="00D13C36" w:rsidP="00803C0A">
      <w:pPr>
        <w:pStyle w:val="heading2"/>
        <w:rPr>
          <w:sz w:val="24"/>
          <w:szCs w:val="24"/>
          <w:lang w:val="en-GB"/>
        </w:rPr>
      </w:pPr>
      <w:bookmarkStart w:id="30" w:name="_Toc197952406"/>
      <w:r w:rsidRPr="00E673DC">
        <w:rPr>
          <w:sz w:val="24"/>
          <w:szCs w:val="24"/>
          <w:lang w:val="en-GB"/>
        </w:rPr>
        <w:t xml:space="preserve">The Demographics of </w:t>
      </w:r>
      <w:r w:rsidR="008C3C17">
        <w:rPr>
          <w:sz w:val="24"/>
          <w:szCs w:val="24"/>
          <w:lang w:val="en-GB"/>
        </w:rPr>
        <w:t xml:space="preserve">the </w:t>
      </w:r>
      <w:r w:rsidRPr="00E673DC">
        <w:rPr>
          <w:sz w:val="24"/>
          <w:szCs w:val="24"/>
          <w:lang w:val="en-GB"/>
        </w:rPr>
        <w:t>Respondents</w:t>
      </w:r>
      <w:bookmarkEnd w:id="30"/>
    </w:p>
    <w:p w14:paraId="688487B6" w14:textId="40600DE9" w:rsidR="00D13C36" w:rsidRPr="00E673DC" w:rsidRDefault="00D13C36" w:rsidP="00D77795">
      <w:pPr>
        <w:ind w:firstLine="720"/>
        <w:rPr>
          <w:lang w:val="en-GB"/>
        </w:rPr>
      </w:pPr>
      <w:r w:rsidRPr="00E673DC">
        <w:rPr>
          <w:lang w:val="en-GB"/>
        </w:rPr>
        <w:t>The sample unit of the study was limited to full time employees in the Government of Dubai</w:t>
      </w:r>
      <w:r w:rsidR="003231DD">
        <w:rPr>
          <w:lang w:val="en-GB"/>
        </w:rPr>
        <w:t>.</w:t>
      </w:r>
      <w:r w:rsidRPr="00E673DC">
        <w:rPr>
          <w:lang w:val="en-GB"/>
        </w:rPr>
        <w:t xml:space="preserve"> </w:t>
      </w:r>
      <w:r w:rsidR="003231DD">
        <w:rPr>
          <w:lang w:val="en-GB"/>
        </w:rPr>
        <w:t>T</w:t>
      </w:r>
      <w:r w:rsidRPr="00E673DC">
        <w:rPr>
          <w:lang w:val="en-GB"/>
        </w:rPr>
        <w:t xml:space="preserve">he responses of 309 employees </w:t>
      </w:r>
      <w:r w:rsidR="003231DD">
        <w:rPr>
          <w:lang w:val="en-GB"/>
        </w:rPr>
        <w:t xml:space="preserve">were collected, </w:t>
      </w:r>
      <w:r w:rsidRPr="00E673DC">
        <w:rPr>
          <w:lang w:val="en-GB"/>
        </w:rPr>
        <w:t>out of which 52% of the respondents were aged more than 40 years</w:t>
      </w:r>
      <w:r w:rsidR="00B421C5">
        <w:rPr>
          <w:lang w:val="en-GB"/>
        </w:rPr>
        <w:t>;</w:t>
      </w:r>
      <w:r w:rsidRPr="00E673DC">
        <w:rPr>
          <w:lang w:val="en-GB"/>
        </w:rPr>
        <w:t xml:space="preserve"> 95 </w:t>
      </w:r>
      <w:r w:rsidR="003231DD" w:rsidRPr="00E673DC">
        <w:rPr>
          <w:lang w:val="en-GB"/>
        </w:rPr>
        <w:t>of the respondents</w:t>
      </w:r>
      <w:r w:rsidRPr="00E673DC">
        <w:rPr>
          <w:lang w:val="en-GB"/>
        </w:rPr>
        <w:t xml:space="preserve"> (31%) were females and 214 (69%) were males</w:t>
      </w:r>
      <w:r w:rsidR="00B421C5">
        <w:rPr>
          <w:lang w:val="en-GB"/>
        </w:rPr>
        <w:t>;</w:t>
      </w:r>
      <w:r w:rsidRPr="00E673DC">
        <w:rPr>
          <w:lang w:val="en-GB"/>
        </w:rPr>
        <w:t xml:space="preserve"> 101 </w:t>
      </w:r>
      <w:r w:rsidR="003231DD" w:rsidRPr="00E673DC">
        <w:rPr>
          <w:lang w:val="en-GB"/>
        </w:rPr>
        <w:t>of the respondents</w:t>
      </w:r>
      <w:r w:rsidRPr="00E673DC">
        <w:rPr>
          <w:lang w:val="en-GB"/>
        </w:rPr>
        <w:t xml:space="preserve"> (33%) were UAE nationals, while the </w:t>
      </w:r>
      <w:r w:rsidR="003231DD">
        <w:rPr>
          <w:lang w:val="en-GB"/>
        </w:rPr>
        <w:t xml:space="preserve">remaining </w:t>
      </w:r>
      <w:r w:rsidRPr="00E673DC">
        <w:rPr>
          <w:lang w:val="en-GB"/>
        </w:rPr>
        <w:t>208 (67%) were non-UAE nationals</w:t>
      </w:r>
      <w:r w:rsidR="00B421C5">
        <w:rPr>
          <w:lang w:val="en-GB"/>
        </w:rPr>
        <w:t>;</w:t>
      </w:r>
      <w:r w:rsidRPr="00E673DC">
        <w:rPr>
          <w:lang w:val="en-GB"/>
        </w:rPr>
        <w:t xml:space="preserve"> the nature of work for 142 </w:t>
      </w:r>
      <w:r w:rsidR="003231DD" w:rsidRPr="00E673DC">
        <w:rPr>
          <w:lang w:val="en-GB"/>
        </w:rPr>
        <w:t>of the respondents</w:t>
      </w:r>
      <w:r w:rsidRPr="00E673DC">
        <w:rPr>
          <w:lang w:val="en-GB"/>
        </w:rPr>
        <w:t xml:space="preserve"> (46%) </w:t>
      </w:r>
      <w:r w:rsidR="003231DD">
        <w:rPr>
          <w:lang w:val="en-GB"/>
        </w:rPr>
        <w:t xml:space="preserve">was </w:t>
      </w:r>
      <w:r w:rsidRPr="00E673DC">
        <w:rPr>
          <w:lang w:val="en-GB"/>
        </w:rPr>
        <w:t>administrative</w:t>
      </w:r>
      <w:r w:rsidR="00B421C5">
        <w:rPr>
          <w:lang w:val="en-GB"/>
        </w:rPr>
        <w:t>,</w:t>
      </w:r>
      <w:r w:rsidRPr="00E673DC">
        <w:rPr>
          <w:lang w:val="en-GB"/>
        </w:rPr>
        <w:t xml:space="preserve"> while </w:t>
      </w:r>
      <w:r w:rsidR="003231DD">
        <w:rPr>
          <w:lang w:val="en-GB"/>
        </w:rPr>
        <w:t xml:space="preserve">for </w:t>
      </w:r>
      <w:r w:rsidRPr="00E673DC">
        <w:rPr>
          <w:lang w:val="en-GB"/>
        </w:rPr>
        <w:t xml:space="preserve">167 </w:t>
      </w:r>
      <w:r w:rsidR="00B421C5" w:rsidRPr="00E673DC">
        <w:rPr>
          <w:lang w:val="en-GB"/>
        </w:rPr>
        <w:t>of the respondents</w:t>
      </w:r>
      <w:r w:rsidRPr="00E673DC">
        <w:rPr>
          <w:lang w:val="en-GB"/>
        </w:rPr>
        <w:t xml:space="preserve"> (54%) </w:t>
      </w:r>
      <w:r w:rsidR="003231DD">
        <w:rPr>
          <w:lang w:val="en-GB"/>
        </w:rPr>
        <w:t xml:space="preserve">it was </w:t>
      </w:r>
      <w:r w:rsidRPr="00E673DC">
        <w:rPr>
          <w:lang w:val="en-GB"/>
        </w:rPr>
        <w:t>technical</w:t>
      </w:r>
      <w:r w:rsidR="00B421C5">
        <w:rPr>
          <w:lang w:val="en-GB"/>
        </w:rPr>
        <w:t>;</w:t>
      </w:r>
      <w:r w:rsidRPr="00E673DC">
        <w:rPr>
          <w:lang w:val="en-GB"/>
        </w:rPr>
        <w:t xml:space="preserve"> </w:t>
      </w:r>
      <w:r w:rsidR="003231DD">
        <w:rPr>
          <w:lang w:val="en-GB"/>
        </w:rPr>
        <w:t xml:space="preserve">and </w:t>
      </w:r>
      <w:r w:rsidRPr="00E673DC">
        <w:rPr>
          <w:lang w:val="en-GB"/>
        </w:rPr>
        <w:t xml:space="preserve">finally 61% </w:t>
      </w:r>
      <w:r w:rsidR="003231DD" w:rsidRPr="00E673DC">
        <w:rPr>
          <w:lang w:val="en-GB"/>
        </w:rPr>
        <w:t xml:space="preserve">of the respondents </w:t>
      </w:r>
      <w:r w:rsidR="003231DD">
        <w:rPr>
          <w:lang w:val="en-GB"/>
        </w:rPr>
        <w:t xml:space="preserve">had </w:t>
      </w:r>
      <w:r w:rsidRPr="00E673DC">
        <w:rPr>
          <w:lang w:val="en-GB"/>
        </w:rPr>
        <w:t xml:space="preserve">more than 10 years of working experience in </w:t>
      </w:r>
      <w:r w:rsidR="003231DD">
        <w:rPr>
          <w:lang w:val="en-GB"/>
        </w:rPr>
        <w:t xml:space="preserve">the </w:t>
      </w:r>
      <w:r w:rsidRPr="00E673DC">
        <w:rPr>
          <w:lang w:val="en-GB"/>
        </w:rPr>
        <w:t xml:space="preserve">Dubai </w:t>
      </w:r>
      <w:r w:rsidR="00720C30">
        <w:rPr>
          <w:lang w:val="en-GB"/>
        </w:rPr>
        <w:t>G</w:t>
      </w:r>
      <w:r w:rsidRPr="00E673DC">
        <w:rPr>
          <w:lang w:val="en-GB"/>
        </w:rPr>
        <w:t>overnment.</w:t>
      </w:r>
    </w:p>
    <w:p w14:paraId="3F574495" w14:textId="0FEF0C46" w:rsidR="00D13C36" w:rsidRPr="00E673DC" w:rsidRDefault="00D13C36" w:rsidP="00FE455D">
      <w:pPr>
        <w:pStyle w:val="Caption"/>
        <w:rPr>
          <w:lang w:val="en-GB"/>
        </w:rPr>
      </w:pPr>
      <w:bookmarkStart w:id="31" w:name="_Toc193015452"/>
      <w:r w:rsidRPr="00E673DC">
        <w:rPr>
          <w:lang w:val="en-GB"/>
        </w:rPr>
        <w:t xml:space="preserve">Table </w:t>
      </w:r>
      <w:r w:rsidRPr="00E673DC">
        <w:rPr>
          <w:lang w:val="en-GB"/>
        </w:rPr>
        <w:fldChar w:fldCharType="begin"/>
      </w:r>
      <w:r w:rsidRPr="00E673DC">
        <w:rPr>
          <w:lang w:val="en-GB"/>
        </w:rPr>
        <w:instrText xml:space="preserve"> SEQ Table \* ARABIC </w:instrText>
      </w:r>
      <w:r w:rsidRPr="00E673DC">
        <w:rPr>
          <w:lang w:val="en-GB"/>
        </w:rPr>
        <w:fldChar w:fldCharType="separate"/>
      </w:r>
      <w:r w:rsidRPr="00E673DC">
        <w:rPr>
          <w:noProof/>
          <w:lang w:val="en-GB"/>
        </w:rPr>
        <w:t>1</w:t>
      </w:r>
      <w:r w:rsidRPr="00E673DC">
        <w:rPr>
          <w:noProof/>
          <w:lang w:val="en-GB"/>
        </w:rPr>
        <w:fldChar w:fldCharType="end"/>
      </w:r>
      <w:r w:rsidRPr="00E673DC">
        <w:rPr>
          <w:lang w:val="en-GB"/>
        </w:rPr>
        <w:t xml:space="preserve"> The Profile of </w:t>
      </w:r>
      <w:r w:rsidR="003A7565">
        <w:rPr>
          <w:lang w:val="en-GB"/>
        </w:rPr>
        <w:t xml:space="preserve">the </w:t>
      </w:r>
      <w:r w:rsidRPr="00E673DC">
        <w:rPr>
          <w:lang w:val="en-GB"/>
        </w:rPr>
        <w:t>Respondents</w:t>
      </w:r>
      <w:bookmarkEnd w:id="31"/>
    </w:p>
    <w:tbl>
      <w:tblPr>
        <w:tblW w:w="8370" w:type="dxa"/>
        <w:tblLook w:val="04A0" w:firstRow="1" w:lastRow="0" w:firstColumn="1" w:lastColumn="0" w:noHBand="0" w:noVBand="1"/>
      </w:tblPr>
      <w:tblGrid>
        <w:gridCol w:w="2907"/>
        <w:gridCol w:w="2321"/>
        <w:gridCol w:w="1734"/>
        <w:gridCol w:w="1408"/>
      </w:tblGrid>
      <w:tr w:rsidR="00D13C36" w:rsidRPr="00E673DC" w14:paraId="24BE07E7" w14:textId="77777777" w:rsidTr="002D4B1E">
        <w:trPr>
          <w:trHeight w:val="294"/>
        </w:trPr>
        <w:tc>
          <w:tcPr>
            <w:tcW w:w="2907" w:type="dxa"/>
            <w:tcBorders>
              <w:top w:val="nil"/>
              <w:left w:val="nil"/>
              <w:bottom w:val="single" w:sz="4" w:space="0" w:color="auto"/>
              <w:right w:val="nil"/>
            </w:tcBorders>
            <w:shd w:val="clear" w:color="auto" w:fill="auto"/>
            <w:noWrap/>
            <w:vAlign w:val="bottom"/>
            <w:hideMark/>
          </w:tcPr>
          <w:p w14:paraId="11EEDE73" w14:textId="77777777" w:rsidR="00D13C36" w:rsidRPr="00E673DC" w:rsidRDefault="00D13C36" w:rsidP="002D4B1E">
            <w:pPr>
              <w:spacing w:after="0" w:line="240" w:lineRule="auto"/>
              <w:ind w:firstLine="0"/>
              <w:rPr>
                <w:rFonts w:eastAsia="Times New Roman"/>
                <w:b/>
                <w:bCs/>
                <w:i/>
                <w:iCs/>
                <w:color w:val="000000"/>
                <w:lang w:val="en-GB"/>
              </w:rPr>
            </w:pPr>
            <w:r w:rsidRPr="00E673DC">
              <w:rPr>
                <w:rFonts w:eastAsia="Times New Roman"/>
                <w:b/>
                <w:bCs/>
                <w:i/>
                <w:iCs/>
                <w:color w:val="000000"/>
                <w:lang w:val="en-GB"/>
              </w:rPr>
              <w:t>Item</w:t>
            </w:r>
          </w:p>
        </w:tc>
        <w:tc>
          <w:tcPr>
            <w:tcW w:w="2321" w:type="dxa"/>
            <w:tcBorders>
              <w:top w:val="nil"/>
              <w:left w:val="nil"/>
              <w:bottom w:val="single" w:sz="4" w:space="0" w:color="auto"/>
              <w:right w:val="nil"/>
            </w:tcBorders>
            <w:shd w:val="clear" w:color="auto" w:fill="auto"/>
            <w:noWrap/>
            <w:vAlign w:val="bottom"/>
            <w:hideMark/>
          </w:tcPr>
          <w:p w14:paraId="13D89ED9" w14:textId="77777777" w:rsidR="00D13C36" w:rsidRPr="00E673DC" w:rsidRDefault="00D13C36" w:rsidP="002D4B1E">
            <w:pPr>
              <w:spacing w:after="0" w:line="240" w:lineRule="auto"/>
              <w:ind w:firstLine="0"/>
              <w:rPr>
                <w:rFonts w:eastAsia="Times New Roman"/>
                <w:b/>
                <w:bCs/>
                <w:i/>
                <w:iCs/>
                <w:color w:val="000000"/>
                <w:lang w:val="en-GB"/>
              </w:rPr>
            </w:pPr>
            <w:r w:rsidRPr="00E673DC">
              <w:rPr>
                <w:rFonts w:eastAsia="Times New Roman"/>
                <w:b/>
                <w:bCs/>
                <w:i/>
                <w:iCs/>
                <w:color w:val="000000"/>
                <w:lang w:val="en-GB"/>
              </w:rPr>
              <w:t>Category</w:t>
            </w:r>
          </w:p>
        </w:tc>
        <w:tc>
          <w:tcPr>
            <w:tcW w:w="1734" w:type="dxa"/>
            <w:tcBorders>
              <w:top w:val="nil"/>
              <w:left w:val="nil"/>
              <w:bottom w:val="single" w:sz="4" w:space="0" w:color="auto"/>
              <w:right w:val="nil"/>
            </w:tcBorders>
            <w:shd w:val="clear" w:color="auto" w:fill="auto"/>
            <w:noWrap/>
            <w:vAlign w:val="bottom"/>
            <w:hideMark/>
          </w:tcPr>
          <w:p w14:paraId="78529FBA" w14:textId="77777777" w:rsidR="00D13C36" w:rsidRPr="00E673DC" w:rsidRDefault="00D13C36" w:rsidP="002D4B1E">
            <w:pPr>
              <w:spacing w:after="0" w:line="240" w:lineRule="auto"/>
              <w:ind w:firstLine="0"/>
              <w:rPr>
                <w:rFonts w:eastAsia="Times New Roman"/>
                <w:b/>
                <w:bCs/>
                <w:i/>
                <w:iCs/>
                <w:color w:val="000000"/>
                <w:lang w:val="en-GB"/>
              </w:rPr>
            </w:pPr>
            <w:r w:rsidRPr="00E673DC">
              <w:rPr>
                <w:rFonts w:eastAsia="Times New Roman"/>
                <w:b/>
                <w:bCs/>
                <w:i/>
                <w:iCs/>
                <w:color w:val="000000"/>
                <w:lang w:val="en-GB"/>
              </w:rPr>
              <w:t>Frequency</w:t>
            </w:r>
          </w:p>
        </w:tc>
        <w:tc>
          <w:tcPr>
            <w:tcW w:w="1408" w:type="dxa"/>
            <w:tcBorders>
              <w:top w:val="nil"/>
              <w:left w:val="nil"/>
              <w:bottom w:val="single" w:sz="4" w:space="0" w:color="auto"/>
              <w:right w:val="nil"/>
            </w:tcBorders>
            <w:shd w:val="clear" w:color="auto" w:fill="auto"/>
            <w:noWrap/>
            <w:vAlign w:val="bottom"/>
            <w:hideMark/>
          </w:tcPr>
          <w:p w14:paraId="14C6ABEB" w14:textId="77777777" w:rsidR="00D13C36" w:rsidRPr="00E673DC" w:rsidRDefault="00D13C36" w:rsidP="002D4B1E">
            <w:pPr>
              <w:spacing w:after="0" w:line="240" w:lineRule="auto"/>
              <w:ind w:firstLine="0"/>
              <w:rPr>
                <w:rFonts w:eastAsia="Times New Roman"/>
                <w:b/>
                <w:bCs/>
                <w:i/>
                <w:iCs/>
                <w:color w:val="000000"/>
                <w:lang w:val="en-GB"/>
              </w:rPr>
            </w:pPr>
            <w:r w:rsidRPr="00E673DC">
              <w:rPr>
                <w:rFonts w:eastAsia="Times New Roman"/>
                <w:b/>
                <w:bCs/>
                <w:i/>
                <w:iCs/>
                <w:color w:val="000000"/>
                <w:lang w:val="en-GB"/>
              </w:rPr>
              <w:t>Percentage</w:t>
            </w:r>
          </w:p>
        </w:tc>
      </w:tr>
      <w:tr w:rsidR="00D13C36" w:rsidRPr="00E673DC" w14:paraId="60A1A368" w14:textId="77777777" w:rsidTr="002D4B1E">
        <w:trPr>
          <w:trHeight w:val="294"/>
        </w:trPr>
        <w:tc>
          <w:tcPr>
            <w:tcW w:w="2907" w:type="dxa"/>
            <w:tcBorders>
              <w:top w:val="nil"/>
              <w:left w:val="nil"/>
              <w:bottom w:val="nil"/>
              <w:right w:val="nil"/>
            </w:tcBorders>
            <w:shd w:val="clear" w:color="auto" w:fill="auto"/>
            <w:noWrap/>
            <w:vAlign w:val="bottom"/>
            <w:hideMark/>
          </w:tcPr>
          <w:p w14:paraId="2941DEDE" w14:textId="77777777" w:rsidR="00D13C36" w:rsidRPr="00E673DC" w:rsidRDefault="00D13C36" w:rsidP="002D4B1E">
            <w:pPr>
              <w:spacing w:after="0" w:line="240" w:lineRule="auto"/>
              <w:ind w:firstLine="0"/>
              <w:rPr>
                <w:rFonts w:eastAsia="Times New Roman"/>
                <w:color w:val="000000"/>
                <w:lang w:val="en-GB"/>
              </w:rPr>
            </w:pPr>
            <w:r w:rsidRPr="00E673DC">
              <w:rPr>
                <w:rFonts w:eastAsia="Times New Roman"/>
                <w:color w:val="000000"/>
                <w:lang w:val="en-GB"/>
              </w:rPr>
              <w:t>Age</w:t>
            </w:r>
          </w:p>
        </w:tc>
        <w:tc>
          <w:tcPr>
            <w:tcW w:w="2321" w:type="dxa"/>
            <w:tcBorders>
              <w:top w:val="nil"/>
              <w:left w:val="nil"/>
              <w:bottom w:val="nil"/>
              <w:right w:val="nil"/>
            </w:tcBorders>
            <w:shd w:val="clear" w:color="auto" w:fill="auto"/>
            <w:noWrap/>
            <w:vAlign w:val="bottom"/>
            <w:hideMark/>
          </w:tcPr>
          <w:p w14:paraId="5F0FBC18" w14:textId="6B37F4A8" w:rsidR="00D13C36" w:rsidRPr="00E673DC" w:rsidRDefault="00D13C36" w:rsidP="002D4B1E">
            <w:pPr>
              <w:spacing w:after="0" w:line="240" w:lineRule="auto"/>
              <w:ind w:firstLine="0"/>
              <w:rPr>
                <w:rFonts w:eastAsia="Times New Roman"/>
                <w:color w:val="000000"/>
                <w:lang w:val="en-GB"/>
              </w:rPr>
            </w:pPr>
            <w:r w:rsidRPr="00E673DC">
              <w:rPr>
                <w:rFonts w:eastAsia="Times New Roman"/>
                <w:color w:val="000000"/>
                <w:lang w:val="en-GB"/>
              </w:rPr>
              <w:t>18</w:t>
            </w:r>
            <w:r w:rsidR="003231DD">
              <w:rPr>
                <w:rFonts w:eastAsia="Times New Roman"/>
                <w:color w:val="000000"/>
                <w:lang w:val="en-GB"/>
              </w:rPr>
              <w:t>–</w:t>
            </w:r>
            <w:r w:rsidRPr="00E673DC">
              <w:rPr>
                <w:rFonts w:eastAsia="Times New Roman"/>
                <w:color w:val="000000"/>
                <w:lang w:val="en-GB"/>
              </w:rPr>
              <w:t>30</w:t>
            </w:r>
          </w:p>
        </w:tc>
        <w:tc>
          <w:tcPr>
            <w:tcW w:w="1734" w:type="dxa"/>
            <w:tcBorders>
              <w:top w:val="nil"/>
              <w:left w:val="nil"/>
              <w:bottom w:val="nil"/>
              <w:right w:val="nil"/>
            </w:tcBorders>
            <w:shd w:val="clear" w:color="auto" w:fill="auto"/>
            <w:noWrap/>
            <w:vAlign w:val="bottom"/>
            <w:hideMark/>
          </w:tcPr>
          <w:p w14:paraId="79AFCF90" w14:textId="77777777" w:rsidR="00D13C36" w:rsidRPr="00E673DC" w:rsidRDefault="00D13C36" w:rsidP="002D4B1E">
            <w:pPr>
              <w:spacing w:after="0" w:line="240" w:lineRule="auto"/>
              <w:ind w:firstLine="0"/>
              <w:rPr>
                <w:rFonts w:eastAsia="Times New Roman"/>
                <w:color w:val="000000"/>
                <w:lang w:val="en-GB"/>
              </w:rPr>
            </w:pPr>
            <w:r w:rsidRPr="00E673DC">
              <w:rPr>
                <w:rFonts w:eastAsia="Times New Roman"/>
                <w:color w:val="000000"/>
                <w:lang w:val="en-GB"/>
              </w:rPr>
              <w:t>24</w:t>
            </w:r>
          </w:p>
        </w:tc>
        <w:tc>
          <w:tcPr>
            <w:tcW w:w="1408" w:type="dxa"/>
            <w:tcBorders>
              <w:top w:val="nil"/>
              <w:left w:val="nil"/>
              <w:bottom w:val="nil"/>
              <w:right w:val="nil"/>
            </w:tcBorders>
            <w:shd w:val="clear" w:color="auto" w:fill="auto"/>
            <w:noWrap/>
            <w:vAlign w:val="bottom"/>
            <w:hideMark/>
          </w:tcPr>
          <w:p w14:paraId="68BAC843" w14:textId="77777777" w:rsidR="00D13C36" w:rsidRPr="00E673DC" w:rsidRDefault="00D13C36" w:rsidP="002D4B1E">
            <w:pPr>
              <w:spacing w:after="0" w:line="240" w:lineRule="auto"/>
              <w:ind w:firstLine="0"/>
              <w:rPr>
                <w:rFonts w:eastAsia="Times New Roman"/>
                <w:color w:val="000000"/>
                <w:lang w:val="en-GB"/>
              </w:rPr>
            </w:pPr>
            <w:r w:rsidRPr="00E673DC">
              <w:rPr>
                <w:rFonts w:eastAsia="Times New Roman"/>
                <w:color w:val="000000"/>
                <w:lang w:val="en-GB"/>
              </w:rPr>
              <w:t>8%</w:t>
            </w:r>
          </w:p>
        </w:tc>
      </w:tr>
      <w:tr w:rsidR="00D13C36" w:rsidRPr="00E673DC" w14:paraId="16FB4855" w14:textId="77777777" w:rsidTr="002D4B1E">
        <w:trPr>
          <w:trHeight w:val="294"/>
        </w:trPr>
        <w:tc>
          <w:tcPr>
            <w:tcW w:w="2907" w:type="dxa"/>
            <w:tcBorders>
              <w:top w:val="nil"/>
              <w:left w:val="nil"/>
              <w:bottom w:val="nil"/>
              <w:right w:val="nil"/>
            </w:tcBorders>
            <w:shd w:val="clear" w:color="auto" w:fill="auto"/>
            <w:noWrap/>
            <w:vAlign w:val="bottom"/>
            <w:hideMark/>
          </w:tcPr>
          <w:p w14:paraId="3406AA4B" w14:textId="77777777" w:rsidR="00D13C36" w:rsidRPr="00E673DC" w:rsidRDefault="00D13C36" w:rsidP="008F526A">
            <w:pPr>
              <w:spacing w:after="0" w:line="240" w:lineRule="auto"/>
              <w:jc w:val="right"/>
              <w:rPr>
                <w:rFonts w:eastAsia="Times New Roman"/>
                <w:color w:val="000000"/>
                <w:lang w:val="en-GB"/>
              </w:rPr>
            </w:pPr>
          </w:p>
        </w:tc>
        <w:tc>
          <w:tcPr>
            <w:tcW w:w="2321" w:type="dxa"/>
            <w:tcBorders>
              <w:top w:val="nil"/>
              <w:left w:val="nil"/>
              <w:bottom w:val="nil"/>
              <w:right w:val="nil"/>
            </w:tcBorders>
            <w:shd w:val="clear" w:color="auto" w:fill="auto"/>
            <w:noWrap/>
            <w:vAlign w:val="bottom"/>
            <w:hideMark/>
          </w:tcPr>
          <w:p w14:paraId="7EBFCD18" w14:textId="78F77AF3" w:rsidR="00D13C36" w:rsidRPr="00E673DC" w:rsidRDefault="00D13C36" w:rsidP="002D4B1E">
            <w:pPr>
              <w:spacing w:after="0" w:line="240" w:lineRule="auto"/>
              <w:ind w:firstLine="0"/>
              <w:rPr>
                <w:rFonts w:eastAsia="Times New Roman"/>
                <w:color w:val="000000"/>
                <w:lang w:val="en-GB"/>
              </w:rPr>
            </w:pPr>
            <w:r w:rsidRPr="00E673DC">
              <w:rPr>
                <w:rFonts w:eastAsia="Times New Roman"/>
                <w:color w:val="000000"/>
                <w:lang w:val="en-GB"/>
              </w:rPr>
              <w:t>31</w:t>
            </w:r>
            <w:r w:rsidR="003231DD">
              <w:rPr>
                <w:rFonts w:eastAsia="Times New Roman"/>
                <w:color w:val="000000"/>
                <w:lang w:val="en-GB"/>
              </w:rPr>
              <w:t>–</w:t>
            </w:r>
            <w:r w:rsidRPr="00E673DC">
              <w:rPr>
                <w:rFonts w:eastAsia="Times New Roman"/>
                <w:color w:val="000000"/>
                <w:lang w:val="en-GB"/>
              </w:rPr>
              <w:t>40</w:t>
            </w:r>
          </w:p>
        </w:tc>
        <w:tc>
          <w:tcPr>
            <w:tcW w:w="1734" w:type="dxa"/>
            <w:tcBorders>
              <w:top w:val="nil"/>
              <w:left w:val="nil"/>
              <w:bottom w:val="nil"/>
              <w:right w:val="nil"/>
            </w:tcBorders>
            <w:shd w:val="clear" w:color="auto" w:fill="auto"/>
            <w:noWrap/>
            <w:vAlign w:val="bottom"/>
            <w:hideMark/>
          </w:tcPr>
          <w:p w14:paraId="1F2C075C" w14:textId="77777777" w:rsidR="00D13C36" w:rsidRPr="00E673DC" w:rsidRDefault="00D13C36" w:rsidP="002D4B1E">
            <w:pPr>
              <w:spacing w:after="0" w:line="240" w:lineRule="auto"/>
              <w:ind w:firstLine="0"/>
              <w:rPr>
                <w:rFonts w:eastAsia="Times New Roman"/>
                <w:color w:val="000000"/>
                <w:lang w:val="en-GB"/>
              </w:rPr>
            </w:pPr>
            <w:r w:rsidRPr="00E673DC">
              <w:rPr>
                <w:rFonts w:eastAsia="Times New Roman"/>
                <w:color w:val="000000"/>
                <w:lang w:val="en-GB"/>
              </w:rPr>
              <w:t>124</w:t>
            </w:r>
          </w:p>
        </w:tc>
        <w:tc>
          <w:tcPr>
            <w:tcW w:w="1408" w:type="dxa"/>
            <w:tcBorders>
              <w:top w:val="nil"/>
              <w:left w:val="nil"/>
              <w:bottom w:val="nil"/>
              <w:right w:val="nil"/>
            </w:tcBorders>
            <w:shd w:val="clear" w:color="auto" w:fill="auto"/>
            <w:noWrap/>
            <w:vAlign w:val="bottom"/>
            <w:hideMark/>
          </w:tcPr>
          <w:p w14:paraId="77230ECA" w14:textId="77777777" w:rsidR="00D13C36" w:rsidRPr="00E673DC" w:rsidRDefault="00D13C36" w:rsidP="002D4B1E">
            <w:pPr>
              <w:spacing w:after="0" w:line="240" w:lineRule="auto"/>
              <w:ind w:firstLine="0"/>
              <w:rPr>
                <w:rFonts w:eastAsia="Times New Roman"/>
                <w:color w:val="000000"/>
                <w:lang w:val="en-GB"/>
              </w:rPr>
            </w:pPr>
            <w:r w:rsidRPr="00E673DC">
              <w:rPr>
                <w:rFonts w:eastAsia="Times New Roman"/>
                <w:color w:val="000000"/>
                <w:lang w:val="en-GB"/>
              </w:rPr>
              <w:t>40%</w:t>
            </w:r>
          </w:p>
        </w:tc>
      </w:tr>
      <w:tr w:rsidR="00D13C36" w:rsidRPr="00E673DC" w14:paraId="6FDE81A8" w14:textId="77777777" w:rsidTr="002D4B1E">
        <w:trPr>
          <w:trHeight w:val="294"/>
        </w:trPr>
        <w:tc>
          <w:tcPr>
            <w:tcW w:w="2907" w:type="dxa"/>
            <w:tcBorders>
              <w:top w:val="nil"/>
              <w:left w:val="nil"/>
              <w:bottom w:val="nil"/>
              <w:right w:val="nil"/>
            </w:tcBorders>
            <w:shd w:val="clear" w:color="auto" w:fill="auto"/>
            <w:noWrap/>
            <w:vAlign w:val="bottom"/>
            <w:hideMark/>
          </w:tcPr>
          <w:p w14:paraId="41129C8D" w14:textId="77777777" w:rsidR="00D13C36" w:rsidRPr="00E673DC" w:rsidRDefault="00D13C36" w:rsidP="008F526A">
            <w:pPr>
              <w:spacing w:after="0" w:line="240" w:lineRule="auto"/>
              <w:jc w:val="right"/>
              <w:rPr>
                <w:rFonts w:eastAsia="Times New Roman"/>
                <w:color w:val="000000"/>
                <w:lang w:val="en-GB"/>
              </w:rPr>
            </w:pPr>
          </w:p>
        </w:tc>
        <w:tc>
          <w:tcPr>
            <w:tcW w:w="2321" w:type="dxa"/>
            <w:tcBorders>
              <w:top w:val="nil"/>
              <w:left w:val="nil"/>
              <w:bottom w:val="nil"/>
              <w:right w:val="nil"/>
            </w:tcBorders>
            <w:shd w:val="clear" w:color="auto" w:fill="auto"/>
            <w:noWrap/>
            <w:vAlign w:val="bottom"/>
            <w:hideMark/>
          </w:tcPr>
          <w:p w14:paraId="020CA57E" w14:textId="478F24DC" w:rsidR="00D13C36" w:rsidRPr="00E673DC" w:rsidRDefault="00D13C36" w:rsidP="002D4B1E">
            <w:pPr>
              <w:spacing w:after="0" w:line="240" w:lineRule="auto"/>
              <w:ind w:firstLine="0"/>
              <w:rPr>
                <w:rFonts w:eastAsia="Times New Roman"/>
                <w:color w:val="000000"/>
                <w:lang w:val="en-GB"/>
              </w:rPr>
            </w:pPr>
            <w:r w:rsidRPr="00E673DC">
              <w:rPr>
                <w:rFonts w:eastAsia="Times New Roman"/>
                <w:color w:val="000000"/>
                <w:lang w:val="en-GB"/>
              </w:rPr>
              <w:t>41</w:t>
            </w:r>
            <w:r w:rsidR="003231DD">
              <w:rPr>
                <w:rFonts w:eastAsia="Times New Roman"/>
                <w:color w:val="000000"/>
                <w:lang w:val="en-GB"/>
              </w:rPr>
              <w:t>–</w:t>
            </w:r>
            <w:r w:rsidRPr="00E673DC">
              <w:rPr>
                <w:rFonts w:eastAsia="Times New Roman"/>
                <w:color w:val="000000"/>
                <w:lang w:val="en-GB"/>
              </w:rPr>
              <w:t>50</w:t>
            </w:r>
          </w:p>
        </w:tc>
        <w:tc>
          <w:tcPr>
            <w:tcW w:w="1734" w:type="dxa"/>
            <w:tcBorders>
              <w:top w:val="nil"/>
              <w:left w:val="nil"/>
              <w:bottom w:val="nil"/>
              <w:right w:val="nil"/>
            </w:tcBorders>
            <w:shd w:val="clear" w:color="auto" w:fill="auto"/>
            <w:noWrap/>
            <w:vAlign w:val="bottom"/>
            <w:hideMark/>
          </w:tcPr>
          <w:p w14:paraId="3A358533" w14:textId="77777777" w:rsidR="00D13C36" w:rsidRPr="00E673DC" w:rsidRDefault="00D13C36" w:rsidP="002D4B1E">
            <w:pPr>
              <w:spacing w:after="0" w:line="240" w:lineRule="auto"/>
              <w:ind w:firstLine="0"/>
              <w:rPr>
                <w:rFonts w:eastAsia="Times New Roman"/>
                <w:color w:val="000000"/>
                <w:lang w:val="en-GB"/>
              </w:rPr>
            </w:pPr>
            <w:r w:rsidRPr="00E673DC">
              <w:rPr>
                <w:rFonts w:eastAsia="Times New Roman"/>
                <w:color w:val="000000"/>
                <w:lang w:val="en-GB"/>
              </w:rPr>
              <w:t>129</w:t>
            </w:r>
          </w:p>
        </w:tc>
        <w:tc>
          <w:tcPr>
            <w:tcW w:w="1408" w:type="dxa"/>
            <w:tcBorders>
              <w:top w:val="nil"/>
              <w:left w:val="nil"/>
              <w:bottom w:val="nil"/>
              <w:right w:val="nil"/>
            </w:tcBorders>
            <w:shd w:val="clear" w:color="auto" w:fill="auto"/>
            <w:noWrap/>
            <w:vAlign w:val="bottom"/>
            <w:hideMark/>
          </w:tcPr>
          <w:p w14:paraId="3243D8BC" w14:textId="77777777" w:rsidR="00D13C36" w:rsidRPr="00E673DC" w:rsidRDefault="00D13C36" w:rsidP="002D4B1E">
            <w:pPr>
              <w:spacing w:after="0" w:line="240" w:lineRule="auto"/>
              <w:ind w:firstLine="0"/>
              <w:rPr>
                <w:rFonts w:eastAsia="Times New Roman"/>
                <w:color w:val="000000"/>
                <w:lang w:val="en-GB"/>
              </w:rPr>
            </w:pPr>
            <w:r w:rsidRPr="00E673DC">
              <w:rPr>
                <w:rFonts w:eastAsia="Times New Roman"/>
                <w:color w:val="000000"/>
                <w:lang w:val="en-GB"/>
              </w:rPr>
              <w:t>42%</w:t>
            </w:r>
          </w:p>
        </w:tc>
      </w:tr>
      <w:tr w:rsidR="00D13C36" w:rsidRPr="00E673DC" w14:paraId="3FD50836" w14:textId="77777777" w:rsidTr="002D4B1E">
        <w:trPr>
          <w:trHeight w:val="294"/>
        </w:trPr>
        <w:tc>
          <w:tcPr>
            <w:tcW w:w="2907" w:type="dxa"/>
            <w:tcBorders>
              <w:top w:val="nil"/>
              <w:left w:val="nil"/>
              <w:bottom w:val="single" w:sz="4" w:space="0" w:color="auto"/>
              <w:right w:val="nil"/>
            </w:tcBorders>
            <w:shd w:val="clear" w:color="auto" w:fill="auto"/>
            <w:noWrap/>
            <w:vAlign w:val="bottom"/>
            <w:hideMark/>
          </w:tcPr>
          <w:p w14:paraId="4620F04F" w14:textId="77777777" w:rsidR="00D13C36" w:rsidRPr="00E673DC" w:rsidRDefault="00D13C36" w:rsidP="008F526A">
            <w:pPr>
              <w:spacing w:after="0" w:line="240" w:lineRule="auto"/>
              <w:rPr>
                <w:rFonts w:eastAsia="Times New Roman"/>
                <w:color w:val="000000"/>
                <w:lang w:val="en-GB"/>
              </w:rPr>
            </w:pPr>
            <w:r w:rsidRPr="00E673DC">
              <w:rPr>
                <w:rFonts w:eastAsia="Times New Roman"/>
                <w:color w:val="000000"/>
                <w:lang w:val="en-GB"/>
              </w:rPr>
              <w:t> </w:t>
            </w:r>
          </w:p>
        </w:tc>
        <w:tc>
          <w:tcPr>
            <w:tcW w:w="2321" w:type="dxa"/>
            <w:tcBorders>
              <w:top w:val="nil"/>
              <w:left w:val="nil"/>
              <w:bottom w:val="single" w:sz="4" w:space="0" w:color="auto"/>
              <w:right w:val="nil"/>
            </w:tcBorders>
            <w:shd w:val="clear" w:color="auto" w:fill="auto"/>
            <w:noWrap/>
            <w:vAlign w:val="bottom"/>
            <w:hideMark/>
          </w:tcPr>
          <w:p w14:paraId="78AFDE4A" w14:textId="77777777" w:rsidR="00D13C36" w:rsidRPr="00E673DC" w:rsidRDefault="00D13C36" w:rsidP="002D4B1E">
            <w:pPr>
              <w:spacing w:after="0" w:line="240" w:lineRule="auto"/>
              <w:ind w:firstLine="0"/>
              <w:rPr>
                <w:rFonts w:eastAsia="Times New Roman"/>
                <w:color w:val="000000"/>
                <w:lang w:val="en-GB"/>
              </w:rPr>
            </w:pPr>
            <w:r w:rsidRPr="00E673DC">
              <w:rPr>
                <w:rFonts w:eastAsia="Times New Roman"/>
                <w:color w:val="000000"/>
                <w:lang w:val="en-GB"/>
              </w:rPr>
              <w:t>51 &amp; above</w:t>
            </w:r>
          </w:p>
        </w:tc>
        <w:tc>
          <w:tcPr>
            <w:tcW w:w="1734" w:type="dxa"/>
            <w:tcBorders>
              <w:top w:val="nil"/>
              <w:left w:val="nil"/>
              <w:bottom w:val="single" w:sz="4" w:space="0" w:color="auto"/>
              <w:right w:val="nil"/>
            </w:tcBorders>
            <w:shd w:val="clear" w:color="auto" w:fill="auto"/>
            <w:noWrap/>
            <w:vAlign w:val="bottom"/>
            <w:hideMark/>
          </w:tcPr>
          <w:p w14:paraId="0DEFA3B0" w14:textId="77777777" w:rsidR="00D13C36" w:rsidRPr="00E673DC" w:rsidRDefault="00D13C36" w:rsidP="002D4B1E">
            <w:pPr>
              <w:spacing w:after="0" w:line="240" w:lineRule="auto"/>
              <w:ind w:firstLine="0"/>
              <w:rPr>
                <w:rFonts w:eastAsia="Times New Roman"/>
                <w:color w:val="000000"/>
                <w:lang w:val="en-GB"/>
              </w:rPr>
            </w:pPr>
            <w:r w:rsidRPr="00E673DC">
              <w:rPr>
                <w:rFonts w:eastAsia="Times New Roman"/>
                <w:color w:val="000000"/>
                <w:lang w:val="en-GB"/>
              </w:rPr>
              <w:t>32</w:t>
            </w:r>
          </w:p>
        </w:tc>
        <w:tc>
          <w:tcPr>
            <w:tcW w:w="1408" w:type="dxa"/>
            <w:tcBorders>
              <w:top w:val="nil"/>
              <w:left w:val="nil"/>
              <w:bottom w:val="single" w:sz="4" w:space="0" w:color="auto"/>
              <w:right w:val="nil"/>
            </w:tcBorders>
            <w:shd w:val="clear" w:color="auto" w:fill="auto"/>
            <w:noWrap/>
            <w:vAlign w:val="bottom"/>
            <w:hideMark/>
          </w:tcPr>
          <w:p w14:paraId="3D675282" w14:textId="77777777" w:rsidR="00D13C36" w:rsidRPr="00E673DC" w:rsidRDefault="00D13C36" w:rsidP="002D4B1E">
            <w:pPr>
              <w:spacing w:after="0" w:line="240" w:lineRule="auto"/>
              <w:ind w:firstLine="0"/>
              <w:rPr>
                <w:rFonts w:eastAsia="Times New Roman"/>
                <w:color w:val="000000"/>
                <w:lang w:val="en-GB"/>
              </w:rPr>
            </w:pPr>
            <w:r w:rsidRPr="00E673DC">
              <w:rPr>
                <w:rFonts w:eastAsia="Times New Roman"/>
                <w:color w:val="000000"/>
                <w:lang w:val="en-GB"/>
              </w:rPr>
              <w:t>10%</w:t>
            </w:r>
          </w:p>
        </w:tc>
      </w:tr>
      <w:tr w:rsidR="00D13C36" w:rsidRPr="00E673DC" w14:paraId="25355D27" w14:textId="77777777" w:rsidTr="002D4B1E">
        <w:trPr>
          <w:trHeight w:val="294"/>
        </w:trPr>
        <w:tc>
          <w:tcPr>
            <w:tcW w:w="2907" w:type="dxa"/>
            <w:tcBorders>
              <w:top w:val="nil"/>
              <w:left w:val="nil"/>
              <w:bottom w:val="nil"/>
              <w:right w:val="nil"/>
            </w:tcBorders>
            <w:shd w:val="clear" w:color="auto" w:fill="auto"/>
            <w:noWrap/>
            <w:vAlign w:val="bottom"/>
            <w:hideMark/>
          </w:tcPr>
          <w:p w14:paraId="6AA8E84A" w14:textId="77777777" w:rsidR="00D13C36" w:rsidRPr="00E673DC" w:rsidRDefault="00D13C36" w:rsidP="002D4B1E">
            <w:pPr>
              <w:spacing w:after="0" w:line="240" w:lineRule="auto"/>
              <w:ind w:firstLine="0"/>
              <w:rPr>
                <w:rFonts w:eastAsia="Times New Roman"/>
                <w:color w:val="000000"/>
                <w:lang w:val="en-GB"/>
              </w:rPr>
            </w:pPr>
            <w:r w:rsidRPr="00E673DC">
              <w:rPr>
                <w:rFonts w:eastAsia="Times New Roman"/>
                <w:color w:val="000000"/>
                <w:lang w:val="en-GB"/>
              </w:rPr>
              <w:t>Gender</w:t>
            </w:r>
          </w:p>
        </w:tc>
        <w:tc>
          <w:tcPr>
            <w:tcW w:w="2321" w:type="dxa"/>
            <w:tcBorders>
              <w:top w:val="nil"/>
              <w:left w:val="nil"/>
              <w:bottom w:val="nil"/>
              <w:right w:val="nil"/>
            </w:tcBorders>
            <w:shd w:val="clear" w:color="auto" w:fill="auto"/>
            <w:noWrap/>
            <w:vAlign w:val="bottom"/>
            <w:hideMark/>
          </w:tcPr>
          <w:p w14:paraId="6CE45591" w14:textId="77777777" w:rsidR="00D13C36" w:rsidRPr="00E673DC" w:rsidRDefault="00D13C36" w:rsidP="002D4B1E">
            <w:pPr>
              <w:spacing w:after="0" w:line="240" w:lineRule="auto"/>
              <w:ind w:firstLine="0"/>
              <w:rPr>
                <w:rFonts w:eastAsia="Times New Roman"/>
                <w:color w:val="000000"/>
                <w:lang w:val="en-GB"/>
              </w:rPr>
            </w:pPr>
            <w:r w:rsidRPr="00E673DC">
              <w:rPr>
                <w:rFonts w:eastAsia="Times New Roman"/>
                <w:color w:val="000000"/>
                <w:lang w:val="en-GB"/>
              </w:rPr>
              <w:t>Female</w:t>
            </w:r>
          </w:p>
        </w:tc>
        <w:tc>
          <w:tcPr>
            <w:tcW w:w="1734" w:type="dxa"/>
            <w:tcBorders>
              <w:top w:val="nil"/>
              <w:left w:val="nil"/>
              <w:bottom w:val="nil"/>
              <w:right w:val="nil"/>
            </w:tcBorders>
            <w:shd w:val="clear" w:color="auto" w:fill="auto"/>
            <w:noWrap/>
            <w:vAlign w:val="bottom"/>
            <w:hideMark/>
          </w:tcPr>
          <w:p w14:paraId="0EB39117" w14:textId="77777777" w:rsidR="00D13C36" w:rsidRPr="00E673DC" w:rsidRDefault="00D13C36" w:rsidP="002D4B1E">
            <w:pPr>
              <w:spacing w:after="0" w:line="240" w:lineRule="auto"/>
              <w:ind w:firstLine="0"/>
              <w:rPr>
                <w:rFonts w:eastAsia="Times New Roman"/>
                <w:color w:val="000000"/>
                <w:lang w:val="en-GB"/>
              </w:rPr>
            </w:pPr>
            <w:r w:rsidRPr="00E673DC">
              <w:rPr>
                <w:rFonts w:eastAsia="Times New Roman"/>
                <w:color w:val="000000"/>
                <w:lang w:val="en-GB"/>
              </w:rPr>
              <w:t>95</w:t>
            </w:r>
          </w:p>
        </w:tc>
        <w:tc>
          <w:tcPr>
            <w:tcW w:w="1408" w:type="dxa"/>
            <w:tcBorders>
              <w:top w:val="nil"/>
              <w:left w:val="nil"/>
              <w:bottom w:val="nil"/>
              <w:right w:val="nil"/>
            </w:tcBorders>
            <w:shd w:val="clear" w:color="auto" w:fill="auto"/>
            <w:noWrap/>
            <w:vAlign w:val="bottom"/>
            <w:hideMark/>
          </w:tcPr>
          <w:p w14:paraId="19D1EB1C" w14:textId="77777777" w:rsidR="00D13C36" w:rsidRPr="00E673DC" w:rsidRDefault="00D13C36" w:rsidP="002D4B1E">
            <w:pPr>
              <w:spacing w:after="0" w:line="240" w:lineRule="auto"/>
              <w:ind w:firstLine="0"/>
              <w:rPr>
                <w:rFonts w:eastAsia="Times New Roman"/>
                <w:color w:val="000000"/>
                <w:lang w:val="en-GB"/>
              </w:rPr>
            </w:pPr>
            <w:r w:rsidRPr="00E673DC">
              <w:rPr>
                <w:rFonts w:eastAsia="Times New Roman"/>
                <w:color w:val="000000"/>
                <w:lang w:val="en-GB"/>
              </w:rPr>
              <w:t>31%</w:t>
            </w:r>
          </w:p>
        </w:tc>
      </w:tr>
      <w:tr w:rsidR="00D13C36" w:rsidRPr="00E673DC" w14:paraId="3789E117" w14:textId="77777777" w:rsidTr="002D4B1E">
        <w:trPr>
          <w:trHeight w:val="294"/>
        </w:trPr>
        <w:tc>
          <w:tcPr>
            <w:tcW w:w="2907" w:type="dxa"/>
            <w:tcBorders>
              <w:top w:val="nil"/>
              <w:left w:val="nil"/>
              <w:bottom w:val="single" w:sz="4" w:space="0" w:color="auto"/>
              <w:right w:val="nil"/>
            </w:tcBorders>
            <w:shd w:val="clear" w:color="auto" w:fill="auto"/>
            <w:noWrap/>
            <w:vAlign w:val="bottom"/>
            <w:hideMark/>
          </w:tcPr>
          <w:p w14:paraId="0B435BB1" w14:textId="77777777" w:rsidR="00D13C36" w:rsidRPr="00E673DC" w:rsidRDefault="00D13C36" w:rsidP="008F526A">
            <w:pPr>
              <w:spacing w:after="0" w:line="240" w:lineRule="auto"/>
              <w:rPr>
                <w:rFonts w:eastAsia="Times New Roman"/>
                <w:color w:val="000000"/>
                <w:lang w:val="en-GB"/>
              </w:rPr>
            </w:pPr>
            <w:r w:rsidRPr="00E673DC">
              <w:rPr>
                <w:rFonts w:eastAsia="Times New Roman"/>
                <w:color w:val="000000"/>
                <w:lang w:val="en-GB"/>
              </w:rPr>
              <w:t> </w:t>
            </w:r>
          </w:p>
        </w:tc>
        <w:tc>
          <w:tcPr>
            <w:tcW w:w="2321" w:type="dxa"/>
            <w:tcBorders>
              <w:top w:val="nil"/>
              <w:left w:val="nil"/>
              <w:bottom w:val="single" w:sz="4" w:space="0" w:color="auto"/>
              <w:right w:val="nil"/>
            </w:tcBorders>
            <w:shd w:val="clear" w:color="auto" w:fill="auto"/>
            <w:noWrap/>
            <w:vAlign w:val="bottom"/>
            <w:hideMark/>
          </w:tcPr>
          <w:p w14:paraId="32214375" w14:textId="77777777" w:rsidR="00D13C36" w:rsidRPr="00E673DC" w:rsidRDefault="00D13C36" w:rsidP="002D4B1E">
            <w:pPr>
              <w:spacing w:after="0" w:line="240" w:lineRule="auto"/>
              <w:ind w:firstLine="0"/>
              <w:rPr>
                <w:rFonts w:eastAsia="Times New Roman"/>
                <w:color w:val="000000"/>
                <w:lang w:val="en-GB"/>
              </w:rPr>
            </w:pPr>
            <w:r w:rsidRPr="00E673DC">
              <w:rPr>
                <w:rFonts w:eastAsia="Times New Roman"/>
                <w:color w:val="000000"/>
                <w:lang w:val="en-GB"/>
              </w:rPr>
              <w:t>Male</w:t>
            </w:r>
          </w:p>
        </w:tc>
        <w:tc>
          <w:tcPr>
            <w:tcW w:w="1734" w:type="dxa"/>
            <w:tcBorders>
              <w:top w:val="nil"/>
              <w:left w:val="nil"/>
              <w:bottom w:val="single" w:sz="4" w:space="0" w:color="auto"/>
              <w:right w:val="nil"/>
            </w:tcBorders>
            <w:shd w:val="clear" w:color="auto" w:fill="auto"/>
            <w:noWrap/>
            <w:vAlign w:val="bottom"/>
            <w:hideMark/>
          </w:tcPr>
          <w:p w14:paraId="4125B526" w14:textId="77777777" w:rsidR="00D13C36" w:rsidRPr="00E673DC" w:rsidRDefault="00D13C36" w:rsidP="002D4B1E">
            <w:pPr>
              <w:spacing w:after="0" w:line="240" w:lineRule="auto"/>
              <w:ind w:firstLine="0"/>
              <w:rPr>
                <w:rFonts w:eastAsia="Times New Roman"/>
                <w:color w:val="000000"/>
                <w:lang w:val="en-GB"/>
              </w:rPr>
            </w:pPr>
            <w:r w:rsidRPr="00E673DC">
              <w:rPr>
                <w:rFonts w:eastAsia="Times New Roman"/>
                <w:color w:val="000000"/>
                <w:lang w:val="en-GB"/>
              </w:rPr>
              <w:t>214</w:t>
            </w:r>
          </w:p>
        </w:tc>
        <w:tc>
          <w:tcPr>
            <w:tcW w:w="1408" w:type="dxa"/>
            <w:tcBorders>
              <w:top w:val="nil"/>
              <w:left w:val="nil"/>
              <w:bottom w:val="single" w:sz="4" w:space="0" w:color="auto"/>
              <w:right w:val="nil"/>
            </w:tcBorders>
            <w:shd w:val="clear" w:color="auto" w:fill="auto"/>
            <w:noWrap/>
            <w:vAlign w:val="bottom"/>
            <w:hideMark/>
          </w:tcPr>
          <w:p w14:paraId="5EA33DE2" w14:textId="77777777" w:rsidR="00D13C36" w:rsidRPr="00E673DC" w:rsidRDefault="00D13C36" w:rsidP="002D4B1E">
            <w:pPr>
              <w:spacing w:after="0" w:line="240" w:lineRule="auto"/>
              <w:ind w:firstLine="0"/>
              <w:rPr>
                <w:rFonts w:eastAsia="Times New Roman"/>
                <w:color w:val="000000"/>
                <w:lang w:val="en-GB"/>
              </w:rPr>
            </w:pPr>
            <w:r w:rsidRPr="00E673DC">
              <w:rPr>
                <w:rFonts w:eastAsia="Times New Roman"/>
                <w:color w:val="000000"/>
                <w:lang w:val="en-GB"/>
              </w:rPr>
              <w:t>69%</w:t>
            </w:r>
          </w:p>
        </w:tc>
      </w:tr>
      <w:tr w:rsidR="00D13C36" w:rsidRPr="00E673DC" w14:paraId="00F0B086" w14:textId="77777777" w:rsidTr="002D4B1E">
        <w:trPr>
          <w:trHeight w:val="294"/>
        </w:trPr>
        <w:tc>
          <w:tcPr>
            <w:tcW w:w="2907" w:type="dxa"/>
            <w:tcBorders>
              <w:top w:val="nil"/>
              <w:left w:val="nil"/>
              <w:bottom w:val="nil"/>
              <w:right w:val="nil"/>
            </w:tcBorders>
            <w:shd w:val="clear" w:color="auto" w:fill="auto"/>
            <w:noWrap/>
            <w:vAlign w:val="bottom"/>
            <w:hideMark/>
          </w:tcPr>
          <w:p w14:paraId="530C79A6" w14:textId="77777777" w:rsidR="00D13C36" w:rsidRPr="00E673DC" w:rsidRDefault="00D13C36" w:rsidP="002D4B1E">
            <w:pPr>
              <w:spacing w:after="0" w:line="240" w:lineRule="auto"/>
              <w:ind w:firstLine="0"/>
              <w:rPr>
                <w:rFonts w:eastAsia="Times New Roman"/>
                <w:color w:val="000000"/>
                <w:lang w:val="en-GB"/>
              </w:rPr>
            </w:pPr>
            <w:r w:rsidRPr="00E673DC">
              <w:rPr>
                <w:rFonts w:eastAsia="Times New Roman"/>
                <w:color w:val="000000"/>
                <w:lang w:val="en-GB"/>
              </w:rPr>
              <w:t>Nature of work</w:t>
            </w:r>
          </w:p>
        </w:tc>
        <w:tc>
          <w:tcPr>
            <w:tcW w:w="2321" w:type="dxa"/>
            <w:tcBorders>
              <w:top w:val="nil"/>
              <w:left w:val="nil"/>
              <w:bottom w:val="nil"/>
              <w:right w:val="nil"/>
            </w:tcBorders>
            <w:shd w:val="clear" w:color="auto" w:fill="auto"/>
            <w:noWrap/>
            <w:vAlign w:val="bottom"/>
            <w:hideMark/>
          </w:tcPr>
          <w:p w14:paraId="20A3A9AD" w14:textId="77777777" w:rsidR="00D13C36" w:rsidRPr="00E673DC" w:rsidRDefault="00D13C36" w:rsidP="002D4B1E">
            <w:pPr>
              <w:spacing w:after="0" w:line="240" w:lineRule="auto"/>
              <w:ind w:firstLine="0"/>
              <w:rPr>
                <w:rFonts w:eastAsia="Times New Roman"/>
                <w:color w:val="000000"/>
                <w:lang w:val="en-GB"/>
              </w:rPr>
            </w:pPr>
            <w:r w:rsidRPr="00E673DC">
              <w:rPr>
                <w:rFonts w:eastAsia="Times New Roman"/>
                <w:color w:val="000000"/>
                <w:lang w:val="en-GB"/>
              </w:rPr>
              <w:t>Administration</w:t>
            </w:r>
          </w:p>
        </w:tc>
        <w:tc>
          <w:tcPr>
            <w:tcW w:w="1734" w:type="dxa"/>
            <w:tcBorders>
              <w:top w:val="nil"/>
              <w:left w:val="nil"/>
              <w:bottom w:val="nil"/>
              <w:right w:val="nil"/>
            </w:tcBorders>
            <w:shd w:val="clear" w:color="auto" w:fill="auto"/>
            <w:noWrap/>
            <w:vAlign w:val="bottom"/>
            <w:hideMark/>
          </w:tcPr>
          <w:p w14:paraId="41B1198E" w14:textId="77777777" w:rsidR="00D13C36" w:rsidRPr="00E673DC" w:rsidRDefault="00D13C36" w:rsidP="002D4B1E">
            <w:pPr>
              <w:spacing w:after="0" w:line="240" w:lineRule="auto"/>
              <w:ind w:firstLine="0"/>
              <w:rPr>
                <w:rFonts w:eastAsia="Times New Roman"/>
                <w:color w:val="000000"/>
                <w:lang w:val="en-GB"/>
              </w:rPr>
            </w:pPr>
            <w:r w:rsidRPr="00E673DC">
              <w:rPr>
                <w:rFonts w:eastAsia="Times New Roman"/>
                <w:color w:val="000000"/>
                <w:lang w:val="en-GB"/>
              </w:rPr>
              <w:t>142</w:t>
            </w:r>
          </w:p>
        </w:tc>
        <w:tc>
          <w:tcPr>
            <w:tcW w:w="1408" w:type="dxa"/>
            <w:tcBorders>
              <w:top w:val="nil"/>
              <w:left w:val="nil"/>
              <w:bottom w:val="nil"/>
              <w:right w:val="nil"/>
            </w:tcBorders>
            <w:shd w:val="clear" w:color="auto" w:fill="auto"/>
            <w:noWrap/>
            <w:vAlign w:val="bottom"/>
            <w:hideMark/>
          </w:tcPr>
          <w:p w14:paraId="422E2FE8" w14:textId="77777777" w:rsidR="00D13C36" w:rsidRPr="00E673DC" w:rsidRDefault="00D13C36" w:rsidP="002D4B1E">
            <w:pPr>
              <w:spacing w:after="0" w:line="240" w:lineRule="auto"/>
              <w:ind w:firstLine="0"/>
              <w:rPr>
                <w:rFonts w:eastAsia="Times New Roman"/>
                <w:color w:val="000000"/>
                <w:lang w:val="en-GB"/>
              </w:rPr>
            </w:pPr>
            <w:r w:rsidRPr="00E673DC">
              <w:rPr>
                <w:rFonts w:eastAsia="Times New Roman"/>
                <w:color w:val="000000"/>
                <w:lang w:val="en-GB"/>
              </w:rPr>
              <w:t>46%</w:t>
            </w:r>
          </w:p>
        </w:tc>
      </w:tr>
      <w:tr w:rsidR="00D13C36" w:rsidRPr="00E673DC" w14:paraId="1C5B19B6" w14:textId="77777777" w:rsidTr="002D4B1E">
        <w:trPr>
          <w:trHeight w:val="294"/>
        </w:trPr>
        <w:tc>
          <w:tcPr>
            <w:tcW w:w="2907" w:type="dxa"/>
            <w:tcBorders>
              <w:top w:val="nil"/>
              <w:left w:val="nil"/>
              <w:bottom w:val="single" w:sz="4" w:space="0" w:color="auto"/>
              <w:right w:val="nil"/>
            </w:tcBorders>
            <w:shd w:val="clear" w:color="auto" w:fill="auto"/>
            <w:noWrap/>
            <w:vAlign w:val="bottom"/>
            <w:hideMark/>
          </w:tcPr>
          <w:p w14:paraId="2CB0C4F8" w14:textId="77777777" w:rsidR="00D13C36" w:rsidRPr="00E673DC" w:rsidRDefault="00D13C36" w:rsidP="008F526A">
            <w:pPr>
              <w:spacing w:after="0" w:line="240" w:lineRule="auto"/>
              <w:rPr>
                <w:rFonts w:eastAsia="Times New Roman"/>
                <w:color w:val="000000"/>
                <w:lang w:val="en-GB"/>
              </w:rPr>
            </w:pPr>
            <w:r w:rsidRPr="00E673DC">
              <w:rPr>
                <w:rFonts w:eastAsia="Times New Roman"/>
                <w:color w:val="000000"/>
                <w:lang w:val="en-GB"/>
              </w:rPr>
              <w:t> </w:t>
            </w:r>
          </w:p>
        </w:tc>
        <w:tc>
          <w:tcPr>
            <w:tcW w:w="2321" w:type="dxa"/>
            <w:tcBorders>
              <w:top w:val="nil"/>
              <w:left w:val="nil"/>
              <w:bottom w:val="single" w:sz="4" w:space="0" w:color="auto"/>
              <w:right w:val="nil"/>
            </w:tcBorders>
            <w:shd w:val="clear" w:color="auto" w:fill="auto"/>
            <w:noWrap/>
            <w:vAlign w:val="bottom"/>
            <w:hideMark/>
          </w:tcPr>
          <w:p w14:paraId="14813218" w14:textId="77777777" w:rsidR="00D13C36" w:rsidRPr="00E673DC" w:rsidRDefault="00D13C36" w:rsidP="002D4B1E">
            <w:pPr>
              <w:spacing w:after="0" w:line="240" w:lineRule="auto"/>
              <w:ind w:firstLine="0"/>
              <w:rPr>
                <w:rFonts w:eastAsia="Times New Roman"/>
                <w:color w:val="000000"/>
                <w:lang w:val="en-GB"/>
              </w:rPr>
            </w:pPr>
            <w:r w:rsidRPr="00E673DC">
              <w:rPr>
                <w:rFonts w:eastAsia="Times New Roman"/>
                <w:color w:val="000000"/>
                <w:lang w:val="en-GB"/>
              </w:rPr>
              <w:t>Technical</w:t>
            </w:r>
          </w:p>
        </w:tc>
        <w:tc>
          <w:tcPr>
            <w:tcW w:w="1734" w:type="dxa"/>
            <w:tcBorders>
              <w:top w:val="nil"/>
              <w:left w:val="nil"/>
              <w:bottom w:val="single" w:sz="4" w:space="0" w:color="auto"/>
              <w:right w:val="nil"/>
            </w:tcBorders>
            <w:shd w:val="clear" w:color="auto" w:fill="auto"/>
            <w:noWrap/>
            <w:vAlign w:val="bottom"/>
            <w:hideMark/>
          </w:tcPr>
          <w:p w14:paraId="3B6B7316" w14:textId="77777777" w:rsidR="00D13C36" w:rsidRPr="00E673DC" w:rsidRDefault="00D13C36" w:rsidP="002D4B1E">
            <w:pPr>
              <w:spacing w:after="0" w:line="240" w:lineRule="auto"/>
              <w:ind w:firstLine="0"/>
              <w:rPr>
                <w:rFonts w:eastAsia="Times New Roman"/>
                <w:color w:val="000000"/>
                <w:lang w:val="en-GB"/>
              </w:rPr>
            </w:pPr>
            <w:r w:rsidRPr="00E673DC">
              <w:rPr>
                <w:rFonts w:eastAsia="Times New Roman"/>
                <w:color w:val="000000"/>
                <w:lang w:val="en-GB"/>
              </w:rPr>
              <w:t>167</w:t>
            </w:r>
          </w:p>
        </w:tc>
        <w:tc>
          <w:tcPr>
            <w:tcW w:w="1408" w:type="dxa"/>
            <w:tcBorders>
              <w:top w:val="nil"/>
              <w:left w:val="nil"/>
              <w:bottom w:val="single" w:sz="4" w:space="0" w:color="auto"/>
              <w:right w:val="nil"/>
            </w:tcBorders>
            <w:shd w:val="clear" w:color="auto" w:fill="auto"/>
            <w:noWrap/>
            <w:vAlign w:val="bottom"/>
            <w:hideMark/>
          </w:tcPr>
          <w:p w14:paraId="242AE334" w14:textId="77777777" w:rsidR="00D13C36" w:rsidRPr="00E673DC" w:rsidRDefault="00D13C36" w:rsidP="002D4B1E">
            <w:pPr>
              <w:spacing w:after="0" w:line="240" w:lineRule="auto"/>
              <w:ind w:firstLine="0"/>
              <w:rPr>
                <w:rFonts w:eastAsia="Times New Roman"/>
                <w:color w:val="000000"/>
                <w:lang w:val="en-GB"/>
              </w:rPr>
            </w:pPr>
            <w:r w:rsidRPr="00E673DC">
              <w:rPr>
                <w:rFonts w:eastAsia="Times New Roman"/>
                <w:color w:val="000000"/>
                <w:lang w:val="en-GB"/>
              </w:rPr>
              <w:t>54%</w:t>
            </w:r>
          </w:p>
        </w:tc>
      </w:tr>
      <w:tr w:rsidR="00D13C36" w:rsidRPr="00E673DC" w14:paraId="13EFBA70" w14:textId="77777777" w:rsidTr="002D4B1E">
        <w:trPr>
          <w:trHeight w:val="294"/>
        </w:trPr>
        <w:tc>
          <w:tcPr>
            <w:tcW w:w="2907" w:type="dxa"/>
            <w:tcBorders>
              <w:top w:val="nil"/>
              <w:left w:val="nil"/>
              <w:bottom w:val="nil"/>
              <w:right w:val="nil"/>
            </w:tcBorders>
            <w:shd w:val="clear" w:color="auto" w:fill="auto"/>
            <w:noWrap/>
            <w:vAlign w:val="bottom"/>
            <w:hideMark/>
          </w:tcPr>
          <w:p w14:paraId="6DF60A18" w14:textId="77777777" w:rsidR="00D13C36" w:rsidRPr="00E673DC" w:rsidRDefault="00D13C36" w:rsidP="002D4B1E">
            <w:pPr>
              <w:spacing w:after="0" w:line="240" w:lineRule="auto"/>
              <w:ind w:firstLine="0"/>
              <w:rPr>
                <w:rFonts w:eastAsia="Times New Roman"/>
                <w:color w:val="000000"/>
                <w:lang w:val="en-GB"/>
              </w:rPr>
            </w:pPr>
            <w:r w:rsidRPr="00E673DC">
              <w:rPr>
                <w:rFonts w:eastAsia="Times New Roman"/>
                <w:color w:val="000000"/>
                <w:lang w:val="en-GB"/>
              </w:rPr>
              <w:t>Nationality</w:t>
            </w:r>
          </w:p>
        </w:tc>
        <w:tc>
          <w:tcPr>
            <w:tcW w:w="2321" w:type="dxa"/>
            <w:tcBorders>
              <w:top w:val="nil"/>
              <w:left w:val="nil"/>
              <w:bottom w:val="nil"/>
              <w:right w:val="nil"/>
            </w:tcBorders>
            <w:shd w:val="clear" w:color="auto" w:fill="auto"/>
            <w:noWrap/>
            <w:vAlign w:val="bottom"/>
            <w:hideMark/>
          </w:tcPr>
          <w:p w14:paraId="12EE36A7" w14:textId="734B2851" w:rsidR="00D13C36" w:rsidRPr="00E673DC" w:rsidRDefault="00D13C36" w:rsidP="002D4B1E">
            <w:pPr>
              <w:spacing w:after="0" w:line="240" w:lineRule="auto"/>
              <w:ind w:firstLine="0"/>
              <w:rPr>
                <w:rFonts w:eastAsia="Times New Roman"/>
                <w:color w:val="000000"/>
                <w:lang w:val="en-GB"/>
              </w:rPr>
            </w:pPr>
            <w:r w:rsidRPr="00E673DC">
              <w:rPr>
                <w:rFonts w:eastAsia="Times New Roman"/>
                <w:color w:val="000000"/>
                <w:lang w:val="en-GB"/>
              </w:rPr>
              <w:t>Non</w:t>
            </w:r>
            <w:r w:rsidR="003231DD">
              <w:rPr>
                <w:rFonts w:eastAsia="Times New Roman"/>
                <w:color w:val="000000"/>
                <w:lang w:val="en-GB"/>
              </w:rPr>
              <w:t>-</w:t>
            </w:r>
            <w:r w:rsidRPr="00E673DC">
              <w:rPr>
                <w:rFonts w:eastAsia="Times New Roman"/>
                <w:color w:val="000000"/>
                <w:lang w:val="en-GB"/>
              </w:rPr>
              <w:t>UAE</w:t>
            </w:r>
          </w:p>
        </w:tc>
        <w:tc>
          <w:tcPr>
            <w:tcW w:w="1734" w:type="dxa"/>
            <w:tcBorders>
              <w:top w:val="nil"/>
              <w:left w:val="nil"/>
              <w:bottom w:val="nil"/>
              <w:right w:val="nil"/>
            </w:tcBorders>
            <w:shd w:val="clear" w:color="auto" w:fill="auto"/>
            <w:noWrap/>
            <w:vAlign w:val="bottom"/>
            <w:hideMark/>
          </w:tcPr>
          <w:p w14:paraId="57B368ED" w14:textId="77777777" w:rsidR="00D13C36" w:rsidRPr="00E673DC" w:rsidRDefault="00D13C36" w:rsidP="002D4B1E">
            <w:pPr>
              <w:spacing w:after="0" w:line="240" w:lineRule="auto"/>
              <w:ind w:firstLine="0"/>
              <w:rPr>
                <w:rFonts w:eastAsia="Times New Roman"/>
                <w:color w:val="000000"/>
                <w:lang w:val="en-GB"/>
              </w:rPr>
            </w:pPr>
            <w:r w:rsidRPr="00E673DC">
              <w:rPr>
                <w:rFonts w:eastAsia="Times New Roman"/>
                <w:color w:val="000000"/>
                <w:lang w:val="en-GB"/>
              </w:rPr>
              <w:t>208</w:t>
            </w:r>
          </w:p>
        </w:tc>
        <w:tc>
          <w:tcPr>
            <w:tcW w:w="1408" w:type="dxa"/>
            <w:tcBorders>
              <w:top w:val="nil"/>
              <w:left w:val="nil"/>
              <w:bottom w:val="nil"/>
              <w:right w:val="nil"/>
            </w:tcBorders>
            <w:shd w:val="clear" w:color="auto" w:fill="auto"/>
            <w:noWrap/>
            <w:vAlign w:val="bottom"/>
            <w:hideMark/>
          </w:tcPr>
          <w:p w14:paraId="18CD3826" w14:textId="77777777" w:rsidR="00D13C36" w:rsidRPr="00E673DC" w:rsidRDefault="00D13C36" w:rsidP="002D4B1E">
            <w:pPr>
              <w:spacing w:after="0" w:line="240" w:lineRule="auto"/>
              <w:ind w:firstLine="0"/>
              <w:rPr>
                <w:rFonts w:eastAsia="Times New Roman"/>
                <w:color w:val="000000"/>
                <w:lang w:val="en-GB"/>
              </w:rPr>
            </w:pPr>
            <w:r w:rsidRPr="00E673DC">
              <w:rPr>
                <w:rFonts w:eastAsia="Times New Roman"/>
                <w:color w:val="000000"/>
                <w:lang w:val="en-GB"/>
              </w:rPr>
              <w:t>67%</w:t>
            </w:r>
          </w:p>
        </w:tc>
      </w:tr>
      <w:tr w:rsidR="00D13C36" w:rsidRPr="00E673DC" w14:paraId="7F578C1A" w14:textId="77777777" w:rsidTr="002D4B1E">
        <w:trPr>
          <w:trHeight w:val="294"/>
        </w:trPr>
        <w:tc>
          <w:tcPr>
            <w:tcW w:w="2907" w:type="dxa"/>
            <w:tcBorders>
              <w:top w:val="nil"/>
              <w:left w:val="nil"/>
              <w:bottom w:val="single" w:sz="4" w:space="0" w:color="auto"/>
              <w:right w:val="nil"/>
            </w:tcBorders>
            <w:shd w:val="clear" w:color="auto" w:fill="auto"/>
            <w:noWrap/>
            <w:vAlign w:val="bottom"/>
            <w:hideMark/>
          </w:tcPr>
          <w:p w14:paraId="6ED009BD" w14:textId="77777777" w:rsidR="00D13C36" w:rsidRPr="00E673DC" w:rsidRDefault="00D13C36" w:rsidP="008F526A">
            <w:pPr>
              <w:spacing w:after="0" w:line="240" w:lineRule="auto"/>
              <w:rPr>
                <w:rFonts w:eastAsia="Times New Roman"/>
                <w:color w:val="000000"/>
                <w:lang w:val="en-GB"/>
              </w:rPr>
            </w:pPr>
            <w:r w:rsidRPr="00E673DC">
              <w:rPr>
                <w:rFonts w:eastAsia="Times New Roman"/>
                <w:color w:val="000000"/>
                <w:lang w:val="en-GB"/>
              </w:rPr>
              <w:t> </w:t>
            </w:r>
          </w:p>
        </w:tc>
        <w:tc>
          <w:tcPr>
            <w:tcW w:w="2321" w:type="dxa"/>
            <w:tcBorders>
              <w:top w:val="nil"/>
              <w:left w:val="nil"/>
              <w:bottom w:val="single" w:sz="4" w:space="0" w:color="auto"/>
              <w:right w:val="nil"/>
            </w:tcBorders>
            <w:shd w:val="clear" w:color="auto" w:fill="auto"/>
            <w:noWrap/>
            <w:vAlign w:val="bottom"/>
            <w:hideMark/>
          </w:tcPr>
          <w:p w14:paraId="3E129A8F" w14:textId="77777777" w:rsidR="00D13C36" w:rsidRPr="00E673DC" w:rsidRDefault="00D13C36" w:rsidP="002D4B1E">
            <w:pPr>
              <w:spacing w:after="0" w:line="240" w:lineRule="auto"/>
              <w:ind w:firstLine="0"/>
              <w:rPr>
                <w:rFonts w:eastAsia="Times New Roman"/>
                <w:color w:val="000000"/>
                <w:lang w:val="en-GB"/>
              </w:rPr>
            </w:pPr>
            <w:r w:rsidRPr="00E673DC">
              <w:rPr>
                <w:rFonts w:eastAsia="Times New Roman"/>
                <w:color w:val="000000"/>
                <w:lang w:val="en-GB"/>
              </w:rPr>
              <w:t>UAE</w:t>
            </w:r>
          </w:p>
        </w:tc>
        <w:tc>
          <w:tcPr>
            <w:tcW w:w="1734" w:type="dxa"/>
            <w:tcBorders>
              <w:top w:val="nil"/>
              <w:left w:val="nil"/>
              <w:bottom w:val="single" w:sz="4" w:space="0" w:color="auto"/>
              <w:right w:val="nil"/>
            </w:tcBorders>
            <w:shd w:val="clear" w:color="auto" w:fill="auto"/>
            <w:noWrap/>
            <w:vAlign w:val="bottom"/>
            <w:hideMark/>
          </w:tcPr>
          <w:p w14:paraId="6AC04660" w14:textId="77777777" w:rsidR="00D13C36" w:rsidRPr="00E673DC" w:rsidRDefault="00D13C36" w:rsidP="002D4B1E">
            <w:pPr>
              <w:spacing w:after="0" w:line="240" w:lineRule="auto"/>
              <w:ind w:firstLine="0"/>
              <w:rPr>
                <w:rFonts w:eastAsia="Times New Roman"/>
                <w:color w:val="000000"/>
                <w:lang w:val="en-GB"/>
              </w:rPr>
            </w:pPr>
            <w:r w:rsidRPr="00E673DC">
              <w:rPr>
                <w:rFonts w:eastAsia="Times New Roman"/>
                <w:color w:val="000000"/>
                <w:lang w:val="en-GB"/>
              </w:rPr>
              <w:t>101</w:t>
            </w:r>
          </w:p>
        </w:tc>
        <w:tc>
          <w:tcPr>
            <w:tcW w:w="1408" w:type="dxa"/>
            <w:tcBorders>
              <w:top w:val="nil"/>
              <w:left w:val="nil"/>
              <w:bottom w:val="single" w:sz="4" w:space="0" w:color="auto"/>
              <w:right w:val="nil"/>
            </w:tcBorders>
            <w:shd w:val="clear" w:color="auto" w:fill="auto"/>
            <w:noWrap/>
            <w:vAlign w:val="bottom"/>
            <w:hideMark/>
          </w:tcPr>
          <w:p w14:paraId="6D58B653" w14:textId="77777777" w:rsidR="00D13C36" w:rsidRPr="00E673DC" w:rsidRDefault="00D13C36" w:rsidP="002D4B1E">
            <w:pPr>
              <w:spacing w:after="0" w:line="240" w:lineRule="auto"/>
              <w:ind w:firstLine="0"/>
              <w:rPr>
                <w:rFonts w:eastAsia="Times New Roman"/>
                <w:color w:val="000000"/>
                <w:lang w:val="en-GB"/>
              </w:rPr>
            </w:pPr>
            <w:r w:rsidRPr="00E673DC">
              <w:rPr>
                <w:rFonts w:eastAsia="Times New Roman"/>
                <w:color w:val="000000"/>
                <w:lang w:val="en-GB"/>
              </w:rPr>
              <w:t>33%</w:t>
            </w:r>
          </w:p>
        </w:tc>
      </w:tr>
      <w:tr w:rsidR="00D13C36" w:rsidRPr="00E673DC" w14:paraId="78C0E3A0" w14:textId="77777777" w:rsidTr="002D4B1E">
        <w:trPr>
          <w:trHeight w:val="294"/>
        </w:trPr>
        <w:tc>
          <w:tcPr>
            <w:tcW w:w="2907" w:type="dxa"/>
            <w:tcBorders>
              <w:top w:val="nil"/>
              <w:left w:val="nil"/>
              <w:bottom w:val="nil"/>
              <w:right w:val="nil"/>
            </w:tcBorders>
            <w:shd w:val="clear" w:color="auto" w:fill="auto"/>
            <w:noWrap/>
            <w:vAlign w:val="bottom"/>
            <w:hideMark/>
          </w:tcPr>
          <w:p w14:paraId="5CA6CEAF" w14:textId="11EFBC00" w:rsidR="00D13C36" w:rsidRPr="00E673DC" w:rsidRDefault="00D13C36" w:rsidP="002D4B1E">
            <w:pPr>
              <w:spacing w:after="0" w:line="240" w:lineRule="auto"/>
              <w:ind w:firstLine="0"/>
              <w:rPr>
                <w:rFonts w:eastAsia="Times New Roman"/>
                <w:color w:val="000000"/>
                <w:lang w:val="en-GB"/>
              </w:rPr>
            </w:pPr>
            <w:r w:rsidRPr="00E673DC">
              <w:rPr>
                <w:rFonts w:eastAsia="Times New Roman"/>
                <w:color w:val="000000"/>
                <w:lang w:val="en-GB"/>
              </w:rPr>
              <w:t>Working experience</w:t>
            </w:r>
            <w:r w:rsidR="003148AD">
              <w:rPr>
                <w:rFonts w:eastAsia="Times New Roman"/>
                <w:color w:val="000000"/>
                <w:lang w:val="en-GB"/>
              </w:rPr>
              <w:t xml:space="preserve"> (years)</w:t>
            </w:r>
          </w:p>
        </w:tc>
        <w:tc>
          <w:tcPr>
            <w:tcW w:w="2321" w:type="dxa"/>
            <w:tcBorders>
              <w:top w:val="nil"/>
              <w:left w:val="nil"/>
              <w:bottom w:val="nil"/>
              <w:right w:val="nil"/>
            </w:tcBorders>
            <w:shd w:val="clear" w:color="auto" w:fill="auto"/>
            <w:noWrap/>
            <w:vAlign w:val="bottom"/>
            <w:hideMark/>
          </w:tcPr>
          <w:p w14:paraId="0653F88D" w14:textId="77777777" w:rsidR="00D13C36" w:rsidRPr="00E673DC" w:rsidRDefault="00D13C36" w:rsidP="002D4B1E">
            <w:pPr>
              <w:spacing w:after="0" w:line="240" w:lineRule="auto"/>
              <w:ind w:firstLine="0"/>
              <w:rPr>
                <w:rFonts w:eastAsia="Times New Roman"/>
                <w:color w:val="000000"/>
                <w:lang w:val="en-GB"/>
              </w:rPr>
            </w:pPr>
            <w:r w:rsidRPr="00E673DC">
              <w:rPr>
                <w:rFonts w:eastAsia="Times New Roman"/>
                <w:color w:val="000000"/>
                <w:lang w:val="en-GB"/>
              </w:rPr>
              <w:t>Less than 6</w:t>
            </w:r>
          </w:p>
        </w:tc>
        <w:tc>
          <w:tcPr>
            <w:tcW w:w="1734" w:type="dxa"/>
            <w:tcBorders>
              <w:top w:val="nil"/>
              <w:left w:val="nil"/>
              <w:bottom w:val="nil"/>
              <w:right w:val="nil"/>
            </w:tcBorders>
            <w:shd w:val="clear" w:color="auto" w:fill="auto"/>
            <w:noWrap/>
            <w:vAlign w:val="bottom"/>
            <w:hideMark/>
          </w:tcPr>
          <w:p w14:paraId="5E72FF0E" w14:textId="77777777" w:rsidR="00D13C36" w:rsidRPr="00E673DC" w:rsidRDefault="00D13C36" w:rsidP="002D4B1E">
            <w:pPr>
              <w:spacing w:after="0" w:line="240" w:lineRule="auto"/>
              <w:ind w:firstLine="0"/>
              <w:rPr>
                <w:rFonts w:eastAsia="Times New Roman"/>
                <w:color w:val="000000"/>
                <w:lang w:val="en-GB"/>
              </w:rPr>
            </w:pPr>
            <w:r w:rsidRPr="00E673DC">
              <w:rPr>
                <w:rFonts w:eastAsia="Times New Roman"/>
                <w:color w:val="000000"/>
                <w:lang w:val="en-GB"/>
              </w:rPr>
              <w:t>44</w:t>
            </w:r>
          </w:p>
        </w:tc>
        <w:tc>
          <w:tcPr>
            <w:tcW w:w="1408" w:type="dxa"/>
            <w:tcBorders>
              <w:top w:val="nil"/>
              <w:left w:val="nil"/>
              <w:bottom w:val="nil"/>
              <w:right w:val="nil"/>
            </w:tcBorders>
            <w:shd w:val="clear" w:color="auto" w:fill="auto"/>
            <w:noWrap/>
            <w:vAlign w:val="bottom"/>
            <w:hideMark/>
          </w:tcPr>
          <w:p w14:paraId="7CAFA103" w14:textId="77777777" w:rsidR="00D13C36" w:rsidRPr="00E673DC" w:rsidRDefault="00D13C36" w:rsidP="002D4B1E">
            <w:pPr>
              <w:spacing w:after="0" w:line="240" w:lineRule="auto"/>
              <w:ind w:firstLine="0"/>
              <w:rPr>
                <w:rFonts w:eastAsia="Times New Roman"/>
                <w:color w:val="000000"/>
                <w:lang w:val="en-GB"/>
              </w:rPr>
            </w:pPr>
            <w:r w:rsidRPr="00E673DC">
              <w:rPr>
                <w:rFonts w:eastAsia="Times New Roman"/>
                <w:color w:val="000000"/>
                <w:lang w:val="en-GB"/>
              </w:rPr>
              <w:t>14%</w:t>
            </w:r>
          </w:p>
        </w:tc>
      </w:tr>
      <w:tr w:rsidR="00D13C36" w:rsidRPr="00E673DC" w14:paraId="7B775230" w14:textId="77777777" w:rsidTr="002D4B1E">
        <w:trPr>
          <w:trHeight w:val="294"/>
        </w:trPr>
        <w:tc>
          <w:tcPr>
            <w:tcW w:w="2907" w:type="dxa"/>
            <w:tcBorders>
              <w:top w:val="nil"/>
              <w:left w:val="nil"/>
              <w:bottom w:val="nil"/>
              <w:right w:val="nil"/>
            </w:tcBorders>
            <w:shd w:val="clear" w:color="auto" w:fill="auto"/>
            <w:noWrap/>
            <w:vAlign w:val="bottom"/>
            <w:hideMark/>
          </w:tcPr>
          <w:p w14:paraId="1AE974ED" w14:textId="77777777" w:rsidR="00D13C36" w:rsidRPr="00E673DC" w:rsidRDefault="00D13C36" w:rsidP="008F526A">
            <w:pPr>
              <w:spacing w:after="0" w:line="240" w:lineRule="auto"/>
              <w:jc w:val="right"/>
              <w:rPr>
                <w:rFonts w:eastAsia="Times New Roman"/>
                <w:color w:val="000000"/>
                <w:lang w:val="en-GB"/>
              </w:rPr>
            </w:pPr>
          </w:p>
        </w:tc>
        <w:tc>
          <w:tcPr>
            <w:tcW w:w="2321" w:type="dxa"/>
            <w:tcBorders>
              <w:top w:val="nil"/>
              <w:left w:val="nil"/>
              <w:bottom w:val="nil"/>
              <w:right w:val="nil"/>
            </w:tcBorders>
            <w:shd w:val="clear" w:color="auto" w:fill="auto"/>
            <w:noWrap/>
            <w:vAlign w:val="bottom"/>
            <w:hideMark/>
          </w:tcPr>
          <w:p w14:paraId="09376F0F" w14:textId="4F70947B" w:rsidR="00D13C36" w:rsidRPr="00E673DC" w:rsidRDefault="00D13C36" w:rsidP="002D4B1E">
            <w:pPr>
              <w:spacing w:after="0" w:line="240" w:lineRule="auto"/>
              <w:ind w:firstLine="0"/>
              <w:rPr>
                <w:rFonts w:eastAsia="Times New Roman"/>
                <w:color w:val="000000"/>
                <w:lang w:val="en-GB"/>
              </w:rPr>
            </w:pPr>
            <w:r w:rsidRPr="00E673DC">
              <w:rPr>
                <w:rFonts w:eastAsia="Times New Roman"/>
                <w:color w:val="000000"/>
                <w:lang w:val="en-GB"/>
              </w:rPr>
              <w:t>6</w:t>
            </w:r>
            <w:r w:rsidR="003231DD">
              <w:rPr>
                <w:rFonts w:eastAsia="Times New Roman"/>
                <w:color w:val="000000"/>
                <w:lang w:val="en-GB"/>
              </w:rPr>
              <w:t>–</w:t>
            </w:r>
            <w:r w:rsidRPr="00E673DC">
              <w:rPr>
                <w:rFonts w:eastAsia="Times New Roman"/>
                <w:color w:val="000000"/>
                <w:lang w:val="en-GB"/>
              </w:rPr>
              <w:t>10</w:t>
            </w:r>
          </w:p>
        </w:tc>
        <w:tc>
          <w:tcPr>
            <w:tcW w:w="1734" w:type="dxa"/>
            <w:tcBorders>
              <w:top w:val="nil"/>
              <w:left w:val="nil"/>
              <w:bottom w:val="nil"/>
              <w:right w:val="nil"/>
            </w:tcBorders>
            <w:shd w:val="clear" w:color="auto" w:fill="auto"/>
            <w:noWrap/>
            <w:vAlign w:val="bottom"/>
            <w:hideMark/>
          </w:tcPr>
          <w:p w14:paraId="2EAC4673" w14:textId="77777777" w:rsidR="00D13C36" w:rsidRPr="00E673DC" w:rsidRDefault="00D13C36" w:rsidP="002D4B1E">
            <w:pPr>
              <w:spacing w:after="0" w:line="240" w:lineRule="auto"/>
              <w:ind w:firstLine="0"/>
              <w:rPr>
                <w:rFonts w:eastAsia="Times New Roman"/>
                <w:color w:val="000000"/>
                <w:lang w:val="en-GB"/>
              </w:rPr>
            </w:pPr>
            <w:r w:rsidRPr="00E673DC">
              <w:rPr>
                <w:rFonts w:eastAsia="Times New Roman"/>
                <w:color w:val="000000"/>
                <w:lang w:val="en-GB"/>
              </w:rPr>
              <w:t>75</w:t>
            </w:r>
          </w:p>
        </w:tc>
        <w:tc>
          <w:tcPr>
            <w:tcW w:w="1408" w:type="dxa"/>
            <w:tcBorders>
              <w:top w:val="nil"/>
              <w:left w:val="nil"/>
              <w:bottom w:val="nil"/>
              <w:right w:val="nil"/>
            </w:tcBorders>
            <w:shd w:val="clear" w:color="auto" w:fill="auto"/>
            <w:noWrap/>
            <w:vAlign w:val="bottom"/>
            <w:hideMark/>
          </w:tcPr>
          <w:p w14:paraId="221785DE" w14:textId="77777777" w:rsidR="00D13C36" w:rsidRPr="00E673DC" w:rsidRDefault="00D13C36" w:rsidP="002D4B1E">
            <w:pPr>
              <w:spacing w:after="0" w:line="240" w:lineRule="auto"/>
              <w:ind w:firstLine="0"/>
              <w:rPr>
                <w:rFonts w:eastAsia="Times New Roman"/>
                <w:color w:val="000000"/>
                <w:lang w:val="en-GB"/>
              </w:rPr>
            </w:pPr>
            <w:r w:rsidRPr="00E673DC">
              <w:rPr>
                <w:rFonts w:eastAsia="Times New Roman"/>
                <w:color w:val="000000"/>
                <w:lang w:val="en-GB"/>
              </w:rPr>
              <w:t>24%</w:t>
            </w:r>
          </w:p>
        </w:tc>
      </w:tr>
      <w:tr w:rsidR="00D13C36" w:rsidRPr="00E673DC" w14:paraId="53E01783" w14:textId="77777777" w:rsidTr="002D4B1E">
        <w:trPr>
          <w:trHeight w:val="294"/>
        </w:trPr>
        <w:tc>
          <w:tcPr>
            <w:tcW w:w="2907" w:type="dxa"/>
            <w:tcBorders>
              <w:top w:val="nil"/>
              <w:left w:val="nil"/>
              <w:bottom w:val="nil"/>
              <w:right w:val="nil"/>
            </w:tcBorders>
            <w:shd w:val="clear" w:color="auto" w:fill="auto"/>
            <w:noWrap/>
            <w:vAlign w:val="bottom"/>
            <w:hideMark/>
          </w:tcPr>
          <w:p w14:paraId="2B98F2A6" w14:textId="77777777" w:rsidR="00D13C36" w:rsidRPr="00E673DC" w:rsidRDefault="00D13C36" w:rsidP="008F526A">
            <w:pPr>
              <w:spacing w:after="0" w:line="240" w:lineRule="auto"/>
              <w:jc w:val="right"/>
              <w:rPr>
                <w:rFonts w:eastAsia="Times New Roman"/>
                <w:color w:val="000000"/>
                <w:lang w:val="en-GB"/>
              </w:rPr>
            </w:pPr>
          </w:p>
        </w:tc>
        <w:tc>
          <w:tcPr>
            <w:tcW w:w="2321" w:type="dxa"/>
            <w:tcBorders>
              <w:top w:val="nil"/>
              <w:left w:val="nil"/>
              <w:bottom w:val="nil"/>
              <w:right w:val="nil"/>
            </w:tcBorders>
            <w:shd w:val="clear" w:color="auto" w:fill="auto"/>
            <w:noWrap/>
            <w:vAlign w:val="bottom"/>
            <w:hideMark/>
          </w:tcPr>
          <w:p w14:paraId="25A1A3D9" w14:textId="4C6D1F69" w:rsidR="00D13C36" w:rsidRPr="00E673DC" w:rsidRDefault="00D13C36" w:rsidP="002D4B1E">
            <w:pPr>
              <w:spacing w:after="0" w:line="240" w:lineRule="auto"/>
              <w:ind w:firstLine="0"/>
              <w:rPr>
                <w:rFonts w:eastAsia="Times New Roman"/>
                <w:color w:val="000000"/>
                <w:lang w:val="en-GB"/>
              </w:rPr>
            </w:pPr>
            <w:r w:rsidRPr="00E673DC">
              <w:rPr>
                <w:rFonts w:eastAsia="Times New Roman"/>
                <w:color w:val="000000"/>
                <w:lang w:val="en-GB"/>
              </w:rPr>
              <w:t>11</w:t>
            </w:r>
            <w:r w:rsidR="003231DD">
              <w:rPr>
                <w:rFonts w:eastAsia="Times New Roman"/>
                <w:color w:val="000000"/>
                <w:lang w:val="en-GB"/>
              </w:rPr>
              <w:t>–</w:t>
            </w:r>
            <w:r w:rsidRPr="00E673DC">
              <w:rPr>
                <w:rFonts w:eastAsia="Times New Roman"/>
                <w:color w:val="000000"/>
                <w:lang w:val="en-GB"/>
              </w:rPr>
              <w:t>20</w:t>
            </w:r>
          </w:p>
        </w:tc>
        <w:tc>
          <w:tcPr>
            <w:tcW w:w="1734" w:type="dxa"/>
            <w:tcBorders>
              <w:top w:val="nil"/>
              <w:left w:val="nil"/>
              <w:bottom w:val="nil"/>
              <w:right w:val="nil"/>
            </w:tcBorders>
            <w:shd w:val="clear" w:color="auto" w:fill="auto"/>
            <w:noWrap/>
            <w:vAlign w:val="bottom"/>
            <w:hideMark/>
          </w:tcPr>
          <w:p w14:paraId="451771A1" w14:textId="77777777" w:rsidR="00D13C36" w:rsidRPr="00E673DC" w:rsidRDefault="00D13C36" w:rsidP="002D4B1E">
            <w:pPr>
              <w:spacing w:after="0" w:line="240" w:lineRule="auto"/>
              <w:ind w:firstLine="0"/>
              <w:rPr>
                <w:rFonts w:eastAsia="Times New Roman"/>
                <w:color w:val="000000"/>
                <w:lang w:val="en-GB"/>
              </w:rPr>
            </w:pPr>
            <w:r w:rsidRPr="00E673DC">
              <w:rPr>
                <w:rFonts w:eastAsia="Times New Roman"/>
                <w:color w:val="000000"/>
                <w:lang w:val="en-GB"/>
              </w:rPr>
              <w:t>167</w:t>
            </w:r>
          </w:p>
        </w:tc>
        <w:tc>
          <w:tcPr>
            <w:tcW w:w="1408" w:type="dxa"/>
            <w:tcBorders>
              <w:top w:val="nil"/>
              <w:left w:val="nil"/>
              <w:bottom w:val="nil"/>
              <w:right w:val="nil"/>
            </w:tcBorders>
            <w:shd w:val="clear" w:color="auto" w:fill="auto"/>
            <w:noWrap/>
            <w:vAlign w:val="bottom"/>
            <w:hideMark/>
          </w:tcPr>
          <w:p w14:paraId="2F6F175D" w14:textId="77777777" w:rsidR="00D13C36" w:rsidRPr="00E673DC" w:rsidRDefault="00D13C36" w:rsidP="002D4B1E">
            <w:pPr>
              <w:spacing w:after="0" w:line="240" w:lineRule="auto"/>
              <w:ind w:firstLine="0"/>
              <w:rPr>
                <w:rFonts w:eastAsia="Times New Roman"/>
                <w:color w:val="000000"/>
                <w:lang w:val="en-GB"/>
              </w:rPr>
            </w:pPr>
            <w:r w:rsidRPr="00E673DC">
              <w:rPr>
                <w:rFonts w:eastAsia="Times New Roman"/>
                <w:color w:val="000000"/>
                <w:lang w:val="en-GB"/>
              </w:rPr>
              <w:t>54%</w:t>
            </w:r>
          </w:p>
        </w:tc>
      </w:tr>
      <w:tr w:rsidR="00D13C36" w:rsidRPr="00E673DC" w14:paraId="259BA081" w14:textId="77777777" w:rsidTr="002D4B1E">
        <w:trPr>
          <w:trHeight w:val="294"/>
        </w:trPr>
        <w:tc>
          <w:tcPr>
            <w:tcW w:w="2907" w:type="dxa"/>
            <w:tcBorders>
              <w:top w:val="nil"/>
              <w:left w:val="nil"/>
              <w:bottom w:val="single" w:sz="4" w:space="0" w:color="auto"/>
              <w:right w:val="nil"/>
            </w:tcBorders>
            <w:shd w:val="clear" w:color="auto" w:fill="auto"/>
            <w:noWrap/>
            <w:vAlign w:val="bottom"/>
            <w:hideMark/>
          </w:tcPr>
          <w:p w14:paraId="56F2D66E" w14:textId="77777777" w:rsidR="00D13C36" w:rsidRPr="00E673DC" w:rsidRDefault="00D13C36" w:rsidP="008F526A">
            <w:pPr>
              <w:spacing w:after="0" w:line="240" w:lineRule="auto"/>
              <w:rPr>
                <w:rFonts w:eastAsia="Times New Roman"/>
                <w:color w:val="000000"/>
                <w:lang w:val="en-GB"/>
              </w:rPr>
            </w:pPr>
            <w:r w:rsidRPr="00E673DC">
              <w:rPr>
                <w:rFonts w:eastAsia="Times New Roman"/>
                <w:color w:val="000000"/>
                <w:lang w:val="en-GB"/>
              </w:rPr>
              <w:t> </w:t>
            </w:r>
          </w:p>
        </w:tc>
        <w:tc>
          <w:tcPr>
            <w:tcW w:w="2321" w:type="dxa"/>
            <w:tcBorders>
              <w:top w:val="nil"/>
              <w:left w:val="nil"/>
              <w:bottom w:val="single" w:sz="4" w:space="0" w:color="auto"/>
              <w:right w:val="nil"/>
            </w:tcBorders>
            <w:shd w:val="clear" w:color="auto" w:fill="auto"/>
            <w:noWrap/>
            <w:vAlign w:val="bottom"/>
            <w:hideMark/>
          </w:tcPr>
          <w:p w14:paraId="3D190BA2" w14:textId="77777777" w:rsidR="00D13C36" w:rsidRPr="00E673DC" w:rsidRDefault="00D13C36" w:rsidP="002D4B1E">
            <w:pPr>
              <w:spacing w:after="0" w:line="240" w:lineRule="auto"/>
              <w:ind w:firstLine="0"/>
              <w:rPr>
                <w:rFonts w:eastAsia="Times New Roman"/>
                <w:color w:val="000000"/>
                <w:lang w:val="en-GB"/>
              </w:rPr>
            </w:pPr>
            <w:r w:rsidRPr="00E673DC">
              <w:rPr>
                <w:rFonts w:eastAsia="Times New Roman"/>
                <w:color w:val="000000"/>
                <w:lang w:val="en-GB"/>
              </w:rPr>
              <w:t>More than 20</w:t>
            </w:r>
          </w:p>
        </w:tc>
        <w:tc>
          <w:tcPr>
            <w:tcW w:w="1734" w:type="dxa"/>
            <w:tcBorders>
              <w:top w:val="nil"/>
              <w:left w:val="nil"/>
              <w:bottom w:val="single" w:sz="4" w:space="0" w:color="auto"/>
              <w:right w:val="nil"/>
            </w:tcBorders>
            <w:shd w:val="clear" w:color="auto" w:fill="auto"/>
            <w:noWrap/>
            <w:vAlign w:val="bottom"/>
            <w:hideMark/>
          </w:tcPr>
          <w:p w14:paraId="04E01F3F" w14:textId="77777777" w:rsidR="00D13C36" w:rsidRPr="00E673DC" w:rsidRDefault="00D13C36" w:rsidP="002D4B1E">
            <w:pPr>
              <w:spacing w:after="0" w:line="240" w:lineRule="auto"/>
              <w:ind w:firstLine="0"/>
              <w:rPr>
                <w:rFonts w:eastAsia="Times New Roman"/>
                <w:color w:val="000000"/>
                <w:lang w:val="en-GB"/>
              </w:rPr>
            </w:pPr>
            <w:r w:rsidRPr="00E673DC">
              <w:rPr>
                <w:rFonts w:eastAsia="Times New Roman"/>
                <w:color w:val="000000"/>
                <w:lang w:val="en-GB"/>
              </w:rPr>
              <w:t>23</w:t>
            </w:r>
          </w:p>
        </w:tc>
        <w:tc>
          <w:tcPr>
            <w:tcW w:w="1408" w:type="dxa"/>
            <w:tcBorders>
              <w:top w:val="nil"/>
              <w:left w:val="nil"/>
              <w:bottom w:val="single" w:sz="4" w:space="0" w:color="auto"/>
              <w:right w:val="nil"/>
            </w:tcBorders>
            <w:shd w:val="clear" w:color="auto" w:fill="auto"/>
            <w:noWrap/>
            <w:vAlign w:val="bottom"/>
            <w:hideMark/>
          </w:tcPr>
          <w:p w14:paraId="251B5BC0" w14:textId="77777777" w:rsidR="00D13C36" w:rsidRPr="00E673DC" w:rsidRDefault="00D13C36" w:rsidP="002D4B1E">
            <w:pPr>
              <w:keepNext/>
              <w:spacing w:after="0" w:line="240" w:lineRule="auto"/>
              <w:ind w:firstLine="0"/>
              <w:rPr>
                <w:rFonts w:eastAsia="Times New Roman"/>
                <w:color w:val="000000"/>
                <w:lang w:val="en-GB"/>
              </w:rPr>
            </w:pPr>
            <w:r w:rsidRPr="00E673DC">
              <w:rPr>
                <w:rFonts w:eastAsia="Times New Roman"/>
                <w:color w:val="000000"/>
                <w:lang w:val="en-GB"/>
              </w:rPr>
              <w:t>7%</w:t>
            </w:r>
          </w:p>
        </w:tc>
      </w:tr>
    </w:tbl>
    <w:p w14:paraId="06E958FE" w14:textId="77777777" w:rsidR="00D13C36" w:rsidRPr="00E673DC" w:rsidRDefault="00D13C36" w:rsidP="00803C0A">
      <w:pPr>
        <w:pStyle w:val="heading2"/>
        <w:rPr>
          <w:sz w:val="24"/>
          <w:szCs w:val="24"/>
          <w:lang w:val="en-GB"/>
        </w:rPr>
      </w:pPr>
      <w:bookmarkStart w:id="32" w:name="_Toc197952407"/>
      <w:bookmarkStart w:id="33" w:name="_Hlk192581825"/>
      <w:r w:rsidRPr="00E673DC">
        <w:rPr>
          <w:sz w:val="24"/>
          <w:szCs w:val="24"/>
          <w:lang w:val="en-GB"/>
        </w:rPr>
        <w:t>Structural Equation Modelling</w:t>
      </w:r>
      <w:bookmarkEnd w:id="32"/>
    </w:p>
    <w:bookmarkEnd w:id="33"/>
    <w:p w14:paraId="4107B66E" w14:textId="7ED8CA19" w:rsidR="00D13C36" w:rsidRPr="00E673DC" w:rsidRDefault="00D13C36" w:rsidP="00D77795">
      <w:pPr>
        <w:ind w:firstLine="720"/>
        <w:rPr>
          <w:lang w:val="en-GB"/>
        </w:rPr>
      </w:pPr>
      <w:r w:rsidRPr="00E673DC">
        <w:rPr>
          <w:lang w:val="en-GB"/>
        </w:rPr>
        <w:t xml:space="preserve">The analytical phase of this scholarly conduct is grounded in PLS-SEM, a sophisticated yet advanced multivariate approach highly appropriate for exploratory studies </w:t>
      </w:r>
      <w:r w:rsidRPr="00E673DC">
        <w:rPr>
          <w:lang w:val="en-GB"/>
        </w:rPr>
        <w:lastRenderedPageBreak/>
        <w:fldChar w:fldCharType="begin"/>
      </w:r>
      <w:r w:rsidR="00E72F10" w:rsidRPr="00E673DC">
        <w:rPr>
          <w:lang w:val="en-GB"/>
        </w:rPr>
        <w:instrText xml:space="preserve"> ADDIN ZOTERO_ITEM CSL_CITATION {"citationID":"yOR1sb8C","properties":{"formattedCitation":"(Legate et al., 2023)","plainCitation":"(Legate et al., 2023)","noteIndex":0},"citationItems":[{"id":383,"uris":["http://zotero.org/users/local/TOdoVrPG/items/EYTYFVF9"],"itemData":{"id":383,"type":"article-journal","abstract":"Abstract Structural equation modeling, often referred to as SEM, is a well-established, covariance-based multivariate method used in Human Resource Development (HRD) quantitative research. In some research contexts, however, the rigorous assumptions associated with covariance-based SEM (CB-SEM) limit applications of the method. An emergent complementary SEM approach, partial least squares structural equation modeling (PLS-SEM), is a variance-based SEM method that provides valid solutions and overcomes several limitations associated with CB-SEM. Despite PLS-SEM's increasing popularity in many social sciences disciplines, the method has yet to gain traction in the field of HRD. An accessible overview of the method, including potential advantages for HRD research and extant methodological advancements, is provided in this article with the goal of encouraging productive dialogue in the field of HRD surrounding the PLS-SEM approach. We present an emergent analytical tool for quantitative HRD research, offer practical guidelines for researchers to consider when selecting a SEM method, and clarify assessment stages and up-to-date evaluation criteria through an illustrative example.","container-title":"Human Resource Development Quarterly","DOI":"10.1002/hrdq.21466","ISSN":"1044-8004","issue":"1","journalAbbreviation":"Human Resource Development Quarterly","note":"publisher: John Wiley &amp; Sons, Ltd","page":"91-109","title":"PLS-SEM: Prediction-oriented solutions for HRD researchers","URL":"https://doi.org/10.1002/hrdq.21466","volume":"34","author":[{"family":"Legate","given":"Amanda E."},{"family":"Hair Jr","given":"Joe F."},{"family":"Chretien","given":"Janice Lambert"},{"family":"Risher","given":"Jeffrey J."}],"accessed":{"date-parts":[["2025",3,9]]},"issued":{"date-parts":[["2023"]]}}}],"schema":"https://github.com/citation-style-language/schema/raw/master/csl-citation.json"} </w:instrText>
      </w:r>
      <w:r w:rsidRPr="00E673DC">
        <w:rPr>
          <w:lang w:val="en-GB"/>
        </w:rPr>
        <w:fldChar w:fldCharType="separate"/>
      </w:r>
      <w:r w:rsidRPr="00E673DC">
        <w:rPr>
          <w:lang w:val="en-GB"/>
        </w:rPr>
        <w:t>(Legate et al., 2023)</w:t>
      </w:r>
      <w:r w:rsidRPr="00E673DC">
        <w:rPr>
          <w:lang w:val="en-GB"/>
        </w:rPr>
        <w:fldChar w:fldCharType="end"/>
      </w:r>
      <w:r w:rsidRPr="00E673DC">
        <w:rPr>
          <w:lang w:val="en-GB"/>
        </w:rPr>
        <w:t xml:space="preserve">. The decision to use PLS-SEM </w:t>
      </w:r>
      <w:r w:rsidR="003231DD">
        <w:rPr>
          <w:lang w:val="en-GB"/>
        </w:rPr>
        <w:t>was</w:t>
      </w:r>
      <w:r w:rsidRPr="00E673DC">
        <w:rPr>
          <w:lang w:val="en-GB"/>
        </w:rPr>
        <w:t xml:space="preserve"> rooted in two overarching rationales. Firstly, the study aimed at deciphering the association between </w:t>
      </w:r>
      <w:r w:rsidR="003231DD">
        <w:rPr>
          <w:lang w:val="en-GB"/>
        </w:rPr>
        <w:t>Green HR Practices</w:t>
      </w:r>
      <w:r w:rsidRPr="00E673DC">
        <w:rPr>
          <w:lang w:val="en-GB"/>
        </w:rPr>
        <w:t xml:space="preserve">, </w:t>
      </w:r>
      <w:r w:rsidR="00BA5CEE" w:rsidRPr="00E673DC">
        <w:rPr>
          <w:lang w:val="en-GB"/>
        </w:rPr>
        <w:t>GIB</w:t>
      </w:r>
      <w:r w:rsidR="003231DD">
        <w:rPr>
          <w:lang w:val="en-GB"/>
        </w:rPr>
        <w:t>,</w:t>
      </w:r>
      <w:r w:rsidRPr="00E673DC">
        <w:rPr>
          <w:lang w:val="en-GB"/>
        </w:rPr>
        <w:t xml:space="preserve"> and </w:t>
      </w:r>
      <w:r w:rsidR="00BA5CEE" w:rsidRPr="00E673DC">
        <w:rPr>
          <w:lang w:val="en-GB"/>
        </w:rPr>
        <w:t>OCBE</w:t>
      </w:r>
      <w:r w:rsidRPr="00E673DC">
        <w:rPr>
          <w:lang w:val="en-GB"/>
        </w:rPr>
        <w:t xml:space="preserve"> through means of direct and indirect path</w:t>
      </w:r>
      <w:r w:rsidR="003231DD">
        <w:rPr>
          <w:lang w:val="en-GB"/>
        </w:rPr>
        <w:t>s</w:t>
      </w:r>
      <w:r w:rsidRPr="00E673DC">
        <w:rPr>
          <w:lang w:val="en-GB"/>
        </w:rPr>
        <w:t>. Since PLS-SEM is highly proficient in dissecting intricate model</w:t>
      </w:r>
      <w:r w:rsidR="003231DD">
        <w:rPr>
          <w:lang w:val="en-GB"/>
        </w:rPr>
        <w:t>s</w:t>
      </w:r>
      <w:r w:rsidRPr="00E673DC">
        <w:rPr>
          <w:lang w:val="en-GB"/>
        </w:rPr>
        <w:t xml:space="preserve">, </w:t>
      </w:r>
      <w:r w:rsidR="003231DD">
        <w:rPr>
          <w:lang w:val="en-GB"/>
        </w:rPr>
        <w:t xml:space="preserve">it </w:t>
      </w:r>
      <w:r w:rsidRPr="00E673DC">
        <w:rPr>
          <w:lang w:val="en-GB"/>
        </w:rPr>
        <w:t xml:space="preserve">hence offers a rigorous approach to elucidate the underlying mechanism embedded in sample data </w:t>
      </w:r>
      <w:r w:rsidRPr="00E673DC">
        <w:rPr>
          <w:lang w:val="en-GB"/>
        </w:rPr>
        <w:fldChar w:fldCharType="begin"/>
      </w:r>
      <w:r w:rsidRPr="00E673DC">
        <w:rPr>
          <w:lang w:val="en-GB"/>
        </w:rPr>
        <w:instrText xml:space="preserve"> ADDIN ZOTERO_ITEM CSL_CITATION {"citationID":"waibO8aF","properties":{"formattedCitation":"(Hair et al., 2019)","plainCitation":"(Hair et al., 2019)","noteIndex":0},"citationItems":[{"id":382,"uris":["http://zotero.org/users/local/TOdoVrPG/items/FN3HD3T6"],"itemData":{"id":382,"type":"article-journal","abstract":"Purpose – The purpose of this paper is to provide a comprehensive, yet concise, overview of the considerations and metrics required for partial least squares structural equation modeling (PLS-SEM) analysis and result reporting. Preliminary considerations are summarized ﬁrst, including reasons for choosing PLS-SEM, recommended sample size in selected contexts, distributional assumptions, use of secondary data, statistical power and the need for goodness-of-ﬁt testing. Next, the metrics as well as the rules of thumb that should be applied to assess the PLS-SEM results are covered. Besides presenting established PLS-SEM evaluation criteria, the overview includes the following new guidelines: PLSpredict (i.e., a novel approach for assessing a model’s out-of-sample prediction), metrics for model comparisons, and several complementary methods for checking the results’ robustness.","container-title":"European business review","DOI":"https:// doi. org/ 10. 1108/ EBR-11- 2018- 0203","issue":"1","language":"en","page":"2 - 24","source":"Zotero","title":"When to use and how to report the results of PLS-SEM","volume":"31","author":[{"family":"Hair","given":"Joseph F"},{"family":"Risher","given":"Jeffrey J"},{"family":"Sarstedt","given":"Marko"},{"family":"Ringle","given":"Christian M"}],"accessed":{"date-parts":[["2025",2,25]]},"issued":{"date-parts":[["2019"]]}}}],"schema":"https://github.com/citation-style-language/schema/raw/master/csl-citation.json"} </w:instrText>
      </w:r>
      <w:r w:rsidRPr="00E673DC">
        <w:rPr>
          <w:lang w:val="en-GB"/>
        </w:rPr>
        <w:fldChar w:fldCharType="separate"/>
      </w:r>
      <w:r w:rsidRPr="00E673DC">
        <w:rPr>
          <w:lang w:val="en-GB"/>
        </w:rPr>
        <w:t>(Hair et al., 2019)</w:t>
      </w:r>
      <w:r w:rsidRPr="00E673DC">
        <w:rPr>
          <w:lang w:val="en-GB"/>
        </w:rPr>
        <w:fldChar w:fldCharType="end"/>
      </w:r>
      <w:r w:rsidRPr="00E673DC">
        <w:rPr>
          <w:lang w:val="en-GB"/>
        </w:rPr>
        <w:t xml:space="preserve">. As the present study </w:t>
      </w:r>
      <w:r w:rsidR="003231DD">
        <w:rPr>
          <w:lang w:val="en-GB"/>
        </w:rPr>
        <w:t>seeks</w:t>
      </w:r>
      <w:r w:rsidRPr="00E673DC">
        <w:rPr>
          <w:lang w:val="en-GB"/>
        </w:rPr>
        <w:t xml:space="preserve"> to assess the predictive capabilities of </w:t>
      </w:r>
      <w:r w:rsidR="003231DD">
        <w:rPr>
          <w:lang w:val="en-GB"/>
        </w:rPr>
        <w:t xml:space="preserve">the </w:t>
      </w:r>
      <w:r w:rsidRPr="00E673DC">
        <w:rPr>
          <w:lang w:val="en-GB"/>
        </w:rPr>
        <w:t xml:space="preserve">conceptual model, </w:t>
      </w:r>
      <w:r w:rsidR="003231DD">
        <w:rPr>
          <w:lang w:val="en-GB"/>
        </w:rPr>
        <w:t xml:space="preserve">this </w:t>
      </w:r>
      <w:r w:rsidRPr="00E673DC">
        <w:rPr>
          <w:lang w:val="en-GB"/>
        </w:rPr>
        <w:t>allow</w:t>
      </w:r>
      <w:r w:rsidR="003231DD">
        <w:rPr>
          <w:lang w:val="en-GB"/>
        </w:rPr>
        <w:t>s</w:t>
      </w:r>
      <w:r w:rsidRPr="00E673DC">
        <w:rPr>
          <w:lang w:val="en-GB"/>
        </w:rPr>
        <w:t xml:space="preserve"> us to </w:t>
      </w:r>
      <w:r w:rsidR="007F5DFA">
        <w:rPr>
          <w:lang w:val="en-GB"/>
        </w:rPr>
        <w:t>utilis</w:t>
      </w:r>
      <w:r w:rsidRPr="00E673DC">
        <w:rPr>
          <w:lang w:val="en-GB"/>
        </w:rPr>
        <w:t>e this approach to anticipate key outcomes derived from hypothesi</w:t>
      </w:r>
      <w:r w:rsidR="003231DD">
        <w:rPr>
          <w:lang w:val="en-GB"/>
        </w:rPr>
        <w:t>s</w:t>
      </w:r>
      <w:r w:rsidRPr="00E673DC">
        <w:rPr>
          <w:lang w:val="en-GB"/>
        </w:rPr>
        <w:t xml:space="preserve">ed relationships. The implementation of PLS-SEM involves two structured phases of model estimation: </w:t>
      </w:r>
      <w:r w:rsidR="003231DD">
        <w:rPr>
          <w:lang w:val="en-GB"/>
        </w:rPr>
        <w:t xml:space="preserve">the </w:t>
      </w:r>
      <w:r w:rsidRPr="00E673DC">
        <w:rPr>
          <w:lang w:val="en-GB"/>
        </w:rPr>
        <w:t xml:space="preserve">measurement model and structural model. The measurement model is evaluated to assess </w:t>
      </w:r>
      <w:r w:rsidR="003231DD">
        <w:rPr>
          <w:lang w:val="en-GB"/>
        </w:rPr>
        <w:t xml:space="preserve">the </w:t>
      </w:r>
      <w:r w:rsidRPr="00E673DC">
        <w:rPr>
          <w:lang w:val="en-GB"/>
        </w:rPr>
        <w:t>model reliability and validity</w:t>
      </w:r>
      <w:r w:rsidR="003231DD">
        <w:rPr>
          <w:lang w:val="en-GB"/>
        </w:rPr>
        <w:t>,</w:t>
      </w:r>
      <w:r w:rsidRPr="00E673DC">
        <w:rPr>
          <w:lang w:val="en-GB"/>
        </w:rPr>
        <w:t xml:space="preserve"> whereas </w:t>
      </w:r>
      <w:r w:rsidR="003231DD">
        <w:rPr>
          <w:lang w:val="en-GB"/>
        </w:rPr>
        <w:t xml:space="preserve">the </w:t>
      </w:r>
      <w:r w:rsidRPr="00E673DC">
        <w:rPr>
          <w:lang w:val="en-GB"/>
        </w:rPr>
        <w:t xml:space="preserve">structural model is assessed to examine the direct, </w:t>
      </w:r>
      <w:r w:rsidR="00F8610F" w:rsidRPr="00E673DC">
        <w:rPr>
          <w:lang w:val="en-GB"/>
        </w:rPr>
        <w:t>indirect,</w:t>
      </w:r>
      <w:r w:rsidRPr="00E673DC">
        <w:rPr>
          <w:lang w:val="en-GB"/>
        </w:rPr>
        <w:t xml:space="preserve"> and mediating paths. </w:t>
      </w:r>
      <w:r w:rsidR="00F8610F" w:rsidRPr="00E673DC">
        <w:rPr>
          <w:lang w:val="en-GB"/>
        </w:rPr>
        <w:t>This</w:t>
      </w:r>
      <w:r w:rsidRPr="00E673DC">
        <w:rPr>
          <w:lang w:val="en-GB"/>
        </w:rPr>
        <w:t xml:space="preserve"> exhaustive analytical paradigm validates the predicated assumption</w:t>
      </w:r>
      <w:r w:rsidR="002A4FAE">
        <w:rPr>
          <w:lang w:val="en-GB"/>
        </w:rPr>
        <w:t>s</w:t>
      </w:r>
      <w:r w:rsidRPr="00E673DC">
        <w:rPr>
          <w:lang w:val="en-GB"/>
        </w:rPr>
        <w:t>, unravel</w:t>
      </w:r>
      <w:r w:rsidR="003231DD">
        <w:rPr>
          <w:lang w:val="en-GB"/>
        </w:rPr>
        <w:t>l</w:t>
      </w:r>
      <w:r w:rsidRPr="00E673DC">
        <w:rPr>
          <w:lang w:val="en-GB"/>
        </w:rPr>
        <w:t>in</w:t>
      </w:r>
      <w:r w:rsidR="003231DD">
        <w:rPr>
          <w:lang w:val="en-GB"/>
        </w:rPr>
        <w:t>g</w:t>
      </w:r>
      <w:r w:rsidRPr="00E673DC">
        <w:rPr>
          <w:lang w:val="en-GB"/>
        </w:rPr>
        <w:t xml:space="preserve"> the convoluted relationship between </w:t>
      </w:r>
      <w:r w:rsidR="003231DD">
        <w:rPr>
          <w:lang w:val="en-GB"/>
        </w:rPr>
        <w:t>Green HR Practices</w:t>
      </w:r>
      <w:r w:rsidRPr="00E673DC">
        <w:rPr>
          <w:lang w:val="en-GB"/>
        </w:rPr>
        <w:t xml:space="preserve"> (GL&amp;D</w:t>
      </w:r>
      <w:r w:rsidR="003231DD">
        <w:rPr>
          <w:lang w:val="en-GB"/>
        </w:rPr>
        <w:t xml:space="preserve"> and</w:t>
      </w:r>
      <w:r w:rsidRPr="00E673DC">
        <w:rPr>
          <w:lang w:val="en-GB"/>
        </w:rPr>
        <w:t xml:space="preserve"> GR&amp;C), GIB</w:t>
      </w:r>
      <w:r w:rsidR="003231DD">
        <w:rPr>
          <w:lang w:val="en-GB"/>
        </w:rPr>
        <w:t>,</w:t>
      </w:r>
      <w:r w:rsidRPr="00E673DC">
        <w:rPr>
          <w:lang w:val="en-GB"/>
        </w:rPr>
        <w:t xml:space="preserve"> and OCBE.</w:t>
      </w:r>
    </w:p>
    <w:p w14:paraId="5FEE6F9A" w14:textId="34984A68" w:rsidR="00D13C36" w:rsidRPr="00E673DC" w:rsidRDefault="00D13C36">
      <w:pPr>
        <w:pStyle w:val="heading2"/>
        <w:numPr>
          <w:ilvl w:val="2"/>
          <w:numId w:val="1"/>
        </w:numPr>
        <w:rPr>
          <w:rFonts w:asciiTheme="majorBidi" w:hAnsiTheme="majorBidi" w:cstheme="majorBidi"/>
          <w:sz w:val="24"/>
          <w:szCs w:val="24"/>
          <w:lang w:val="en-GB"/>
        </w:rPr>
      </w:pPr>
      <w:bookmarkStart w:id="34" w:name="_Toc197952408"/>
      <w:r w:rsidRPr="00E673DC">
        <w:rPr>
          <w:rFonts w:asciiTheme="majorBidi" w:hAnsiTheme="majorBidi" w:cstheme="majorBidi"/>
          <w:sz w:val="24"/>
          <w:szCs w:val="24"/>
          <w:lang w:val="en-GB"/>
        </w:rPr>
        <w:t xml:space="preserve">Measurement </w:t>
      </w:r>
      <w:r w:rsidR="003231DD">
        <w:rPr>
          <w:rFonts w:asciiTheme="majorBidi" w:hAnsiTheme="majorBidi" w:cstheme="majorBidi"/>
          <w:sz w:val="24"/>
          <w:szCs w:val="24"/>
          <w:lang w:val="en-GB"/>
        </w:rPr>
        <w:t>M</w:t>
      </w:r>
      <w:r w:rsidRPr="00E673DC">
        <w:rPr>
          <w:rFonts w:asciiTheme="majorBidi" w:hAnsiTheme="majorBidi" w:cstheme="majorBidi"/>
          <w:sz w:val="24"/>
          <w:szCs w:val="24"/>
          <w:lang w:val="en-GB"/>
        </w:rPr>
        <w:t>odel</w:t>
      </w:r>
      <w:bookmarkEnd w:id="34"/>
    </w:p>
    <w:p w14:paraId="593C5863" w14:textId="5C1DB79A" w:rsidR="00D13C36" w:rsidRPr="00E673DC" w:rsidRDefault="00D13C36" w:rsidP="00D77795">
      <w:pPr>
        <w:ind w:firstLine="720"/>
        <w:rPr>
          <w:lang w:val="en-GB"/>
        </w:rPr>
      </w:pPr>
      <w:r w:rsidRPr="00E673DC">
        <w:rPr>
          <w:lang w:val="en-GB"/>
        </w:rPr>
        <w:t>Following the established criteria of Hair et al.</w:t>
      </w:r>
      <w:r w:rsidR="003231DD">
        <w:rPr>
          <w:lang w:val="en-GB"/>
        </w:rPr>
        <w:t xml:space="preserve"> </w:t>
      </w:r>
      <w:r w:rsidRPr="00E673DC">
        <w:rPr>
          <w:lang w:val="en-GB"/>
        </w:rPr>
        <w:fldChar w:fldCharType="begin"/>
      </w:r>
      <w:r w:rsidRPr="00E673DC">
        <w:rPr>
          <w:lang w:val="en-GB"/>
        </w:rPr>
        <w:instrText xml:space="preserve"> ADDIN ZOTERO_ITEM CSL_CITATION {"citationID":"lWvZCMdP","properties":{"formattedCitation":"(2019)","plainCitation":"(2019)","noteIndex":0},"citationItems":[{"id":382,"uris":["http://zotero.org/users/local/TOdoVrPG/items/FN3HD3T6"],"itemData":{"id":382,"type":"article-journal","abstract":"Purpose – The purpose of this paper is to provide a comprehensive, yet concise, overview of the considerations and metrics required for partial least squares structural equation modeling (PLS-SEM) analysis and result reporting. Preliminary considerations are summarized ﬁrst, including reasons for choosing PLS-SEM, recommended sample size in selected contexts, distributional assumptions, use of secondary data, statistical power and the need for goodness-of-ﬁt testing. Next, the metrics as well as the rules of thumb that should be applied to assess the PLS-SEM results are covered. Besides presenting established PLS-SEM evaluation criteria, the overview includes the following new guidelines: PLSpredict (i.e., a novel approach for assessing a model’s out-of-sample prediction), metrics for model comparisons, and several complementary methods for checking the results’ robustness.","container-title":"European business review","DOI":"https:// doi. org/ 10. 1108/ EBR-11- 2018- 0203","issue":"1","language":"en","page":"2 - 24","source":"Zotero","title":"When to use and how to report the results of PLS-SEM","volume":"31","author":[{"family":"Hair","given":"Joseph F"},{"family":"Risher","given":"Jeffrey J"},{"family":"Sarstedt","given":"Marko"},{"family":"Ringle","given":"Christian M"}],"accessed":{"date-parts":[["2025",2,25]]},"issued":{"date-parts":[["2019"]]}},"suppress-author":true}],"schema":"https://github.com/citation-style-language/schema/raw/master/csl-citation.json"} </w:instrText>
      </w:r>
      <w:r w:rsidRPr="00E673DC">
        <w:rPr>
          <w:lang w:val="en-GB"/>
        </w:rPr>
        <w:fldChar w:fldCharType="separate"/>
      </w:r>
      <w:r w:rsidRPr="00E673DC">
        <w:rPr>
          <w:lang w:val="en-GB"/>
        </w:rPr>
        <w:t>(2019)</w:t>
      </w:r>
      <w:r w:rsidRPr="00E673DC">
        <w:rPr>
          <w:lang w:val="en-GB"/>
        </w:rPr>
        <w:fldChar w:fldCharType="end"/>
      </w:r>
      <w:r w:rsidRPr="00E673DC">
        <w:rPr>
          <w:lang w:val="en-GB"/>
        </w:rPr>
        <w:t xml:space="preserve">, the study appraised </w:t>
      </w:r>
      <w:r w:rsidR="003231DD">
        <w:rPr>
          <w:lang w:val="en-GB"/>
        </w:rPr>
        <w:t xml:space="preserve">the </w:t>
      </w:r>
      <w:r w:rsidRPr="00E673DC">
        <w:rPr>
          <w:lang w:val="en-GB"/>
        </w:rPr>
        <w:t>measurement model</w:t>
      </w:r>
      <w:r w:rsidR="003231DD">
        <w:rPr>
          <w:lang w:val="en-GB"/>
        </w:rPr>
        <w:t>'</w:t>
      </w:r>
      <w:r w:rsidRPr="00E673DC">
        <w:rPr>
          <w:lang w:val="en-GB"/>
        </w:rPr>
        <w:t>s integrity through two pivotal methodological approaches</w:t>
      </w:r>
      <w:r w:rsidR="007C1704">
        <w:rPr>
          <w:lang w:val="en-GB"/>
        </w:rPr>
        <w:t>:</w:t>
      </w:r>
      <w:r w:rsidRPr="00E673DC">
        <w:rPr>
          <w:lang w:val="en-GB"/>
        </w:rPr>
        <w:t xml:space="preserve"> reliability and validity. Internal consistency is assessed by correlating the responses to various questions within a questionnaire. It evaluates the uniformity of responses across a subset of questions. Several methods exist for calculating </w:t>
      </w:r>
      <w:r w:rsidR="007C1704">
        <w:rPr>
          <w:lang w:val="en-GB"/>
        </w:rPr>
        <w:t xml:space="preserve">the </w:t>
      </w:r>
      <w:r w:rsidRPr="00E673DC">
        <w:rPr>
          <w:lang w:val="en-GB"/>
        </w:rPr>
        <w:t>internal consistency, with Cronbach</w:t>
      </w:r>
      <w:r w:rsidR="007C1704">
        <w:rPr>
          <w:lang w:val="en-GB"/>
        </w:rPr>
        <w:t>'</w:t>
      </w:r>
      <w:r w:rsidRPr="00E673DC">
        <w:rPr>
          <w:lang w:val="en-GB"/>
        </w:rPr>
        <w:t xml:space="preserve">s alpha being one of the most widely </w:t>
      </w:r>
      <w:r w:rsidR="007F5DFA">
        <w:rPr>
          <w:lang w:val="en-GB"/>
        </w:rPr>
        <w:t>utilis</w:t>
      </w:r>
      <w:r w:rsidRPr="00E673DC">
        <w:rPr>
          <w:lang w:val="en-GB"/>
        </w:rPr>
        <w:t xml:space="preserve">ed </w:t>
      </w:r>
      <w:r w:rsidRPr="00E673DC">
        <w:rPr>
          <w:lang w:val="en-GB"/>
        </w:rPr>
        <w:fldChar w:fldCharType="begin"/>
      </w:r>
      <w:r w:rsidR="00782EAE" w:rsidRPr="00E673DC">
        <w:rPr>
          <w:lang w:val="en-GB"/>
        </w:rPr>
        <w:instrText xml:space="preserve"> ADDIN ZOTERO_ITEM CSL_CITATION {"citationID":"UWldXQIe","properties":{"formattedCitation":"(Saunders et al., 2019)","plainCitation":"(Saunders et al., 2019)","noteIndex":0},"citationItems":[{"id":380,"uris":["http://zotero.org/users/local/TOdoVrPG/items/Y4H23Q7W"],"itemData":{"id":380,"type":"book","publisher":"Pearson Education","title":"Research Methods for Business Students","author":[{"family":"Saunders","given":"M."},{"family":"Lewis","given":"P."},{"family":"Thornhill","given":"A."}],"issued":{"date-parts":[["2019"]]}}}],"schema":"https://github.com/citation-style-language/schema/raw/master/csl-citation.json"} </w:instrText>
      </w:r>
      <w:r w:rsidRPr="00E673DC">
        <w:rPr>
          <w:lang w:val="en-GB"/>
        </w:rPr>
        <w:fldChar w:fldCharType="separate"/>
      </w:r>
      <w:r w:rsidR="00782EAE" w:rsidRPr="00E673DC">
        <w:rPr>
          <w:lang w:val="en-GB"/>
        </w:rPr>
        <w:t>(Saunders et al., 2019)</w:t>
      </w:r>
      <w:r w:rsidRPr="00E673DC">
        <w:rPr>
          <w:lang w:val="en-GB"/>
        </w:rPr>
        <w:fldChar w:fldCharType="end"/>
      </w:r>
      <w:r w:rsidR="007C1704">
        <w:rPr>
          <w:lang w:val="en-GB"/>
        </w:rPr>
        <w:t>,</w:t>
      </w:r>
      <w:r w:rsidRPr="00E673DC">
        <w:rPr>
          <w:lang w:val="en-GB"/>
        </w:rPr>
        <w:t xml:space="preserve"> </w:t>
      </w:r>
      <w:r w:rsidR="007C1704">
        <w:rPr>
          <w:lang w:val="en-GB"/>
        </w:rPr>
        <w:t xml:space="preserve">as well as </w:t>
      </w:r>
      <w:r w:rsidRPr="00E673DC">
        <w:rPr>
          <w:lang w:val="en-GB"/>
        </w:rPr>
        <w:t>Composite Reliability (CR). Cronbach</w:t>
      </w:r>
      <w:r w:rsidR="007C1704">
        <w:rPr>
          <w:lang w:val="en-GB"/>
        </w:rPr>
        <w:t>'</w:t>
      </w:r>
      <w:r w:rsidRPr="00E673DC">
        <w:rPr>
          <w:lang w:val="en-GB"/>
        </w:rPr>
        <w:t xml:space="preserve">s alpha was developed by Lee Cronbach in 1951 and </w:t>
      </w:r>
      <w:r w:rsidR="00B52DE7" w:rsidRPr="00E673DC">
        <w:rPr>
          <w:lang w:val="en-GB"/>
        </w:rPr>
        <w:t xml:space="preserve">typically describes how well all </w:t>
      </w:r>
      <w:r w:rsidR="00B421C5">
        <w:rPr>
          <w:lang w:val="en-GB"/>
        </w:rPr>
        <w:t xml:space="preserve">the </w:t>
      </w:r>
      <w:r w:rsidR="00B52DE7" w:rsidRPr="00E673DC">
        <w:rPr>
          <w:lang w:val="en-GB"/>
        </w:rPr>
        <w:t xml:space="preserve">items in a test measure the same concept or construct, relating to the inter-relatedness of </w:t>
      </w:r>
      <w:r w:rsidR="00B52DE7" w:rsidRPr="00E673DC">
        <w:rPr>
          <w:lang w:val="en-GB"/>
        </w:rPr>
        <w:lastRenderedPageBreak/>
        <w:t>the test items (Tavakol &amp; Dennick, 2011).</w:t>
      </w:r>
      <w:r w:rsidRPr="00E673DC">
        <w:rPr>
          <w:lang w:val="en-GB"/>
        </w:rPr>
        <w:t xml:space="preserve"> </w:t>
      </w:r>
      <w:r w:rsidR="00B52DE7" w:rsidRPr="00E673DC">
        <w:rPr>
          <w:lang w:val="en-GB"/>
        </w:rPr>
        <w:t xml:space="preserve">It has an alpha coefficient </w:t>
      </w:r>
      <w:r w:rsidR="00F8610F" w:rsidRPr="00E673DC">
        <w:rPr>
          <w:lang w:val="en-GB"/>
        </w:rPr>
        <w:t>range</w:t>
      </w:r>
      <w:r w:rsidR="00B52DE7" w:rsidRPr="00E673DC">
        <w:rPr>
          <w:lang w:val="en-GB"/>
        </w:rPr>
        <w:t xml:space="preserve"> from 0 to 1.</w:t>
      </w:r>
      <w:r w:rsidRPr="00E673DC">
        <w:rPr>
          <w:lang w:val="en-GB"/>
        </w:rPr>
        <w:t xml:space="preserve"> </w:t>
      </w:r>
      <w:r w:rsidR="00B52DE7" w:rsidRPr="00E673DC">
        <w:rPr>
          <w:lang w:val="en-GB"/>
        </w:rPr>
        <w:t xml:space="preserve">Values of 0.7 or higher show that the scale's questions measure the same concept </w:t>
      </w:r>
      <w:r w:rsidRPr="00E673DC">
        <w:rPr>
          <w:lang w:val="en-GB"/>
        </w:rPr>
        <w:fldChar w:fldCharType="begin"/>
      </w:r>
      <w:r w:rsidR="00782EAE" w:rsidRPr="00E673DC">
        <w:rPr>
          <w:lang w:val="en-GB"/>
        </w:rPr>
        <w:instrText xml:space="preserve"> ADDIN ZOTERO_ITEM CSL_CITATION {"citationID":"goXRaTAR","properties":{"formattedCitation":"(Saunders et al., 2019)","plainCitation":"(Saunders et al., 2019)","noteIndex":0},"citationItems":[{"id":380,"uris":["http://zotero.org/users/local/TOdoVrPG/items/Y4H23Q7W"],"itemData":{"id":380,"type":"book","publisher":"Pearson Education","title":"Research Methods for Business Students","author":[{"family":"Saunders","given":"M."},{"family":"Lewis","given":"P."},{"family":"Thornhill","given":"A."}],"issued":{"date-parts":[["2019"]]}}}],"schema":"https://github.com/citation-style-language/schema/raw/master/csl-citation.json"} </w:instrText>
      </w:r>
      <w:r w:rsidRPr="00E673DC">
        <w:rPr>
          <w:lang w:val="en-GB"/>
        </w:rPr>
        <w:fldChar w:fldCharType="separate"/>
      </w:r>
      <w:r w:rsidR="00782EAE" w:rsidRPr="00E673DC">
        <w:rPr>
          <w:lang w:val="en-GB"/>
        </w:rPr>
        <w:t>(Saunders et al., 2019)</w:t>
      </w:r>
      <w:r w:rsidRPr="00E673DC">
        <w:rPr>
          <w:lang w:val="en-GB"/>
        </w:rPr>
        <w:fldChar w:fldCharType="end"/>
      </w:r>
      <w:r w:rsidRPr="00E673DC">
        <w:rPr>
          <w:lang w:val="en-GB"/>
        </w:rPr>
        <w:t>. Composite Reliability (CR) is also a measure used to assess the internal consistency of a construct, indicating the extent to which all items within a test consistently represent the same underlying concept. It is particularly relevant in structural equation model</w:t>
      </w:r>
      <w:r w:rsidR="00DC79D6">
        <w:rPr>
          <w:lang w:val="en-GB"/>
        </w:rPr>
        <w:t>l</w:t>
      </w:r>
      <w:r w:rsidRPr="00E673DC">
        <w:rPr>
          <w:lang w:val="en-GB"/>
        </w:rPr>
        <w:t>ing and is considered a more precise reliability estimate than Cronbach</w:t>
      </w:r>
      <w:r w:rsidR="007C1704">
        <w:rPr>
          <w:lang w:val="en-GB"/>
        </w:rPr>
        <w:t>'</w:t>
      </w:r>
      <w:r w:rsidRPr="00E673DC">
        <w:rPr>
          <w:lang w:val="en-GB"/>
        </w:rPr>
        <w:t xml:space="preserve">s alpha, as it takes into account the different factor loadings of items </w:t>
      </w:r>
      <w:r w:rsidRPr="00E673DC">
        <w:rPr>
          <w:lang w:val="en-GB"/>
        </w:rPr>
        <w:fldChar w:fldCharType="begin"/>
      </w:r>
      <w:r w:rsidRPr="00E673DC">
        <w:rPr>
          <w:lang w:val="en-GB"/>
        </w:rPr>
        <w:instrText xml:space="preserve"> ADDIN ZOTERO_ITEM CSL_CITATION {"citationID":"ndxoWZzp","properties":{"formattedCitation":"(Hair et al., 2019)","plainCitation":"(Hair et al., 2019)","noteIndex":0},"citationItems":[{"id":382,"uris":["http://zotero.org/users/local/TOdoVrPG/items/FN3HD3T6"],"itemData":{"id":382,"type":"article-journal","abstract":"Purpose – The purpose of this paper is to provide a comprehensive, yet concise, overview of the considerations and metrics required for partial least squares structural equation modeling (PLS-SEM) analysis and result reporting. Preliminary considerations are summarized ﬁrst, including reasons for choosing PLS-SEM, recommended sample size in selected contexts, distributional assumptions, use of secondary data, statistical power and the need for goodness-of-ﬁt testing. Next, the metrics as well as the rules of thumb that should be applied to assess the PLS-SEM results are covered. Besides presenting established PLS-SEM evaluation criteria, the overview includes the following new guidelines: PLSpredict (i.e., a novel approach for assessing a model’s out-of-sample prediction), metrics for model comparisons, and several complementary methods for checking the results’ robustness.","container-title":"European business review","DOI":"https:// doi. org/ 10. 1108/ EBR-11- 2018- 0203","issue":"1","language":"en","page":"2 - 24","source":"Zotero","title":"When to use and how to report the results of PLS-SEM","volume":"31","author":[{"family":"Hair","given":"Joseph F"},{"family":"Risher","given":"Jeffrey J"},{"family":"Sarstedt","given":"Marko"},{"family":"Ringle","given":"Christian M"}],"accessed":{"date-parts":[["2025",2,25]]},"issued":{"date-parts":[["2019"]]}}}],"schema":"https://github.com/citation-style-language/schema/raw/master/csl-citation.json"} </w:instrText>
      </w:r>
      <w:r w:rsidRPr="00E673DC">
        <w:rPr>
          <w:lang w:val="en-GB"/>
        </w:rPr>
        <w:fldChar w:fldCharType="separate"/>
      </w:r>
      <w:r w:rsidRPr="00E673DC">
        <w:rPr>
          <w:lang w:val="en-GB"/>
        </w:rPr>
        <w:t>(Hair et al., 2019)</w:t>
      </w:r>
      <w:r w:rsidRPr="00E673DC">
        <w:rPr>
          <w:lang w:val="en-GB"/>
        </w:rPr>
        <w:fldChar w:fldCharType="end"/>
      </w:r>
      <w:r w:rsidRPr="00E673DC">
        <w:rPr>
          <w:lang w:val="en-GB"/>
        </w:rPr>
        <w:t>. Whereas</w:t>
      </w:r>
      <w:r w:rsidR="007C1704">
        <w:rPr>
          <w:lang w:val="en-GB"/>
        </w:rPr>
        <w:t>, the</w:t>
      </w:r>
      <w:r w:rsidRPr="00E673DC">
        <w:rPr>
          <w:lang w:val="en-GB"/>
        </w:rPr>
        <w:t xml:space="preserve"> validity of the model is captured through convergent validity and discriminant validity. As eviden</w:t>
      </w:r>
      <w:r w:rsidR="00B421C5">
        <w:rPr>
          <w:lang w:val="en-GB"/>
        </w:rPr>
        <w:t>ced</w:t>
      </w:r>
      <w:r w:rsidRPr="00E673DC">
        <w:rPr>
          <w:lang w:val="en-GB"/>
        </w:rPr>
        <w:t xml:space="preserve"> in </w:t>
      </w:r>
      <w:r w:rsidR="007C1704">
        <w:rPr>
          <w:lang w:val="en-GB"/>
        </w:rPr>
        <w:t xml:space="preserve">the </w:t>
      </w:r>
      <w:r w:rsidRPr="00E673DC">
        <w:rPr>
          <w:lang w:val="en-GB"/>
        </w:rPr>
        <w:t xml:space="preserve">earlier discussion </w:t>
      </w:r>
      <w:r w:rsidR="002A4FAE">
        <w:rPr>
          <w:lang w:val="en-GB"/>
        </w:rPr>
        <w:t xml:space="preserve">in terms of </w:t>
      </w:r>
      <w:r w:rsidRPr="00E673DC">
        <w:rPr>
          <w:lang w:val="en-GB"/>
        </w:rPr>
        <w:t xml:space="preserve">using </w:t>
      </w:r>
      <w:r w:rsidR="007C1704">
        <w:rPr>
          <w:lang w:val="en-GB"/>
        </w:rPr>
        <w:t xml:space="preserve">a </w:t>
      </w:r>
      <w:r w:rsidRPr="00E673DC">
        <w:rPr>
          <w:lang w:val="en-GB"/>
        </w:rPr>
        <w:t xml:space="preserve">multidimensional scale </w:t>
      </w:r>
      <w:r w:rsidR="002A4FAE">
        <w:rPr>
          <w:lang w:val="en-GB"/>
        </w:rPr>
        <w:t xml:space="preserve">to explore </w:t>
      </w:r>
      <w:r w:rsidR="003231DD">
        <w:rPr>
          <w:lang w:val="en-GB"/>
        </w:rPr>
        <w:t>Green HR Practices</w:t>
      </w:r>
      <w:r w:rsidRPr="00E673DC">
        <w:rPr>
          <w:lang w:val="en-GB"/>
        </w:rPr>
        <w:t>; GL&amp;D</w:t>
      </w:r>
      <w:r w:rsidR="002A4FAE">
        <w:rPr>
          <w:lang w:val="en-GB"/>
        </w:rPr>
        <w:t>,</w:t>
      </w:r>
      <w:r w:rsidRPr="00E673DC">
        <w:rPr>
          <w:lang w:val="en-GB"/>
        </w:rPr>
        <w:t xml:space="preserve"> and GR&amp;C, </w:t>
      </w:r>
      <w:r w:rsidR="007C1704">
        <w:rPr>
          <w:lang w:val="en-GB"/>
        </w:rPr>
        <w:t xml:space="preserve">the </w:t>
      </w:r>
      <w:r w:rsidRPr="00E673DC">
        <w:rPr>
          <w:lang w:val="en-GB"/>
        </w:rPr>
        <w:t xml:space="preserve">measurement model is assessed at two stages. </w:t>
      </w:r>
    </w:p>
    <w:p w14:paraId="7B17A7F3" w14:textId="016A696C" w:rsidR="00D13C36" w:rsidRPr="00E673DC" w:rsidRDefault="00D13C36" w:rsidP="00D77795">
      <w:pPr>
        <w:ind w:firstLine="720"/>
        <w:rPr>
          <w:lang w:val="en-GB"/>
        </w:rPr>
      </w:pPr>
      <w:r w:rsidRPr="00E673DC">
        <w:rPr>
          <w:lang w:val="en-GB"/>
        </w:rPr>
        <w:t xml:space="preserve">Since the study views GHRP and its dimensions through </w:t>
      </w:r>
      <w:r w:rsidR="007C1704">
        <w:rPr>
          <w:lang w:val="en-GB"/>
        </w:rPr>
        <w:t xml:space="preserve">a </w:t>
      </w:r>
      <w:r w:rsidRPr="00E673DC">
        <w:rPr>
          <w:lang w:val="en-GB"/>
        </w:rPr>
        <w:t xml:space="preserve">reflective-formative approach, at </w:t>
      </w:r>
      <w:r w:rsidR="00B421C5">
        <w:rPr>
          <w:lang w:val="en-GB"/>
        </w:rPr>
        <w:t xml:space="preserve">an </w:t>
      </w:r>
      <w:r w:rsidRPr="00E673DC">
        <w:rPr>
          <w:lang w:val="en-GB"/>
        </w:rPr>
        <w:t>earlier stage</w:t>
      </w:r>
      <w:r w:rsidR="007C1704">
        <w:rPr>
          <w:lang w:val="en-GB"/>
        </w:rPr>
        <w:t xml:space="preserve"> the</w:t>
      </w:r>
      <w:r w:rsidRPr="00E673DC">
        <w:rPr>
          <w:lang w:val="en-GB"/>
        </w:rPr>
        <w:t xml:space="preserve"> </w:t>
      </w:r>
      <w:r w:rsidR="00F8610F" w:rsidRPr="00E673DC">
        <w:rPr>
          <w:lang w:val="en-GB"/>
        </w:rPr>
        <w:t>reliability</w:t>
      </w:r>
      <w:r w:rsidRPr="00E673DC">
        <w:rPr>
          <w:lang w:val="en-GB"/>
        </w:rPr>
        <w:t xml:space="preserve"> and validity of </w:t>
      </w:r>
      <w:r w:rsidR="007C1704">
        <w:rPr>
          <w:lang w:val="en-GB"/>
        </w:rPr>
        <w:t xml:space="preserve">the </w:t>
      </w:r>
      <w:r w:rsidRPr="00E673DC">
        <w:rPr>
          <w:lang w:val="en-GB"/>
        </w:rPr>
        <w:t>first</w:t>
      </w:r>
      <w:r w:rsidR="00B421C5">
        <w:rPr>
          <w:lang w:val="en-GB"/>
        </w:rPr>
        <w:t>-</w:t>
      </w:r>
      <w:r w:rsidRPr="00E673DC">
        <w:rPr>
          <w:lang w:val="en-GB"/>
        </w:rPr>
        <w:t>order constructs such as GL&amp;D and GR&amp;C were assessed</w:t>
      </w:r>
      <w:r w:rsidR="007C1704">
        <w:rPr>
          <w:lang w:val="en-GB"/>
        </w:rPr>
        <w:t>,</w:t>
      </w:r>
      <w:r w:rsidRPr="00E673DC">
        <w:rPr>
          <w:lang w:val="en-GB"/>
        </w:rPr>
        <w:t xml:space="preserve"> which further formed </w:t>
      </w:r>
      <w:r w:rsidR="007C1704">
        <w:rPr>
          <w:lang w:val="en-GB"/>
        </w:rPr>
        <w:t xml:space="preserve">the </w:t>
      </w:r>
      <w:r w:rsidRPr="00E673DC">
        <w:rPr>
          <w:lang w:val="en-GB"/>
        </w:rPr>
        <w:t xml:space="preserve">formative </w:t>
      </w:r>
      <w:r w:rsidR="007C1704">
        <w:rPr>
          <w:lang w:val="en-GB"/>
        </w:rPr>
        <w:t>"</w:t>
      </w:r>
      <w:r w:rsidRPr="00E673DC">
        <w:rPr>
          <w:lang w:val="en-GB"/>
        </w:rPr>
        <w:t>GHRP</w:t>
      </w:r>
      <w:r w:rsidR="007C1704">
        <w:rPr>
          <w:lang w:val="en-GB"/>
        </w:rPr>
        <w:t xml:space="preserve">" </w:t>
      </w:r>
      <w:r w:rsidR="007C1704" w:rsidRPr="00E673DC">
        <w:rPr>
          <w:lang w:val="en-GB"/>
        </w:rPr>
        <w:t>measure</w:t>
      </w:r>
      <w:r w:rsidRPr="00E673DC">
        <w:rPr>
          <w:lang w:val="en-GB"/>
        </w:rPr>
        <w:t xml:space="preserve"> </w:t>
      </w:r>
      <w:r w:rsidR="007C1704">
        <w:rPr>
          <w:lang w:val="en-GB"/>
        </w:rPr>
        <w:t xml:space="preserve">at a </w:t>
      </w:r>
      <w:r w:rsidRPr="00E673DC">
        <w:rPr>
          <w:lang w:val="en-GB"/>
        </w:rPr>
        <w:t xml:space="preserve">later stage. From </w:t>
      </w:r>
      <w:r w:rsidR="007C1704">
        <w:rPr>
          <w:lang w:val="en-GB"/>
        </w:rPr>
        <w:t>T</w:t>
      </w:r>
      <w:r w:rsidRPr="00E673DC">
        <w:rPr>
          <w:lang w:val="en-GB"/>
        </w:rPr>
        <w:t xml:space="preserve">able 2, the values of CR and CA exceeded the accepted benchmark, ensuring vigorous internal consistency. Further, factors loadings and </w:t>
      </w:r>
      <w:r w:rsidR="007C1704">
        <w:rPr>
          <w:lang w:val="en-GB"/>
        </w:rPr>
        <w:t xml:space="preserve">the </w:t>
      </w:r>
      <w:r w:rsidRPr="00E673DC">
        <w:rPr>
          <w:lang w:val="en-GB"/>
        </w:rPr>
        <w:t xml:space="preserve">AVE of each construct </w:t>
      </w:r>
      <w:r w:rsidR="007C1704">
        <w:rPr>
          <w:lang w:val="en-GB"/>
        </w:rPr>
        <w:t>were</w:t>
      </w:r>
      <w:r w:rsidRPr="00E673DC">
        <w:rPr>
          <w:lang w:val="en-GB"/>
        </w:rPr>
        <w:t xml:space="preserve"> evaluated to establish </w:t>
      </w:r>
      <w:r w:rsidR="00B421C5">
        <w:rPr>
          <w:lang w:val="en-GB"/>
        </w:rPr>
        <w:t xml:space="preserve">the </w:t>
      </w:r>
      <w:r w:rsidRPr="00E673DC">
        <w:rPr>
          <w:lang w:val="en-GB"/>
        </w:rPr>
        <w:t xml:space="preserve">convergent validity. The outcomes of the table below suggest that </w:t>
      </w:r>
      <w:r w:rsidR="007C1704">
        <w:rPr>
          <w:lang w:val="en-GB"/>
        </w:rPr>
        <w:t xml:space="preserve">the </w:t>
      </w:r>
      <w:r w:rsidRPr="00E673DC">
        <w:rPr>
          <w:lang w:val="en-GB"/>
        </w:rPr>
        <w:t>respective items are precise and represent their intended measure well</w:t>
      </w:r>
      <w:r w:rsidR="007C1704">
        <w:rPr>
          <w:lang w:val="en-GB"/>
        </w:rPr>
        <w:t>;</w:t>
      </w:r>
      <w:r w:rsidRPr="00E673DC">
        <w:rPr>
          <w:lang w:val="en-GB"/>
        </w:rPr>
        <w:t xml:space="preserve"> therefore, </w:t>
      </w:r>
      <w:r w:rsidR="007C1704">
        <w:rPr>
          <w:lang w:val="en-GB"/>
        </w:rPr>
        <w:t xml:space="preserve">the </w:t>
      </w:r>
      <w:r w:rsidRPr="00E673DC">
        <w:rPr>
          <w:lang w:val="en-GB"/>
        </w:rPr>
        <w:t xml:space="preserve">convergent validity of the model met the established criteria. As </w:t>
      </w:r>
      <w:r w:rsidR="007C1704">
        <w:rPr>
          <w:lang w:val="en-GB"/>
        </w:rPr>
        <w:t xml:space="preserve">the </w:t>
      </w:r>
      <w:r w:rsidRPr="00E673DC">
        <w:rPr>
          <w:lang w:val="en-GB"/>
        </w:rPr>
        <w:t xml:space="preserve">AVE values are higher than the accepted threshold and </w:t>
      </w:r>
      <w:r w:rsidR="007C1704">
        <w:rPr>
          <w:lang w:val="en-GB"/>
        </w:rPr>
        <w:t xml:space="preserve">the </w:t>
      </w:r>
      <w:r w:rsidRPr="00E673DC">
        <w:rPr>
          <w:lang w:val="en-GB"/>
        </w:rPr>
        <w:t xml:space="preserve">item loadings also surpass the 0.7 benchmark, </w:t>
      </w:r>
      <w:r w:rsidR="007C1704">
        <w:rPr>
          <w:lang w:val="en-GB"/>
        </w:rPr>
        <w:t xml:space="preserve">this </w:t>
      </w:r>
      <w:r w:rsidRPr="00E673DC">
        <w:rPr>
          <w:lang w:val="en-GB"/>
        </w:rPr>
        <w:t>suggest</w:t>
      </w:r>
      <w:r w:rsidR="007C1704">
        <w:rPr>
          <w:lang w:val="en-GB"/>
        </w:rPr>
        <w:t>s</w:t>
      </w:r>
      <w:r w:rsidRPr="00E673DC">
        <w:rPr>
          <w:lang w:val="en-GB"/>
        </w:rPr>
        <w:t xml:space="preserve"> a strong convergence within each variable. </w:t>
      </w:r>
    </w:p>
    <w:p w14:paraId="55931B40" w14:textId="6218DBC8" w:rsidR="00D13C36" w:rsidRPr="00E673DC" w:rsidRDefault="00D13C36" w:rsidP="00FE455D">
      <w:pPr>
        <w:pStyle w:val="Caption"/>
        <w:rPr>
          <w:lang w:val="en-GB"/>
        </w:rPr>
      </w:pPr>
      <w:bookmarkStart w:id="35" w:name="_Toc193015453"/>
      <w:r w:rsidRPr="00E673DC">
        <w:rPr>
          <w:lang w:val="en-GB"/>
        </w:rPr>
        <w:t xml:space="preserve">Table </w:t>
      </w:r>
      <w:r w:rsidRPr="00E673DC">
        <w:rPr>
          <w:lang w:val="en-GB"/>
        </w:rPr>
        <w:fldChar w:fldCharType="begin"/>
      </w:r>
      <w:r w:rsidRPr="00E673DC">
        <w:rPr>
          <w:lang w:val="en-GB"/>
        </w:rPr>
        <w:instrText xml:space="preserve"> SEQ Table \* ARABIC </w:instrText>
      </w:r>
      <w:r w:rsidRPr="00E673DC">
        <w:rPr>
          <w:lang w:val="en-GB"/>
        </w:rPr>
        <w:fldChar w:fldCharType="separate"/>
      </w:r>
      <w:r w:rsidRPr="00E673DC">
        <w:rPr>
          <w:noProof/>
          <w:lang w:val="en-GB"/>
        </w:rPr>
        <w:t>2</w:t>
      </w:r>
      <w:r w:rsidRPr="00E673DC">
        <w:rPr>
          <w:noProof/>
          <w:lang w:val="en-GB"/>
        </w:rPr>
        <w:fldChar w:fldCharType="end"/>
      </w:r>
      <w:r w:rsidRPr="00E673DC">
        <w:rPr>
          <w:lang w:val="en-GB"/>
        </w:rPr>
        <w:t xml:space="preserve">: Measurement </w:t>
      </w:r>
      <w:r w:rsidR="003A7565">
        <w:rPr>
          <w:lang w:val="en-GB"/>
        </w:rPr>
        <w:t>M</w:t>
      </w:r>
      <w:r w:rsidRPr="00E673DC">
        <w:rPr>
          <w:lang w:val="en-GB"/>
        </w:rPr>
        <w:t>odel (</w:t>
      </w:r>
      <w:r w:rsidR="003A7565">
        <w:rPr>
          <w:lang w:val="en-GB"/>
        </w:rPr>
        <w:t>S</w:t>
      </w:r>
      <w:r w:rsidRPr="00E673DC">
        <w:rPr>
          <w:lang w:val="en-GB"/>
        </w:rPr>
        <w:t>tage 1)</w:t>
      </w:r>
      <w:bookmarkEnd w:id="35"/>
    </w:p>
    <w:tbl>
      <w:tblPr>
        <w:tblStyle w:val="PlainTable2"/>
        <w:tblW w:w="10275" w:type="dxa"/>
        <w:jc w:val="center"/>
        <w:tblLook w:val="04A0" w:firstRow="1" w:lastRow="0" w:firstColumn="1" w:lastColumn="0" w:noHBand="0" w:noVBand="1"/>
      </w:tblPr>
      <w:tblGrid>
        <w:gridCol w:w="1877"/>
        <w:gridCol w:w="2126"/>
        <w:gridCol w:w="1699"/>
        <w:gridCol w:w="1380"/>
        <w:gridCol w:w="1380"/>
        <w:gridCol w:w="1813"/>
      </w:tblGrid>
      <w:tr w:rsidR="00D13C36" w:rsidRPr="00E673DC" w14:paraId="46D8E893" w14:textId="77777777" w:rsidTr="00803C0A">
        <w:trPr>
          <w:cnfStyle w:val="100000000000" w:firstRow="1" w:lastRow="0" w:firstColumn="0" w:lastColumn="0" w:oddVBand="0" w:evenVBand="0" w:oddHBand="0" w:evenHBand="0" w:firstRowFirstColumn="0" w:firstRowLastColumn="0" w:lastRowFirstColumn="0" w:lastRowLastColumn="0"/>
          <w:trHeight w:val="244"/>
          <w:jc w:val="center"/>
        </w:trPr>
        <w:tc>
          <w:tcPr>
            <w:cnfStyle w:val="001000000000" w:firstRow="0" w:lastRow="0" w:firstColumn="1" w:lastColumn="0" w:oddVBand="0" w:evenVBand="0" w:oddHBand="0" w:evenHBand="0" w:firstRowFirstColumn="0" w:firstRowLastColumn="0" w:lastRowFirstColumn="0" w:lastRowLastColumn="0"/>
            <w:tcW w:w="1877" w:type="dxa"/>
            <w:noWrap/>
            <w:hideMark/>
          </w:tcPr>
          <w:p w14:paraId="07893767" w14:textId="77777777" w:rsidR="00D13C36" w:rsidRPr="00E673DC" w:rsidRDefault="00D13C36" w:rsidP="003F5B1B">
            <w:pPr>
              <w:ind w:firstLine="0"/>
              <w:jc w:val="both"/>
              <w:rPr>
                <w:rFonts w:eastAsia="Times New Roman"/>
                <w:i/>
                <w:iCs/>
                <w:color w:val="000000"/>
                <w:lang w:val="en-GB"/>
              </w:rPr>
            </w:pPr>
            <w:r w:rsidRPr="00E673DC">
              <w:rPr>
                <w:rFonts w:eastAsia="Times New Roman"/>
                <w:i/>
                <w:iCs/>
                <w:color w:val="000000"/>
                <w:lang w:val="en-GB"/>
              </w:rPr>
              <w:t>Construct</w:t>
            </w:r>
          </w:p>
        </w:tc>
        <w:tc>
          <w:tcPr>
            <w:tcW w:w="2126" w:type="dxa"/>
            <w:noWrap/>
            <w:hideMark/>
          </w:tcPr>
          <w:p w14:paraId="361F1308" w14:textId="77777777" w:rsidR="00D13C36" w:rsidRPr="00E673DC" w:rsidRDefault="00D13C36" w:rsidP="003F5B1B">
            <w:pPr>
              <w:ind w:firstLine="0"/>
              <w:jc w:val="both"/>
              <w:cnfStyle w:val="100000000000" w:firstRow="1" w:lastRow="0" w:firstColumn="0" w:lastColumn="0" w:oddVBand="0" w:evenVBand="0" w:oddHBand="0" w:evenHBand="0" w:firstRowFirstColumn="0" w:firstRowLastColumn="0" w:lastRowFirstColumn="0" w:lastRowLastColumn="0"/>
              <w:rPr>
                <w:rFonts w:eastAsia="Times New Roman"/>
                <w:i/>
                <w:iCs/>
                <w:color w:val="000000"/>
                <w:lang w:val="en-GB"/>
              </w:rPr>
            </w:pPr>
            <w:r w:rsidRPr="00E673DC">
              <w:rPr>
                <w:rFonts w:eastAsia="Times New Roman"/>
                <w:i/>
                <w:iCs/>
                <w:color w:val="000000"/>
                <w:lang w:val="en-GB"/>
              </w:rPr>
              <w:t>Item</w:t>
            </w:r>
          </w:p>
        </w:tc>
        <w:tc>
          <w:tcPr>
            <w:tcW w:w="1699" w:type="dxa"/>
            <w:noWrap/>
            <w:hideMark/>
          </w:tcPr>
          <w:p w14:paraId="6129DE9D" w14:textId="77777777" w:rsidR="00D13C36" w:rsidRPr="00E673DC" w:rsidRDefault="00D13C36" w:rsidP="003F5B1B">
            <w:pPr>
              <w:ind w:firstLine="0"/>
              <w:jc w:val="both"/>
              <w:cnfStyle w:val="100000000000" w:firstRow="1" w:lastRow="0" w:firstColumn="0" w:lastColumn="0" w:oddVBand="0" w:evenVBand="0" w:oddHBand="0" w:evenHBand="0" w:firstRowFirstColumn="0" w:firstRowLastColumn="0" w:lastRowFirstColumn="0" w:lastRowLastColumn="0"/>
              <w:rPr>
                <w:rFonts w:eastAsia="Times New Roman"/>
                <w:i/>
                <w:iCs/>
                <w:color w:val="000000"/>
                <w:lang w:val="en-GB"/>
              </w:rPr>
            </w:pPr>
            <w:r w:rsidRPr="00E673DC">
              <w:rPr>
                <w:rFonts w:eastAsia="Times New Roman"/>
                <w:i/>
                <w:iCs/>
                <w:color w:val="000000"/>
                <w:lang w:val="en-GB"/>
              </w:rPr>
              <w:t>Loading</w:t>
            </w:r>
          </w:p>
        </w:tc>
        <w:tc>
          <w:tcPr>
            <w:tcW w:w="1380" w:type="dxa"/>
            <w:noWrap/>
            <w:hideMark/>
          </w:tcPr>
          <w:p w14:paraId="1E4E1C88" w14:textId="77777777" w:rsidR="00D13C36" w:rsidRPr="00E673DC" w:rsidRDefault="00D13C36" w:rsidP="003F5B1B">
            <w:pPr>
              <w:ind w:firstLine="0"/>
              <w:jc w:val="both"/>
              <w:cnfStyle w:val="100000000000" w:firstRow="1" w:lastRow="0" w:firstColumn="0" w:lastColumn="0" w:oddVBand="0" w:evenVBand="0" w:oddHBand="0" w:evenHBand="0" w:firstRowFirstColumn="0" w:firstRowLastColumn="0" w:lastRowFirstColumn="0" w:lastRowLastColumn="0"/>
              <w:rPr>
                <w:rFonts w:eastAsia="Times New Roman"/>
                <w:i/>
                <w:iCs/>
                <w:color w:val="000000"/>
                <w:lang w:val="en-GB"/>
              </w:rPr>
            </w:pPr>
            <w:r w:rsidRPr="00E673DC">
              <w:rPr>
                <w:rFonts w:eastAsia="Times New Roman"/>
                <w:i/>
                <w:iCs/>
                <w:color w:val="000000"/>
                <w:lang w:val="en-GB"/>
              </w:rPr>
              <w:t>CA</w:t>
            </w:r>
          </w:p>
        </w:tc>
        <w:tc>
          <w:tcPr>
            <w:tcW w:w="1380" w:type="dxa"/>
            <w:noWrap/>
            <w:hideMark/>
          </w:tcPr>
          <w:p w14:paraId="35A94BAC" w14:textId="77777777" w:rsidR="00D13C36" w:rsidRPr="00E673DC" w:rsidRDefault="00D13C36" w:rsidP="003F5B1B">
            <w:pPr>
              <w:ind w:firstLine="0"/>
              <w:jc w:val="both"/>
              <w:cnfStyle w:val="100000000000" w:firstRow="1" w:lastRow="0" w:firstColumn="0" w:lastColumn="0" w:oddVBand="0" w:evenVBand="0" w:oddHBand="0" w:evenHBand="0" w:firstRowFirstColumn="0" w:firstRowLastColumn="0" w:lastRowFirstColumn="0" w:lastRowLastColumn="0"/>
              <w:rPr>
                <w:rFonts w:eastAsia="Times New Roman"/>
                <w:i/>
                <w:iCs/>
                <w:color w:val="000000"/>
                <w:lang w:val="en-GB"/>
              </w:rPr>
            </w:pPr>
            <w:r w:rsidRPr="00E673DC">
              <w:rPr>
                <w:rFonts w:eastAsia="Times New Roman"/>
                <w:i/>
                <w:iCs/>
                <w:color w:val="000000"/>
                <w:lang w:val="en-GB"/>
              </w:rPr>
              <w:t>CR</w:t>
            </w:r>
          </w:p>
        </w:tc>
        <w:tc>
          <w:tcPr>
            <w:tcW w:w="1813" w:type="dxa"/>
            <w:noWrap/>
            <w:hideMark/>
          </w:tcPr>
          <w:p w14:paraId="3AC8DD27" w14:textId="77777777" w:rsidR="00D13C36" w:rsidRPr="00E673DC" w:rsidRDefault="00D13C36" w:rsidP="003F5B1B">
            <w:pPr>
              <w:ind w:firstLine="0"/>
              <w:jc w:val="both"/>
              <w:cnfStyle w:val="100000000000" w:firstRow="1" w:lastRow="0" w:firstColumn="0" w:lastColumn="0" w:oddVBand="0" w:evenVBand="0" w:oddHBand="0" w:evenHBand="0" w:firstRowFirstColumn="0" w:firstRowLastColumn="0" w:lastRowFirstColumn="0" w:lastRowLastColumn="0"/>
              <w:rPr>
                <w:rFonts w:eastAsia="Times New Roman"/>
                <w:i/>
                <w:iCs/>
                <w:color w:val="000000"/>
                <w:lang w:val="en-GB"/>
              </w:rPr>
            </w:pPr>
            <w:r w:rsidRPr="00E673DC">
              <w:rPr>
                <w:rFonts w:eastAsia="Times New Roman"/>
                <w:i/>
                <w:iCs/>
                <w:color w:val="000000"/>
                <w:lang w:val="en-GB"/>
              </w:rPr>
              <w:t>AVE</w:t>
            </w:r>
          </w:p>
        </w:tc>
      </w:tr>
      <w:tr w:rsidR="00D13C36" w:rsidRPr="00E673DC" w14:paraId="782D810B" w14:textId="77777777" w:rsidTr="00803C0A">
        <w:trPr>
          <w:cnfStyle w:val="000000100000" w:firstRow="0" w:lastRow="0" w:firstColumn="0" w:lastColumn="0" w:oddVBand="0" w:evenVBand="0" w:oddHBand="1" w:evenHBand="0" w:firstRowFirstColumn="0" w:firstRowLastColumn="0" w:lastRowFirstColumn="0" w:lastRowLastColumn="0"/>
          <w:trHeight w:val="244"/>
          <w:jc w:val="center"/>
        </w:trPr>
        <w:tc>
          <w:tcPr>
            <w:cnfStyle w:val="001000000000" w:firstRow="0" w:lastRow="0" w:firstColumn="1" w:lastColumn="0" w:oddVBand="0" w:evenVBand="0" w:oddHBand="0" w:evenHBand="0" w:firstRowFirstColumn="0" w:firstRowLastColumn="0" w:lastRowFirstColumn="0" w:lastRowLastColumn="0"/>
            <w:tcW w:w="1877" w:type="dxa"/>
            <w:vMerge w:val="restart"/>
            <w:noWrap/>
          </w:tcPr>
          <w:p w14:paraId="0A5F2D37" w14:textId="77777777" w:rsidR="00D13C36" w:rsidRPr="00E673DC" w:rsidRDefault="00D13C36" w:rsidP="003F5B1B">
            <w:pPr>
              <w:ind w:firstLine="0"/>
              <w:jc w:val="both"/>
              <w:rPr>
                <w:rFonts w:eastAsia="Times New Roman"/>
                <w:color w:val="000000"/>
                <w:lang w:val="en-GB"/>
              </w:rPr>
            </w:pPr>
            <w:r w:rsidRPr="00E673DC">
              <w:rPr>
                <w:rFonts w:eastAsia="Times New Roman"/>
                <w:b w:val="0"/>
                <w:bCs w:val="0"/>
                <w:color w:val="000000"/>
                <w:lang w:val="en-GB"/>
              </w:rPr>
              <w:lastRenderedPageBreak/>
              <w:t>GR&amp;C</w:t>
            </w:r>
          </w:p>
        </w:tc>
        <w:tc>
          <w:tcPr>
            <w:tcW w:w="2126" w:type="dxa"/>
            <w:noWrap/>
          </w:tcPr>
          <w:p w14:paraId="00565A58"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rFonts w:eastAsia="Times New Roman"/>
                <w:color w:val="000000"/>
                <w:lang w:val="en-GB"/>
              </w:rPr>
            </w:pPr>
            <w:r w:rsidRPr="00E673DC">
              <w:rPr>
                <w:rFonts w:eastAsia="Times New Roman"/>
                <w:color w:val="000000"/>
                <w:lang w:val="en-GB"/>
              </w:rPr>
              <w:t>GR&amp;C1</w:t>
            </w:r>
          </w:p>
        </w:tc>
        <w:tc>
          <w:tcPr>
            <w:tcW w:w="1699" w:type="dxa"/>
            <w:noWrap/>
            <w:vAlign w:val="center"/>
          </w:tcPr>
          <w:p w14:paraId="0BD4A0C3"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lang w:val="en-GB"/>
              </w:rPr>
            </w:pPr>
            <w:r w:rsidRPr="00E673DC">
              <w:rPr>
                <w:lang w:val="en-GB"/>
              </w:rPr>
              <w:t>0.861</w:t>
            </w:r>
          </w:p>
        </w:tc>
        <w:tc>
          <w:tcPr>
            <w:tcW w:w="1380" w:type="dxa"/>
            <w:noWrap/>
            <w:vAlign w:val="center"/>
          </w:tcPr>
          <w:p w14:paraId="7728148E"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lang w:val="en-GB"/>
              </w:rPr>
            </w:pPr>
            <w:r w:rsidRPr="00E673DC">
              <w:rPr>
                <w:lang w:val="en-GB"/>
              </w:rPr>
              <w:t xml:space="preserve">0.930 </w:t>
            </w:r>
          </w:p>
        </w:tc>
        <w:tc>
          <w:tcPr>
            <w:tcW w:w="1380" w:type="dxa"/>
            <w:noWrap/>
          </w:tcPr>
          <w:p w14:paraId="57A9913F"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lang w:val="en-GB"/>
              </w:rPr>
            </w:pPr>
            <w:r w:rsidRPr="00E673DC">
              <w:rPr>
                <w:lang w:val="en-GB"/>
              </w:rPr>
              <w:t>0.930</w:t>
            </w:r>
          </w:p>
        </w:tc>
        <w:tc>
          <w:tcPr>
            <w:tcW w:w="1813" w:type="dxa"/>
            <w:noWrap/>
          </w:tcPr>
          <w:p w14:paraId="1F3610C1"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lang w:val="en-GB"/>
              </w:rPr>
            </w:pPr>
            <w:r w:rsidRPr="00E673DC">
              <w:rPr>
                <w:lang w:val="en-GB"/>
              </w:rPr>
              <w:t>0.781</w:t>
            </w:r>
          </w:p>
        </w:tc>
      </w:tr>
      <w:tr w:rsidR="00D13C36" w:rsidRPr="00E673DC" w14:paraId="4F4493C8" w14:textId="77777777" w:rsidTr="00803C0A">
        <w:trPr>
          <w:trHeight w:val="244"/>
          <w:jc w:val="center"/>
        </w:trPr>
        <w:tc>
          <w:tcPr>
            <w:cnfStyle w:val="001000000000" w:firstRow="0" w:lastRow="0" w:firstColumn="1" w:lastColumn="0" w:oddVBand="0" w:evenVBand="0" w:oddHBand="0" w:evenHBand="0" w:firstRowFirstColumn="0" w:firstRowLastColumn="0" w:lastRowFirstColumn="0" w:lastRowLastColumn="0"/>
            <w:tcW w:w="1877" w:type="dxa"/>
            <w:vMerge/>
            <w:noWrap/>
          </w:tcPr>
          <w:p w14:paraId="04BC8766" w14:textId="77777777" w:rsidR="00D13C36" w:rsidRPr="00E673DC" w:rsidRDefault="00D13C36" w:rsidP="008F526A">
            <w:pPr>
              <w:jc w:val="both"/>
              <w:rPr>
                <w:rFonts w:eastAsia="Times New Roman"/>
                <w:color w:val="000000"/>
                <w:lang w:val="en-GB"/>
              </w:rPr>
            </w:pPr>
          </w:p>
        </w:tc>
        <w:tc>
          <w:tcPr>
            <w:tcW w:w="2126" w:type="dxa"/>
            <w:noWrap/>
          </w:tcPr>
          <w:p w14:paraId="4FA30608" w14:textId="77777777" w:rsidR="00D13C36" w:rsidRPr="00E673DC" w:rsidRDefault="00D13C36" w:rsidP="003F5B1B">
            <w:pPr>
              <w:ind w:firstLine="0"/>
              <w:jc w:val="both"/>
              <w:cnfStyle w:val="000000000000" w:firstRow="0" w:lastRow="0" w:firstColumn="0" w:lastColumn="0" w:oddVBand="0" w:evenVBand="0" w:oddHBand="0" w:evenHBand="0" w:firstRowFirstColumn="0" w:firstRowLastColumn="0" w:lastRowFirstColumn="0" w:lastRowLastColumn="0"/>
              <w:rPr>
                <w:rFonts w:eastAsia="Times New Roman"/>
                <w:color w:val="000000"/>
                <w:lang w:val="en-GB"/>
              </w:rPr>
            </w:pPr>
            <w:r w:rsidRPr="00E673DC">
              <w:rPr>
                <w:rFonts w:eastAsia="Times New Roman"/>
                <w:color w:val="000000"/>
                <w:lang w:val="en-GB"/>
              </w:rPr>
              <w:t>GR&amp;C2</w:t>
            </w:r>
          </w:p>
        </w:tc>
        <w:tc>
          <w:tcPr>
            <w:tcW w:w="1699" w:type="dxa"/>
            <w:noWrap/>
            <w:vAlign w:val="center"/>
          </w:tcPr>
          <w:p w14:paraId="3C2B40AA" w14:textId="77777777" w:rsidR="00D13C36" w:rsidRPr="00E673DC" w:rsidRDefault="00D13C36" w:rsidP="003F5B1B">
            <w:pPr>
              <w:ind w:firstLine="0"/>
              <w:jc w:val="both"/>
              <w:cnfStyle w:val="000000000000" w:firstRow="0" w:lastRow="0" w:firstColumn="0" w:lastColumn="0" w:oddVBand="0" w:evenVBand="0" w:oddHBand="0" w:evenHBand="0" w:firstRowFirstColumn="0" w:firstRowLastColumn="0" w:lastRowFirstColumn="0" w:lastRowLastColumn="0"/>
              <w:rPr>
                <w:lang w:val="en-GB"/>
              </w:rPr>
            </w:pPr>
            <w:r w:rsidRPr="00E673DC">
              <w:rPr>
                <w:lang w:val="en-GB"/>
              </w:rPr>
              <w:t xml:space="preserve">0.893 </w:t>
            </w:r>
          </w:p>
        </w:tc>
        <w:tc>
          <w:tcPr>
            <w:tcW w:w="1380" w:type="dxa"/>
            <w:noWrap/>
          </w:tcPr>
          <w:p w14:paraId="625C98D7" w14:textId="77777777" w:rsidR="00D13C36" w:rsidRPr="00E673DC" w:rsidRDefault="00D13C36" w:rsidP="003F5B1B">
            <w:pPr>
              <w:ind w:firstLine="0"/>
              <w:jc w:val="both"/>
              <w:cnfStyle w:val="000000000000" w:firstRow="0" w:lastRow="0" w:firstColumn="0" w:lastColumn="0" w:oddVBand="0" w:evenVBand="0" w:oddHBand="0" w:evenHBand="0" w:firstRowFirstColumn="0" w:firstRowLastColumn="0" w:lastRowFirstColumn="0" w:lastRowLastColumn="0"/>
              <w:rPr>
                <w:lang w:val="en-GB"/>
              </w:rPr>
            </w:pPr>
          </w:p>
        </w:tc>
        <w:tc>
          <w:tcPr>
            <w:tcW w:w="1380" w:type="dxa"/>
            <w:noWrap/>
          </w:tcPr>
          <w:p w14:paraId="15605D34" w14:textId="77777777" w:rsidR="00D13C36" w:rsidRPr="00E673DC" w:rsidRDefault="00D13C36" w:rsidP="003F5B1B">
            <w:pPr>
              <w:ind w:firstLine="0"/>
              <w:jc w:val="both"/>
              <w:cnfStyle w:val="000000000000" w:firstRow="0" w:lastRow="0" w:firstColumn="0" w:lastColumn="0" w:oddVBand="0" w:evenVBand="0" w:oddHBand="0" w:evenHBand="0" w:firstRowFirstColumn="0" w:firstRowLastColumn="0" w:lastRowFirstColumn="0" w:lastRowLastColumn="0"/>
              <w:rPr>
                <w:lang w:val="en-GB"/>
              </w:rPr>
            </w:pPr>
          </w:p>
        </w:tc>
        <w:tc>
          <w:tcPr>
            <w:tcW w:w="1813" w:type="dxa"/>
            <w:noWrap/>
          </w:tcPr>
          <w:p w14:paraId="2CE4595A" w14:textId="77777777" w:rsidR="00D13C36" w:rsidRPr="00E673DC" w:rsidRDefault="00D13C36" w:rsidP="003F5B1B">
            <w:pPr>
              <w:ind w:firstLine="0"/>
              <w:jc w:val="both"/>
              <w:cnfStyle w:val="000000000000" w:firstRow="0" w:lastRow="0" w:firstColumn="0" w:lastColumn="0" w:oddVBand="0" w:evenVBand="0" w:oddHBand="0" w:evenHBand="0" w:firstRowFirstColumn="0" w:firstRowLastColumn="0" w:lastRowFirstColumn="0" w:lastRowLastColumn="0"/>
              <w:rPr>
                <w:lang w:val="en-GB"/>
              </w:rPr>
            </w:pPr>
          </w:p>
        </w:tc>
      </w:tr>
      <w:tr w:rsidR="00D13C36" w:rsidRPr="00E673DC" w14:paraId="4E986605" w14:textId="77777777" w:rsidTr="00803C0A">
        <w:trPr>
          <w:cnfStyle w:val="000000100000" w:firstRow="0" w:lastRow="0" w:firstColumn="0" w:lastColumn="0" w:oddVBand="0" w:evenVBand="0" w:oddHBand="1" w:evenHBand="0" w:firstRowFirstColumn="0" w:firstRowLastColumn="0" w:lastRowFirstColumn="0" w:lastRowLastColumn="0"/>
          <w:trHeight w:val="244"/>
          <w:jc w:val="center"/>
        </w:trPr>
        <w:tc>
          <w:tcPr>
            <w:cnfStyle w:val="001000000000" w:firstRow="0" w:lastRow="0" w:firstColumn="1" w:lastColumn="0" w:oddVBand="0" w:evenVBand="0" w:oddHBand="0" w:evenHBand="0" w:firstRowFirstColumn="0" w:firstRowLastColumn="0" w:lastRowFirstColumn="0" w:lastRowLastColumn="0"/>
            <w:tcW w:w="1877" w:type="dxa"/>
            <w:vMerge/>
            <w:noWrap/>
          </w:tcPr>
          <w:p w14:paraId="14E64171" w14:textId="77777777" w:rsidR="00D13C36" w:rsidRPr="00E673DC" w:rsidRDefault="00D13C36" w:rsidP="008F526A">
            <w:pPr>
              <w:jc w:val="both"/>
              <w:rPr>
                <w:rFonts w:eastAsia="Times New Roman"/>
                <w:color w:val="000000"/>
                <w:lang w:val="en-GB"/>
              </w:rPr>
            </w:pPr>
          </w:p>
        </w:tc>
        <w:tc>
          <w:tcPr>
            <w:tcW w:w="2126" w:type="dxa"/>
            <w:noWrap/>
          </w:tcPr>
          <w:p w14:paraId="60694119"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rFonts w:eastAsia="Times New Roman"/>
                <w:color w:val="000000"/>
                <w:lang w:val="en-GB"/>
              </w:rPr>
            </w:pPr>
            <w:r w:rsidRPr="00E673DC">
              <w:rPr>
                <w:rFonts w:eastAsia="Times New Roman"/>
                <w:color w:val="000000"/>
                <w:lang w:val="en-GB"/>
              </w:rPr>
              <w:t>GR&amp;C3</w:t>
            </w:r>
          </w:p>
        </w:tc>
        <w:tc>
          <w:tcPr>
            <w:tcW w:w="1699" w:type="dxa"/>
            <w:noWrap/>
            <w:vAlign w:val="center"/>
          </w:tcPr>
          <w:p w14:paraId="40F34D00"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lang w:val="en-GB"/>
              </w:rPr>
            </w:pPr>
            <w:r w:rsidRPr="00E673DC">
              <w:rPr>
                <w:lang w:val="en-GB"/>
              </w:rPr>
              <w:t xml:space="preserve">0.894 </w:t>
            </w:r>
          </w:p>
        </w:tc>
        <w:tc>
          <w:tcPr>
            <w:tcW w:w="1380" w:type="dxa"/>
            <w:noWrap/>
          </w:tcPr>
          <w:p w14:paraId="50DDC893"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lang w:val="en-GB"/>
              </w:rPr>
            </w:pPr>
          </w:p>
        </w:tc>
        <w:tc>
          <w:tcPr>
            <w:tcW w:w="1380" w:type="dxa"/>
            <w:noWrap/>
          </w:tcPr>
          <w:p w14:paraId="6764857E"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lang w:val="en-GB"/>
              </w:rPr>
            </w:pPr>
          </w:p>
        </w:tc>
        <w:tc>
          <w:tcPr>
            <w:tcW w:w="1813" w:type="dxa"/>
            <w:noWrap/>
          </w:tcPr>
          <w:p w14:paraId="166227AA"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lang w:val="en-GB"/>
              </w:rPr>
            </w:pPr>
          </w:p>
        </w:tc>
      </w:tr>
      <w:tr w:rsidR="00D13C36" w:rsidRPr="00E673DC" w14:paraId="7CEE382D" w14:textId="77777777" w:rsidTr="00803C0A">
        <w:trPr>
          <w:trHeight w:val="244"/>
          <w:jc w:val="center"/>
        </w:trPr>
        <w:tc>
          <w:tcPr>
            <w:cnfStyle w:val="001000000000" w:firstRow="0" w:lastRow="0" w:firstColumn="1" w:lastColumn="0" w:oddVBand="0" w:evenVBand="0" w:oddHBand="0" w:evenHBand="0" w:firstRowFirstColumn="0" w:firstRowLastColumn="0" w:lastRowFirstColumn="0" w:lastRowLastColumn="0"/>
            <w:tcW w:w="1877" w:type="dxa"/>
            <w:vMerge/>
            <w:noWrap/>
          </w:tcPr>
          <w:p w14:paraId="478EAFAC" w14:textId="77777777" w:rsidR="00D13C36" w:rsidRPr="00E673DC" w:rsidRDefault="00D13C36" w:rsidP="008F526A">
            <w:pPr>
              <w:jc w:val="both"/>
              <w:rPr>
                <w:rFonts w:eastAsia="Times New Roman"/>
                <w:color w:val="000000"/>
                <w:lang w:val="en-GB"/>
              </w:rPr>
            </w:pPr>
          </w:p>
        </w:tc>
        <w:tc>
          <w:tcPr>
            <w:tcW w:w="2126" w:type="dxa"/>
            <w:noWrap/>
          </w:tcPr>
          <w:p w14:paraId="47F63BDD" w14:textId="77777777" w:rsidR="00D13C36" w:rsidRPr="00E673DC" w:rsidRDefault="00D13C36" w:rsidP="003F5B1B">
            <w:pPr>
              <w:ind w:firstLine="0"/>
              <w:jc w:val="both"/>
              <w:cnfStyle w:val="000000000000" w:firstRow="0" w:lastRow="0" w:firstColumn="0" w:lastColumn="0" w:oddVBand="0" w:evenVBand="0" w:oddHBand="0" w:evenHBand="0" w:firstRowFirstColumn="0" w:firstRowLastColumn="0" w:lastRowFirstColumn="0" w:lastRowLastColumn="0"/>
              <w:rPr>
                <w:rFonts w:eastAsia="Times New Roman"/>
                <w:color w:val="000000"/>
                <w:lang w:val="en-GB"/>
              </w:rPr>
            </w:pPr>
            <w:r w:rsidRPr="00E673DC">
              <w:rPr>
                <w:rFonts w:eastAsia="Times New Roman"/>
                <w:color w:val="000000"/>
                <w:lang w:val="en-GB"/>
              </w:rPr>
              <w:t>GR&amp;C4</w:t>
            </w:r>
          </w:p>
        </w:tc>
        <w:tc>
          <w:tcPr>
            <w:tcW w:w="1699" w:type="dxa"/>
            <w:noWrap/>
            <w:vAlign w:val="center"/>
          </w:tcPr>
          <w:p w14:paraId="4C637A15" w14:textId="77777777" w:rsidR="00D13C36" w:rsidRPr="00E673DC" w:rsidRDefault="00D13C36" w:rsidP="003F5B1B">
            <w:pPr>
              <w:ind w:firstLine="0"/>
              <w:jc w:val="both"/>
              <w:cnfStyle w:val="000000000000" w:firstRow="0" w:lastRow="0" w:firstColumn="0" w:lastColumn="0" w:oddVBand="0" w:evenVBand="0" w:oddHBand="0" w:evenHBand="0" w:firstRowFirstColumn="0" w:firstRowLastColumn="0" w:lastRowFirstColumn="0" w:lastRowLastColumn="0"/>
              <w:rPr>
                <w:lang w:val="en-GB"/>
              </w:rPr>
            </w:pPr>
            <w:r w:rsidRPr="00E673DC">
              <w:rPr>
                <w:lang w:val="en-GB"/>
              </w:rPr>
              <w:t xml:space="preserve">0.879 </w:t>
            </w:r>
          </w:p>
        </w:tc>
        <w:tc>
          <w:tcPr>
            <w:tcW w:w="1380" w:type="dxa"/>
            <w:noWrap/>
          </w:tcPr>
          <w:p w14:paraId="1F4F4794" w14:textId="77777777" w:rsidR="00D13C36" w:rsidRPr="00E673DC" w:rsidRDefault="00D13C36" w:rsidP="003F5B1B">
            <w:pPr>
              <w:ind w:firstLine="0"/>
              <w:jc w:val="both"/>
              <w:cnfStyle w:val="000000000000" w:firstRow="0" w:lastRow="0" w:firstColumn="0" w:lastColumn="0" w:oddVBand="0" w:evenVBand="0" w:oddHBand="0" w:evenHBand="0" w:firstRowFirstColumn="0" w:firstRowLastColumn="0" w:lastRowFirstColumn="0" w:lastRowLastColumn="0"/>
              <w:rPr>
                <w:lang w:val="en-GB"/>
              </w:rPr>
            </w:pPr>
          </w:p>
        </w:tc>
        <w:tc>
          <w:tcPr>
            <w:tcW w:w="1380" w:type="dxa"/>
            <w:noWrap/>
          </w:tcPr>
          <w:p w14:paraId="3F79CB56" w14:textId="77777777" w:rsidR="00D13C36" w:rsidRPr="00E673DC" w:rsidRDefault="00D13C36" w:rsidP="003F5B1B">
            <w:pPr>
              <w:ind w:firstLine="0"/>
              <w:jc w:val="both"/>
              <w:cnfStyle w:val="000000000000" w:firstRow="0" w:lastRow="0" w:firstColumn="0" w:lastColumn="0" w:oddVBand="0" w:evenVBand="0" w:oddHBand="0" w:evenHBand="0" w:firstRowFirstColumn="0" w:firstRowLastColumn="0" w:lastRowFirstColumn="0" w:lastRowLastColumn="0"/>
              <w:rPr>
                <w:lang w:val="en-GB"/>
              </w:rPr>
            </w:pPr>
          </w:p>
        </w:tc>
        <w:tc>
          <w:tcPr>
            <w:tcW w:w="1813" w:type="dxa"/>
            <w:noWrap/>
          </w:tcPr>
          <w:p w14:paraId="3E7A8287" w14:textId="77777777" w:rsidR="00D13C36" w:rsidRPr="00E673DC" w:rsidRDefault="00D13C36" w:rsidP="003F5B1B">
            <w:pPr>
              <w:ind w:firstLine="0"/>
              <w:jc w:val="both"/>
              <w:cnfStyle w:val="000000000000" w:firstRow="0" w:lastRow="0" w:firstColumn="0" w:lastColumn="0" w:oddVBand="0" w:evenVBand="0" w:oddHBand="0" w:evenHBand="0" w:firstRowFirstColumn="0" w:firstRowLastColumn="0" w:lastRowFirstColumn="0" w:lastRowLastColumn="0"/>
              <w:rPr>
                <w:lang w:val="en-GB"/>
              </w:rPr>
            </w:pPr>
          </w:p>
        </w:tc>
      </w:tr>
      <w:tr w:rsidR="00D13C36" w:rsidRPr="00E673DC" w14:paraId="37ACFB27" w14:textId="77777777" w:rsidTr="00803C0A">
        <w:trPr>
          <w:cnfStyle w:val="000000100000" w:firstRow="0" w:lastRow="0" w:firstColumn="0" w:lastColumn="0" w:oddVBand="0" w:evenVBand="0" w:oddHBand="1" w:evenHBand="0" w:firstRowFirstColumn="0" w:firstRowLastColumn="0" w:lastRowFirstColumn="0" w:lastRowLastColumn="0"/>
          <w:trHeight w:val="244"/>
          <w:jc w:val="center"/>
        </w:trPr>
        <w:tc>
          <w:tcPr>
            <w:cnfStyle w:val="001000000000" w:firstRow="0" w:lastRow="0" w:firstColumn="1" w:lastColumn="0" w:oddVBand="0" w:evenVBand="0" w:oddHBand="0" w:evenHBand="0" w:firstRowFirstColumn="0" w:firstRowLastColumn="0" w:lastRowFirstColumn="0" w:lastRowLastColumn="0"/>
            <w:tcW w:w="1877" w:type="dxa"/>
            <w:vMerge/>
            <w:noWrap/>
          </w:tcPr>
          <w:p w14:paraId="59EE0CF5" w14:textId="77777777" w:rsidR="00D13C36" w:rsidRPr="00E673DC" w:rsidRDefault="00D13C36" w:rsidP="008F526A">
            <w:pPr>
              <w:jc w:val="both"/>
              <w:rPr>
                <w:rFonts w:eastAsia="Times New Roman"/>
                <w:color w:val="000000"/>
                <w:lang w:val="en-GB"/>
              </w:rPr>
            </w:pPr>
          </w:p>
        </w:tc>
        <w:tc>
          <w:tcPr>
            <w:tcW w:w="2126" w:type="dxa"/>
            <w:noWrap/>
          </w:tcPr>
          <w:p w14:paraId="1C740187"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rFonts w:eastAsia="Times New Roman"/>
                <w:color w:val="000000"/>
                <w:lang w:val="en-GB"/>
              </w:rPr>
            </w:pPr>
            <w:r w:rsidRPr="00E673DC">
              <w:rPr>
                <w:rFonts w:eastAsia="Times New Roman"/>
                <w:color w:val="000000"/>
                <w:lang w:val="en-GB"/>
              </w:rPr>
              <w:t>GR&amp;C5</w:t>
            </w:r>
          </w:p>
        </w:tc>
        <w:tc>
          <w:tcPr>
            <w:tcW w:w="1699" w:type="dxa"/>
            <w:noWrap/>
            <w:vAlign w:val="center"/>
          </w:tcPr>
          <w:p w14:paraId="296B4873"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lang w:val="en-GB"/>
              </w:rPr>
            </w:pPr>
            <w:r w:rsidRPr="00E673DC">
              <w:rPr>
                <w:lang w:val="en-GB"/>
              </w:rPr>
              <w:t xml:space="preserve">0.891 </w:t>
            </w:r>
          </w:p>
        </w:tc>
        <w:tc>
          <w:tcPr>
            <w:tcW w:w="1380" w:type="dxa"/>
            <w:noWrap/>
          </w:tcPr>
          <w:p w14:paraId="13C7244B"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lang w:val="en-GB"/>
              </w:rPr>
            </w:pPr>
          </w:p>
        </w:tc>
        <w:tc>
          <w:tcPr>
            <w:tcW w:w="1380" w:type="dxa"/>
            <w:noWrap/>
          </w:tcPr>
          <w:p w14:paraId="59C813C8"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lang w:val="en-GB"/>
              </w:rPr>
            </w:pPr>
          </w:p>
        </w:tc>
        <w:tc>
          <w:tcPr>
            <w:tcW w:w="1813" w:type="dxa"/>
            <w:noWrap/>
          </w:tcPr>
          <w:p w14:paraId="6BABC4E2"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lang w:val="en-GB"/>
              </w:rPr>
            </w:pPr>
          </w:p>
        </w:tc>
      </w:tr>
      <w:tr w:rsidR="00D13C36" w:rsidRPr="00E673DC" w14:paraId="499074F1" w14:textId="77777777" w:rsidTr="00803C0A">
        <w:trPr>
          <w:trHeight w:val="244"/>
          <w:jc w:val="center"/>
        </w:trPr>
        <w:tc>
          <w:tcPr>
            <w:cnfStyle w:val="001000000000" w:firstRow="0" w:lastRow="0" w:firstColumn="1" w:lastColumn="0" w:oddVBand="0" w:evenVBand="0" w:oddHBand="0" w:evenHBand="0" w:firstRowFirstColumn="0" w:firstRowLastColumn="0" w:lastRowFirstColumn="0" w:lastRowLastColumn="0"/>
            <w:tcW w:w="1877" w:type="dxa"/>
            <w:vMerge w:val="restart"/>
            <w:noWrap/>
          </w:tcPr>
          <w:p w14:paraId="022BD420" w14:textId="77777777" w:rsidR="00D13C36" w:rsidRPr="00E673DC" w:rsidRDefault="00D13C36" w:rsidP="003F5B1B">
            <w:pPr>
              <w:ind w:firstLine="0"/>
              <w:jc w:val="both"/>
              <w:rPr>
                <w:rFonts w:eastAsia="Times New Roman"/>
                <w:color w:val="000000"/>
                <w:lang w:val="en-GB"/>
              </w:rPr>
            </w:pPr>
            <w:r w:rsidRPr="00E673DC">
              <w:rPr>
                <w:rFonts w:eastAsia="Times New Roman"/>
                <w:b w:val="0"/>
                <w:bCs w:val="0"/>
                <w:color w:val="000000"/>
                <w:lang w:val="en-GB"/>
              </w:rPr>
              <w:t>GL&amp;D</w:t>
            </w:r>
          </w:p>
        </w:tc>
        <w:tc>
          <w:tcPr>
            <w:tcW w:w="2126" w:type="dxa"/>
            <w:noWrap/>
          </w:tcPr>
          <w:p w14:paraId="667571A4" w14:textId="77777777" w:rsidR="00D13C36" w:rsidRPr="00E673DC" w:rsidRDefault="00D13C36" w:rsidP="003F5B1B">
            <w:pPr>
              <w:ind w:firstLine="0"/>
              <w:jc w:val="both"/>
              <w:cnfStyle w:val="000000000000" w:firstRow="0" w:lastRow="0" w:firstColumn="0" w:lastColumn="0" w:oddVBand="0" w:evenVBand="0" w:oddHBand="0" w:evenHBand="0" w:firstRowFirstColumn="0" w:firstRowLastColumn="0" w:lastRowFirstColumn="0" w:lastRowLastColumn="0"/>
              <w:rPr>
                <w:rFonts w:eastAsia="Times New Roman"/>
                <w:color w:val="000000"/>
                <w:lang w:val="en-GB"/>
              </w:rPr>
            </w:pPr>
            <w:r w:rsidRPr="00E673DC">
              <w:rPr>
                <w:rFonts w:eastAsia="Times New Roman"/>
                <w:color w:val="000000"/>
                <w:lang w:val="en-GB"/>
              </w:rPr>
              <w:t>GL&amp;D1</w:t>
            </w:r>
          </w:p>
        </w:tc>
        <w:tc>
          <w:tcPr>
            <w:tcW w:w="1699" w:type="dxa"/>
            <w:noWrap/>
            <w:vAlign w:val="center"/>
          </w:tcPr>
          <w:p w14:paraId="42958C41" w14:textId="77777777" w:rsidR="00D13C36" w:rsidRPr="00E673DC" w:rsidRDefault="00D13C36" w:rsidP="003F5B1B">
            <w:pPr>
              <w:ind w:firstLine="0"/>
              <w:jc w:val="both"/>
              <w:cnfStyle w:val="000000000000" w:firstRow="0" w:lastRow="0" w:firstColumn="0" w:lastColumn="0" w:oddVBand="0" w:evenVBand="0" w:oddHBand="0" w:evenHBand="0" w:firstRowFirstColumn="0" w:firstRowLastColumn="0" w:lastRowFirstColumn="0" w:lastRowLastColumn="0"/>
              <w:rPr>
                <w:lang w:val="en-GB"/>
              </w:rPr>
            </w:pPr>
            <w:r w:rsidRPr="00E673DC">
              <w:rPr>
                <w:lang w:val="en-GB"/>
              </w:rPr>
              <w:t>0.853</w:t>
            </w:r>
          </w:p>
        </w:tc>
        <w:tc>
          <w:tcPr>
            <w:tcW w:w="1380" w:type="dxa"/>
            <w:noWrap/>
          </w:tcPr>
          <w:p w14:paraId="7E3264C3" w14:textId="77777777" w:rsidR="00D13C36" w:rsidRPr="00E673DC" w:rsidRDefault="00D13C36" w:rsidP="003F5B1B">
            <w:pPr>
              <w:ind w:firstLine="0"/>
              <w:jc w:val="both"/>
              <w:cnfStyle w:val="000000000000" w:firstRow="0" w:lastRow="0" w:firstColumn="0" w:lastColumn="0" w:oddVBand="0" w:evenVBand="0" w:oddHBand="0" w:evenHBand="0" w:firstRowFirstColumn="0" w:firstRowLastColumn="0" w:lastRowFirstColumn="0" w:lastRowLastColumn="0"/>
              <w:rPr>
                <w:lang w:val="en-GB"/>
              </w:rPr>
            </w:pPr>
            <w:r w:rsidRPr="00E673DC">
              <w:rPr>
                <w:lang w:val="en-GB"/>
              </w:rPr>
              <w:t>0.925</w:t>
            </w:r>
          </w:p>
        </w:tc>
        <w:tc>
          <w:tcPr>
            <w:tcW w:w="1380" w:type="dxa"/>
            <w:noWrap/>
          </w:tcPr>
          <w:p w14:paraId="6E509428" w14:textId="77777777" w:rsidR="00D13C36" w:rsidRPr="00E673DC" w:rsidRDefault="00D13C36" w:rsidP="003F5B1B">
            <w:pPr>
              <w:ind w:firstLine="0"/>
              <w:jc w:val="both"/>
              <w:cnfStyle w:val="000000000000" w:firstRow="0" w:lastRow="0" w:firstColumn="0" w:lastColumn="0" w:oddVBand="0" w:evenVBand="0" w:oddHBand="0" w:evenHBand="0" w:firstRowFirstColumn="0" w:firstRowLastColumn="0" w:lastRowFirstColumn="0" w:lastRowLastColumn="0"/>
              <w:rPr>
                <w:lang w:val="en-GB"/>
              </w:rPr>
            </w:pPr>
            <w:r w:rsidRPr="00E673DC">
              <w:rPr>
                <w:lang w:val="en-GB"/>
              </w:rPr>
              <w:t>0.928</w:t>
            </w:r>
          </w:p>
        </w:tc>
        <w:tc>
          <w:tcPr>
            <w:tcW w:w="1813" w:type="dxa"/>
            <w:noWrap/>
          </w:tcPr>
          <w:p w14:paraId="2450C489" w14:textId="77777777" w:rsidR="00D13C36" w:rsidRPr="00E673DC" w:rsidRDefault="00D13C36" w:rsidP="003F5B1B">
            <w:pPr>
              <w:ind w:firstLine="0"/>
              <w:jc w:val="both"/>
              <w:cnfStyle w:val="000000000000" w:firstRow="0" w:lastRow="0" w:firstColumn="0" w:lastColumn="0" w:oddVBand="0" w:evenVBand="0" w:oddHBand="0" w:evenHBand="0" w:firstRowFirstColumn="0" w:firstRowLastColumn="0" w:lastRowFirstColumn="0" w:lastRowLastColumn="0"/>
              <w:rPr>
                <w:lang w:val="en-GB"/>
              </w:rPr>
            </w:pPr>
            <w:r w:rsidRPr="00E673DC">
              <w:rPr>
                <w:lang w:val="en-GB"/>
              </w:rPr>
              <w:t>0.769</w:t>
            </w:r>
          </w:p>
        </w:tc>
      </w:tr>
      <w:tr w:rsidR="00D13C36" w:rsidRPr="00E673DC" w14:paraId="744514BA" w14:textId="77777777" w:rsidTr="00803C0A">
        <w:trPr>
          <w:cnfStyle w:val="000000100000" w:firstRow="0" w:lastRow="0" w:firstColumn="0" w:lastColumn="0" w:oddVBand="0" w:evenVBand="0" w:oddHBand="1" w:evenHBand="0" w:firstRowFirstColumn="0" w:firstRowLastColumn="0" w:lastRowFirstColumn="0" w:lastRowLastColumn="0"/>
          <w:trHeight w:val="244"/>
          <w:jc w:val="center"/>
        </w:trPr>
        <w:tc>
          <w:tcPr>
            <w:cnfStyle w:val="001000000000" w:firstRow="0" w:lastRow="0" w:firstColumn="1" w:lastColumn="0" w:oddVBand="0" w:evenVBand="0" w:oddHBand="0" w:evenHBand="0" w:firstRowFirstColumn="0" w:firstRowLastColumn="0" w:lastRowFirstColumn="0" w:lastRowLastColumn="0"/>
            <w:tcW w:w="1877" w:type="dxa"/>
            <w:vMerge/>
            <w:noWrap/>
          </w:tcPr>
          <w:p w14:paraId="45E30BBB" w14:textId="77777777" w:rsidR="00D13C36" w:rsidRPr="00E673DC" w:rsidRDefault="00D13C36" w:rsidP="008F526A">
            <w:pPr>
              <w:jc w:val="both"/>
              <w:rPr>
                <w:rFonts w:eastAsia="Times New Roman"/>
                <w:color w:val="000000"/>
                <w:lang w:val="en-GB"/>
              </w:rPr>
            </w:pPr>
          </w:p>
        </w:tc>
        <w:tc>
          <w:tcPr>
            <w:tcW w:w="2126" w:type="dxa"/>
            <w:noWrap/>
          </w:tcPr>
          <w:p w14:paraId="3245D808"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rFonts w:eastAsia="Times New Roman"/>
                <w:color w:val="000000"/>
                <w:lang w:val="en-GB"/>
              </w:rPr>
            </w:pPr>
            <w:r w:rsidRPr="00E673DC">
              <w:rPr>
                <w:rFonts w:eastAsia="Times New Roman"/>
                <w:color w:val="000000"/>
                <w:lang w:val="en-GB"/>
              </w:rPr>
              <w:t>GL&amp;D2</w:t>
            </w:r>
          </w:p>
        </w:tc>
        <w:tc>
          <w:tcPr>
            <w:tcW w:w="1699" w:type="dxa"/>
            <w:noWrap/>
            <w:vAlign w:val="center"/>
          </w:tcPr>
          <w:p w14:paraId="3C7D6F3E"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lang w:val="en-GB"/>
              </w:rPr>
            </w:pPr>
            <w:r w:rsidRPr="00E673DC">
              <w:rPr>
                <w:lang w:val="en-GB"/>
              </w:rPr>
              <w:t xml:space="preserve">0.879 </w:t>
            </w:r>
          </w:p>
        </w:tc>
        <w:tc>
          <w:tcPr>
            <w:tcW w:w="1380" w:type="dxa"/>
            <w:noWrap/>
          </w:tcPr>
          <w:p w14:paraId="33216A2D"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lang w:val="en-GB"/>
              </w:rPr>
            </w:pPr>
          </w:p>
        </w:tc>
        <w:tc>
          <w:tcPr>
            <w:tcW w:w="1380" w:type="dxa"/>
            <w:noWrap/>
          </w:tcPr>
          <w:p w14:paraId="23F31338"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lang w:val="en-GB"/>
              </w:rPr>
            </w:pPr>
          </w:p>
        </w:tc>
        <w:tc>
          <w:tcPr>
            <w:tcW w:w="1813" w:type="dxa"/>
            <w:noWrap/>
          </w:tcPr>
          <w:p w14:paraId="3F352123"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lang w:val="en-GB"/>
              </w:rPr>
            </w:pPr>
          </w:p>
        </w:tc>
      </w:tr>
      <w:tr w:rsidR="00D13C36" w:rsidRPr="00E673DC" w14:paraId="48FB98CE" w14:textId="77777777" w:rsidTr="00803C0A">
        <w:trPr>
          <w:trHeight w:val="244"/>
          <w:jc w:val="center"/>
        </w:trPr>
        <w:tc>
          <w:tcPr>
            <w:cnfStyle w:val="001000000000" w:firstRow="0" w:lastRow="0" w:firstColumn="1" w:lastColumn="0" w:oddVBand="0" w:evenVBand="0" w:oddHBand="0" w:evenHBand="0" w:firstRowFirstColumn="0" w:firstRowLastColumn="0" w:lastRowFirstColumn="0" w:lastRowLastColumn="0"/>
            <w:tcW w:w="1877" w:type="dxa"/>
            <w:vMerge/>
            <w:noWrap/>
          </w:tcPr>
          <w:p w14:paraId="19391BAF" w14:textId="77777777" w:rsidR="00D13C36" w:rsidRPr="00E673DC" w:rsidRDefault="00D13C36" w:rsidP="008F526A">
            <w:pPr>
              <w:jc w:val="both"/>
              <w:rPr>
                <w:rFonts w:eastAsia="Times New Roman"/>
                <w:color w:val="000000"/>
                <w:lang w:val="en-GB"/>
              </w:rPr>
            </w:pPr>
          </w:p>
        </w:tc>
        <w:tc>
          <w:tcPr>
            <w:tcW w:w="2126" w:type="dxa"/>
            <w:noWrap/>
          </w:tcPr>
          <w:p w14:paraId="3EE7C2A5" w14:textId="77777777" w:rsidR="00D13C36" w:rsidRPr="00E673DC" w:rsidRDefault="00D13C36" w:rsidP="003F5B1B">
            <w:pPr>
              <w:ind w:firstLine="0"/>
              <w:jc w:val="both"/>
              <w:cnfStyle w:val="000000000000" w:firstRow="0" w:lastRow="0" w:firstColumn="0" w:lastColumn="0" w:oddVBand="0" w:evenVBand="0" w:oddHBand="0" w:evenHBand="0" w:firstRowFirstColumn="0" w:firstRowLastColumn="0" w:lastRowFirstColumn="0" w:lastRowLastColumn="0"/>
              <w:rPr>
                <w:rFonts w:eastAsia="Times New Roman"/>
                <w:color w:val="000000"/>
                <w:lang w:val="en-GB"/>
              </w:rPr>
            </w:pPr>
            <w:r w:rsidRPr="00E673DC">
              <w:rPr>
                <w:rFonts w:eastAsia="Times New Roman"/>
                <w:color w:val="000000"/>
                <w:lang w:val="en-GB"/>
              </w:rPr>
              <w:t>GL&amp;D3</w:t>
            </w:r>
          </w:p>
        </w:tc>
        <w:tc>
          <w:tcPr>
            <w:tcW w:w="1699" w:type="dxa"/>
            <w:noWrap/>
            <w:vAlign w:val="center"/>
          </w:tcPr>
          <w:p w14:paraId="5C230503" w14:textId="77777777" w:rsidR="00D13C36" w:rsidRPr="00E673DC" w:rsidRDefault="00D13C36" w:rsidP="003F5B1B">
            <w:pPr>
              <w:ind w:firstLine="0"/>
              <w:jc w:val="both"/>
              <w:cnfStyle w:val="000000000000" w:firstRow="0" w:lastRow="0" w:firstColumn="0" w:lastColumn="0" w:oddVBand="0" w:evenVBand="0" w:oddHBand="0" w:evenHBand="0" w:firstRowFirstColumn="0" w:firstRowLastColumn="0" w:lastRowFirstColumn="0" w:lastRowLastColumn="0"/>
              <w:rPr>
                <w:lang w:val="en-GB"/>
              </w:rPr>
            </w:pPr>
            <w:r w:rsidRPr="00E673DC">
              <w:rPr>
                <w:lang w:val="en-GB"/>
              </w:rPr>
              <w:t xml:space="preserve">0.894 </w:t>
            </w:r>
          </w:p>
        </w:tc>
        <w:tc>
          <w:tcPr>
            <w:tcW w:w="1380" w:type="dxa"/>
            <w:noWrap/>
          </w:tcPr>
          <w:p w14:paraId="46843276" w14:textId="77777777" w:rsidR="00D13C36" w:rsidRPr="00E673DC" w:rsidRDefault="00D13C36" w:rsidP="003F5B1B">
            <w:pPr>
              <w:ind w:firstLine="0"/>
              <w:jc w:val="both"/>
              <w:cnfStyle w:val="000000000000" w:firstRow="0" w:lastRow="0" w:firstColumn="0" w:lastColumn="0" w:oddVBand="0" w:evenVBand="0" w:oddHBand="0" w:evenHBand="0" w:firstRowFirstColumn="0" w:firstRowLastColumn="0" w:lastRowFirstColumn="0" w:lastRowLastColumn="0"/>
              <w:rPr>
                <w:lang w:val="en-GB"/>
              </w:rPr>
            </w:pPr>
          </w:p>
        </w:tc>
        <w:tc>
          <w:tcPr>
            <w:tcW w:w="1380" w:type="dxa"/>
            <w:noWrap/>
          </w:tcPr>
          <w:p w14:paraId="5890A1B2" w14:textId="77777777" w:rsidR="00D13C36" w:rsidRPr="00E673DC" w:rsidRDefault="00D13C36" w:rsidP="003F5B1B">
            <w:pPr>
              <w:ind w:firstLine="0"/>
              <w:jc w:val="both"/>
              <w:cnfStyle w:val="000000000000" w:firstRow="0" w:lastRow="0" w:firstColumn="0" w:lastColumn="0" w:oddVBand="0" w:evenVBand="0" w:oddHBand="0" w:evenHBand="0" w:firstRowFirstColumn="0" w:firstRowLastColumn="0" w:lastRowFirstColumn="0" w:lastRowLastColumn="0"/>
              <w:rPr>
                <w:lang w:val="en-GB"/>
              </w:rPr>
            </w:pPr>
          </w:p>
        </w:tc>
        <w:tc>
          <w:tcPr>
            <w:tcW w:w="1813" w:type="dxa"/>
            <w:noWrap/>
          </w:tcPr>
          <w:p w14:paraId="3F9818C8" w14:textId="77777777" w:rsidR="00D13C36" w:rsidRPr="00E673DC" w:rsidRDefault="00D13C36" w:rsidP="003F5B1B">
            <w:pPr>
              <w:ind w:firstLine="0"/>
              <w:jc w:val="both"/>
              <w:cnfStyle w:val="000000000000" w:firstRow="0" w:lastRow="0" w:firstColumn="0" w:lastColumn="0" w:oddVBand="0" w:evenVBand="0" w:oddHBand="0" w:evenHBand="0" w:firstRowFirstColumn="0" w:firstRowLastColumn="0" w:lastRowFirstColumn="0" w:lastRowLastColumn="0"/>
              <w:rPr>
                <w:lang w:val="en-GB"/>
              </w:rPr>
            </w:pPr>
          </w:p>
        </w:tc>
      </w:tr>
      <w:tr w:rsidR="00D13C36" w:rsidRPr="00E673DC" w14:paraId="10CE0F58" w14:textId="77777777" w:rsidTr="00803C0A">
        <w:trPr>
          <w:cnfStyle w:val="000000100000" w:firstRow="0" w:lastRow="0" w:firstColumn="0" w:lastColumn="0" w:oddVBand="0" w:evenVBand="0" w:oddHBand="1" w:evenHBand="0" w:firstRowFirstColumn="0" w:firstRowLastColumn="0" w:lastRowFirstColumn="0" w:lastRowLastColumn="0"/>
          <w:trHeight w:val="244"/>
          <w:jc w:val="center"/>
        </w:trPr>
        <w:tc>
          <w:tcPr>
            <w:cnfStyle w:val="001000000000" w:firstRow="0" w:lastRow="0" w:firstColumn="1" w:lastColumn="0" w:oddVBand="0" w:evenVBand="0" w:oddHBand="0" w:evenHBand="0" w:firstRowFirstColumn="0" w:firstRowLastColumn="0" w:lastRowFirstColumn="0" w:lastRowLastColumn="0"/>
            <w:tcW w:w="1877" w:type="dxa"/>
            <w:vMerge/>
            <w:noWrap/>
          </w:tcPr>
          <w:p w14:paraId="7722031B" w14:textId="77777777" w:rsidR="00D13C36" w:rsidRPr="00E673DC" w:rsidRDefault="00D13C36" w:rsidP="008F526A">
            <w:pPr>
              <w:jc w:val="both"/>
              <w:rPr>
                <w:rFonts w:eastAsia="Times New Roman"/>
                <w:color w:val="000000"/>
                <w:lang w:val="en-GB"/>
              </w:rPr>
            </w:pPr>
          </w:p>
        </w:tc>
        <w:tc>
          <w:tcPr>
            <w:tcW w:w="2126" w:type="dxa"/>
            <w:noWrap/>
          </w:tcPr>
          <w:p w14:paraId="6EDE0EB4"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rFonts w:eastAsia="Times New Roman"/>
                <w:color w:val="000000"/>
                <w:lang w:val="en-GB"/>
              </w:rPr>
            </w:pPr>
            <w:r w:rsidRPr="00E673DC">
              <w:rPr>
                <w:rFonts w:eastAsia="Times New Roman"/>
                <w:color w:val="000000"/>
                <w:lang w:val="en-GB"/>
              </w:rPr>
              <w:t>GL&amp;D4</w:t>
            </w:r>
          </w:p>
        </w:tc>
        <w:tc>
          <w:tcPr>
            <w:tcW w:w="1699" w:type="dxa"/>
            <w:noWrap/>
            <w:vAlign w:val="center"/>
          </w:tcPr>
          <w:p w14:paraId="57E6FECF"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lang w:val="en-GB"/>
              </w:rPr>
            </w:pPr>
            <w:r w:rsidRPr="00E673DC">
              <w:rPr>
                <w:lang w:val="en-GB"/>
              </w:rPr>
              <w:t xml:space="preserve">0.904 </w:t>
            </w:r>
          </w:p>
        </w:tc>
        <w:tc>
          <w:tcPr>
            <w:tcW w:w="1380" w:type="dxa"/>
            <w:noWrap/>
          </w:tcPr>
          <w:p w14:paraId="53CA28EF"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lang w:val="en-GB"/>
              </w:rPr>
            </w:pPr>
          </w:p>
        </w:tc>
        <w:tc>
          <w:tcPr>
            <w:tcW w:w="1380" w:type="dxa"/>
            <w:noWrap/>
          </w:tcPr>
          <w:p w14:paraId="0D913B95"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lang w:val="en-GB"/>
              </w:rPr>
            </w:pPr>
          </w:p>
        </w:tc>
        <w:tc>
          <w:tcPr>
            <w:tcW w:w="1813" w:type="dxa"/>
            <w:noWrap/>
          </w:tcPr>
          <w:p w14:paraId="17A7860B"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lang w:val="en-GB"/>
              </w:rPr>
            </w:pPr>
          </w:p>
        </w:tc>
      </w:tr>
      <w:tr w:rsidR="00D13C36" w:rsidRPr="00E673DC" w14:paraId="3615EE21" w14:textId="77777777" w:rsidTr="00803C0A">
        <w:trPr>
          <w:trHeight w:val="244"/>
          <w:jc w:val="center"/>
        </w:trPr>
        <w:tc>
          <w:tcPr>
            <w:cnfStyle w:val="001000000000" w:firstRow="0" w:lastRow="0" w:firstColumn="1" w:lastColumn="0" w:oddVBand="0" w:evenVBand="0" w:oddHBand="0" w:evenHBand="0" w:firstRowFirstColumn="0" w:firstRowLastColumn="0" w:lastRowFirstColumn="0" w:lastRowLastColumn="0"/>
            <w:tcW w:w="1877" w:type="dxa"/>
            <w:vMerge/>
            <w:noWrap/>
          </w:tcPr>
          <w:p w14:paraId="4C2F510D" w14:textId="77777777" w:rsidR="00D13C36" w:rsidRPr="00E673DC" w:rsidRDefault="00D13C36" w:rsidP="008F526A">
            <w:pPr>
              <w:jc w:val="both"/>
              <w:rPr>
                <w:rFonts w:eastAsia="Times New Roman"/>
                <w:color w:val="000000"/>
                <w:lang w:val="en-GB"/>
              </w:rPr>
            </w:pPr>
          </w:p>
        </w:tc>
        <w:tc>
          <w:tcPr>
            <w:tcW w:w="2126" w:type="dxa"/>
            <w:noWrap/>
          </w:tcPr>
          <w:p w14:paraId="4E452E66" w14:textId="77777777" w:rsidR="00D13C36" w:rsidRPr="00E673DC" w:rsidRDefault="00D13C36" w:rsidP="003F5B1B">
            <w:pPr>
              <w:ind w:firstLine="0"/>
              <w:jc w:val="both"/>
              <w:cnfStyle w:val="000000000000" w:firstRow="0" w:lastRow="0" w:firstColumn="0" w:lastColumn="0" w:oddVBand="0" w:evenVBand="0" w:oddHBand="0" w:evenHBand="0" w:firstRowFirstColumn="0" w:firstRowLastColumn="0" w:lastRowFirstColumn="0" w:lastRowLastColumn="0"/>
              <w:rPr>
                <w:rFonts w:eastAsia="Times New Roman"/>
                <w:color w:val="000000"/>
                <w:lang w:val="en-GB"/>
              </w:rPr>
            </w:pPr>
            <w:r w:rsidRPr="00E673DC">
              <w:rPr>
                <w:rFonts w:eastAsia="Times New Roman"/>
                <w:color w:val="000000"/>
                <w:lang w:val="en-GB"/>
              </w:rPr>
              <w:t>GL&amp;D5</w:t>
            </w:r>
          </w:p>
        </w:tc>
        <w:tc>
          <w:tcPr>
            <w:tcW w:w="1699" w:type="dxa"/>
            <w:noWrap/>
            <w:vAlign w:val="center"/>
          </w:tcPr>
          <w:p w14:paraId="4F11CE41" w14:textId="77777777" w:rsidR="00D13C36" w:rsidRPr="00E673DC" w:rsidRDefault="00D13C36" w:rsidP="003F5B1B">
            <w:pPr>
              <w:ind w:firstLine="0"/>
              <w:jc w:val="both"/>
              <w:cnfStyle w:val="000000000000" w:firstRow="0" w:lastRow="0" w:firstColumn="0" w:lastColumn="0" w:oddVBand="0" w:evenVBand="0" w:oddHBand="0" w:evenHBand="0" w:firstRowFirstColumn="0" w:firstRowLastColumn="0" w:lastRowFirstColumn="0" w:lastRowLastColumn="0"/>
              <w:rPr>
                <w:lang w:val="en-GB"/>
              </w:rPr>
            </w:pPr>
            <w:r w:rsidRPr="00E673DC">
              <w:rPr>
                <w:lang w:val="en-GB"/>
              </w:rPr>
              <w:t xml:space="preserve">0.852 </w:t>
            </w:r>
          </w:p>
        </w:tc>
        <w:tc>
          <w:tcPr>
            <w:tcW w:w="1380" w:type="dxa"/>
            <w:noWrap/>
          </w:tcPr>
          <w:p w14:paraId="79226D39" w14:textId="77777777" w:rsidR="00D13C36" w:rsidRPr="00E673DC" w:rsidRDefault="00D13C36" w:rsidP="003F5B1B">
            <w:pPr>
              <w:ind w:firstLine="0"/>
              <w:jc w:val="both"/>
              <w:cnfStyle w:val="000000000000" w:firstRow="0" w:lastRow="0" w:firstColumn="0" w:lastColumn="0" w:oddVBand="0" w:evenVBand="0" w:oddHBand="0" w:evenHBand="0" w:firstRowFirstColumn="0" w:firstRowLastColumn="0" w:lastRowFirstColumn="0" w:lastRowLastColumn="0"/>
              <w:rPr>
                <w:lang w:val="en-GB"/>
              </w:rPr>
            </w:pPr>
          </w:p>
        </w:tc>
        <w:tc>
          <w:tcPr>
            <w:tcW w:w="1380" w:type="dxa"/>
            <w:noWrap/>
          </w:tcPr>
          <w:p w14:paraId="38C52D34" w14:textId="77777777" w:rsidR="00D13C36" w:rsidRPr="00E673DC" w:rsidRDefault="00D13C36" w:rsidP="003F5B1B">
            <w:pPr>
              <w:ind w:firstLine="0"/>
              <w:jc w:val="both"/>
              <w:cnfStyle w:val="000000000000" w:firstRow="0" w:lastRow="0" w:firstColumn="0" w:lastColumn="0" w:oddVBand="0" w:evenVBand="0" w:oddHBand="0" w:evenHBand="0" w:firstRowFirstColumn="0" w:firstRowLastColumn="0" w:lastRowFirstColumn="0" w:lastRowLastColumn="0"/>
              <w:rPr>
                <w:lang w:val="en-GB"/>
              </w:rPr>
            </w:pPr>
          </w:p>
        </w:tc>
        <w:tc>
          <w:tcPr>
            <w:tcW w:w="1813" w:type="dxa"/>
            <w:noWrap/>
          </w:tcPr>
          <w:p w14:paraId="7F63E35A" w14:textId="77777777" w:rsidR="00D13C36" w:rsidRPr="00E673DC" w:rsidRDefault="00D13C36" w:rsidP="003F5B1B">
            <w:pPr>
              <w:ind w:firstLine="0"/>
              <w:jc w:val="both"/>
              <w:cnfStyle w:val="000000000000" w:firstRow="0" w:lastRow="0" w:firstColumn="0" w:lastColumn="0" w:oddVBand="0" w:evenVBand="0" w:oddHBand="0" w:evenHBand="0" w:firstRowFirstColumn="0" w:firstRowLastColumn="0" w:lastRowFirstColumn="0" w:lastRowLastColumn="0"/>
              <w:rPr>
                <w:lang w:val="en-GB"/>
              </w:rPr>
            </w:pPr>
          </w:p>
        </w:tc>
      </w:tr>
      <w:tr w:rsidR="00D13C36" w:rsidRPr="00E673DC" w14:paraId="51A9B9C4" w14:textId="77777777" w:rsidTr="00803C0A">
        <w:trPr>
          <w:cnfStyle w:val="000000100000" w:firstRow="0" w:lastRow="0" w:firstColumn="0" w:lastColumn="0" w:oddVBand="0" w:evenVBand="0" w:oddHBand="1" w:evenHBand="0" w:firstRowFirstColumn="0" w:firstRowLastColumn="0" w:lastRowFirstColumn="0" w:lastRowLastColumn="0"/>
          <w:trHeight w:val="244"/>
          <w:jc w:val="center"/>
        </w:trPr>
        <w:tc>
          <w:tcPr>
            <w:cnfStyle w:val="001000000000" w:firstRow="0" w:lastRow="0" w:firstColumn="1" w:lastColumn="0" w:oddVBand="0" w:evenVBand="0" w:oddHBand="0" w:evenHBand="0" w:firstRowFirstColumn="0" w:firstRowLastColumn="0" w:lastRowFirstColumn="0" w:lastRowLastColumn="0"/>
            <w:tcW w:w="1877" w:type="dxa"/>
            <w:vMerge w:val="restart"/>
            <w:noWrap/>
          </w:tcPr>
          <w:p w14:paraId="4D93C09F" w14:textId="77777777" w:rsidR="00D13C36" w:rsidRPr="00E673DC" w:rsidRDefault="00D13C36" w:rsidP="003F5B1B">
            <w:pPr>
              <w:ind w:firstLine="0"/>
              <w:jc w:val="both"/>
              <w:rPr>
                <w:rFonts w:eastAsia="Times New Roman"/>
                <w:color w:val="000000"/>
                <w:lang w:val="en-GB"/>
              </w:rPr>
            </w:pPr>
            <w:r w:rsidRPr="00E673DC">
              <w:rPr>
                <w:rFonts w:eastAsia="Times New Roman"/>
                <w:b w:val="0"/>
                <w:bCs w:val="0"/>
                <w:color w:val="000000"/>
                <w:lang w:val="en-GB"/>
              </w:rPr>
              <w:t>GIB</w:t>
            </w:r>
          </w:p>
        </w:tc>
        <w:tc>
          <w:tcPr>
            <w:tcW w:w="2126" w:type="dxa"/>
            <w:noWrap/>
          </w:tcPr>
          <w:p w14:paraId="38516344"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rFonts w:eastAsia="Times New Roman"/>
                <w:color w:val="000000"/>
                <w:lang w:val="en-GB"/>
              </w:rPr>
            </w:pPr>
            <w:r w:rsidRPr="00E673DC">
              <w:rPr>
                <w:rFonts w:eastAsia="Times New Roman"/>
                <w:color w:val="000000"/>
                <w:lang w:val="en-GB"/>
              </w:rPr>
              <w:t>GIB1</w:t>
            </w:r>
          </w:p>
        </w:tc>
        <w:tc>
          <w:tcPr>
            <w:tcW w:w="1699" w:type="dxa"/>
            <w:noWrap/>
            <w:vAlign w:val="center"/>
          </w:tcPr>
          <w:p w14:paraId="2559E778"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lang w:val="en-GB"/>
              </w:rPr>
            </w:pPr>
            <w:r w:rsidRPr="00E673DC">
              <w:rPr>
                <w:lang w:val="en-GB"/>
              </w:rPr>
              <w:t xml:space="preserve">0.874 </w:t>
            </w:r>
          </w:p>
        </w:tc>
        <w:tc>
          <w:tcPr>
            <w:tcW w:w="1380" w:type="dxa"/>
            <w:noWrap/>
          </w:tcPr>
          <w:p w14:paraId="0511B02D"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lang w:val="en-GB"/>
              </w:rPr>
            </w:pPr>
            <w:r w:rsidRPr="00E673DC">
              <w:rPr>
                <w:lang w:val="en-GB"/>
              </w:rPr>
              <w:t>0.912</w:t>
            </w:r>
          </w:p>
        </w:tc>
        <w:tc>
          <w:tcPr>
            <w:tcW w:w="1380" w:type="dxa"/>
            <w:noWrap/>
          </w:tcPr>
          <w:p w14:paraId="12A07010"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lang w:val="en-GB"/>
              </w:rPr>
            </w:pPr>
            <w:r w:rsidRPr="00E673DC">
              <w:rPr>
                <w:lang w:val="en-GB"/>
              </w:rPr>
              <w:t>0.913</w:t>
            </w:r>
          </w:p>
        </w:tc>
        <w:tc>
          <w:tcPr>
            <w:tcW w:w="1813" w:type="dxa"/>
            <w:noWrap/>
          </w:tcPr>
          <w:p w14:paraId="2FF7D4C1"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lang w:val="en-GB"/>
              </w:rPr>
            </w:pPr>
            <w:r w:rsidRPr="00E673DC">
              <w:rPr>
                <w:lang w:val="en-GB"/>
              </w:rPr>
              <w:t>0.792</w:t>
            </w:r>
          </w:p>
        </w:tc>
      </w:tr>
      <w:tr w:rsidR="00D13C36" w:rsidRPr="00E673DC" w14:paraId="3196FA67" w14:textId="77777777" w:rsidTr="00803C0A">
        <w:trPr>
          <w:trHeight w:val="244"/>
          <w:jc w:val="center"/>
        </w:trPr>
        <w:tc>
          <w:tcPr>
            <w:cnfStyle w:val="001000000000" w:firstRow="0" w:lastRow="0" w:firstColumn="1" w:lastColumn="0" w:oddVBand="0" w:evenVBand="0" w:oddHBand="0" w:evenHBand="0" w:firstRowFirstColumn="0" w:firstRowLastColumn="0" w:lastRowFirstColumn="0" w:lastRowLastColumn="0"/>
            <w:tcW w:w="1877" w:type="dxa"/>
            <w:vMerge/>
            <w:noWrap/>
          </w:tcPr>
          <w:p w14:paraId="7748833E" w14:textId="77777777" w:rsidR="00D13C36" w:rsidRPr="00E673DC" w:rsidRDefault="00D13C36" w:rsidP="008F526A">
            <w:pPr>
              <w:jc w:val="both"/>
              <w:rPr>
                <w:rFonts w:eastAsia="Times New Roman"/>
                <w:color w:val="000000"/>
                <w:lang w:val="en-GB"/>
              </w:rPr>
            </w:pPr>
          </w:p>
        </w:tc>
        <w:tc>
          <w:tcPr>
            <w:tcW w:w="2126" w:type="dxa"/>
            <w:noWrap/>
          </w:tcPr>
          <w:p w14:paraId="33DFE912" w14:textId="77777777" w:rsidR="00D13C36" w:rsidRPr="00E673DC" w:rsidRDefault="00D13C36" w:rsidP="003F5B1B">
            <w:pPr>
              <w:ind w:firstLine="0"/>
              <w:jc w:val="both"/>
              <w:cnfStyle w:val="000000000000" w:firstRow="0" w:lastRow="0" w:firstColumn="0" w:lastColumn="0" w:oddVBand="0" w:evenVBand="0" w:oddHBand="0" w:evenHBand="0" w:firstRowFirstColumn="0" w:firstRowLastColumn="0" w:lastRowFirstColumn="0" w:lastRowLastColumn="0"/>
              <w:rPr>
                <w:rFonts w:eastAsia="Times New Roman"/>
                <w:color w:val="000000"/>
                <w:lang w:val="en-GB"/>
              </w:rPr>
            </w:pPr>
            <w:r w:rsidRPr="00E673DC">
              <w:rPr>
                <w:rFonts w:eastAsia="Times New Roman"/>
                <w:color w:val="000000"/>
                <w:lang w:val="en-GB"/>
              </w:rPr>
              <w:t>GIB2</w:t>
            </w:r>
          </w:p>
        </w:tc>
        <w:tc>
          <w:tcPr>
            <w:tcW w:w="1699" w:type="dxa"/>
            <w:noWrap/>
            <w:vAlign w:val="center"/>
          </w:tcPr>
          <w:p w14:paraId="2FFD21A5" w14:textId="77777777" w:rsidR="00D13C36" w:rsidRPr="00E673DC" w:rsidRDefault="00D13C36" w:rsidP="003F5B1B">
            <w:pPr>
              <w:ind w:firstLine="0"/>
              <w:jc w:val="both"/>
              <w:cnfStyle w:val="000000000000" w:firstRow="0" w:lastRow="0" w:firstColumn="0" w:lastColumn="0" w:oddVBand="0" w:evenVBand="0" w:oddHBand="0" w:evenHBand="0" w:firstRowFirstColumn="0" w:firstRowLastColumn="0" w:lastRowFirstColumn="0" w:lastRowLastColumn="0"/>
              <w:rPr>
                <w:lang w:val="en-GB"/>
              </w:rPr>
            </w:pPr>
            <w:r w:rsidRPr="00E673DC">
              <w:rPr>
                <w:lang w:val="en-GB"/>
              </w:rPr>
              <w:t xml:space="preserve">0.897 </w:t>
            </w:r>
          </w:p>
        </w:tc>
        <w:tc>
          <w:tcPr>
            <w:tcW w:w="1380" w:type="dxa"/>
            <w:noWrap/>
          </w:tcPr>
          <w:p w14:paraId="1D008312" w14:textId="77777777" w:rsidR="00D13C36" w:rsidRPr="00E673DC" w:rsidRDefault="00D13C36" w:rsidP="003F5B1B">
            <w:pPr>
              <w:ind w:firstLine="0"/>
              <w:jc w:val="both"/>
              <w:cnfStyle w:val="000000000000" w:firstRow="0" w:lastRow="0" w:firstColumn="0" w:lastColumn="0" w:oddVBand="0" w:evenVBand="0" w:oddHBand="0" w:evenHBand="0" w:firstRowFirstColumn="0" w:firstRowLastColumn="0" w:lastRowFirstColumn="0" w:lastRowLastColumn="0"/>
              <w:rPr>
                <w:lang w:val="en-GB"/>
              </w:rPr>
            </w:pPr>
          </w:p>
        </w:tc>
        <w:tc>
          <w:tcPr>
            <w:tcW w:w="1380" w:type="dxa"/>
            <w:noWrap/>
          </w:tcPr>
          <w:p w14:paraId="37B111FF" w14:textId="77777777" w:rsidR="00D13C36" w:rsidRPr="00E673DC" w:rsidRDefault="00D13C36" w:rsidP="003F5B1B">
            <w:pPr>
              <w:ind w:firstLine="0"/>
              <w:jc w:val="both"/>
              <w:cnfStyle w:val="000000000000" w:firstRow="0" w:lastRow="0" w:firstColumn="0" w:lastColumn="0" w:oddVBand="0" w:evenVBand="0" w:oddHBand="0" w:evenHBand="0" w:firstRowFirstColumn="0" w:firstRowLastColumn="0" w:lastRowFirstColumn="0" w:lastRowLastColumn="0"/>
              <w:rPr>
                <w:lang w:val="en-GB"/>
              </w:rPr>
            </w:pPr>
          </w:p>
        </w:tc>
        <w:tc>
          <w:tcPr>
            <w:tcW w:w="1813" w:type="dxa"/>
            <w:noWrap/>
          </w:tcPr>
          <w:p w14:paraId="1F0C2FEB" w14:textId="77777777" w:rsidR="00D13C36" w:rsidRPr="00E673DC" w:rsidRDefault="00D13C36" w:rsidP="003F5B1B">
            <w:pPr>
              <w:ind w:firstLine="0"/>
              <w:jc w:val="both"/>
              <w:cnfStyle w:val="000000000000" w:firstRow="0" w:lastRow="0" w:firstColumn="0" w:lastColumn="0" w:oddVBand="0" w:evenVBand="0" w:oddHBand="0" w:evenHBand="0" w:firstRowFirstColumn="0" w:firstRowLastColumn="0" w:lastRowFirstColumn="0" w:lastRowLastColumn="0"/>
              <w:rPr>
                <w:lang w:val="en-GB"/>
              </w:rPr>
            </w:pPr>
          </w:p>
        </w:tc>
      </w:tr>
      <w:tr w:rsidR="00D13C36" w:rsidRPr="00E673DC" w14:paraId="3457E4BF" w14:textId="77777777" w:rsidTr="00803C0A">
        <w:trPr>
          <w:cnfStyle w:val="000000100000" w:firstRow="0" w:lastRow="0" w:firstColumn="0" w:lastColumn="0" w:oddVBand="0" w:evenVBand="0" w:oddHBand="1" w:evenHBand="0" w:firstRowFirstColumn="0" w:firstRowLastColumn="0" w:lastRowFirstColumn="0" w:lastRowLastColumn="0"/>
          <w:trHeight w:val="244"/>
          <w:jc w:val="center"/>
        </w:trPr>
        <w:tc>
          <w:tcPr>
            <w:cnfStyle w:val="001000000000" w:firstRow="0" w:lastRow="0" w:firstColumn="1" w:lastColumn="0" w:oddVBand="0" w:evenVBand="0" w:oddHBand="0" w:evenHBand="0" w:firstRowFirstColumn="0" w:firstRowLastColumn="0" w:lastRowFirstColumn="0" w:lastRowLastColumn="0"/>
            <w:tcW w:w="1877" w:type="dxa"/>
            <w:vMerge/>
            <w:noWrap/>
          </w:tcPr>
          <w:p w14:paraId="08110575" w14:textId="77777777" w:rsidR="00D13C36" w:rsidRPr="00E673DC" w:rsidRDefault="00D13C36" w:rsidP="008F526A">
            <w:pPr>
              <w:jc w:val="both"/>
              <w:rPr>
                <w:rFonts w:eastAsia="Times New Roman"/>
                <w:color w:val="000000"/>
                <w:lang w:val="en-GB"/>
              </w:rPr>
            </w:pPr>
          </w:p>
        </w:tc>
        <w:tc>
          <w:tcPr>
            <w:tcW w:w="2126" w:type="dxa"/>
            <w:noWrap/>
          </w:tcPr>
          <w:p w14:paraId="100B0A49"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rFonts w:eastAsia="Times New Roman"/>
                <w:color w:val="000000"/>
                <w:lang w:val="en-GB"/>
              </w:rPr>
            </w:pPr>
            <w:r w:rsidRPr="00E673DC">
              <w:rPr>
                <w:rFonts w:eastAsia="Times New Roman"/>
                <w:color w:val="000000"/>
                <w:lang w:val="en-GB"/>
              </w:rPr>
              <w:t>GIB3</w:t>
            </w:r>
          </w:p>
        </w:tc>
        <w:tc>
          <w:tcPr>
            <w:tcW w:w="1699" w:type="dxa"/>
            <w:noWrap/>
            <w:vAlign w:val="center"/>
          </w:tcPr>
          <w:p w14:paraId="12964F84"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lang w:val="en-GB"/>
              </w:rPr>
            </w:pPr>
            <w:r w:rsidRPr="00E673DC">
              <w:rPr>
                <w:lang w:val="en-GB"/>
              </w:rPr>
              <w:t xml:space="preserve">0.897 </w:t>
            </w:r>
          </w:p>
        </w:tc>
        <w:tc>
          <w:tcPr>
            <w:tcW w:w="1380" w:type="dxa"/>
            <w:noWrap/>
          </w:tcPr>
          <w:p w14:paraId="2B7528E3"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lang w:val="en-GB"/>
              </w:rPr>
            </w:pPr>
          </w:p>
        </w:tc>
        <w:tc>
          <w:tcPr>
            <w:tcW w:w="1380" w:type="dxa"/>
            <w:noWrap/>
          </w:tcPr>
          <w:p w14:paraId="48AE4D34"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lang w:val="en-GB"/>
              </w:rPr>
            </w:pPr>
          </w:p>
        </w:tc>
        <w:tc>
          <w:tcPr>
            <w:tcW w:w="1813" w:type="dxa"/>
            <w:noWrap/>
          </w:tcPr>
          <w:p w14:paraId="61D49B55"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lang w:val="en-GB"/>
              </w:rPr>
            </w:pPr>
          </w:p>
        </w:tc>
      </w:tr>
      <w:tr w:rsidR="00D13C36" w:rsidRPr="00E673DC" w14:paraId="493E0580" w14:textId="77777777" w:rsidTr="00803C0A">
        <w:trPr>
          <w:trHeight w:val="244"/>
          <w:jc w:val="center"/>
        </w:trPr>
        <w:tc>
          <w:tcPr>
            <w:cnfStyle w:val="001000000000" w:firstRow="0" w:lastRow="0" w:firstColumn="1" w:lastColumn="0" w:oddVBand="0" w:evenVBand="0" w:oddHBand="0" w:evenHBand="0" w:firstRowFirstColumn="0" w:firstRowLastColumn="0" w:lastRowFirstColumn="0" w:lastRowLastColumn="0"/>
            <w:tcW w:w="1877" w:type="dxa"/>
            <w:vMerge/>
            <w:noWrap/>
          </w:tcPr>
          <w:p w14:paraId="2AEF3733" w14:textId="77777777" w:rsidR="00D13C36" w:rsidRPr="00E673DC" w:rsidRDefault="00D13C36" w:rsidP="008F526A">
            <w:pPr>
              <w:jc w:val="both"/>
              <w:rPr>
                <w:rFonts w:eastAsia="Times New Roman"/>
                <w:color w:val="000000"/>
                <w:lang w:val="en-GB"/>
              </w:rPr>
            </w:pPr>
          </w:p>
        </w:tc>
        <w:tc>
          <w:tcPr>
            <w:tcW w:w="2126" w:type="dxa"/>
            <w:noWrap/>
          </w:tcPr>
          <w:p w14:paraId="362561C4" w14:textId="77777777" w:rsidR="00D13C36" w:rsidRPr="00E673DC" w:rsidRDefault="00D13C36" w:rsidP="003F5B1B">
            <w:pPr>
              <w:ind w:firstLine="0"/>
              <w:jc w:val="both"/>
              <w:cnfStyle w:val="000000000000" w:firstRow="0" w:lastRow="0" w:firstColumn="0" w:lastColumn="0" w:oddVBand="0" w:evenVBand="0" w:oddHBand="0" w:evenHBand="0" w:firstRowFirstColumn="0" w:firstRowLastColumn="0" w:lastRowFirstColumn="0" w:lastRowLastColumn="0"/>
              <w:rPr>
                <w:rFonts w:eastAsia="Times New Roman"/>
                <w:color w:val="000000"/>
                <w:lang w:val="en-GB"/>
              </w:rPr>
            </w:pPr>
            <w:r w:rsidRPr="00E673DC">
              <w:rPr>
                <w:rFonts w:eastAsia="Times New Roman"/>
                <w:color w:val="000000"/>
                <w:lang w:val="en-GB"/>
              </w:rPr>
              <w:t>GIB4</w:t>
            </w:r>
          </w:p>
        </w:tc>
        <w:tc>
          <w:tcPr>
            <w:tcW w:w="1699" w:type="dxa"/>
            <w:noWrap/>
            <w:vAlign w:val="center"/>
          </w:tcPr>
          <w:p w14:paraId="5324658F" w14:textId="77777777" w:rsidR="00D13C36" w:rsidRPr="00E673DC" w:rsidRDefault="00D13C36" w:rsidP="003F5B1B">
            <w:pPr>
              <w:ind w:firstLine="0"/>
              <w:jc w:val="both"/>
              <w:cnfStyle w:val="000000000000" w:firstRow="0" w:lastRow="0" w:firstColumn="0" w:lastColumn="0" w:oddVBand="0" w:evenVBand="0" w:oddHBand="0" w:evenHBand="0" w:firstRowFirstColumn="0" w:firstRowLastColumn="0" w:lastRowFirstColumn="0" w:lastRowLastColumn="0"/>
              <w:rPr>
                <w:lang w:val="en-GB"/>
              </w:rPr>
            </w:pPr>
            <w:r w:rsidRPr="00E673DC">
              <w:rPr>
                <w:lang w:val="en-GB"/>
              </w:rPr>
              <w:t xml:space="preserve">0.892 </w:t>
            </w:r>
          </w:p>
        </w:tc>
        <w:tc>
          <w:tcPr>
            <w:tcW w:w="1380" w:type="dxa"/>
            <w:noWrap/>
          </w:tcPr>
          <w:p w14:paraId="3658F21F" w14:textId="77777777" w:rsidR="00D13C36" w:rsidRPr="00E673DC" w:rsidRDefault="00D13C36" w:rsidP="003F5B1B">
            <w:pPr>
              <w:ind w:firstLine="0"/>
              <w:jc w:val="both"/>
              <w:cnfStyle w:val="000000000000" w:firstRow="0" w:lastRow="0" w:firstColumn="0" w:lastColumn="0" w:oddVBand="0" w:evenVBand="0" w:oddHBand="0" w:evenHBand="0" w:firstRowFirstColumn="0" w:firstRowLastColumn="0" w:lastRowFirstColumn="0" w:lastRowLastColumn="0"/>
              <w:rPr>
                <w:lang w:val="en-GB"/>
              </w:rPr>
            </w:pPr>
          </w:p>
        </w:tc>
        <w:tc>
          <w:tcPr>
            <w:tcW w:w="1380" w:type="dxa"/>
            <w:noWrap/>
          </w:tcPr>
          <w:p w14:paraId="0D4D5A91" w14:textId="77777777" w:rsidR="00D13C36" w:rsidRPr="00E673DC" w:rsidRDefault="00D13C36" w:rsidP="003F5B1B">
            <w:pPr>
              <w:ind w:firstLine="0"/>
              <w:jc w:val="both"/>
              <w:cnfStyle w:val="000000000000" w:firstRow="0" w:lastRow="0" w:firstColumn="0" w:lastColumn="0" w:oddVBand="0" w:evenVBand="0" w:oddHBand="0" w:evenHBand="0" w:firstRowFirstColumn="0" w:firstRowLastColumn="0" w:lastRowFirstColumn="0" w:lastRowLastColumn="0"/>
              <w:rPr>
                <w:lang w:val="en-GB"/>
              </w:rPr>
            </w:pPr>
          </w:p>
        </w:tc>
        <w:tc>
          <w:tcPr>
            <w:tcW w:w="1813" w:type="dxa"/>
            <w:noWrap/>
          </w:tcPr>
          <w:p w14:paraId="6B983534" w14:textId="77777777" w:rsidR="00D13C36" w:rsidRPr="00E673DC" w:rsidRDefault="00D13C36" w:rsidP="003F5B1B">
            <w:pPr>
              <w:ind w:firstLine="0"/>
              <w:jc w:val="both"/>
              <w:cnfStyle w:val="000000000000" w:firstRow="0" w:lastRow="0" w:firstColumn="0" w:lastColumn="0" w:oddVBand="0" w:evenVBand="0" w:oddHBand="0" w:evenHBand="0" w:firstRowFirstColumn="0" w:firstRowLastColumn="0" w:lastRowFirstColumn="0" w:lastRowLastColumn="0"/>
              <w:rPr>
                <w:lang w:val="en-GB"/>
              </w:rPr>
            </w:pPr>
          </w:p>
        </w:tc>
      </w:tr>
      <w:tr w:rsidR="00D13C36" w:rsidRPr="00E673DC" w14:paraId="20B870E8" w14:textId="77777777" w:rsidTr="00803C0A">
        <w:trPr>
          <w:cnfStyle w:val="000000100000" w:firstRow="0" w:lastRow="0" w:firstColumn="0" w:lastColumn="0" w:oddVBand="0" w:evenVBand="0" w:oddHBand="1" w:evenHBand="0" w:firstRowFirstColumn="0" w:firstRowLastColumn="0" w:lastRowFirstColumn="0" w:lastRowLastColumn="0"/>
          <w:trHeight w:val="244"/>
          <w:jc w:val="center"/>
        </w:trPr>
        <w:tc>
          <w:tcPr>
            <w:cnfStyle w:val="001000000000" w:firstRow="0" w:lastRow="0" w:firstColumn="1" w:lastColumn="0" w:oddVBand="0" w:evenVBand="0" w:oddHBand="0" w:evenHBand="0" w:firstRowFirstColumn="0" w:firstRowLastColumn="0" w:lastRowFirstColumn="0" w:lastRowLastColumn="0"/>
            <w:tcW w:w="1877" w:type="dxa"/>
            <w:vMerge w:val="restart"/>
            <w:noWrap/>
          </w:tcPr>
          <w:p w14:paraId="6B65D1D8" w14:textId="77777777" w:rsidR="00D13C36" w:rsidRPr="00E673DC" w:rsidRDefault="00D13C36" w:rsidP="003F5B1B">
            <w:pPr>
              <w:ind w:firstLine="0"/>
              <w:jc w:val="both"/>
              <w:rPr>
                <w:rFonts w:eastAsia="Times New Roman"/>
                <w:b w:val="0"/>
                <w:bCs w:val="0"/>
                <w:color w:val="000000"/>
                <w:lang w:val="en-GB"/>
              </w:rPr>
            </w:pPr>
            <w:r w:rsidRPr="00E673DC">
              <w:rPr>
                <w:rFonts w:eastAsia="Times New Roman"/>
                <w:b w:val="0"/>
                <w:bCs w:val="0"/>
                <w:color w:val="000000"/>
                <w:lang w:val="en-GB"/>
              </w:rPr>
              <w:t>OCBE</w:t>
            </w:r>
          </w:p>
        </w:tc>
        <w:tc>
          <w:tcPr>
            <w:tcW w:w="2126" w:type="dxa"/>
            <w:noWrap/>
          </w:tcPr>
          <w:p w14:paraId="3C303D36"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rFonts w:eastAsia="Times New Roman"/>
                <w:color w:val="000000"/>
                <w:lang w:val="en-GB"/>
              </w:rPr>
            </w:pPr>
            <w:r w:rsidRPr="00E673DC">
              <w:rPr>
                <w:rFonts w:eastAsia="Times New Roman"/>
                <w:color w:val="000000"/>
                <w:lang w:val="en-GB"/>
              </w:rPr>
              <w:t>OCBE1</w:t>
            </w:r>
          </w:p>
        </w:tc>
        <w:tc>
          <w:tcPr>
            <w:tcW w:w="1699" w:type="dxa"/>
            <w:noWrap/>
            <w:vAlign w:val="center"/>
          </w:tcPr>
          <w:p w14:paraId="21A91045"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lang w:val="en-GB"/>
              </w:rPr>
            </w:pPr>
            <w:r w:rsidRPr="00E673DC">
              <w:rPr>
                <w:lang w:val="en-GB"/>
              </w:rPr>
              <w:t xml:space="preserve">0.834 </w:t>
            </w:r>
          </w:p>
        </w:tc>
        <w:tc>
          <w:tcPr>
            <w:tcW w:w="1380" w:type="dxa"/>
            <w:noWrap/>
          </w:tcPr>
          <w:p w14:paraId="6DE1DDC3"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lang w:val="en-GB"/>
              </w:rPr>
            </w:pPr>
            <w:r w:rsidRPr="00E673DC">
              <w:rPr>
                <w:lang w:val="en-GB"/>
              </w:rPr>
              <w:t>0.908</w:t>
            </w:r>
          </w:p>
        </w:tc>
        <w:tc>
          <w:tcPr>
            <w:tcW w:w="1380" w:type="dxa"/>
            <w:noWrap/>
          </w:tcPr>
          <w:p w14:paraId="0D05729C"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lang w:val="en-GB"/>
              </w:rPr>
            </w:pPr>
            <w:r w:rsidRPr="00E673DC">
              <w:rPr>
                <w:lang w:val="en-GB"/>
              </w:rPr>
              <w:t>0.909</w:t>
            </w:r>
          </w:p>
        </w:tc>
        <w:tc>
          <w:tcPr>
            <w:tcW w:w="1813" w:type="dxa"/>
            <w:noWrap/>
          </w:tcPr>
          <w:p w14:paraId="250A8C63"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lang w:val="en-GB"/>
              </w:rPr>
            </w:pPr>
            <w:r w:rsidRPr="00E673DC">
              <w:rPr>
                <w:lang w:val="en-GB"/>
              </w:rPr>
              <w:t>0.730</w:t>
            </w:r>
          </w:p>
        </w:tc>
      </w:tr>
      <w:tr w:rsidR="00D13C36" w:rsidRPr="00E673DC" w14:paraId="21890831" w14:textId="77777777" w:rsidTr="00803C0A">
        <w:trPr>
          <w:trHeight w:val="244"/>
          <w:jc w:val="center"/>
        </w:trPr>
        <w:tc>
          <w:tcPr>
            <w:cnfStyle w:val="001000000000" w:firstRow="0" w:lastRow="0" w:firstColumn="1" w:lastColumn="0" w:oddVBand="0" w:evenVBand="0" w:oddHBand="0" w:evenHBand="0" w:firstRowFirstColumn="0" w:firstRowLastColumn="0" w:lastRowFirstColumn="0" w:lastRowLastColumn="0"/>
            <w:tcW w:w="1877" w:type="dxa"/>
            <w:vMerge/>
            <w:noWrap/>
          </w:tcPr>
          <w:p w14:paraId="5ED03DEF" w14:textId="77777777" w:rsidR="00D13C36" w:rsidRPr="00E673DC" w:rsidRDefault="00D13C36" w:rsidP="008F526A">
            <w:pPr>
              <w:jc w:val="both"/>
              <w:rPr>
                <w:rFonts w:eastAsia="Times New Roman"/>
                <w:color w:val="000000"/>
                <w:lang w:val="en-GB"/>
              </w:rPr>
            </w:pPr>
          </w:p>
        </w:tc>
        <w:tc>
          <w:tcPr>
            <w:tcW w:w="2126" w:type="dxa"/>
            <w:noWrap/>
          </w:tcPr>
          <w:p w14:paraId="75E4E8DD" w14:textId="77777777" w:rsidR="00D13C36" w:rsidRPr="00E673DC" w:rsidRDefault="00D13C36" w:rsidP="003F5B1B">
            <w:pPr>
              <w:ind w:firstLine="0"/>
              <w:jc w:val="both"/>
              <w:cnfStyle w:val="000000000000" w:firstRow="0" w:lastRow="0" w:firstColumn="0" w:lastColumn="0" w:oddVBand="0" w:evenVBand="0" w:oddHBand="0" w:evenHBand="0" w:firstRowFirstColumn="0" w:firstRowLastColumn="0" w:lastRowFirstColumn="0" w:lastRowLastColumn="0"/>
              <w:rPr>
                <w:rFonts w:eastAsia="Times New Roman"/>
                <w:color w:val="000000"/>
                <w:lang w:val="en-GB"/>
              </w:rPr>
            </w:pPr>
            <w:r w:rsidRPr="00E673DC">
              <w:rPr>
                <w:rFonts w:eastAsia="Times New Roman"/>
                <w:color w:val="000000"/>
                <w:lang w:val="en-GB"/>
              </w:rPr>
              <w:t>OCBE2</w:t>
            </w:r>
          </w:p>
        </w:tc>
        <w:tc>
          <w:tcPr>
            <w:tcW w:w="1699" w:type="dxa"/>
            <w:noWrap/>
            <w:vAlign w:val="center"/>
          </w:tcPr>
          <w:p w14:paraId="69C66DD4" w14:textId="77777777" w:rsidR="00D13C36" w:rsidRPr="00E673DC" w:rsidRDefault="00D13C36" w:rsidP="003F5B1B">
            <w:pPr>
              <w:ind w:firstLine="0"/>
              <w:jc w:val="both"/>
              <w:cnfStyle w:val="000000000000" w:firstRow="0" w:lastRow="0" w:firstColumn="0" w:lastColumn="0" w:oddVBand="0" w:evenVBand="0" w:oddHBand="0" w:evenHBand="0" w:firstRowFirstColumn="0" w:firstRowLastColumn="0" w:lastRowFirstColumn="0" w:lastRowLastColumn="0"/>
              <w:rPr>
                <w:lang w:val="en-GB"/>
              </w:rPr>
            </w:pPr>
            <w:r w:rsidRPr="00E673DC">
              <w:rPr>
                <w:lang w:val="en-GB"/>
              </w:rPr>
              <w:t xml:space="preserve">0.859 </w:t>
            </w:r>
          </w:p>
        </w:tc>
        <w:tc>
          <w:tcPr>
            <w:tcW w:w="1380" w:type="dxa"/>
            <w:noWrap/>
          </w:tcPr>
          <w:p w14:paraId="7C704E7B" w14:textId="77777777" w:rsidR="00D13C36" w:rsidRPr="00E673DC" w:rsidRDefault="00D13C36" w:rsidP="003F5B1B">
            <w:pPr>
              <w:ind w:firstLine="0"/>
              <w:jc w:val="both"/>
              <w:cnfStyle w:val="000000000000" w:firstRow="0" w:lastRow="0" w:firstColumn="0" w:lastColumn="0" w:oddVBand="0" w:evenVBand="0" w:oddHBand="0" w:evenHBand="0" w:firstRowFirstColumn="0" w:firstRowLastColumn="0" w:lastRowFirstColumn="0" w:lastRowLastColumn="0"/>
              <w:rPr>
                <w:lang w:val="en-GB"/>
              </w:rPr>
            </w:pPr>
          </w:p>
        </w:tc>
        <w:tc>
          <w:tcPr>
            <w:tcW w:w="1380" w:type="dxa"/>
            <w:noWrap/>
          </w:tcPr>
          <w:p w14:paraId="7B7FB72C" w14:textId="77777777" w:rsidR="00D13C36" w:rsidRPr="00E673DC" w:rsidRDefault="00D13C36" w:rsidP="003F5B1B">
            <w:pPr>
              <w:ind w:firstLine="0"/>
              <w:jc w:val="both"/>
              <w:cnfStyle w:val="000000000000" w:firstRow="0" w:lastRow="0" w:firstColumn="0" w:lastColumn="0" w:oddVBand="0" w:evenVBand="0" w:oddHBand="0" w:evenHBand="0" w:firstRowFirstColumn="0" w:firstRowLastColumn="0" w:lastRowFirstColumn="0" w:lastRowLastColumn="0"/>
              <w:rPr>
                <w:lang w:val="en-GB"/>
              </w:rPr>
            </w:pPr>
          </w:p>
        </w:tc>
        <w:tc>
          <w:tcPr>
            <w:tcW w:w="1813" w:type="dxa"/>
            <w:noWrap/>
          </w:tcPr>
          <w:p w14:paraId="6DA301CD" w14:textId="77777777" w:rsidR="00D13C36" w:rsidRPr="00E673DC" w:rsidRDefault="00D13C36" w:rsidP="003F5B1B">
            <w:pPr>
              <w:ind w:firstLine="0"/>
              <w:jc w:val="both"/>
              <w:cnfStyle w:val="000000000000" w:firstRow="0" w:lastRow="0" w:firstColumn="0" w:lastColumn="0" w:oddVBand="0" w:evenVBand="0" w:oddHBand="0" w:evenHBand="0" w:firstRowFirstColumn="0" w:firstRowLastColumn="0" w:lastRowFirstColumn="0" w:lastRowLastColumn="0"/>
              <w:rPr>
                <w:lang w:val="en-GB"/>
              </w:rPr>
            </w:pPr>
          </w:p>
        </w:tc>
      </w:tr>
      <w:tr w:rsidR="00D13C36" w:rsidRPr="00E673DC" w14:paraId="276E8198" w14:textId="77777777" w:rsidTr="00803C0A">
        <w:trPr>
          <w:cnfStyle w:val="000000100000" w:firstRow="0" w:lastRow="0" w:firstColumn="0" w:lastColumn="0" w:oddVBand="0" w:evenVBand="0" w:oddHBand="1" w:evenHBand="0" w:firstRowFirstColumn="0" w:firstRowLastColumn="0" w:lastRowFirstColumn="0" w:lastRowLastColumn="0"/>
          <w:trHeight w:val="244"/>
          <w:jc w:val="center"/>
        </w:trPr>
        <w:tc>
          <w:tcPr>
            <w:cnfStyle w:val="001000000000" w:firstRow="0" w:lastRow="0" w:firstColumn="1" w:lastColumn="0" w:oddVBand="0" w:evenVBand="0" w:oddHBand="0" w:evenHBand="0" w:firstRowFirstColumn="0" w:firstRowLastColumn="0" w:lastRowFirstColumn="0" w:lastRowLastColumn="0"/>
            <w:tcW w:w="1877" w:type="dxa"/>
            <w:vMerge/>
            <w:noWrap/>
          </w:tcPr>
          <w:p w14:paraId="210BF6E0" w14:textId="77777777" w:rsidR="00D13C36" w:rsidRPr="00E673DC" w:rsidRDefault="00D13C36" w:rsidP="008F526A">
            <w:pPr>
              <w:jc w:val="both"/>
              <w:rPr>
                <w:rFonts w:eastAsia="Times New Roman"/>
                <w:color w:val="000000"/>
                <w:lang w:val="en-GB"/>
              </w:rPr>
            </w:pPr>
          </w:p>
        </w:tc>
        <w:tc>
          <w:tcPr>
            <w:tcW w:w="2126" w:type="dxa"/>
            <w:noWrap/>
          </w:tcPr>
          <w:p w14:paraId="630AB641"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rFonts w:eastAsia="Times New Roman"/>
                <w:color w:val="000000"/>
                <w:lang w:val="en-GB"/>
              </w:rPr>
            </w:pPr>
            <w:r w:rsidRPr="00E673DC">
              <w:rPr>
                <w:rFonts w:eastAsia="Times New Roman"/>
                <w:color w:val="000000"/>
                <w:lang w:val="en-GB"/>
              </w:rPr>
              <w:t>OCBE3</w:t>
            </w:r>
          </w:p>
        </w:tc>
        <w:tc>
          <w:tcPr>
            <w:tcW w:w="1699" w:type="dxa"/>
            <w:noWrap/>
            <w:vAlign w:val="center"/>
          </w:tcPr>
          <w:p w14:paraId="2CFED560"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lang w:val="en-GB"/>
              </w:rPr>
            </w:pPr>
            <w:r w:rsidRPr="00E673DC">
              <w:rPr>
                <w:lang w:val="en-GB"/>
              </w:rPr>
              <w:t xml:space="preserve">0.869 </w:t>
            </w:r>
          </w:p>
        </w:tc>
        <w:tc>
          <w:tcPr>
            <w:tcW w:w="1380" w:type="dxa"/>
            <w:noWrap/>
          </w:tcPr>
          <w:p w14:paraId="474C7DB8"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lang w:val="en-GB"/>
              </w:rPr>
            </w:pPr>
          </w:p>
        </w:tc>
        <w:tc>
          <w:tcPr>
            <w:tcW w:w="1380" w:type="dxa"/>
            <w:noWrap/>
          </w:tcPr>
          <w:p w14:paraId="5C7FDE5F"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lang w:val="en-GB"/>
              </w:rPr>
            </w:pPr>
          </w:p>
        </w:tc>
        <w:tc>
          <w:tcPr>
            <w:tcW w:w="1813" w:type="dxa"/>
            <w:noWrap/>
          </w:tcPr>
          <w:p w14:paraId="3082DD3F"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lang w:val="en-GB"/>
              </w:rPr>
            </w:pPr>
          </w:p>
        </w:tc>
      </w:tr>
      <w:tr w:rsidR="00D13C36" w:rsidRPr="00E673DC" w14:paraId="67C73A45" w14:textId="77777777" w:rsidTr="00803C0A">
        <w:trPr>
          <w:trHeight w:val="244"/>
          <w:jc w:val="center"/>
        </w:trPr>
        <w:tc>
          <w:tcPr>
            <w:cnfStyle w:val="001000000000" w:firstRow="0" w:lastRow="0" w:firstColumn="1" w:lastColumn="0" w:oddVBand="0" w:evenVBand="0" w:oddHBand="0" w:evenHBand="0" w:firstRowFirstColumn="0" w:firstRowLastColumn="0" w:lastRowFirstColumn="0" w:lastRowLastColumn="0"/>
            <w:tcW w:w="1877" w:type="dxa"/>
            <w:vMerge/>
            <w:noWrap/>
          </w:tcPr>
          <w:p w14:paraId="556E778A" w14:textId="77777777" w:rsidR="00D13C36" w:rsidRPr="00E673DC" w:rsidRDefault="00D13C36" w:rsidP="008F526A">
            <w:pPr>
              <w:jc w:val="both"/>
              <w:rPr>
                <w:rFonts w:eastAsia="Times New Roman"/>
                <w:color w:val="000000"/>
                <w:lang w:val="en-GB"/>
              </w:rPr>
            </w:pPr>
          </w:p>
        </w:tc>
        <w:tc>
          <w:tcPr>
            <w:tcW w:w="2126" w:type="dxa"/>
            <w:noWrap/>
          </w:tcPr>
          <w:p w14:paraId="09ECC260" w14:textId="77777777" w:rsidR="00D13C36" w:rsidRPr="00E673DC" w:rsidRDefault="00D13C36" w:rsidP="003F5B1B">
            <w:pPr>
              <w:ind w:firstLine="0"/>
              <w:jc w:val="both"/>
              <w:cnfStyle w:val="000000000000" w:firstRow="0" w:lastRow="0" w:firstColumn="0" w:lastColumn="0" w:oddVBand="0" w:evenVBand="0" w:oddHBand="0" w:evenHBand="0" w:firstRowFirstColumn="0" w:firstRowLastColumn="0" w:lastRowFirstColumn="0" w:lastRowLastColumn="0"/>
              <w:rPr>
                <w:rFonts w:eastAsia="Times New Roman"/>
                <w:color w:val="000000"/>
                <w:lang w:val="en-GB"/>
              </w:rPr>
            </w:pPr>
            <w:r w:rsidRPr="00E673DC">
              <w:rPr>
                <w:rFonts w:eastAsia="Times New Roman"/>
                <w:color w:val="000000"/>
                <w:lang w:val="en-GB"/>
              </w:rPr>
              <w:t>OCBE4</w:t>
            </w:r>
          </w:p>
        </w:tc>
        <w:tc>
          <w:tcPr>
            <w:tcW w:w="1699" w:type="dxa"/>
            <w:noWrap/>
            <w:vAlign w:val="center"/>
          </w:tcPr>
          <w:p w14:paraId="5AE99D2A" w14:textId="77777777" w:rsidR="00D13C36" w:rsidRPr="00E673DC" w:rsidRDefault="00D13C36" w:rsidP="003F5B1B">
            <w:pPr>
              <w:ind w:firstLine="0"/>
              <w:jc w:val="both"/>
              <w:cnfStyle w:val="000000000000" w:firstRow="0" w:lastRow="0" w:firstColumn="0" w:lastColumn="0" w:oddVBand="0" w:evenVBand="0" w:oddHBand="0" w:evenHBand="0" w:firstRowFirstColumn="0" w:firstRowLastColumn="0" w:lastRowFirstColumn="0" w:lastRowLastColumn="0"/>
              <w:rPr>
                <w:lang w:val="en-GB"/>
              </w:rPr>
            </w:pPr>
            <w:r w:rsidRPr="00E673DC">
              <w:rPr>
                <w:lang w:val="en-GB"/>
              </w:rPr>
              <w:t xml:space="preserve">0.880 </w:t>
            </w:r>
          </w:p>
        </w:tc>
        <w:tc>
          <w:tcPr>
            <w:tcW w:w="1380" w:type="dxa"/>
            <w:noWrap/>
          </w:tcPr>
          <w:p w14:paraId="4F3F2840" w14:textId="77777777" w:rsidR="00D13C36" w:rsidRPr="00E673DC" w:rsidRDefault="00D13C36" w:rsidP="003F5B1B">
            <w:pPr>
              <w:ind w:firstLine="0"/>
              <w:jc w:val="both"/>
              <w:cnfStyle w:val="000000000000" w:firstRow="0" w:lastRow="0" w:firstColumn="0" w:lastColumn="0" w:oddVBand="0" w:evenVBand="0" w:oddHBand="0" w:evenHBand="0" w:firstRowFirstColumn="0" w:firstRowLastColumn="0" w:lastRowFirstColumn="0" w:lastRowLastColumn="0"/>
              <w:rPr>
                <w:lang w:val="en-GB"/>
              </w:rPr>
            </w:pPr>
          </w:p>
        </w:tc>
        <w:tc>
          <w:tcPr>
            <w:tcW w:w="1380" w:type="dxa"/>
            <w:noWrap/>
          </w:tcPr>
          <w:p w14:paraId="44F810D7" w14:textId="77777777" w:rsidR="00D13C36" w:rsidRPr="00E673DC" w:rsidRDefault="00D13C36" w:rsidP="003F5B1B">
            <w:pPr>
              <w:ind w:firstLine="0"/>
              <w:jc w:val="both"/>
              <w:cnfStyle w:val="000000000000" w:firstRow="0" w:lastRow="0" w:firstColumn="0" w:lastColumn="0" w:oddVBand="0" w:evenVBand="0" w:oddHBand="0" w:evenHBand="0" w:firstRowFirstColumn="0" w:firstRowLastColumn="0" w:lastRowFirstColumn="0" w:lastRowLastColumn="0"/>
              <w:rPr>
                <w:lang w:val="en-GB"/>
              </w:rPr>
            </w:pPr>
          </w:p>
        </w:tc>
        <w:tc>
          <w:tcPr>
            <w:tcW w:w="1813" w:type="dxa"/>
            <w:noWrap/>
          </w:tcPr>
          <w:p w14:paraId="7BAAF007" w14:textId="77777777" w:rsidR="00D13C36" w:rsidRPr="00E673DC" w:rsidRDefault="00D13C36" w:rsidP="003F5B1B">
            <w:pPr>
              <w:ind w:firstLine="0"/>
              <w:jc w:val="both"/>
              <w:cnfStyle w:val="000000000000" w:firstRow="0" w:lastRow="0" w:firstColumn="0" w:lastColumn="0" w:oddVBand="0" w:evenVBand="0" w:oddHBand="0" w:evenHBand="0" w:firstRowFirstColumn="0" w:firstRowLastColumn="0" w:lastRowFirstColumn="0" w:lastRowLastColumn="0"/>
              <w:rPr>
                <w:lang w:val="en-GB"/>
              </w:rPr>
            </w:pPr>
          </w:p>
        </w:tc>
      </w:tr>
      <w:tr w:rsidR="00D13C36" w:rsidRPr="00E673DC" w14:paraId="18AB4FEC" w14:textId="77777777" w:rsidTr="00803C0A">
        <w:trPr>
          <w:cnfStyle w:val="000000100000" w:firstRow="0" w:lastRow="0" w:firstColumn="0" w:lastColumn="0" w:oddVBand="0" w:evenVBand="0" w:oddHBand="1" w:evenHBand="0" w:firstRowFirstColumn="0" w:firstRowLastColumn="0" w:lastRowFirstColumn="0" w:lastRowLastColumn="0"/>
          <w:trHeight w:val="244"/>
          <w:jc w:val="center"/>
        </w:trPr>
        <w:tc>
          <w:tcPr>
            <w:cnfStyle w:val="001000000000" w:firstRow="0" w:lastRow="0" w:firstColumn="1" w:lastColumn="0" w:oddVBand="0" w:evenVBand="0" w:oddHBand="0" w:evenHBand="0" w:firstRowFirstColumn="0" w:firstRowLastColumn="0" w:lastRowFirstColumn="0" w:lastRowLastColumn="0"/>
            <w:tcW w:w="1877" w:type="dxa"/>
            <w:vMerge/>
            <w:noWrap/>
          </w:tcPr>
          <w:p w14:paraId="61136179" w14:textId="77777777" w:rsidR="00D13C36" w:rsidRPr="00E673DC" w:rsidRDefault="00D13C36" w:rsidP="008F526A">
            <w:pPr>
              <w:jc w:val="both"/>
              <w:rPr>
                <w:rFonts w:eastAsia="Times New Roman"/>
                <w:color w:val="000000"/>
                <w:lang w:val="en-GB"/>
              </w:rPr>
            </w:pPr>
          </w:p>
        </w:tc>
        <w:tc>
          <w:tcPr>
            <w:tcW w:w="2126" w:type="dxa"/>
            <w:noWrap/>
          </w:tcPr>
          <w:p w14:paraId="3F8F5B30"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rFonts w:eastAsia="Times New Roman"/>
                <w:color w:val="000000"/>
                <w:lang w:val="en-GB"/>
              </w:rPr>
            </w:pPr>
            <w:r w:rsidRPr="00E673DC">
              <w:rPr>
                <w:rFonts w:eastAsia="Times New Roman"/>
                <w:color w:val="000000"/>
                <w:lang w:val="en-GB"/>
              </w:rPr>
              <w:t>OCBE5</w:t>
            </w:r>
          </w:p>
        </w:tc>
        <w:tc>
          <w:tcPr>
            <w:tcW w:w="1699" w:type="dxa"/>
            <w:noWrap/>
            <w:vAlign w:val="center"/>
          </w:tcPr>
          <w:p w14:paraId="79AA206B"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lang w:val="en-GB"/>
              </w:rPr>
            </w:pPr>
            <w:r w:rsidRPr="00E673DC">
              <w:rPr>
                <w:lang w:val="en-GB"/>
              </w:rPr>
              <w:t xml:space="preserve">0.830 </w:t>
            </w:r>
          </w:p>
        </w:tc>
        <w:tc>
          <w:tcPr>
            <w:tcW w:w="1380" w:type="dxa"/>
            <w:noWrap/>
          </w:tcPr>
          <w:p w14:paraId="0EAA9CDD"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lang w:val="en-GB"/>
              </w:rPr>
            </w:pPr>
          </w:p>
        </w:tc>
        <w:tc>
          <w:tcPr>
            <w:tcW w:w="1380" w:type="dxa"/>
            <w:noWrap/>
          </w:tcPr>
          <w:p w14:paraId="425084A8"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lang w:val="en-GB"/>
              </w:rPr>
            </w:pPr>
          </w:p>
        </w:tc>
        <w:tc>
          <w:tcPr>
            <w:tcW w:w="1813" w:type="dxa"/>
            <w:noWrap/>
          </w:tcPr>
          <w:p w14:paraId="25FDE79E"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lang w:val="en-GB"/>
              </w:rPr>
            </w:pPr>
          </w:p>
        </w:tc>
      </w:tr>
    </w:tbl>
    <w:p w14:paraId="7F25DB0F" w14:textId="77777777" w:rsidR="00D13C36" w:rsidRPr="00E673DC" w:rsidRDefault="00D13C36" w:rsidP="00D13C36">
      <w:pPr>
        <w:spacing w:after="0"/>
        <w:jc w:val="both"/>
        <w:rPr>
          <w:lang w:val="en-GB"/>
        </w:rPr>
      </w:pPr>
    </w:p>
    <w:p w14:paraId="6A51D5D8" w14:textId="56B546B3" w:rsidR="00D13C36" w:rsidRPr="00E673DC" w:rsidRDefault="00D13C36" w:rsidP="00D77795">
      <w:pPr>
        <w:ind w:firstLine="720"/>
        <w:rPr>
          <w:lang w:val="en-GB"/>
        </w:rPr>
      </w:pPr>
      <w:r w:rsidRPr="00E673DC">
        <w:rPr>
          <w:lang w:val="en-GB"/>
        </w:rPr>
        <w:t xml:space="preserve">Additionally, the study measured </w:t>
      </w:r>
      <w:r w:rsidR="007C1704">
        <w:rPr>
          <w:lang w:val="en-GB"/>
        </w:rPr>
        <w:t xml:space="preserve">the </w:t>
      </w:r>
      <w:r w:rsidRPr="00E673DC">
        <w:rPr>
          <w:lang w:val="en-GB"/>
        </w:rPr>
        <w:t xml:space="preserve">discriminant validity through </w:t>
      </w:r>
      <w:r w:rsidR="007C1704">
        <w:rPr>
          <w:lang w:val="en-GB"/>
        </w:rPr>
        <w:t xml:space="preserve">the </w:t>
      </w:r>
      <w:r w:rsidRPr="00E673DC">
        <w:rPr>
          <w:lang w:val="en-GB"/>
        </w:rPr>
        <w:t xml:space="preserve">HTMT ratio to ensure that each of the variables is unique and not correlated with others. From Table 3, the </w:t>
      </w:r>
      <w:r w:rsidRPr="00E673DC">
        <w:rPr>
          <w:lang w:val="en-GB"/>
        </w:rPr>
        <w:lastRenderedPageBreak/>
        <w:t xml:space="preserve">values of </w:t>
      </w:r>
      <w:r w:rsidR="007C1704">
        <w:rPr>
          <w:lang w:val="en-GB"/>
        </w:rPr>
        <w:t xml:space="preserve">the </w:t>
      </w:r>
      <w:r w:rsidRPr="00E673DC">
        <w:rPr>
          <w:lang w:val="en-GB"/>
        </w:rPr>
        <w:t xml:space="preserve">HTMT are lower than 0.85, which ensures that the variables maintained their distinctiveness, subduing the validity concerns. Once discriminant and convergent validity was established in </w:t>
      </w:r>
      <w:r w:rsidR="007C1704">
        <w:rPr>
          <w:lang w:val="en-GB"/>
        </w:rPr>
        <w:t>S</w:t>
      </w:r>
      <w:r w:rsidRPr="00E673DC">
        <w:rPr>
          <w:lang w:val="en-GB"/>
        </w:rPr>
        <w:t xml:space="preserve">tage 1, </w:t>
      </w:r>
      <w:r w:rsidR="007C1704">
        <w:rPr>
          <w:lang w:val="en-GB"/>
        </w:rPr>
        <w:t xml:space="preserve">this </w:t>
      </w:r>
      <w:r w:rsidRPr="00E673DC">
        <w:rPr>
          <w:lang w:val="en-GB"/>
        </w:rPr>
        <w:t>serv</w:t>
      </w:r>
      <w:r w:rsidR="007C1704">
        <w:rPr>
          <w:lang w:val="en-GB"/>
        </w:rPr>
        <w:t>ed as</w:t>
      </w:r>
      <w:r w:rsidRPr="00E673DC">
        <w:rPr>
          <w:lang w:val="en-GB"/>
        </w:rPr>
        <w:t xml:space="preserve"> a verifiable bias for </w:t>
      </w:r>
      <w:r w:rsidR="007C1704">
        <w:rPr>
          <w:lang w:val="en-GB"/>
        </w:rPr>
        <w:t>the S</w:t>
      </w:r>
      <w:r w:rsidRPr="00E673DC">
        <w:rPr>
          <w:lang w:val="en-GB"/>
        </w:rPr>
        <w:t>tage 2 modelling.</w:t>
      </w:r>
    </w:p>
    <w:p w14:paraId="6085A1FF" w14:textId="139F9A69" w:rsidR="00D13C36" w:rsidRPr="00E673DC" w:rsidRDefault="00D13C36" w:rsidP="00FE455D">
      <w:pPr>
        <w:pStyle w:val="Caption"/>
        <w:rPr>
          <w:lang w:val="en-GB"/>
        </w:rPr>
      </w:pPr>
      <w:bookmarkStart w:id="36" w:name="_Toc193015454"/>
      <w:r w:rsidRPr="00E673DC">
        <w:rPr>
          <w:lang w:val="en-GB"/>
        </w:rPr>
        <w:t xml:space="preserve">Table </w:t>
      </w:r>
      <w:r w:rsidRPr="00E673DC">
        <w:rPr>
          <w:lang w:val="en-GB"/>
        </w:rPr>
        <w:fldChar w:fldCharType="begin"/>
      </w:r>
      <w:r w:rsidRPr="00E673DC">
        <w:rPr>
          <w:lang w:val="en-GB"/>
        </w:rPr>
        <w:instrText xml:space="preserve"> SEQ Table \* ARABIC </w:instrText>
      </w:r>
      <w:r w:rsidRPr="00E673DC">
        <w:rPr>
          <w:lang w:val="en-GB"/>
        </w:rPr>
        <w:fldChar w:fldCharType="separate"/>
      </w:r>
      <w:r w:rsidRPr="00E673DC">
        <w:rPr>
          <w:noProof/>
          <w:lang w:val="en-GB"/>
        </w:rPr>
        <w:t>3</w:t>
      </w:r>
      <w:r w:rsidRPr="00E673DC">
        <w:rPr>
          <w:noProof/>
          <w:lang w:val="en-GB"/>
        </w:rPr>
        <w:fldChar w:fldCharType="end"/>
      </w:r>
      <w:r w:rsidRPr="00E673DC">
        <w:rPr>
          <w:lang w:val="en-GB"/>
        </w:rPr>
        <w:t xml:space="preserve">: HTMT </w:t>
      </w:r>
      <w:r w:rsidR="003A7565">
        <w:rPr>
          <w:lang w:val="en-GB"/>
        </w:rPr>
        <w:t>C</w:t>
      </w:r>
      <w:r w:rsidRPr="00E673DC">
        <w:rPr>
          <w:lang w:val="en-GB"/>
        </w:rPr>
        <w:t>riterion (</w:t>
      </w:r>
      <w:r w:rsidR="003A7565">
        <w:rPr>
          <w:lang w:val="en-GB"/>
        </w:rPr>
        <w:t>S</w:t>
      </w:r>
      <w:r w:rsidRPr="00E673DC">
        <w:rPr>
          <w:lang w:val="en-GB"/>
        </w:rPr>
        <w:t>tage 1)</w:t>
      </w:r>
      <w:bookmarkEnd w:id="36"/>
    </w:p>
    <w:tbl>
      <w:tblPr>
        <w:tblStyle w:val="PlainTable2"/>
        <w:tblW w:w="8678" w:type="dxa"/>
        <w:jc w:val="center"/>
        <w:tblLayout w:type="fixed"/>
        <w:tblLook w:val="04A0" w:firstRow="1" w:lastRow="0" w:firstColumn="1" w:lastColumn="0" w:noHBand="0" w:noVBand="1"/>
      </w:tblPr>
      <w:tblGrid>
        <w:gridCol w:w="2520"/>
        <w:gridCol w:w="1539"/>
        <w:gridCol w:w="1540"/>
        <w:gridCol w:w="1539"/>
        <w:gridCol w:w="1540"/>
      </w:tblGrid>
      <w:tr w:rsidR="00D13C36" w:rsidRPr="00E673DC" w14:paraId="2419C10F" w14:textId="77777777" w:rsidTr="00803C0A">
        <w:trPr>
          <w:cnfStyle w:val="100000000000" w:firstRow="1" w:lastRow="0" w:firstColumn="0" w:lastColumn="0" w:oddVBand="0" w:evenVBand="0" w:oddHBand="0" w:evenHBand="0" w:firstRowFirstColumn="0" w:firstRowLastColumn="0" w:lastRowFirstColumn="0" w:lastRowLastColumn="0"/>
          <w:trHeight w:val="286"/>
          <w:jc w:val="center"/>
        </w:trPr>
        <w:tc>
          <w:tcPr>
            <w:cnfStyle w:val="001000000000" w:firstRow="0" w:lastRow="0" w:firstColumn="1" w:lastColumn="0" w:oddVBand="0" w:evenVBand="0" w:oddHBand="0" w:evenHBand="0" w:firstRowFirstColumn="0" w:firstRowLastColumn="0" w:lastRowFirstColumn="0" w:lastRowLastColumn="0"/>
            <w:tcW w:w="2520" w:type="dxa"/>
            <w:noWrap/>
            <w:hideMark/>
          </w:tcPr>
          <w:p w14:paraId="01A4AE60" w14:textId="77777777" w:rsidR="00D13C36" w:rsidRPr="00E673DC" w:rsidRDefault="00D13C36" w:rsidP="003F5B1B">
            <w:pPr>
              <w:ind w:firstLine="0"/>
              <w:jc w:val="both"/>
              <w:rPr>
                <w:rFonts w:eastAsia="Times New Roman"/>
                <w:i/>
                <w:iCs/>
                <w:color w:val="000000"/>
                <w:lang w:val="en-GB"/>
              </w:rPr>
            </w:pPr>
            <w:r w:rsidRPr="00E673DC">
              <w:rPr>
                <w:rFonts w:eastAsia="Times New Roman"/>
                <w:i/>
                <w:iCs/>
                <w:color w:val="000000"/>
                <w:lang w:val="en-GB"/>
              </w:rPr>
              <w:t>Construct</w:t>
            </w:r>
          </w:p>
        </w:tc>
        <w:tc>
          <w:tcPr>
            <w:tcW w:w="1539" w:type="dxa"/>
            <w:noWrap/>
          </w:tcPr>
          <w:p w14:paraId="25C23A38" w14:textId="77777777" w:rsidR="00D13C36" w:rsidRPr="00E673DC" w:rsidRDefault="00D13C36" w:rsidP="003F5B1B">
            <w:pPr>
              <w:ind w:firstLine="0"/>
              <w:jc w:val="both"/>
              <w:cnfStyle w:val="100000000000" w:firstRow="1" w:lastRow="0" w:firstColumn="0" w:lastColumn="0" w:oddVBand="0" w:evenVBand="0" w:oddHBand="0" w:evenHBand="0" w:firstRowFirstColumn="0" w:firstRowLastColumn="0" w:lastRowFirstColumn="0" w:lastRowLastColumn="0"/>
              <w:rPr>
                <w:rFonts w:eastAsia="Times New Roman"/>
                <w:i/>
                <w:iCs/>
                <w:color w:val="000000"/>
                <w:lang w:val="en-GB"/>
              </w:rPr>
            </w:pPr>
            <w:r w:rsidRPr="00E673DC">
              <w:rPr>
                <w:rFonts w:eastAsia="Times New Roman"/>
                <w:i/>
                <w:iCs/>
                <w:color w:val="000000"/>
                <w:lang w:val="en-GB"/>
              </w:rPr>
              <w:t>1</w:t>
            </w:r>
          </w:p>
        </w:tc>
        <w:tc>
          <w:tcPr>
            <w:tcW w:w="1540" w:type="dxa"/>
            <w:noWrap/>
          </w:tcPr>
          <w:p w14:paraId="274049AB" w14:textId="77777777" w:rsidR="00D13C36" w:rsidRPr="00E673DC" w:rsidRDefault="00D13C36" w:rsidP="003F5B1B">
            <w:pPr>
              <w:ind w:firstLine="0"/>
              <w:jc w:val="both"/>
              <w:cnfStyle w:val="100000000000" w:firstRow="1" w:lastRow="0" w:firstColumn="0" w:lastColumn="0" w:oddVBand="0" w:evenVBand="0" w:oddHBand="0" w:evenHBand="0" w:firstRowFirstColumn="0" w:firstRowLastColumn="0" w:lastRowFirstColumn="0" w:lastRowLastColumn="0"/>
              <w:rPr>
                <w:rFonts w:eastAsia="Times New Roman"/>
                <w:i/>
                <w:iCs/>
                <w:color w:val="000000"/>
                <w:lang w:val="en-GB"/>
              </w:rPr>
            </w:pPr>
            <w:r w:rsidRPr="00E673DC">
              <w:rPr>
                <w:rFonts w:eastAsia="Times New Roman"/>
                <w:i/>
                <w:iCs/>
                <w:color w:val="000000"/>
                <w:lang w:val="en-GB"/>
              </w:rPr>
              <w:t>2</w:t>
            </w:r>
          </w:p>
        </w:tc>
        <w:tc>
          <w:tcPr>
            <w:tcW w:w="1539" w:type="dxa"/>
            <w:noWrap/>
          </w:tcPr>
          <w:p w14:paraId="6856E37F" w14:textId="77777777" w:rsidR="00D13C36" w:rsidRPr="00E673DC" w:rsidRDefault="00D13C36" w:rsidP="003F5B1B">
            <w:pPr>
              <w:ind w:firstLine="0"/>
              <w:jc w:val="both"/>
              <w:cnfStyle w:val="100000000000" w:firstRow="1" w:lastRow="0" w:firstColumn="0" w:lastColumn="0" w:oddVBand="0" w:evenVBand="0" w:oddHBand="0" w:evenHBand="0" w:firstRowFirstColumn="0" w:firstRowLastColumn="0" w:lastRowFirstColumn="0" w:lastRowLastColumn="0"/>
              <w:rPr>
                <w:rFonts w:eastAsia="Times New Roman"/>
                <w:i/>
                <w:iCs/>
                <w:color w:val="000000"/>
                <w:lang w:val="en-GB"/>
              </w:rPr>
            </w:pPr>
            <w:r w:rsidRPr="00E673DC">
              <w:rPr>
                <w:rFonts w:eastAsia="Times New Roman"/>
                <w:i/>
                <w:iCs/>
                <w:color w:val="000000"/>
                <w:lang w:val="en-GB"/>
              </w:rPr>
              <w:t>3</w:t>
            </w:r>
          </w:p>
        </w:tc>
        <w:tc>
          <w:tcPr>
            <w:tcW w:w="1540" w:type="dxa"/>
            <w:noWrap/>
          </w:tcPr>
          <w:p w14:paraId="6862746F" w14:textId="77777777" w:rsidR="00D13C36" w:rsidRPr="00E673DC" w:rsidRDefault="00D13C36" w:rsidP="003F5B1B">
            <w:pPr>
              <w:ind w:firstLine="0"/>
              <w:jc w:val="both"/>
              <w:cnfStyle w:val="100000000000" w:firstRow="1" w:lastRow="0" w:firstColumn="0" w:lastColumn="0" w:oddVBand="0" w:evenVBand="0" w:oddHBand="0" w:evenHBand="0" w:firstRowFirstColumn="0" w:firstRowLastColumn="0" w:lastRowFirstColumn="0" w:lastRowLastColumn="0"/>
              <w:rPr>
                <w:rFonts w:eastAsia="Times New Roman"/>
                <w:i/>
                <w:iCs/>
                <w:color w:val="000000"/>
                <w:lang w:val="en-GB"/>
              </w:rPr>
            </w:pPr>
            <w:r w:rsidRPr="00E673DC">
              <w:rPr>
                <w:rFonts w:eastAsia="Times New Roman"/>
                <w:i/>
                <w:iCs/>
                <w:color w:val="000000"/>
                <w:lang w:val="en-GB"/>
              </w:rPr>
              <w:t>4</w:t>
            </w:r>
          </w:p>
        </w:tc>
      </w:tr>
      <w:tr w:rsidR="00D13C36" w:rsidRPr="00E673DC" w14:paraId="42DD5027" w14:textId="77777777" w:rsidTr="00803C0A">
        <w:trPr>
          <w:cnfStyle w:val="000000100000" w:firstRow="0" w:lastRow="0" w:firstColumn="0" w:lastColumn="0" w:oddVBand="0" w:evenVBand="0" w:oddHBand="1" w:evenHBand="0" w:firstRowFirstColumn="0" w:firstRowLastColumn="0" w:lastRowFirstColumn="0" w:lastRowLastColumn="0"/>
          <w:trHeight w:val="286"/>
          <w:jc w:val="center"/>
        </w:trPr>
        <w:tc>
          <w:tcPr>
            <w:cnfStyle w:val="001000000000" w:firstRow="0" w:lastRow="0" w:firstColumn="1" w:lastColumn="0" w:oddVBand="0" w:evenVBand="0" w:oddHBand="0" w:evenHBand="0" w:firstRowFirstColumn="0" w:firstRowLastColumn="0" w:lastRowFirstColumn="0" w:lastRowLastColumn="0"/>
            <w:tcW w:w="2520" w:type="dxa"/>
            <w:noWrap/>
          </w:tcPr>
          <w:p w14:paraId="0B102429" w14:textId="77777777" w:rsidR="00D13C36" w:rsidRPr="00E673DC" w:rsidRDefault="00D13C36" w:rsidP="003F5B1B">
            <w:pPr>
              <w:ind w:firstLine="0"/>
              <w:jc w:val="both"/>
              <w:rPr>
                <w:rFonts w:eastAsia="Times New Roman"/>
                <w:color w:val="000000"/>
                <w:lang w:val="en-GB"/>
              </w:rPr>
            </w:pPr>
            <w:r w:rsidRPr="00E673DC">
              <w:rPr>
                <w:rFonts w:eastAsia="Times New Roman"/>
                <w:b w:val="0"/>
                <w:bCs w:val="0"/>
                <w:color w:val="000000"/>
                <w:lang w:val="en-GB"/>
              </w:rPr>
              <w:t>GR&amp;C</w:t>
            </w:r>
          </w:p>
        </w:tc>
        <w:tc>
          <w:tcPr>
            <w:tcW w:w="1539" w:type="dxa"/>
            <w:noWrap/>
            <w:hideMark/>
          </w:tcPr>
          <w:p w14:paraId="0547E5DB" w14:textId="77777777" w:rsidR="00D13C36" w:rsidRPr="00E673DC" w:rsidRDefault="00D13C36" w:rsidP="008F526A">
            <w:pPr>
              <w:jc w:val="both"/>
              <w:cnfStyle w:val="000000100000" w:firstRow="0" w:lastRow="0" w:firstColumn="0" w:lastColumn="0" w:oddVBand="0" w:evenVBand="0" w:oddHBand="1" w:evenHBand="0" w:firstRowFirstColumn="0" w:firstRowLastColumn="0" w:lastRowFirstColumn="0" w:lastRowLastColumn="0"/>
              <w:rPr>
                <w:rFonts w:eastAsia="Times New Roman"/>
                <w:color w:val="000000"/>
                <w:lang w:val="en-GB"/>
              </w:rPr>
            </w:pPr>
            <w:r w:rsidRPr="00E673DC">
              <w:rPr>
                <w:rFonts w:eastAsia="Times New Roman"/>
                <w:color w:val="000000"/>
                <w:lang w:val="en-GB"/>
              </w:rPr>
              <w:t> </w:t>
            </w:r>
          </w:p>
        </w:tc>
        <w:tc>
          <w:tcPr>
            <w:tcW w:w="1540" w:type="dxa"/>
            <w:noWrap/>
            <w:hideMark/>
          </w:tcPr>
          <w:p w14:paraId="3249B570" w14:textId="77777777" w:rsidR="00D13C36" w:rsidRPr="00E673DC" w:rsidRDefault="00D13C36" w:rsidP="008F526A">
            <w:pPr>
              <w:jc w:val="both"/>
              <w:cnfStyle w:val="000000100000" w:firstRow="0" w:lastRow="0" w:firstColumn="0" w:lastColumn="0" w:oddVBand="0" w:evenVBand="0" w:oddHBand="1" w:evenHBand="0" w:firstRowFirstColumn="0" w:firstRowLastColumn="0" w:lastRowFirstColumn="0" w:lastRowLastColumn="0"/>
              <w:rPr>
                <w:rFonts w:eastAsia="Times New Roman"/>
                <w:color w:val="000000"/>
                <w:lang w:val="en-GB"/>
              </w:rPr>
            </w:pPr>
            <w:r w:rsidRPr="00E673DC">
              <w:rPr>
                <w:rFonts w:eastAsia="Times New Roman"/>
                <w:color w:val="000000"/>
                <w:lang w:val="en-GB"/>
              </w:rPr>
              <w:t> </w:t>
            </w:r>
          </w:p>
        </w:tc>
        <w:tc>
          <w:tcPr>
            <w:tcW w:w="1539" w:type="dxa"/>
            <w:noWrap/>
            <w:hideMark/>
          </w:tcPr>
          <w:p w14:paraId="50C249FA" w14:textId="77777777" w:rsidR="00D13C36" w:rsidRPr="00E673DC" w:rsidRDefault="00D13C36" w:rsidP="008F526A">
            <w:pPr>
              <w:jc w:val="both"/>
              <w:cnfStyle w:val="000000100000" w:firstRow="0" w:lastRow="0" w:firstColumn="0" w:lastColumn="0" w:oddVBand="0" w:evenVBand="0" w:oddHBand="1" w:evenHBand="0" w:firstRowFirstColumn="0" w:firstRowLastColumn="0" w:lastRowFirstColumn="0" w:lastRowLastColumn="0"/>
              <w:rPr>
                <w:rFonts w:eastAsia="Times New Roman"/>
                <w:color w:val="000000"/>
                <w:lang w:val="en-GB"/>
              </w:rPr>
            </w:pPr>
            <w:r w:rsidRPr="00E673DC">
              <w:rPr>
                <w:rFonts w:eastAsia="Times New Roman"/>
                <w:color w:val="000000"/>
                <w:lang w:val="en-GB"/>
              </w:rPr>
              <w:t> </w:t>
            </w:r>
          </w:p>
        </w:tc>
        <w:tc>
          <w:tcPr>
            <w:tcW w:w="1540" w:type="dxa"/>
            <w:noWrap/>
            <w:hideMark/>
          </w:tcPr>
          <w:p w14:paraId="489CCFD1" w14:textId="77777777" w:rsidR="00D13C36" w:rsidRPr="00E673DC" w:rsidRDefault="00D13C36" w:rsidP="008F526A">
            <w:pPr>
              <w:jc w:val="both"/>
              <w:cnfStyle w:val="000000100000" w:firstRow="0" w:lastRow="0" w:firstColumn="0" w:lastColumn="0" w:oddVBand="0" w:evenVBand="0" w:oddHBand="1" w:evenHBand="0" w:firstRowFirstColumn="0" w:firstRowLastColumn="0" w:lastRowFirstColumn="0" w:lastRowLastColumn="0"/>
              <w:rPr>
                <w:rFonts w:eastAsia="Times New Roman"/>
                <w:color w:val="000000"/>
                <w:lang w:val="en-GB"/>
              </w:rPr>
            </w:pPr>
            <w:r w:rsidRPr="00E673DC">
              <w:rPr>
                <w:rFonts w:eastAsia="Times New Roman"/>
                <w:color w:val="000000"/>
                <w:lang w:val="en-GB"/>
              </w:rPr>
              <w:t> </w:t>
            </w:r>
          </w:p>
        </w:tc>
      </w:tr>
      <w:tr w:rsidR="00D13C36" w:rsidRPr="00E673DC" w14:paraId="3B762B45" w14:textId="77777777" w:rsidTr="00803C0A">
        <w:trPr>
          <w:trHeight w:val="286"/>
          <w:jc w:val="center"/>
        </w:trPr>
        <w:tc>
          <w:tcPr>
            <w:cnfStyle w:val="001000000000" w:firstRow="0" w:lastRow="0" w:firstColumn="1" w:lastColumn="0" w:oddVBand="0" w:evenVBand="0" w:oddHBand="0" w:evenHBand="0" w:firstRowFirstColumn="0" w:firstRowLastColumn="0" w:lastRowFirstColumn="0" w:lastRowLastColumn="0"/>
            <w:tcW w:w="2520" w:type="dxa"/>
            <w:noWrap/>
          </w:tcPr>
          <w:p w14:paraId="3F58D018" w14:textId="77777777" w:rsidR="00D13C36" w:rsidRPr="00E673DC" w:rsidRDefault="00D13C36" w:rsidP="003F5B1B">
            <w:pPr>
              <w:ind w:firstLine="0"/>
              <w:jc w:val="both"/>
              <w:rPr>
                <w:rFonts w:eastAsia="Times New Roman"/>
                <w:color w:val="000000"/>
                <w:lang w:val="en-GB"/>
              </w:rPr>
            </w:pPr>
            <w:r w:rsidRPr="00E673DC">
              <w:rPr>
                <w:rFonts w:eastAsia="Times New Roman"/>
                <w:b w:val="0"/>
                <w:bCs w:val="0"/>
                <w:color w:val="000000"/>
                <w:lang w:val="en-GB"/>
              </w:rPr>
              <w:t>GIB</w:t>
            </w:r>
          </w:p>
        </w:tc>
        <w:tc>
          <w:tcPr>
            <w:tcW w:w="1539" w:type="dxa"/>
            <w:noWrap/>
            <w:hideMark/>
          </w:tcPr>
          <w:p w14:paraId="4D340016" w14:textId="77777777" w:rsidR="00D13C36" w:rsidRPr="00E673DC" w:rsidRDefault="00D13C36" w:rsidP="003F5B1B">
            <w:pPr>
              <w:ind w:firstLine="0"/>
              <w:jc w:val="both"/>
              <w:cnfStyle w:val="000000000000" w:firstRow="0" w:lastRow="0" w:firstColumn="0" w:lastColumn="0" w:oddVBand="0" w:evenVBand="0" w:oddHBand="0" w:evenHBand="0" w:firstRowFirstColumn="0" w:firstRowLastColumn="0" w:lastRowFirstColumn="0" w:lastRowLastColumn="0"/>
              <w:rPr>
                <w:rFonts w:eastAsia="Times New Roman"/>
                <w:color w:val="000000"/>
                <w:lang w:val="en-GB"/>
              </w:rPr>
            </w:pPr>
            <w:r w:rsidRPr="00E673DC">
              <w:rPr>
                <w:rFonts w:eastAsia="Times New Roman"/>
                <w:color w:val="000000"/>
                <w:lang w:val="en-GB"/>
              </w:rPr>
              <w:t>0.876</w:t>
            </w:r>
          </w:p>
        </w:tc>
        <w:tc>
          <w:tcPr>
            <w:tcW w:w="1540" w:type="dxa"/>
            <w:noWrap/>
            <w:hideMark/>
          </w:tcPr>
          <w:p w14:paraId="5EF41DE3" w14:textId="77777777" w:rsidR="00D13C36" w:rsidRPr="00E673DC" w:rsidRDefault="00D13C36" w:rsidP="008F526A">
            <w:pPr>
              <w:jc w:val="both"/>
              <w:cnfStyle w:val="000000000000" w:firstRow="0" w:lastRow="0" w:firstColumn="0" w:lastColumn="0" w:oddVBand="0" w:evenVBand="0" w:oddHBand="0" w:evenHBand="0" w:firstRowFirstColumn="0" w:firstRowLastColumn="0" w:lastRowFirstColumn="0" w:lastRowLastColumn="0"/>
              <w:rPr>
                <w:rFonts w:eastAsia="Times New Roman"/>
                <w:color w:val="000000"/>
                <w:lang w:val="en-GB"/>
              </w:rPr>
            </w:pPr>
            <w:r w:rsidRPr="00E673DC">
              <w:rPr>
                <w:rFonts w:eastAsia="Times New Roman"/>
                <w:color w:val="000000"/>
                <w:lang w:val="en-GB"/>
              </w:rPr>
              <w:t> </w:t>
            </w:r>
          </w:p>
        </w:tc>
        <w:tc>
          <w:tcPr>
            <w:tcW w:w="1539" w:type="dxa"/>
            <w:noWrap/>
            <w:hideMark/>
          </w:tcPr>
          <w:p w14:paraId="562B7BC2" w14:textId="77777777" w:rsidR="00D13C36" w:rsidRPr="00E673DC" w:rsidRDefault="00D13C36" w:rsidP="008F526A">
            <w:pPr>
              <w:jc w:val="both"/>
              <w:cnfStyle w:val="000000000000" w:firstRow="0" w:lastRow="0" w:firstColumn="0" w:lastColumn="0" w:oddVBand="0" w:evenVBand="0" w:oddHBand="0" w:evenHBand="0" w:firstRowFirstColumn="0" w:firstRowLastColumn="0" w:lastRowFirstColumn="0" w:lastRowLastColumn="0"/>
              <w:rPr>
                <w:rFonts w:eastAsia="Times New Roman"/>
                <w:color w:val="000000"/>
                <w:lang w:val="en-GB"/>
              </w:rPr>
            </w:pPr>
            <w:r w:rsidRPr="00E673DC">
              <w:rPr>
                <w:rFonts w:eastAsia="Times New Roman"/>
                <w:color w:val="000000"/>
                <w:lang w:val="en-GB"/>
              </w:rPr>
              <w:t> </w:t>
            </w:r>
          </w:p>
        </w:tc>
        <w:tc>
          <w:tcPr>
            <w:tcW w:w="1540" w:type="dxa"/>
            <w:noWrap/>
            <w:hideMark/>
          </w:tcPr>
          <w:p w14:paraId="5D37A9B3" w14:textId="77777777" w:rsidR="00D13C36" w:rsidRPr="00E673DC" w:rsidRDefault="00D13C36" w:rsidP="008F526A">
            <w:pPr>
              <w:jc w:val="both"/>
              <w:cnfStyle w:val="000000000000" w:firstRow="0" w:lastRow="0" w:firstColumn="0" w:lastColumn="0" w:oddVBand="0" w:evenVBand="0" w:oddHBand="0" w:evenHBand="0" w:firstRowFirstColumn="0" w:firstRowLastColumn="0" w:lastRowFirstColumn="0" w:lastRowLastColumn="0"/>
              <w:rPr>
                <w:rFonts w:eastAsia="Times New Roman"/>
                <w:color w:val="000000"/>
                <w:lang w:val="en-GB"/>
              </w:rPr>
            </w:pPr>
            <w:r w:rsidRPr="00E673DC">
              <w:rPr>
                <w:rFonts w:eastAsia="Times New Roman"/>
                <w:color w:val="000000"/>
                <w:lang w:val="en-GB"/>
              </w:rPr>
              <w:t> </w:t>
            </w:r>
          </w:p>
        </w:tc>
      </w:tr>
      <w:tr w:rsidR="00D13C36" w:rsidRPr="00E673DC" w14:paraId="15AF9B5D" w14:textId="77777777" w:rsidTr="00803C0A">
        <w:trPr>
          <w:cnfStyle w:val="000000100000" w:firstRow="0" w:lastRow="0" w:firstColumn="0" w:lastColumn="0" w:oddVBand="0" w:evenVBand="0" w:oddHBand="1" w:evenHBand="0" w:firstRowFirstColumn="0" w:firstRowLastColumn="0" w:lastRowFirstColumn="0" w:lastRowLastColumn="0"/>
          <w:trHeight w:val="286"/>
          <w:jc w:val="center"/>
        </w:trPr>
        <w:tc>
          <w:tcPr>
            <w:cnfStyle w:val="001000000000" w:firstRow="0" w:lastRow="0" w:firstColumn="1" w:lastColumn="0" w:oddVBand="0" w:evenVBand="0" w:oddHBand="0" w:evenHBand="0" w:firstRowFirstColumn="0" w:firstRowLastColumn="0" w:lastRowFirstColumn="0" w:lastRowLastColumn="0"/>
            <w:tcW w:w="2520" w:type="dxa"/>
            <w:noWrap/>
          </w:tcPr>
          <w:p w14:paraId="3F66B77B" w14:textId="77777777" w:rsidR="00D13C36" w:rsidRPr="00E673DC" w:rsidRDefault="00D13C36" w:rsidP="003F5B1B">
            <w:pPr>
              <w:ind w:firstLine="0"/>
              <w:jc w:val="both"/>
              <w:rPr>
                <w:rFonts w:eastAsia="Times New Roman"/>
                <w:color w:val="000000"/>
                <w:lang w:val="en-GB"/>
              </w:rPr>
            </w:pPr>
            <w:r w:rsidRPr="00E673DC">
              <w:rPr>
                <w:rFonts w:eastAsia="Times New Roman"/>
                <w:b w:val="0"/>
                <w:bCs w:val="0"/>
                <w:color w:val="000000"/>
                <w:lang w:val="en-GB"/>
              </w:rPr>
              <w:t>GL&amp;D</w:t>
            </w:r>
          </w:p>
        </w:tc>
        <w:tc>
          <w:tcPr>
            <w:tcW w:w="1539" w:type="dxa"/>
            <w:noWrap/>
            <w:hideMark/>
          </w:tcPr>
          <w:p w14:paraId="6299B31D"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rFonts w:eastAsia="Times New Roman"/>
                <w:color w:val="000000"/>
                <w:lang w:val="en-GB"/>
              </w:rPr>
            </w:pPr>
            <w:r w:rsidRPr="00E673DC">
              <w:rPr>
                <w:rFonts w:eastAsia="Times New Roman"/>
                <w:color w:val="000000"/>
                <w:lang w:val="en-GB"/>
              </w:rPr>
              <w:t>0.841</w:t>
            </w:r>
          </w:p>
        </w:tc>
        <w:tc>
          <w:tcPr>
            <w:tcW w:w="1540" w:type="dxa"/>
            <w:noWrap/>
            <w:hideMark/>
          </w:tcPr>
          <w:p w14:paraId="3D7939AD" w14:textId="77777777" w:rsidR="00D13C36" w:rsidRPr="00E673DC" w:rsidRDefault="00D13C36" w:rsidP="003F5B1B">
            <w:pPr>
              <w:ind w:firstLine="0"/>
              <w:jc w:val="both"/>
              <w:cnfStyle w:val="000000100000" w:firstRow="0" w:lastRow="0" w:firstColumn="0" w:lastColumn="0" w:oddVBand="0" w:evenVBand="0" w:oddHBand="1" w:evenHBand="0" w:firstRowFirstColumn="0" w:firstRowLastColumn="0" w:lastRowFirstColumn="0" w:lastRowLastColumn="0"/>
              <w:rPr>
                <w:rFonts w:eastAsia="Times New Roman"/>
                <w:color w:val="000000"/>
                <w:lang w:val="en-GB"/>
              </w:rPr>
            </w:pPr>
            <w:r w:rsidRPr="00E673DC">
              <w:rPr>
                <w:rFonts w:eastAsia="Times New Roman"/>
                <w:color w:val="000000"/>
                <w:lang w:val="en-GB"/>
              </w:rPr>
              <w:t>0.742</w:t>
            </w:r>
          </w:p>
        </w:tc>
        <w:tc>
          <w:tcPr>
            <w:tcW w:w="1539" w:type="dxa"/>
            <w:noWrap/>
            <w:hideMark/>
          </w:tcPr>
          <w:p w14:paraId="6EA66907" w14:textId="77777777" w:rsidR="00D13C36" w:rsidRPr="00E673DC" w:rsidRDefault="00D13C36" w:rsidP="008F526A">
            <w:pPr>
              <w:jc w:val="both"/>
              <w:cnfStyle w:val="000000100000" w:firstRow="0" w:lastRow="0" w:firstColumn="0" w:lastColumn="0" w:oddVBand="0" w:evenVBand="0" w:oddHBand="1" w:evenHBand="0" w:firstRowFirstColumn="0" w:firstRowLastColumn="0" w:lastRowFirstColumn="0" w:lastRowLastColumn="0"/>
              <w:rPr>
                <w:rFonts w:eastAsia="Times New Roman"/>
                <w:color w:val="000000"/>
                <w:lang w:val="en-GB"/>
              </w:rPr>
            </w:pPr>
            <w:r w:rsidRPr="00E673DC">
              <w:rPr>
                <w:rFonts w:eastAsia="Times New Roman"/>
                <w:color w:val="000000"/>
                <w:lang w:val="en-GB"/>
              </w:rPr>
              <w:t> </w:t>
            </w:r>
          </w:p>
        </w:tc>
        <w:tc>
          <w:tcPr>
            <w:tcW w:w="1540" w:type="dxa"/>
            <w:noWrap/>
            <w:hideMark/>
          </w:tcPr>
          <w:p w14:paraId="011820D1" w14:textId="77777777" w:rsidR="00D13C36" w:rsidRPr="00E673DC" w:rsidRDefault="00D13C36" w:rsidP="008F526A">
            <w:pPr>
              <w:jc w:val="both"/>
              <w:cnfStyle w:val="000000100000" w:firstRow="0" w:lastRow="0" w:firstColumn="0" w:lastColumn="0" w:oddVBand="0" w:evenVBand="0" w:oddHBand="1" w:evenHBand="0" w:firstRowFirstColumn="0" w:firstRowLastColumn="0" w:lastRowFirstColumn="0" w:lastRowLastColumn="0"/>
              <w:rPr>
                <w:rFonts w:eastAsia="Times New Roman"/>
                <w:color w:val="000000"/>
                <w:lang w:val="en-GB"/>
              </w:rPr>
            </w:pPr>
            <w:r w:rsidRPr="00E673DC">
              <w:rPr>
                <w:rFonts w:eastAsia="Times New Roman"/>
                <w:color w:val="000000"/>
                <w:lang w:val="en-GB"/>
              </w:rPr>
              <w:t> </w:t>
            </w:r>
          </w:p>
        </w:tc>
      </w:tr>
      <w:tr w:rsidR="00D13C36" w:rsidRPr="00E673DC" w14:paraId="5857F88B" w14:textId="77777777" w:rsidTr="00803C0A">
        <w:trPr>
          <w:trHeight w:val="286"/>
          <w:jc w:val="center"/>
        </w:trPr>
        <w:tc>
          <w:tcPr>
            <w:cnfStyle w:val="001000000000" w:firstRow="0" w:lastRow="0" w:firstColumn="1" w:lastColumn="0" w:oddVBand="0" w:evenVBand="0" w:oddHBand="0" w:evenHBand="0" w:firstRowFirstColumn="0" w:firstRowLastColumn="0" w:lastRowFirstColumn="0" w:lastRowLastColumn="0"/>
            <w:tcW w:w="2520" w:type="dxa"/>
            <w:noWrap/>
          </w:tcPr>
          <w:p w14:paraId="0CE8036D" w14:textId="77777777" w:rsidR="00D13C36" w:rsidRPr="00E673DC" w:rsidRDefault="00D13C36" w:rsidP="003F5B1B">
            <w:pPr>
              <w:ind w:firstLine="0"/>
              <w:jc w:val="both"/>
              <w:rPr>
                <w:rFonts w:eastAsia="Times New Roman"/>
                <w:color w:val="000000"/>
                <w:lang w:val="en-GB"/>
              </w:rPr>
            </w:pPr>
            <w:r w:rsidRPr="00E673DC">
              <w:rPr>
                <w:rFonts w:eastAsia="Times New Roman"/>
                <w:b w:val="0"/>
                <w:bCs w:val="0"/>
                <w:color w:val="000000"/>
                <w:lang w:val="en-GB"/>
              </w:rPr>
              <w:t>OCBE</w:t>
            </w:r>
          </w:p>
        </w:tc>
        <w:tc>
          <w:tcPr>
            <w:tcW w:w="1539" w:type="dxa"/>
            <w:noWrap/>
            <w:hideMark/>
          </w:tcPr>
          <w:p w14:paraId="3BD813E6" w14:textId="77777777" w:rsidR="00D13C36" w:rsidRPr="00E673DC" w:rsidRDefault="00D13C36" w:rsidP="003F5B1B">
            <w:pPr>
              <w:ind w:firstLine="0"/>
              <w:jc w:val="both"/>
              <w:cnfStyle w:val="000000000000" w:firstRow="0" w:lastRow="0" w:firstColumn="0" w:lastColumn="0" w:oddVBand="0" w:evenVBand="0" w:oddHBand="0" w:evenHBand="0" w:firstRowFirstColumn="0" w:firstRowLastColumn="0" w:lastRowFirstColumn="0" w:lastRowLastColumn="0"/>
              <w:rPr>
                <w:rFonts w:eastAsia="Times New Roman"/>
                <w:color w:val="000000"/>
                <w:lang w:val="en-GB"/>
              </w:rPr>
            </w:pPr>
            <w:r w:rsidRPr="00E673DC">
              <w:rPr>
                <w:rFonts w:eastAsia="Times New Roman"/>
                <w:color w:val="000000"/>
                <w:lang w:val="en-GB"/>
              </w:rPr>
              <w:t>0.772</w:t>
            </w:r>
          </w:p>
        </w:tc>
        <w:tc>
          <w:tcPr>
            <w:tcW w:w="1540" w:type="dxa"/>
            <w:noWrap/>
            <w:hideMark/>
          </w:tcPr>
          <w:p w14:paraId="6B802F96" w14:textId="77777777" w:rsidR="00D13C36" w:rsidRPr="00E673DC" w:rsidRDefault="00D13C36" w:rsidP="003F5B1B">
            <w:pPr>
              <w:ind w:firstLine="0"/>
              <w:jc w:val="both"/>
              <w:cnfStyle w:val="000000000000" w:firstRow="0" w:lastRow="0" w:firstColumn="0" w:lastColumn="0" w:oddVBand="0" w:evenVBand="0" w:oddHBand="0" w:evenHBand="0" w:firstRowFirstColumn="0" w:firstRowLastColumn="0" w:lastRowFirstColumn="0" w:lastRowLastColumn="0"/>
              <w:rPr>
                <w:rFonts w:eastAsia="Times New Roman"/>
                <w:color w:val="000000"/>
                <w:lang w:val="en-GB"/>
              </w:rPr>
            </w:pPr>
            <w:r w:rsidRPr="00E673DC">
              <w:rPr>
                <w:rFonts w:eastAsia="Times New Roman"/>
                <w:color w:val="000000"/>
                <w:lang w:val="en-GB"/>
              </w:rPr>
              <w:t>0.807</w:t>
            </w:r>
          </w:p>
        </w:tc>
        <w:tc>
          <w:tcPr>
            <w:tcW w:w="1539" w:type="dxa"/>
            <w:noWrap/>
            <w:hideMark/>
          </w:tcPr>
          <w:p w14:paraId="2FAE8B86" w14:textId="77777777" w:rsidR="00D13C36" w:rsidRPr="00E673DC" w:rsidRDefault="00D13C36" w:rsidP="003F5B1B">
            <w:pPr>
              <w:ind w:firstLine="0"/>
              <w:jc w:val="both"/>
              <w:cnfStyle w:val="000000000000" w:firstRow="0" w:lastRow="0" w:firstColumn="0" w:lastColumn="0" w:oddVBand="0" w:evenVBand="0" w:oddHBand="0" w:evenHBand="0" w:firstRowFirstColumn="0" w:firstRowLastColumn="0" w:lastRowFirstColumn="0" w:lastRowLastColumn="0"/>
              <w:rPr>
                <w:rFonts w:eastAsia="Times New Roman"/>
                <w:color w:val="000000"/>
                <w:lang w:val="en-GB"/>
              </w:rPr>
            </w:pPr>
            <w:r w:rsidRPr="00E673DC">
              <w:rPr>
                <w:rFonts w:eastAsia="Times New Roman"/>
                <w:color w:val="000000"/>
                <w:lang w:val="en-GB"/>
              </w:rPr>
              <w:t>0.742</w:t>
            </w:r>
          </w:p>
        </w:tc>
        <w:tc>
          <w:tcPr>
            <w:tcW w:w="1540" w:type="dxa"/>
            <w:noWrap/>
            <w:hideMark/>
          </w:tcPr>
          <w:p w14:paraId="562B5B3C" w14:textId="77777777" w:rsidR="00D13C36" w:rsidRPr="00E673DC" w:rsidRDefault="00D13C36" w:rsidP="008F526A">
            <w:pPr>
              <w:jc w:val="both"/>
              <w:cnfStyle w:val="000000000000" w:firstRow="0" w:lastRow="0" w:firstColumn="0" w:lastColumn="0" w:oddVBand="0" w:evenVBand="0" w:oddHBand="0" w:evenHBand="0" w:firstRowFirstColumn="0" w:firstRowLastColumn="0" w:lastRowFirstColumn="0" w:lastRowLastColumn="0"/>
              <w:rPr>
                <w:rFonts w:eastAsia="Times New Roman"/>
                <w:color w:val="000000"/>
                <w:lang w:val="en-GB"/>
              </w:rPr>
            </w:pPr>
            <w:r w:rsidRPr="00E673DC">
              <w:rPr>
                <w:rFonts w:eastAsia="Times New Roman"/>
                <w:color w:val="000000"/>
                <w:lang w:val="en-GB"/>
              </w:rPr>
              <w:t> </w:t>
            </w:r>
          </w:p>
        </w:tc>
      </w:tr>
    </w:tbl>
    <w:p w14:paraId="41E6CDFA" w14:textId="77777777" w:rsidR="00D13C36" w:rsidRPr="00E673DC" w:rsidRDefault="00D13C36" w:rsidP="00D13C36">
      <w:pPr>
        <w:spacing w:after="0"/>
        <w:jc w:val="both"/>
        <w:rPr>
          <w:lang w:val="en-GB"/>
        </w:rPr>
      </w:pPr>
    </w:p>
    <w:p w14:paraId="4E78D5B9" w14:textId="406C0C7D" w:rsidR="00D13C36" w:rsidRPr="00E673DC" w:rsidRDefault="00D13C36" w:rsidP="00D77795">
      <w:pPr>
        <w:ind w:firstLine="720"/>
        <w:rPr>
          <w:lang w:val="en-GB"/>
        </w:rPr>
      </w:pPr>
      <w:r w:rsidRPr="00E673DC">
        <w:rPr>
          <w:lang w:val="en-GB"/>
        </w:rPr>
        <w:t xml:space="preserve">The higher model construct GHRM Practices is formed in </w:t>
      </w:r>
      <w:r w:rsidR="007C1704">
        <w:rPr>
          <w:lang w:val="en-GB"/>
        </w:rPr>
        <w:t>S</w:t>
      </w:r>
      <w:r w:rsidRPr="00E673DC">
        <w:rPr>
          <w:lang w:val="en-GB"/>
        </w:rPr>
        <w:t xml:space="preserve">tage 2 by means of lower-order scores derived from GL&amp;D and GR&amp;C. The developed construct is considered a formative measure which is examined through </w:t>
      </w:r>
      <w:r w:rsidR="007C1704">
        <w:rPr>
          <w:lang w:val="en-GB"/>
        </w:rPr>
        <w:t xml:space="preserve">the </w:t>
      </w:r>
      <w:r w:rsidRPr="00E673DC">
        <w:rPr>
          <w:lang w:val="en-GB"/>
        </w:rPr>
        <w:t>outer weight, t-</w:t>
      </w:r>
      <w:r w:rsidR="00F8610F" w:rsidRPr="00E673DC">
        <w:rPr>
          <w:lang w:val="en-GB"/>
        </w:rPr>
        <w:t>statistics,</w:t>
      </w:r>
      <w:r w:rsidRPr="00E673DC">
        <w:rPr>
          <w:lang w:val="en-GB"/>
        </w:rPr>
        <w:t xml:space="preserve"> and p-values. </w:t>
      </w:r>
      <w:r w:rsidR="00B421C5">
        <w:rPr>
          <w:lang w:val="en-GB"/>
        </w:rPr>
        <w:t>T</w:t>
      </w:r>
      <w:r w:rsidR="007C1704">
        <w:rPr>
          <w:lang w:val="en-GB"/>
        </w:rPr>
        <w:t xml:space="preserve">he </w:t>
      </w:r>
      <w:r w:rsidRPr="00E673DC">
        <w:rPr>
          <w:lang w:val="en-GB"/>
        </w:rPr>
        <w:t xml:space="preserve">VIF of GHRP is also checked at this stage to ensure the absence of multi-collinearity. From Table 4, it is apparent that </w:t>
      </w:r>
      <w:r w:rsidR="007C1704">
        <w:rPr>
          <w:lang w:val="en-GB"/>
        </w:rPr>
        <w:t xml:space="preserve">the </w:t>
      </w:r>
      <w:r w:rsidRPr="00E673DC">
        <w:rPr>
          <w:lang w:val="en-GB"/>
        </w:rPr>
        <w:t>outer loadings of GR&amp;C and GL&amp;D are higher than 0.5</w:t>
      </w:r>
      <w:r w:rsidR="007C1704">
        <w:rPr>
          <w:lang w:val="en-GB"/>
        </w:rPr>
        <w:t>,</w:t>
      </w:r>
      <w:r w:rsidRPr="00E673DC">
        <w:rPr>
          <w:lang w:val="en-GB"/>
        </w:rPr>
        <w:t xml:space="preserve"> followed by significant p-values and t-values (p&lt;0.05, t&gt;1.96). </w:t>
      </w:r>
    </w:p>
    <w:p w14:paraId="0CABF540" w14:textId="267F8711" w:rsidR="00D13C36" w:rsidRPr="00E673DC" w:rsidRDefault="00D13C36" w:rsidP="00FE455D">
      <w:pPr>
        <w:pStyle w:val="Caption"/>
        <w:rPr>
          <w:lang w:val="en-GB"/>
        </w:rPr>
      </w:pPr>
      <w:bookmarkStart w:id="37" w:name="_Toc193015455"/>
      <w:r w:rsidRPr="00E673DC">
        <w:rPr>
          <w:lang w:val="en-GB"/>
        </w:rPr>
        <w:t xml:space="preserve">Table </w:t>
      </w:r>
      <w:r w:rsidRPr="00E673DC">
        <w:rPr>
          <w:lang w:val="en-GB"/>
        </w:rPr>
        <w:fldChar w:fldCharType="begin"/>
      </w:r>
      <w:r w:rsidRPr="00E673DC">
        <w:rPr>
          <w:lang w:val="en-GB"/>
        </w:rPr>
        <w:instrText xml:space="preserve"> SEQ Table \* ARABIC </w:instrText>
      </w:r>
      <w:r w:rsidRPr="00E673DC">
        <w:rPr>
          <w:lang w:val="en-GB"/>
        </w:rPr>
        <w:fldChar w:fldCharType="separate"/>
      </w:r>
      <w:r w:rsidRPr="00E673DC">
        <w:rPr>
          <w:noProof/>
          <w:lang w:val="en-GB"/>
        </w:rPr>
        <w:t>4</w:t>
      </w:r>
      <w:r w:rsidRPr="00E673DC">
        <w:rPr>
          <w:noProof/>
          <w:lang w:val="en-GB"/>
        </w:rPr>
        <w:fldChar w:fldCharType="end"/>
      </w:r>
      <w:r w:rsidRPr="00E673DC">
        <w:rPr>
          <w:lang w:val="en-GB"/>
        </w:rPr>
        <w:t xml:space="preserve">: Measurement </w:t>
      </w:r>
      <w:r w:rsidR="003A7565" w:rsidRPr="00E673DC">
        <w:rPr>
          <w:lang w:val="en-GB"/>
        </w:rPr>
        <w:t>Model Assessment (S</w:t>
      </w:r>
      <w:r w:rsidRPr="00E673DC">
        <w:rPr>
          <w:lang w:val="en-GB"/>
        </w:rPr>
        <w:t>tage 2)</w:t>
      </w:r>
      <w:bookmarkEnd w:id="37"/>
    </w:p>
    <w:tbl>
      <w:tblPr>
        <w:tblStyle w:val="PlainTable2"/>
        <w:tblpPr w:leftFromText="180" w:rightFromText="180" w:vertAnchor="text" w:tblpXSpec="center" w:tblpY="1"/>
        <w:tblW w:w="8977" w:type="dxa"/>
        <w:tblLook w:val="04A0" w:firstRow="1" w:lastRow="0" w:firstColumn="1" w:lastColumn="0" w:noHBand="0" w:noVBand="1"/>
      </w:tblPr>
      <w:tblGrid>
        <w:gridCol w:w="1717"/>
        <w:gridCol w:w="1464"/>
        <w:gridCol w:w="1471"/>
        <w:gridCol w:w="1677"/>
        <w:gridCol w:w="1324"/>
        <w:gridCol w:w="1324"/>
      </w:tblGrid>
      <w:tr w:rsidR="00D13C36" w:rsidRPr="00E673DC" w14:paraId="1755B52A" w14:textId="77777777" w:rsidTr="00803C0A">
        <w:trPr>
          <w:cnfStyle w:val="100000000000" w:firstRow="1" w:lastRow="0" w:firstColumn="0" w:lastColumn="0" w:oddVBand="0" w:evenVBand="0" w:oddHBand="0"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717" w:type="dxa"/>
          </w:tcPr>
          <w:p w14:paraId="3BEC3FF6" w14:textId="77777777" w:rsidR="00D13C36" w:rsidRPr="00E673DC" w:rsidRDefault="00D13C36" w:rsidP="00803C0A">
            <w:pPr>
              <w:ind w:firstLine="0"/>
              <w:jc w:val="both"/>
              <w:rPr>
                <w:rFonts w:eastAsia="Times New Roman"/>
                <w:i/>
                <w:iCs/>
                <w:color w:val="000000"/>
                <w:lang w:val="en-GB"/>
              </w:rPr>
            </w:pPr>
            <w:r w:rsidRPr="00E673DC">
              <w:rPr>
                <w:rFonts w:eastAsia="Times New Roman"/>
                <w:i/>
                <w:iCs/>
                <w:color w:val="000000"/>
                <w:lang w:val="en-GB"/>
              </w:rPr>
              <w:t>Construct</w:t>
            </w:r>
          </w:p>
        </w:tc>
        <w:tc>
          <w:tcPr>
            <w:tcW w:w="1464" w:type="dxa"/>
            <w:noWrap/>
            <w:hideMark/>
          </w:tcPr>
          <w:p w14:paraId="715EA48B" w14:textId="77777777" w:rsidR="00D13C36" w:rsidRPr="00E673DC" w:rsidRDefault="00D13C36" w:rsidP="00803C0A">
            <w:pPr>
              <w:ind w:firstLine="0"/>
              <w:jc w:val="both"/>
              <w:cnfStyle w:val="100000000000" w:firstRow="1" w:lastRow="0" w:firstColumn="0" w:lastColumn="0" w:oddVBand="0" w:evenVBand="0" w:oddHBand="0" w:evenHBand="0" w:firstRowFirstColumn="0" w:firstRowLastColumn="0" w:lastRowFirstColumn="0" w:lastRowLastColumn="0"/>
              <w:rPr>
                <w:rFonts w:eastAsia="Times New Roman"/>
                <w:i/>
                <w:iCs/>
                <w:color w:val="000000"/>
                <w:lang w:val="en-GB"/>
              </w:rPr>
            </w:pPr>
            <w:r w:rsidRPr="00E673DC">
              <w:rPr>
                <w:rFonts w:eastAsia="Times New Roman"/>
                <w:i/>
                <w:iCs/>
                <w:color w:val="000000"/>
                <w:lang w:val="en-GB"/>
              </w:rPr>
              <w:t>Item</w:t>
            </w:r>
          </w:p>
        </w:tc>
        <w:tc>
          <w:tcPr>
            <w:tcW w:w="1471" w:type="dxa"/>
            <w:noWrap/>
            <w:hideMark/>
          </w:tcPr>
          <w:p w14:paraId="56DB6314" w14:textId="77777777" w:rsidR="00D13C36" w:rsidRPr="00E673DC" w:rsidRDefault="00D13C36" w:rsidP="00803C0A">
            <w:pPr>
              <w:ind w:firstLine="0"/>
              <w:jc w:val="both"/>
              <w:cnfStyle w:val="100000000000" w:firstRow="1" w:lastRow="0" w:firstColumn="0" w:lastColumn="0" w:oddVBand="0" w:evenVBand="0" w:oddHBand="0" w:evenHBand="0" w:firstRowFirstColumn="0" w:firstRowLastColumn="0" w:lastRowFirstColumn="0" w:lastRowLastColumn="0"/>
              <w:rPr>
                <w:rFonts w:eastAsia="Times New Roman"/>
                <w:i/>
                <w:iCs/>
                <w:color w:val="000000"/>
                <w:lang w:val="en-GB"/>
              </w:rPr>
            </w:pPr>
            <w:r w:rsidRPr="00E673DC">
              <w:rPr>
                <w:rFonts w:eastAsia="Times New Roman"/>
                <w:i/>
                <w:iCs/>
                <w:color w:val="000000"/>
                <w:lang w:val="en-GB"/>
              </w:rPr>
              <w:t>Weight</w:t>
            </w:r>
          </w:p>
        </w:tc>
        <w:tc>
          <w:tcPr>
            <w:tcW w:w="1677" w:type="dxa"/>
            <w:noWrap/>
            <w:hideMark/>
          </w:tcPr>
          <w:p w14:paraId="3974D666" w14:textId="461685EC" w:rsidR="00D13C36" w:rsidRPr="00E673DC" w:rsidRDefault="00D13C36" w:rsidP="00803C0A">
            <w:pPr>
              <w:ind w:firstLine="0"/>
              <w:jc w:val="both"/>
              <w:cnfStyle w:val="100000000000" w:firstRow="1" w:lastRow="0" w:firstColumn="0" w:lastColumn="0" w:oddVBand="0" w:evenVBand="0" w:oddHBand="0" w:evenHBand="0" w:firstRowFirstColumn="0" w:firstRowLastColumn="0" w:lastRowFirstColumn="0" w:lastRowLastColumn="0"/>
              <w:rPr>
                <w:rFonts w:eastAsia="Times New Roman"/>
                <w:i/>
                <w:iCs/>
                <w:color w:val="000000"/>
                <w:lang w:val="en-GB"/>
              </w:rPr>
            </w:pPr>
            <w:r w:rsidRPr="00E673DC">
              <w:rPr>
                <w:rFonts w:eastAsia="Times New Roman"/>
                <w:i/>
                <w:iCs/>
                <w:color w:val="000000"/>
                <w:lang w:val="en-GB"/>
              </w:rPr>
              <w:t>Loading</w:t>
            </w:r>
          </w:p>
        </w:tc>
        <w:tc>
          <w:tcPr>
            <w:tcW w:w="1324" w:type="dxa"/>
            <w:noWrap/>
            <w:hideMark/>
          </w:tcPr>
          <w:p w14:paraId="5251E29E" w14:textId="691C93A9" w:rsidR="00D13C36" w:rsidRPr="00E673DC" w:rsidRDefault="009F2B2F" w:rsidP="00803C0A">
            <w:pPr>
              <w:ind w:firstLine="0"/>
              <w:jc w:val="both"/>
              <w:cnfStyle w:val="100000000000" w:firstRow="1" w:lastRow="0" w:firstColumn="0" w:lastColumn="0" w:oddVBand="0" w:evenVBand="0" w:oddHBand="0" w:evenHBand="0" w:firstRowFirstColumn="0" w:firstRowLastColumn="0" w:lastRowFirstColumn="0" w:lastRowLastColumn="0"/>
              <w:rPr>
                <w:rFonts w:eastAsia="Times New Roman"/>
                <w:i/>
                <w:iCs/>
                <w:color w:val="000000"/>
                <w:lang w:val="en-GB"/>
              </w:rPr>
            </w:pPr>
            <w:r>
              <w:rPr>
                <w:rFonts w:eastAsia="Times New Roman"/>
                <w:i/>
                <w:iCs/>
                <w:color w:val="000000"/>
                <w:lang w:val="en-GB"/>
              </w:rPr>
              <w:t>t-</w:t>
            </w:r>
            <w:r w:rsidR="00D13C36" w:rsidRPr="00E673DC">
              <w:rPr>
                <w:rFonts w:eastAsia="Times New Roman"/>
                <w:i/>
                <w:iCs/>
                <w:color w:val="000000"/>
                <w:lang w:val="en-GB"/>
              </w:rPr>
              <w:t>value</w:t>
            </w:r>
          </w:p>
        </w:tc>
        <w:tc>
          <w:tcPr>
            <w:tcW w:w="1324" w:type="dxa"/>
            <w:noWrap/>
          </w:tcPr>
          <w:p w14:paraId="2A6F9FE4" w14:textId="77777777" w:rsidR="00D13C36" w:rsidRPr="00E673DC" w:rsidRDefault="00D13C36" w:rsidP="00803C0A">
            <w:pPr>
              <w:ind w:firstLine="0"/>
              <w:jc w:val="both"/>
              <w:cnfStyle w:val="100000000000" w:firstRow="1" w:lastRow="0" w:firstColumn="0" w:lastColumn="0" w:oddVBand="0" w:evenVBand="0" w:oddHBand="0" w:evenHBand="0" w:firstRowFirstColumn="0" w:firstRowLastColumn="0" w:lastRowFirstColumn="0" w:lastRowLastColumn="0"/>
              <w:rPr>
                <w:rFonts w:eastAsia="Times New Roman"/>
                <w:i/>
                <w:iCs/>
                <w:color w:val="000000"/>
                <w:lang w:val="en-GB"/>
              </w:rPr>
            </w:pPr>
            <w:r w:rsidRPr="00E673DC">
              <w:rPr>
                <w:rFonts w:eastAsia="Times New Roman"/>
                <w:i/>
                <w:iCs/>
                <w:color w:val="000000"/>
                <w:lang w:val="en-GB"/>
              </w:rPr>
              <w:t>VIF</w:t>
            </w:r>
          </w:p>
        </w:tc>
      </w:tr>
      <w:tr w:rsidR="00D13C36" w:rsidRPr="00E673DC" w14:paraId="08F77B6E" w14:textId="77777777" w:rsidTr="00803C0A">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717" w:type="dxa"/>
            <w:vMerge w:val="restart"/>
          </w:tcPr>
          <w:p w14:paraId="4E13BCBC" w14:textId="77777777" w:rsidR="00D13C36" w:rsidRPr="00E673DC" w:rsidRDefault="00D13C36" w:rsidP="008F526A">
            <w:pPr>
              <w:jc w:val="both"/>
              <w:rPr>
                <w:rFonts w:eastAsia="Times New Roman"/>
                <w:color w:val="000000"/>
                <w:lang w:val="en-GB"/>
              </w:rPr>
            </w:pPr>
            <w:r w:rsidRPr="00E673DC">
              <w:rPr>
                <w:rFonts w:eastAsia="Times New Roman"/>
                <w:b w:val="0"/>
                <w:bCs w:val="0"/>
                <w:color w:val="000000"/>
                <w:lang w:val="en-GB"/>
              </w:rPr>
              <w:t>GHRP</w:t>
            </w:r>
          </w:p>
        </w:tc>
        <w:tc>
          <w:tcPr>
            <w:tcW w:w="1464" w:type="dxa"/>
            <w:noWrap/>
          </w:tcPr>
          <w:p w14:paraId="663C6624" w14:textId="77777777" w:rsidR="00D13C36" w:rsidRPr="00E673DC" w:rsidRDefault="00D13C36" w:rsidP="003F5B1B">
            <w:pPr>
              <w:ind w:firstLine="0"/>
              <w:cnfStyle w:val="000000100000" w:firstRow="0" w:lastRow="0" w:firstColumn="0" w:lastColumn="0" w:oddVBand="0" w:evenVBand="0" w:oddHBand="1" w:evenHBand="0" w:firstRowFirstColumn="0" w:firstRowLastColumn="0" w:lastRowFirstColumn="0" w:lastRowLastColumn="0"/>
              <w:rPr>
                <w:rFonts w:eastAsia="Times New Roman"/>
                <w:color w:val="000000"/>
                <w:lang w:val="en-GB"/>
              </w:rPr>
            </w:pPr>
            <w:r w:rsidRPr="00E673DC">
              <w:rPr>
                <w:rFonts w:eastAsia="Times New Roman"/>
                <w:color w:val="000000"/>
                <w:lang w:val="en-GB"/>
              </w:rPr>
              <w:t>GR&amp;C</w:t>
            </w:r>
          </w:p>
        </w:tc>
        <w:tc>
          <w:tcPr>
            <w:tcW w:w="1471" w:type="dxa"/>
            <w:noWrap/>
          </w:tcPr>
          <w:p w14:paraId="362757DC" w14:textId="77777777" w:rsidR="00D13C36" w:rsidRPr="00E673DC" w:rsidRDefault="00D13C36" w:rsidP="003F5B1B">
            <w:pPr>
              <w:ind w:firstLine="0"/>
              <w:cnfStyle w:val="000000100000" w:firstRow="0" w:lastRow="0" w:firstColumn="0" w:lastColumn="0" w:oddVBand="0" w:evenVBand="0" w:oddHBand="1" w:evenHBand="0" w:firstRowFirstColumn="0" w:firstRowLastColumn="0" w:lastRowFirstColumn="0" w:lastRowLastColumn="0"/>
              <w:rPr>
                <w:rFonts w:eastAsia="Times New Roman"/>
                <w:color w:val="000000"/>
                <w:lang w:val="en-GB"/>
              </w:rPr>
            </w:pPr>
            <w:r w:rsidRPr="00E673DC">
              <w:rPr>
                <w:color w:val="000000"/>
                <w:lang w:val="en-GB"/>
              </w:rPr>
              <w:t>0.558</w:t>
            </w:r>
          </w:p>
        </w:tc>
        <w:tc>
          <w:tcPr>
            <w:tcW w:w="1677" w:type="dxa"/>
            <w:noWrap/>
          </w:tcPr>
          <w:p w14:paraId="1E62522A" w14:textId="77777777" w:rsidR="00D13C36" w:rsidRPr="00E673DC" w:rsidRDefault="00D13C36" w:rsidP="003F5B1B">
            <w:pPr>
              <w:ind w:firstLine="0"/>
              <w:cnfStyle w:val="000000100000" w:firstRow="0" w:lastRow="0" w:firstColumn="0" w:lastColumn="0" w:oddVBand="0" w:evenVBand="0" w:oddHBand="1" w:evenHBand="0" w:firstRowFirstColumn="0" w:firstRowLastColumn="0" w:lastRowFirstColumn="0" w:lastRowLastColumn="0"/>
              <w:rPr>
                <w:rFonts w:eastAsia="Times New Roman"/>
                <w:color w:val="000000"/>
                <w:lang w:val="en-GB"/>
              </w:rPr>
            </w:pPr>
            <w:r w:rsidRPr="00E673DC">
              <w:rPr>
                <w:lang w:val="en-GB"/>
              </w:rPr>
              <w:t>0.950</w:t>
            </w:r>
          </w:p>
        </w:tc>
        <w:tc>
          <w:tcPr>
            <w:tcW w:w="1324" w:type="dxa"/>
            <w:noWrap/>
          </w:tcPr>
          <w:p w14:paraId="3CF6D46C" w14:textId="77777777" w:rsidR="00D13C36" w:rsidRPr="00E673DC" w:rsidRDefault="00D13C36" w:rsidP="003F5B1B">
            <w:pPr>
              <w:ind w:firstLine="0"/>
              <w:cnfStyle w:val="000000100000" w:firstRow="0" w:lastRow="0" w:firstColumn="0" w:lastColumn="0" w:oddVBand="0" w:evenVBand="0" w:oddHBand="1" w:evenHBand="0" w:firstRowFirstColumn="0" w:firstRowLastColumn="0" w:lastRowFirstColumn="0" w:lastRowLastColumn="0"/>
              <w:rPr>
                <w:rFonts w:eastAsia="Times New Roman"/>
                <w:color w:val="000000"/>
                <w:lang w:val="en-GB"/>
              </w:rPr>
            </w:pPr>
            <w:r w:rsidRPr="00E673DC">
              <w:rPr>
                <w:rFonts w:eastAsia="Times New Roman"/>
                <w:color w:val="000000"/>
                <w:lang w:val="en-GB"/>
              </w:rPr>
              <w:t>4.793</w:t>
            </w:r>
          </w:p>
        </w:tc>
        <w:tc>
          <w:tcPr>
            <w:tcW w:w="1324" w:type="dxa"/>
            <w:noWrap/>
          </w:tcPr>
          <w:p w14:paraId="644011CB" w14:textId="77777777" w:rsidR="00D13C36" w:rsidRPr="00E673DC" w:rsidRDefault="00D13C36" w:rsidP="003F5B1B">
            <w:pPr>
              <w:ind w:firstLine="0"/>
              <w:cnfStyle w:val="000000100000" w:firstRow="0" w:lastRow="0" w:firstColumn="0" w:lastColumn="0" w:oddVBand="0" w:evenVBand="0" w:oddHBand="1" w:evenHBand="0" w:firstRowFirstColumn="0" w:firstRowLastColumn="0" w:lastRowFirstColumn="0" w:lastRowLastColumn="0"/>
              <w:rPr>
                <w:lang w:val="en-GB"/>
              </w:rPr>
            </w:pPr>
            <w:r w:rsidRPr="00E673DC">
              <w:rPr>
                <w:lang w:val="en-GB"/>
              </w:rPr>
              <w:t>2.563</w:t>
            </w:r>
          </w:p>
        </w:tc>
      </w:tr>
      <w:tr w:rsidR="00D13C36" w:rsidRPr="00E673DC" w14:paraId="5CD292A3" w14:textId="77777777" w:rsidTr="00803C0A">
        <w:trPr>
          <w:trHeight w:val="253"/>
        </w:trPr>
        <w:tc>
          <w:tcPr>
            <w:cnfStyle w:val="001000000000" w:firstRow="0" w:lastRow="0" w:firstColumn="1" w:lastColumn="0" w:oddVBand="0" w:evenVBand="0" w:oddHBand="0" w:evenHBand="0" w:firstRowFirstColumn="0" w:firstRowLastColumn="0" w:lastRowFirstColumn="0" w:lastRowLastColumn="0"/>
            <w:tcW w:w="1717" w:type="dxa"/>
            <w:vMerge/>
          </w:tcPr>
          <w:p w14:paraId="1946E6E8" w14:textId="77777777" w:rsidR="00D13C36" w:rsidRPr="00E673DC" w:rsidRDefault="00D13C36" w:rsidP="008F526A">
            <w:pPr>
              <w:jc w:val="both"/>
              <w:rPr>
                <w:rFonts w:eastAsia="Times New Roman"/>
                <w:color w:val="000000"/>
                <w:lang w:val="en-GB"/>
              </w:rPr>
            </w:pPr>
          </w:p>
        </w:tc>
        <w:tc>
          <w:tcPr>
            <w:tcW w:w="1464" w:type="dxa"/>
            <w:noWrap/>
          </w:tcPr>
          <w:p w14:paraId="501511BF" w14:textId="77777777" w:rsidR="00D13C36" w:rsidRPr="00E673DC" w:rsidRDefault="00D13C36" w:rsidP="003F5B1B">
            <w:pPr>
              <w:ind w:firstLine="0"/>
              <w:cnfStyle w:val="000000000000" w:firstRow="0" w:lastRow="0" w:firstColumn="0" w:lastColumn="0" w:oddVBand="0" w:evenVBand="0" w:oddHBand="0" w:evenHBand="0" w:firstRowFirstColumn="0" w:firstRowLastColumn="0" w:lastRowFirstColumn="0" w:lastRowLastColumn="0"/>
              <w:rPr>
                <w:rFonts w:eastAsia="Times New Roman"/>
                <w:color w:val="000000"/>
                <w:lang w:val="en-GB"/>
              </w:rPr>
            </w:pPr>
            <w:r w:rsidRPr="00E673DC">
              <w:rPr>
                <w:rFonts w:eastAsia="Times New Roman"/>
                <w:color w:val="000000"/>
                <w:lang w:val="en-GB"/>
              </w:rPr>
              <w:t>GL&amp;D</w:t>
            </w:r>
          </w:p>
        </w:tc>
        <w:tc>
          <w:tcPr>
            <w:tcW w:w="1471" w:type="dxa"/>
            <w:noWrap/>
          </w:tcPr>
          <w:p w14:paraId="5356A075" w14:textId="77777777" w:rsidR="00D13C36" w:rsidRPr="00E673DC" w:rsidRDefault="00D13C36" w:rsidP="003F5B1B">
            <w:pPr>
              <w:ind w:firstLine="0"/>
              <w:cnfStyle w:val="000000000000" w:firstRow="0" w:lastRow="0" w:firstColumn="0" w:lastColumn="0" w:oddVBand="0" w:evenVBand="0" w:oddHBand="0" w:evenHBand="0" w:firstRowFirstColumn="0" w:firstRowLastColumn="0" w:lastRowFirstColumn="0" w:lastRowLastColumn="0"/>
              <w:rPr>
                <w:color w:val="000000"/>
                <w:lang w:val="en-GB"/>
              </w:rPr>
            </w:pPr>
            <w:r w:rsidRPr="00E673DC">
              <w:rPr>
                <w:color w:val="000000"/>
                <w:lang w:val="en-GB"/>
              </w:rPr>
              <w:t>0.501</w:t>
            </w:r>
          </w:p>
        </w:tc>
        <w:tc>
          <w:tcPr>
            <w:tcW w:w="1677" w:type="dxa"/>
            <w:noWrap/>
          </w:tcPr>
          <w:p w14:paraId="3D567AB3" w14:textId="77777777" w:rsidR="00D13C36" w:rsidRPr="00E673DC" w:rsidRDefault="00D13C36" w:rsidP="003F5B1B">
            <w:pPr>
              <w:ind w:firstLine="0"/>
              <w:cnfStyle w:val="000000000000" w:firstRow="0" w:lastRow="0" w:firstColumn="0" w:lastColumn="0" w:oddVBand="0" w:evenVBand="0" w:oddHBand="0" w:evenHBand="0" w:firstRowFirstColumn="0" w:firstRowLastColumn="0" w:lastRowFirstColumn="0" w:lastRowLastColumn="0"/>
              <w:rPr>
                <w:lang w:val="en-GB"/>
              </w:rPr>
            </w:pPr>
            <w:r w:rsidRPr="00E673DC">
              <w:rPr>
                <w:lang w:val="en-GB"/>
              </w:rPr>
              <w:t>0.937</w:t>
            </w:r>
          </w:p>
        </w:tc>
        <w:tc>
          <w:tcPr>
            <w:tcW w:w="1324" w:type="dxa"/>
            <w:noWrap/>
          </w:tcPr>
          <w:p w14:paraId="39AE08D5" w14:textId="77777777" w:rsidR="00D13C36" w:rsidRPr="00E673DC" w:rsidRDefault="00D13C36" w:rsidP="003F5B1B">
            <w:pPr>
              <w:ind w:firstLine="0"/>
              <w:cnfStyle w:val="000000000000" w:firstRow="0" w:lastRow="0" w:firstColumn="0" w:lastColumn="0" w:oddVBand="0" w:evenVBand="0" w:oddHBand="0" w:evenHBand="0" w:firstRowFirstColumn="0" w:firstRowLastColumn="0" w:lastRowFirstColumn="0" w:lastRowLastColumn="0"/>
              <w:rPr>
                <w:color w:val="000000"/>
                <w:lang w:val="en-GB"/>
              </w:rPr>
            </w:pPr>
            <w:r w:rsidRPr="00E673DC">
              <w:rPr>
                <w:color w:val="000000"/>
                <w:lang w:val="en-GB"/>
              </w:rPr>
              <w:t>4.586</w:t>
            </w:r>
          </w:p>
        </w:tc>
        <w:tc>
          <w:tcPr>
            <w:tcW w:w="1324" w:type="dxa"/>
            <w:noWrap/>
          </w:tcPr>
          <w:p w14:paraId="6495AB1E" w14:textId="77777777" w:rsidR="00D13C36" w:rsidRPr="00E673DC" w:rsidRDefault="00D13C36" w:rsidP="003F5B1B">
            <w:pPr>
              <w:ind w:firstLine="0"/>
              <w:cnfStyle w:val="000000000000" w:firstRow="0" w:lastRow="0" w:firstColumn="0" w:lastColumn="0" w:oddVBand="0" w:evenVBand="0" w:oddHBand="0" w:evenHBand="0" w:firstRowFirstColumn="0" w:firstRowLastColumn="0" w:lastRowFirstColumn="0" w:lastRowLastColumn="0"/>
              <w:rPr>
                <w:lang w:val="en-GB"/>
              </w:rPr>
            </w:pPr>
            <w:r w:rsidRPr="00E673DC">
              <w:rPr>
                <w:lang w:val="en-GB"/>
              </w:rPr>
              <w:t>2.231</w:t>
            </w:r>
          </w:p>
        </w:tc>
      </w:tr>
    </w:tbl>
    <w:p w14:paraId="453C9804" w14:textId="77777777" w:rsidR="00D13C36" w:rsidRPr="00E673DC" w:rsidRDefault="00D13C36" w:rsidP="00D13C36">
      <w:pPr>
        <w:keepLines/>
        <w:overflowPunct w:val="0"/>
        <w:autoSpaceDE w:val="0"/>
        <w:autoSpaceDN w:val="0"/>
        <w:adjustRightInd w:val="0"/>
        <w:spacing w:line="276" w:lineRule="auto"/>
        <w:jc w:val="both"/>
        <w:textAlignment w:val="baseline"/>
        <w:rPr>
          <w:lang w:val="en-GB"/>
        </w:rPr>
      </w:pPr>
    </w:p>
    <w:p w14:paraId="40A0B316" w14:textId="0F078BC2" w:rsidR="00D13C36" w:rsidRPr="00E673DC" w:rsidRDefault="00D13C36" w:rsidP="00D77795">
      <w:pPr>
        <w:ind w:firstLine="720"/>
        <w:rPr>
          <w:lang w:val="en-GB"/>
        </w:rPr>
      </w:pPr>
      <w:r w:rsidRPr="00E673DC">
        <w:rPr>
          <w:lang w:val="en-GB"/>
        </w:rPr>
        <w:lastRenderedPageBreak/>
        <w:t xml:space="preserve">In addition, </w:t>
      </w:r>
      <w:r w:rsidR="007C1704">
        <w:rPr>
          <w:lang w:val="en-GB"/>
        </w:rPr>
        <w:t xml:space="preserve">the </w:t>
      </w:r>
      <w:r w:rsidRPr="00E673DC">
        <w:rPr>
          <w:lang w:val="en-GB"/>
        </w:rPr>
        <w:t xml:space="preserve">VIF values are lower than </w:t>
      </w:r>
      <w:r w:rsidR="007C1704">
        <w:rPr>
          <w:lang w:val="en-GB"/>
        </w:rPr>
        <w:t xml:space="preserve">the </w:t>
      </w:r>
      <w:r w:rsidRPr="00E673DC">
        <w:rPr>
          <w:lang w:val="en-GB"/>
        </w:rPr>
        <w:t>threshold of 3.3, confirm</w:t>
      </w:r>
      <w:r w:rsidR="007C1704">
        <w:rPr>
          <w:lang w:val="en-GB"/>
        </w:rPr>
        <w:t>ing</w:t>
      </w:r>
      <w:r w:rsidRPr="00E673DC">
        <w:rPr>
          <w:lang w:val="en-GB"/>
        </w:rPr>
        <w:t xml:space="preserve"> that multicollinearity is not a problem in the model. As </w:t>
      </w:r>
      <w:r w:rsidR="007C1704">
        <w:rPr>
          <w:lang w:val="en-GB"/>
        </w:rPr>
        <w:t>M</w:t>
      </w:r>
      <w:r w:rsidRPr="00E673DC">
        <w:rPr>
          <w:lang w:val="en-GB"/>
        </w:rPr>
        <w:t xml:space="preserve">odel 2 met the established criteria, </w:t>
      </w:r>
      <w:r w:rsidR="007C1704">
        <w:rPr>
          <w:lang w:val="en-GB"/>
        </w:rPr>
        <w:t xml:space="preserve">the </w:t>
      </w:r>
      <w:r w:rsidRPr="00E673DC">
        <w:rPr>
          <w:lang w:val="en-GB"/>
        </w:rPr>
        <w:t xml:space="preserve">discriminant validity of the model is assessed by repeating </w:t>
      </w:r>
      <w:r w:rsidR="007C1704">
        <w:rPr>
          <w:lang w:val="en-GB"/>
        </w:rPr>
        <w:t xml:space="preserve">a </w:t>
      </w:r>
      <w:r w:rsidRPr="00E673DC">
        <w:rPr>
          <w:lang w:val="en-GB"/>
        </w:rPr>
        <w:t xml:space="preserve">similar step. Table 5 illustrates that the validity of </w:t>
      </w:r>
      <w:r w:rsidR="007C1704">
        <w:rPr>
          <w:lang w:val="en-GB"/>
        </w:rPr>
        <w:t xml:space="preserve">the </w:t>
      </w:r>
      <w:r w:rsidRPr="00E673DC">
        <w:rPr>
          <w:lang w:val="en-GB"/>
        </w:rPr>
        <w:t xml:space="preserve">higher-order model is established as </w:t>
      </w:r>
      <w:r w:rsidR="007C1704">
        <w:rPr>
          <w:lang w:val="en-GB"/>
        </w:rPr>
        <w:t xml:space="preserve">the </w:t>
      </w:r>
      <w:r w:rsidRPr="00E673DC">
        <w:rPr>
          <w:lang w:val="en-GB"/>
        </w:rPr>
        <w:t>HTMT values are lower than 0.85</w:t>
      </w:r>
      <w:r w:rsidR="007C1704">
        <w:rPr>
          <w:lang w:val="en-GB"/>
        </w:rPr>
        <w:t>,</w:t>
      </w:r>
      <w:r w:rsidRPr="00E673DC">
        <w:rPr>
          <w:lang w:val="en-GB"/>
        </w:rPr>
        <w:t xml:space="preserve"> as they should be, hence offering a transparent route for structural model analysis.</w:t>
      </w:r>
    </w:p>
    <w:p w14:paraId="70032077" w14:textId="6AA7402F" w:rsidR="00D13C36" w:rsidRPr="00E673DC" w:rsidRDefault="00D13C36" w:rsidP="00FE455D">
      <w:pPr>
        <w:pStyle w:val="Caption"/>
        <w:rPr>
          <w:lang w:val="en-GB"/>
        </w:rPr>
      </w:pPr>
      <w:bookmarkStart w:id="38" w:name="_Toc193015456"/>
      <w:r w:rsidRPr="00E673DC">
        <w:rPr>
          <w:lang w:val="en-GB"/>
        </w:rPr>
        <w:t xml:space="preserve">Table </w:t>
      </w:r>
      <w:r w:rsidRPr="00E673DC">
        <w:rPr>
          <w:lang w:val="en-GB"/>
        </w:rPr>
        <w:fldChar w:fldCharType="begin"/>
      </w:r>
      <w:r w:rsidRPr="00E673DC">
        <w:rPr>
          <w:lang w:val="en-GB"/>
        </w:rPr>
        <w:instrText xml:space="preserve"> SEQ Table \* ARABIC </w:instrText>
      </w:r>
      <w:r w:rsidRPr="00E673DC">
        <w:rPr>
          <w:lang w:val="en-GB"/>
        </w:rPr>
        <w:fldChar w:fldCharType="separate"/>
      </w:r>
      <w:r w:rsidRPr="00E673DC">
        <w:rPr>
          <w:noProof/>
          <w:lang w:val="en-GB"/>
        </w:rPr>
        <w:t>5</w:t>
      </w:r>
      <w:r w:rsidRPr="00E673DC">
        <w:rPr>
          <w:noProof/>
          <w:lang w:val="en-GB"/>
        </w:rPr>
        <w:fldChar w:fldCharType="end"/>
      </w:r>
      <w:r w:rsidRPr="00E673DC">
        <w:rPr>
          <w:lang w:val="en-GB"/>
        </w:rPr>
        <w:t xml:space="preserve">: HTMT </w:t>
      </w:r>
      <w:r w:rsidR="003A7565" w:rsidRPr="00E673DC">
        <w:rPr>
          <w:lang w:val="en-GB"/>
        </w:rPr>
        <w:t>Criterion (S</w:t>
      </w:r>
      <w:r w:rsidRPr="00E673DC">
        <w:rPr>
          <w:lang w:val="en-GB"/>
        </w:rPr>
        <w:t>tage 2)</w:t>
      </w:r>
      <w:bookmarkEnd w:id="38"/>
    </w:p>
    <w:tbl>
      <w:tblPr>
        <w:tblStyle w:val="PlainTable2"/>
        <w:tblW w:w="6844" w:type="dxa"/>
        <w:jc w:val="center"/>
        <w:tblLook w:val="04A0" w:firstRow="1" w:lastRow="0" w:firstColumn="1" w:lastColumn="0" w:noHBand="0" w:noVBand="1"/>
      </w:tblPr>
      <w:tblGrid>
        <w:gridCol w:w="3964"/>
        <w:gridCol w:w="960"/>
        <w:gridCol w:w="960"/>
        <w:gridCol w:w="960"/>
      </w:tblGrid>
      <w:tr w:rsidR="00D13C36" w:rsidRPr="00E673DC" w14:paraId="4C6212D6" w14:textId="77777777" w:rsidTr="003F5B1B">
        <w:trPr>
          <w:cnfStyle w:val="100000000000" w:firstRow="1" w:lastRow="0" w:firstColumn="0" w:lastColumn="0" w:oddVBand="0" w:evenVBand="0" w:oddHBand="0" w:evenHBand="0" w:firstRowFirstColumn="0" w:firstRowLastColumn="0" w:lastRowFirstColumn="0" w:lastRowLastColumn="0"/>
          <w:trHeight w:val="290"/>
          <w:jc w:val="center"/>
        </w:trPr>
        <w:tc>
          <w:tcPr>
            <w:cnfStyle w:val="001000000000" w:firstRow="0" w:lastRow="0" w:firstColumn="1" w:lastColumn="0" w:oddVBand="0" w:evenVBand="0" w:oddHBand="0" w:evenHBand="0" w:firstRowFirstColumn="0" w:firstRowLastColumn="0" w:lastRowFirstColumn="0" w:lastRowLastColumn="0"/>
            <w:tcW w:w="3964" w:type="dxa"/>
            <w:noWrap/>
            <w:hideMark/>
          </w:tcPr>
          <w:p w14:paraId="43016E64" w14:textId="77777777" w:rsidR="00D13C36" w:rsidRPr="00E673DC" w:rsidRDefault="00D13C36" w:rsidP="003F5B1B">
            <w:pPr>
              <w:spacing w:line="360" w:lineRule="auto"/>
              <w:ind w:firstLine="0"/>
              <w:jc w:val="both"/>
              <w:rPr>
                <w:rFonts w:eastAsia="Times New Roman"/>
                <w:i/>
                <w:iCs/>
                <w:color w:val="000000"/>
                <w:lang w:val="en-GB"/>
              </w:rPr>
            </w:pPr>
            <w:r w:rsidRPr="00E673DC">
              <w:rPr>
                <w:rFonts w:eastAsia="Times New Roman"/>
                <w:i/>
                <w:iCs/>
                <w:color w:val="000000"/>
                <w:lang w:val="en-GB"/>
              </w:rPr>
              <w:t>Construct</w:t>
            </w:r>
          </w:p>
        </w:tc>
        <w:tc>
          <w:tcPr>
            <w:tcW w:w="960" w:type="dxa"/>
            <w:noWrap/>
            <w:hideMark/>
          </w:tcPr>
          <w:p w14:paraId="28F4C13B" w14:textId="77777777" w:rsidR="00D13C36" w:rsidRPr="00E673DC" w:rsidRDefault="00D13C36" w:rsidP="003F5B1B">
            <w:pPr>
              <w:spacing w:line="360" w:lineRule="auto"/>
              <w:ind w:firstLine="0"/>
              <w:jc w:val="both"/>
              <w:cnfStyle w:val="100000000000" w:firstRow="1" w:lastRow="0" w:firstColumn="0" w:lastColumn="0" w:oddVBand="0" w:evenVBand="0" w:oddHBand="0" w:evenHBand="0" w:firstRowFirstColumn="0" w:firstRowLastColumn="0" w:lastRowFirstColumn="0" w:lastRowLastColumn="0"/>
              <w:rPr>
                <w:rFonts w:eastAsia="Times New Roman"/>
                <w:i/>
                <w:iCs/>
                <w:color w:val="000000"/>
                <w:lang w:val="en-GB"/>
              </w:rPr>
            </w:pPr>
            <w:r w:rsidRPr="00E673DC">
              <w:rPr>
                <w:rFonts w:eastAsia="Times New Roman"/>
                <w:i/>
                <w:iCs/>
                <w:color w:val="000000"/>
                <w:lang w:val="en-GB"/>
              </w:rPr>
              <w:t>1</w:t>
            </w:r>
          </w:p>
        </w:tc>
        <w:tc>
          <w:tcPr>
            <w:tcW w:w="960" w:type="dxa"/>
            <w:noWrap/>
            <w:hideMark/>
          </w:tcPr>
          <w:p w14:paraId="50A5B22C" w14:textId="77777777" w:rsidR="00D13C36" w:rsidRPr="00E673DC" w:rsidRDefault="00D13C36" w:rsidP="003F5B1B">
            <w:pPr>
              <w:spacing w:line="360" w:lineRule="auto"/>
              <w:ind w:firstLine="0"/>
              <w:jc w:val="both"/>
              <w:cnfStyle w:val="100000000000" w:firstRow="1" w:lastRow="0" w:firstColumn="0" w:lastColumn="0" w:oddVBand="0" w:evenVBand="0" w:oddHBand="0" w:evenHBand="0" w:firstRowFirstColumn="0" w:firstRowLastColumn="0" w:lastRowFirstColumn="0" w:lastRowLastColumn="0"/>
              <w:rPr>
                <w:rFonts w:eastAsia="Times New Roman"/>
                <w:i/>
                <w:iCs/>
                <w:color w:val="000000"/>
                <w:lang w:val="en-GB"/>
              </w:rPr>
            </w:pPr>
            <w:r w:rsidRPr="00E673DC">
              <w:rPr>
                <w:rFonts w:eastAsia="Times New Roman"/>
                <w:i/>
                <w:iCs/>
                <w:color w:val="000000"/>
                <w:lang w:val="en-GB"/>
              </w:rPr>
              <w:t>2</w:t>
            </w:r>
          </w:p>
        </w:tc>
        <w:tc>
          <w:tcPr>
            <w:tcW w:w="960" w:type="dxa"/>
            <w:noWrap/>
            <w:hideMark/>
          </w:tcPr>
          <w:p w14:paraId="7FB13598" w14:textId="77777777" w:rsidR="00D13C36" w:rsidRPr="00E673DC" w:rsidRDefault="00D13C36" w:rsidP="003F5B1B">
            <w:pPr>
              <w:spacing w:line="360" w:lineRule="auto"/>
              <w:ind w:firstLine="0"/>
              <w:jc w:val="both"/>
              <w:cnfStyle w:val="100000000000" w:firstRow="1" w:lastRow="0" w:firstColumn="0" w:lastColumn="0" w:oddVBand="0" w:evenVBand="0" w:oddHBand="0" w:evenHBand="0" w:firstRowFirstColumn="0" w:firstRowLastColumn="0" w:lastRowFirstColumn="0" w:lastRowLastColumn="0"/>
              <w:rPr>
                <w:rFonts w:eastAsia="Times New Roman"/>
                <w:i/>
                <w:iCs/>
                <w:color w:val="000000"/>
                <w:lang w:val="en-GB"/>
              </w:rPr>
            </w:pPr>
            <w:r w:rsidRPr="00E673DC">
              <w:rPr>
                <w:rFonts w:eastAsia="Times New Roman"/>
                <w:i/>
                <w:iCs/>
                <w:color w:val="000000"/>
                <w:lang w:val="en-GB"/>
              </w:rPr>
              <w:t>3</w:t>
            </w:r>
          </w:p>
        </w:tc>
      </w:tr>
      <w:tr w:rsidR="00D13C36" w:rsidRPr="00E673DC" w14:paraId="147FF399" w14:textId="77777777" w:rsidTr="003F5B1B">
        <w:trPr>
          <w:cnfStyle w:val="000000100000" w:firstRow="0" w:lastRow="0" w:firstColumn="0" w:lastColumn="0" w:oddVBand="0" w:evenVBand="0" w:oddHBand="1" w:evenHBand="0" w:firstRowFirstColumn="0" w:firstRowLastColumn="0" w:lastRowFirstColumn="0" w:lastRowLastColumn="0"/>
          <w:trHeight w:val="290"/>
          <w:jc w:val="center"/>
        </w:trPr>
        <w:tc>
          <w:tcPr>
            <w:cnfStyle w:val="001000000000" w:firstRow="0" w:lastRow="0" w:firstColumn="1" w:lastColumn="0" w:oddVBand="0" w:evenVBand="0" w:oddHBand="0" w:evenHBand="0" w:firstRowFirstColumn="0" w:firstRowLastColumn="0" w:lastRowFirstColumn="0" w:lastRowLastColumn="0"/>
            <w:tcW w:w="3964" w:type="dxa"/>
            <w:noWrap/>
            <w:hideMark/>
          </w:tcPr>
          <w:p w14:paraId="69797714" w14:textId="77777777" w:rsidR="00D13C36" w:rsidRPr="00E673DC" w:rsidRDefault="00D13C36">
            <w:pPr>
              <w:pStyle w:val="ListParagraph"/>
              <w:numPr>
                <w:ilvl w:val="0"/>
                <w:numId w:val="3"/>
              </w:numPr>
              <w:spacing w:beforeAutospacing="0" w:after="0" w:afterAutospacing="0" w:line="360" w:lineRule="auto"/>
              <w:ind w:left="339" w:hanging="339"/>
              <w:jc w:val="both"/>
              <w:rPr>
                <w:b w:val="0"/>
                <w:bCs/>
                <w:color w:val="000000"/>
                <w:lang w:val="en-GB"/>
              </w:rPr>
            </w:pPr>
            <w:r w:rsidRPr="00E673DC">
              <w:rPr>
                <w:b w:val="0"/>
                <w:color w:val="000000"/>
                <w:lang w:val="en-GB"/>
              </w:rPr>
              <w:t>GHRP</w:t>
            </w:r>
          </w:p>
        </w:tc>
        <w:tc>
          <w:tcPr>
            <w:tcW w:w="960" w:type="dxa"/>
            <w:noWrap/>
            <w:hideMark/>
          </w:tcPr>
          <w:p w14:paraId="73DA2436" w14:textId="77777777" w:rsidR="00D13C36" w:rsidRPr="00E673DC" w:rsidRDefault="00D13C36" w:rsidP="008F526A">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lang w:val="en-GB"/>
              </w:rPr>
            </w:pPr>
          </w:p>
        </w:tc>
        <w:tc>
          <w:tcPr>
            <w:tcW w:w="960" w:type="dxa"/>
            <w:noWrap/>
            <w:hideMark/>
          </w:tcPr>
          <w:p w14:paraId="12AC25AE" w14:textId="77777777" w:rsidR="00D13C36" w:rsidRPr="00E673DC" w:rsidRDefault="00D13C36" w:rsidP="008F526A">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lang w:val="en-GB"/>
              </w:rPr>
            </w:pPr>
          </w:p>
        </w:tc>
        <w:tc>
          <w:tcPr>
            <w:tcW w:w="960" w:type="dxa"/>
            <w:noWrap/>
            <w:hideMark/>
          </w:tcPr>
          <w:p w14:paraId="712E33A3" w14:textId="77777777" w:rsidR="00D13C36" w:rsidRPr="00E673DC" w:rsidRDefault="00D13C36" w:rsidP="008F526A">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lang w:val="en-GB"/>
              </w:rPr>
            </w:pPr>
          </w:p>
        </w:tc>
      </w:tr>
      <w:tr w:rsidR="00D13C36" w:rsidRPr="00E673DC" w14:paraId="7EA4F017" w14:textId="77777777" w:rsidTr="003F5B1B">
        <w:trPr>
          <w:trHeight w:val="290"/>
          <w:jc w:val="center"/>
        </w:trPr>
        <w:tc>
          <w:tcPr>
            <w:cnfStyle w:val="001000000000" w:firstRow="0" w:lastRow="0" w:firstColumn="1" w:lastColumn="0" w:oddVBand="0" w:evenVBand="0" w:oddHBand="0" w:evenHBand="0" w:firstRowFirstColumn="0" w:firstRowLastColumn="0" w:lastRowFirstColumn="0" w:lastRowLastColumn="0"/>
            <w:tcW w:w="3964" w:type="dxa"/>
            <w:noWrap/>
            <w:hideMark/>
          </w:tcPr>
          <w:p w14:paraId="0BB0DFF8" w14:textId="77777777" w:rsidR="00D13C36" w:rsidRPr="00E673DC" w:rsidRDefault="00D13C36">
            <w:pPr>
              <w:pStyle w:val="ListParagraph"/>
              <w:numPr>
                <w:ilvl w:val="0"/>
                <w:numId w:val="3"/>
              </w:numPr>
              <w:spacing w:beforeAutospacing="0" w:after="0" w:afterAutospacing="0" w:line="360" w:lineRule="auto"/>
              <w:ind w:left="339" w:hanging="339"/>
              <w:jc w:val="both"/>
              <w:rPr>
                <w:color w:val="000000"/>
                <w:lang w:val="en-GB"/>
              </w:rPr>
            </w:pPr>
            <w:r w:rsidRPr="00E673DC">
              <w:rPr>
                <w:b w:val="0"/>
                <w:color w:val="000000"/>
                <w:lang w:val="en-GB"/>
              </w:rPr>
              <w:t>GIB</w:t>
            </w:r>
          </w:p>
        </w:tc>
        <w:tc>
          <w:tcPr>
            <w:tcW w:w="960" w:type="dxa"/>
            <w:noWrap/>
          </w:tcPr>
          <w:p w14:paraId="1B8CE717" w14:textId="77777777" w:rsidR="00D13C36" w:rsidRPr="00E673DC" w:rsidRDefault="00D13C36" w:rsidP="003F5B1B">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olor w:val="000000"/>
                <w:lang w:val="en-GB"/>
              </w:rPr>
            </w:pPr>
            <w:r w:rsidRPr="00E673DC">
              <w:rPr>
                <w:rFonts w:eastAsia="Times New Roman"/>
                <w:color w:val="000000"/>
                <w:lang w:val="en-GB"/>
              </w:rPr>
              <w:t>0.742</w:t>
            </w:r>
          </w:p>
        </w:tc>
        <w:tc>
          <w:tcPr>
            <w:tcW w:w="960" w:type="dxa"/>
            <w:noWrap/>
          </w:tcPr>
          <w:p w14:paraId="078A2777" w14:textId="77777777" w:rsidR="00D13C36" w:rsidRPr="00E673DC" w:rsidRDefault="00D13C36" w:rsidP="008F526A">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lang w:val="en-GB"/>
              </w:rPr>
            </w:pPr>
          </w:p>
        </w:tc>
        <w:tc>
          <w:tcPr>
            <w:tcW w:w="960" w:type="dxa"/>
            <w:noWrap/>
            <w:hideMark/>
          </w:tcPr>
          <w:p w14:paraId="5A18A5FE" w14:textId="77777777" w:rsidR="00D13C36" w:rsidRPr="00E673DC" w:rsidRDefault="00D13C36" w:rsidP="008F526A">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000000"/>
                <w:lang w:val="en-GB"/>
              </w:rPr>
            </w:pPr>
          </w:p>
        </w:tc>
      </w:tr>
      <w:tr w:rsidR="00D13C36" w:rsidRPr="00E673DC" w14:paraId="2E0BE910" w14:textId="77777777" w:rsidTr="003F5B1B">
        <w:trPr>
          <w:cnfStyle w:val="000000100000" w:firstRow="0" w:lastRow="0" w:firstColumn="0" w:lastColumn="0" w:oddVBand="0" w:evenVBand="0" w:oddHBand="1" w:evenHBand="0" w:firstRowFirstColumn="0" w:firstRowLastColumn="0" w:lastRowFirstColumn="0" w:lastRowLastColumn="0"/>
          <w:trHeight w:val="290"/>
          <w:jc w:val="center"/>
        </w:trPr>
        <w:tc>
          <w:tcPr>
            <w:cnfStyle w:val="001000000000" w:firstRow="0" w:lastRow="0" w:firstColumn="1" w:lastColumn="0" w:oddVBand="0" w:evenVBand="0" w:oddHBand="0" w:evenHBand="0" w:firstRowFirstColumn="0" w:firstRowLastColumn="0" w:lastRowFirstColumn="0" w:lastRowLastColumn="0"/>
            <w:tcW w:w="3964" w:type="dxa"/>
            <w:noWrap/>
            <w:hideMark/>
          </w:tcPr>
          <w:p w14:paraId="189B9500" w14:textId="77777777" w:rsidR="00D13C36" w:rsidRPr="00E673DC" w:rsidRDefault="00D13C36">
            <w:pPr>
              <w:pStyle w:val="ListParagraph"/>
              <w:numPr>
                <w:ilvl w:val="0"/>
                <w:numId w:val="3"/>
              </w:numPr>
              <w:spacing w:beforeAutospacing="0" w:after="0" w:afterAutospacing="0" w:line="360" w:lineRule="auto"/>
              <w:ind w:left="339" w:hanging="339"/>
              <w:jc w:val="both"/>
              <w:rPr>
                <w:color w:val="000000"/>
                <w:lang w:val="en-GB"/>
              </w:rPr>
            </w:pPr>
            <w:r w:rsidRPr="00E673DC">
              <w:rPr>
                <w:b w:val="0"/>
                <w:color w:val="000000"/>
                <w:lang w:val="en-GB"/>
              </w:rPr>
              <w:t>OCBE</w:t>
            </w:r>
          </w:p>
        </w:tc>
        <w:tc>
          <w:tcPr>
            <w:tcW w:w="960" w:type="dxa"/>
            <w:noWrap/>
          </w:tcPr>
          <w:p w14:paraId="23AFD12E" w14:textId="77777777" w:rsidR="00D13C36" w:rsidRPr="00E673DC" w:rsidRDefault="00D13C36" w:rsidP="003F5B1B">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olor w:val="000000"/>
                <w:lang w:val="en-GB"/>
              </w:rPr>
            </w:pPr>
            <w:r w:rsidRPr="00E673DC">
              <w:rPr>
                <w:rFonts w:eastAsia="Times New Roman"/>
                <w:color w:val="000000"/>
                <w:lang w:val="en-GB"/>
              </w:rPr>
              <w:t>0.575</w:t>
            </w:r>
          </w:p>
        </w:tc>
        <w:tc>
          <w:tcPr>
            <w:tcW w:w="960" w:type="dxa"/>
            <w:noWrap/>
          </w:tcPr>
          <w:p w14:paraId="2AF8A3AF" w14:textId="77777777" w:rsidR="00D13C36" w:rsidRPr="00E673DC" w:rsidRDefault="00D13C36" w:rsidP="003F5B1B">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olor w:val="000000"/>
                <w:lang w:val="en-GB"/>
              </w:rPr>
            </w:pPr>
            <w:r w:rsidRPr="00E673DC">
              <w:rPr>
                <w:rFonts w:eastAsia="Times New Roman"/>
                <w:color w:val="000000"/>
                <w:lang w:val="en-GB"/>
              </w:rPr>
              <w:t>0.759</w:t>
            </w:r>
          </w:p>
        </w:tc>
        <w:tc>
          <w:tcPr>
            <w:tcW w:w="960" w:type="dxa"/>
            <w:noWrap/>
            <w:hideMark/>
          </w:tcPr>
          <w:p w14:paraId="1FAC3F7A" w14:textId="77777777" w:rsidR="00D13C36" w:rsidRPr="00E673DC" w:rsidRDefault="00D13C36" w:rsidP="008F526A">
            <w:pPr>
              <w:spacing w:line="360" w:lineRule="auto"/>
              <w:jc w:val="both"/>
              <w:cnfStyle w:val="000000100000" w:firstRow="0" w:lastRow="0" w:firstColumn="0" w:lastColumn="0" w:oddVBand="0" w:evenVBand="0" w:oddHBand="1" w:evenHBand="0" w:firstRowFirstColumn="0" w:firstRowLastColumn="0" w:lastRowFirstColumn="0" w:lastRowLastColumn="0"/>
              <w:rPr>
                <w:rFonts w:eastAsia="Times New Roman"/>
                <w:color w:val="000000"/>
                <w:lang w:val="en-GB"/>
              </w:rPr>
            </w:pPr>
          </w:p>
        </w:tc>
      </w:tr>
    </w:tbl>
    <w:p w14:paraId="19F8D811" w14:textId="77777777" w:rsidR="00D13C36" w:rsidRPr="00E673DC" w:rsidRDefault="00D13C36">
      <w:pPr>
        <w:pStyle w:val="heading2"/>
        <w:numPr>
          <w:ilvl w:val="2"/>
          <w:numId w:val="1"/>
        </w:numPr>
        <w:rPr>
          <w:rFonts w:asciiTheme="majorBidi" w:hAnsiTheme="majorBidi" w:cstheme="majorBidi"/>
          <w:sz w:val="24"/>
          <w:szCs w:val="24"/>
          <w:lang w:val="en-GB"/>
        </w:rPr>
      </w:pPr>
      <w:bookmarkStart w:id="39" w:name="_Toc197952409"/>
      <w:r w:rsidRPr="00E673DC">
        <w:rPr>
          <w:rFonts w:asciiTheme="majorBidi" w:hAnsiTheme="majorBidi" w:cstheme="majorBidi"/>
          <w:sz w:val="24"/>
          <w:szCs w:val="24"/>
          <w:lang w:val="en-GB"/>
        </w:rPr>
        <w:t>Structural Model</w:t>
      </w:r>
      <w:bookmarkEnd w:id="39"/>
    </w:p>
    <w:p w14:paraId="7A85C210" w14:textId="63A6159C" w:rsidR="00D13C36" w:rsidRPr="00E673DC" w:rsidRDefault="00D13C36" w:rsidP="00D77795">
      <w:pPr>
        <w:ind w:firstLine="720"/>
        <w:rPr>
          <w:lang w:val="en-GB"/>
        </w:rPr>
      </w:pPr>
      <w:r w:rsidRPr="00E673DC">
        <w:rPr>
          <w:lang w:val="en-GB"/>
        </w:rPr>
        <w:t>Structural-model assessment offers critical insights into the outlined framework as it not only deconstructs the primary effects but also elucidates indirect pathways embedded in the present model. The first and key step of structural model assessment is the evaluation model</w:t>
      </w:r>
      <w:r w:rsidR="007C1704">
        <w:rPr>
          <w:lang w:val="en-GB"/>
        </w:rPr>
        <w:t>'</w:t>
      </w:r>
      <w:r w:rsidRPr="00E673DC">
        <w:rPr>
          <w:lang w:val="en-GB"/>
        </w:rPr>
        <w:t xml:space="preserve">s explanatory power as it ensures analytical precision. The R-square value of GIB is 0.629, indicating a 62.9% degree of variance, </w:t>
      </w:r>
      <w:r w:rsidR="007C1704">
        <w:rPr>
          <w:lang w:val="en-GB"/>
        </w:rPr>
        <w:t>while</w:t>
      </w:r>
      <w:r w:rsidRPr="00E673DC">
        <w:rPr>
          <w:lang w:val="en-GB"/>
        </w:rPr>
        <w:t xml:space="preserve"> OCBE</w:t>
      </w:r>
      <w:r w:rsidR="007C1704">
        <w:rPr>
          <w:lang w:val="en-GB"/>
        </w:rPr>
        <w:t>'</w:t>
      </w:r>
      <w:r w:rsidRPr="00E673DC">
        <w:rPr>
          <w:lang w:val="en-GB"/>
        </w:rPr>
        <w:t xml:space="preserve">s 6.1% value also demonstrates a substantial degree of variance. These values are sufficient for highlighting </w:t>
      </w:r>
      <w:r w:rsidR="00B421C5">
        <w:rPr>
          <w:lang w:val="en-GB"/>
        </w:rPr>
        <w:t xml:space="preserve">the </w:t>
      </w:r>
      <w:r w:rsidRPr="00E673DC">
        <w:rPr>
          <w:lang w:val="en-GB"/>
        </w:rPr>
        <w:t>model</w:t>
      </w:r>
      <w:r w:rsidR="007C1704">
        <w:rPr>
          <w:lang w:val="en-GB"/>
        </w:rPr>
        <w:t>'</w:t>
      </w:r>
      <w:r w:rsidRPr="00E673DC">
        <w:rPr>
          <w:lang w:val="en-GB"/>
        </w:rPr>
        <w:t xml:space="preserve">s strength, suggesting that the selected predictors accurately represent the predicated assumptions. In </w:t>
      </w:r>
      <w:r w:rsidR="007C1704">
        <w:rPr>
          <w:lang w:val="en-GB"/>
        </w:rPr>
        <w:t xml:space="preserve">the </w:t>
      </w:r>
      <w:r w:rsidRPr="00E673DC">
        <w:rPr>
          <w:lang w:val="en-GB"/>
        </w:rPr>
        <w:t xml:space="preserve">second step, a careful scrutiny of </w:t>
      </w:r>
      <w:r w:rsidR="007C1704">
        <w:rPr>
          <w:lang w:val="en-GB"/>
        </w:rPr>
        <w:t xml:space="preserve">the </w:t>
      </w:r>
      <w:r w:rsidRPr="00E673DC">
        <w:rPr>
          <w:lang w:val="en-GB"/>
        </w:rPr>
        <w:t>proposed hypothes</w:t>
      </w:r>
      <w:r w:rsidR="007C1704">
        <w:rPr>
          <w:lang w:val="en-GB"/>
        </w:rPr>
        <w:t>e</w:t>
      </w:r>
      <w:r w:rsidRPr="00E673DC">
        <w:rPr>
          <w:lang w:val="en-GB"/>
        </w:rPr>
        <w:t xml:space="preserve">s establishes a granular understanding of </w:t>
      </w:r>
      <w:r w:rsidR="007C1704">
        <w:rPr>
          <w:lang w:val="en-GB"/>
        </w:rPr>
        <w:t xml:space="preserve">the </w:t>
      </w:r>
      <w:r w:rsidRPr="00E673DC">
        <w:rPr>
          <w:lang w:val="en-GB"/>
        </w:rPr>
        <w:t>model</w:t>
      </w:r>
      <w:r w:rsidR="007C1704">
        <w:rPr>
          <w:lang w:val="en-GB"/>
        </w:rPr>
        <w:t>,</w:t>
      </w:r>
      <w:r w:rsidRPr="00E673DC">
        <w:rPr>
          <w:lang w:val="en-GB"/>
        </w:rPr>
        <w:t xml:space="preserve"> which is quite evident in </w:t>
      </w:r>
      <w:r w:rsidR="007C1704">
        <w:rPr>
          <w:lang w:val="en-GB"/>
        </w:rPr>
        <w:t>f</w:t>
      </w:r>
      <w:r w:rsidRPr="00E673DC">
        <w:rPr>
          <w:lang w:val="en-GB"/>
        </w:rPr>
        <w:t xml:space="preserve">igures 1 </w:t>
      </w:r>
      <w:r w:rsidR="007C1704">
        <w:rPr>
          <w:lang w:val="en-GB"/>
        </w:rPr>
        <w:t>and</w:t>
      </w:r>
      <w:r w:rsidRPr="00E673DC">
        <w:rPr>
          <w:lang w:val="en-GB"/>
        </w:rPr>
        <w:t xml:space="preserve"> 2. Revealing how GHRP in its reflective and formative form interact with GIB and OCBE, the analysis was conducted in two stages to offer a deeper explanation of the model.</w:t>
      </w:r>
    </w:p>
    <w:p w14:paraId="7872E15C" w14:textId="77777777" w:rsidR="00D13C36" w:rsidRPr="00E673DC" w:rsidRDefault="00D13C36" w:rsidP="00604300">
      <w:pPr>
        <w:keepNext/>
        <w:ind w:firstLine="0"/>
        <w:jc w:val="both"/>
        <w:rPr>
          <w:lang w:val="en-GB"/>
        </w:rPr>
      </w:pPr>
      <w:r w:rsidRPr="00E673DC">
        <w:rPr>
          <w:b/>
          <w:bCs/>
          <w:i/>
          <w:iCs/>
          <w:noProof/>
          <w:lang w:val="en-GB"/>
        </w:rPr>
        <w:lastRenderedPageBreak/>
        <w:drawing>
          <wp:inline distT="0" distB="0" distL="0" distR="0" wp14:anchorId="4E5D792D" wp14:editId="72FE86E4">
            <wp:extent cx="5943600" cy="2971800"/>
            <wp:effectExtent l="0" t="0" r="0" b="0"/>
            <wp:docPr id="5548929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3600" cy="2971800"/>
                    </a:xfrm>
                    <a:prstGeom prst="rect">
                      <a:avLst/>
                    </a:prstGeom>
                    <a:noFill/>
                    <a:ln>
                      <a:noFill/>
                    </a:ln>
                  </pic:spPr>
                </pic:pic>
              </a:graphicData>
            </a:graphic>
          </wp:inline>
        </w:drawing>
      </w:r>
    </w:p>
    <w:p w14:paraId="6A3C88DF" w14:textId="77777777" w:rsidR="00D13C36" w:rsidRPr="00E673DC" w:rsidRDefault="00D13C36" w:rsidP="00FE455D">
      <w:pPr>
        <w:pStyle w:val="Caption"/>
        <w:rPr>
          <w:b/>
          <w:bCs/>
          <w:iCs/>
          <w:lang w:val="en-GB"/>
        </w:rPr>
      </w:pPr>
      <w:bookmarkStart w:id="40" w:name="_Toc193015504"/>
      <w:r w:rsidRPr="00E673DC">
        <w:rPr>
          <w:lang w:val="en-GB"/>
        </w:rPr>
        <w:t xml:space="preserve">Figure </w:t>
      </w:r>
      <w:r w:rsidRPr="00E673DC">
        <w:rPr>
          <w:lang w:val="en-GB"/>
        </w:rPr>
        <w:fldChar w:fldCharType="begin"/>
      </w:r>
      <w:r w:rsidRPr="00E673DC">
        <w:rPr>
          <w:lang w:val="en-GB"/>
        </w:rPr>
        <w:instrText xml:space="preserve"> SEQ Figure \* ARABIC </w:instrText>
      </w:r>
      <w:r w:rsidRPr="00E673DC">
        <w:rPr>
          <w:lang w:val="en-GB"/>
        </w:rPr>
        <w:fldChar w:fldCharType="separate"/>
      </w:r>
      <w:r w:rsidRPr="00E673DC">
        <w:rPr>
          <w:noProof/>
          <w:lang w:val="en-GB"/>
        </w:rPr>
        <w:t>1</w:t>
      </w:r>
      <w:r w:rsidRPr="00E673DC">
        <w:rPr>
          <w:noProof/>
          <w:lang w:val="en-GB"/>
        </w:rPr>
        <w:fldChar w:fldCharType="end"/>
      </w:r>
      <w:r w:rsidRPr="00E673DC">
        <w:rPr>
          <w:lang w:val="en-GB"/>
        </w:rPr>
        <w:t>: Measurement Model</w:t>
      </w:r>
      <w:bookmarkEnd w:id="40"/>
    </w:p>
    <w:p w14:paraId="2F5BB5FE" w14:textId="331322C6" w:rsidR="00D13C36" w:rsidRPr="00E673DC" w:rsidRDefault="00D13C36" w:rsidP="002A3B4D">
      <w:pPr>
        <w:ind w:firstLine="0"/>
        <w:jc w:val="both"/>
        <w:rPr>
          <w:b/>
          <w:bCs/>
          <w:i/>
          <w:iCs/>
          <w:lang w:val="en-GB"/>
        </w:rPr>
      </w:pPr>
      <w:r w:rsidRPr="00E673DC">
        <w:rPr>
          <w:b/>
          <w:bCs/>
          <w:i/>
          <w:iCs/>
          <w:lang w:val="en-GB"/>
        </w:rPr>
        <w:t xml:space="preserve">Structural Path 1 </w:t>
      </w:r>
      <w:r w:rsidR="007C1704" w:rsidRPr="00E673DC">
        <w:rPr>
          <w:b/>
          <w:bCs/>
          <w:i/>
          <w:iCs/>
          <w:lang w:val="en-GB"/>
        </w:rPr>
        <w:t>With Reflective Measures</w:t>
      </w:r>
    </w:p>
    <w:p w14:paraId="6C61A916" w14:textId="151E3E5A" w:rsidR="00D13C36" w:rsidRPr="00E673DC" w:rsidRDefault="00D13C36" w:rsidP="00D77795">
      <w:pPr>
        <w:ind w:firstLine="720"/>
        <w:rPr>
          <w:lang w:val="en-GB"/>
        </w:rPr>
      </w:pPr>
      <w:r w:rsidRPr="00E673DC">
        <w:rPr>
          <w:lang w:val="en-GB"/>
        </w:rPr>
        <w:t xml:space="preserve">At </w:t>
      </w:r>
      <w:r w:rsidR="007C1704">
        <w:rPr>
          <w:lang w:val="en-GB"/>
        </w:rPr>
        <w:t xml:space="preserve">the </w:t>
      </w:r>
      <w:r w:rsidRPr="00E673DC">
        <w:rPr>
          <w:lang w:val="en-GB"/>
        </w:rPr>
        <w:t xml:space="preserve">first stage, the direct path effect and indirect path of GL&amp;D and GR&amp;C </w:t>
      </w:r>
      <w:r w:rsidR="009F2B2F">
        <w:rPr>
          <w:lang w:val="en-GB"/>
        </w:rPr>
        <w:t>are</w:t>
      </w:r>
      <w:r w:rsidRPr="00E673DC">
        <w:rPr>
          <w:lang w:val="en-GB"/>
        </w:rPr>
        <w:t xml:space="preserve"> </w:t>
      </w:r>
      <w:r w:rsidR="00F8610F" w:rsidRPr="00E673DC">
        <w:rPr>
          <w:lang w:val="en-GB"/>
        </w:rPr>
        <w:t>assessed</w:t>
      </w:r>
      <w:r w:rsidRPr="00E673DC">
        <w:rPr>
          <w:lang w:val="en-GB"/>
        </w:rPr>
        <w:t xml:space="preserve"> to unveil the foundational connection with GIB and OCBE. Consistent with </w:t>
      </w:r>
      <w:r w:rsidR="00F8610F" w:rsidRPr="00E673DC">
        <w:rPr>
          <w:lang w:val="en-GB"/>
        </w:rPr>
        <w:t>trend</w:t>
      </w:r>
      <w:r w:rsidR="009F2B2F">
        <w:rPr>
          <w:lang w:val="en-GB"/>
        </w:rPr>
        <w:t>ing</w:t>
      </w:r>
      <w:r w:rsidR="00F8610F" w:rsidRPr="00E673DC">
        <w:rPr>
          <w:lang w:val="en-GB"/>
        </w:rPr>
        <w:t xml:space="preserve"> belief</w:t>
      </w:r>
      <w:r w:rsidR="009F2B2F">
        <w:rPr>
          <w:lang w:val="en-GB"/>
        </w:rPr>
        <w:t>s</w:t>
      </w:r>
      <w:r w:rsidRPr="00E673DC">
        <w:rPr>
          <w:lang w:val="en-GB"/>
        </w:rPr>
        <w:t xml:space="preserve">, </w:t>
      </w:r>
      <w:r w:rsidR="009F2B2F">
        <w:rPr>
          <w:lang w:val="en-GB"/>
        </w:rPr>
        <w:t xml:space="preserve">the </w:t>
      </w:r>
      <w:r w:rsidRPr="00E673DC">
        <w:rPr>
          <w:lang w:val="en-GB"/>
        </w:rPr>
        <w:t xml:space="preserve">findings support the nuanced view of GL&amp;D and OCBE by means of </w:t>
      </w:r>
      <w:r w:rsidR="009F2B2F">
        <w:rPr>
          <w:lang w:val="en-GB"/>
        </w:rPr>
        <w:t xml:space="preserve">the </w:t>
      </w:r>
      <w:r w:rsidRPr="00E673DC">
        <w:rPr>
          <w:lang w:val="en-GB"/>
        </w:rPr>
        <w:t>path coefficient, t-</w:t>
      </w:r>
      <w:r w:rsidR="00F8610F" w:rsidRPr="00E673DC">
        <w:rPr>
          <w:lang w:val="en-GB"/>
        </w:rPr>
        <w:t>statistics,</w:t>
      </w:r>
      <w:r w:rsidRPr="00E673DC">
        <w:rPr>
          <w:lang w:val="en-GB"/>
        </w:rPr>
        <w:t xml:space="preserve"> and p-value. From a statistical point of view, </w:t>
      </w:r>
      <w:r w:rsidR="009F2B2F">
        <w:rPr>
          <w:lang w:val="en-GB"/>
        </w:rPr>
        <w:t xml:space="preserve">the </w:t>
      </w:r>
      <w:r w:rsidRPr="00E673DC">
        <w:rPr>
          <w:lang w:val="en-GB"/>
        </w:rPr>
        <w:t xml:space="preserve">findings highlight that </w:t>
      </w:r>
      <w:r w:rsidR="00BA5CEE" w:rsidRPr="00E673DC">
        <w:rPr>
          <w:lang w:val="en-GB"/>
        </w:rPr>
        <w:t>GL&amp;D</w:t>
      </w:r>
      <w:r w:rsidRPr="00E673DC">
        <w:rPr>
          <w:lang w:val="en-GB"/>
        </w:rPr>
        <w:t xml:space="preserve"> positively affect</w:t>
      </w:r>
      <w:r w:rsidR="00E53AFC">
        <w:rPr>
          <w:lang w:val="en-GB"/>
        </w:rPr>
        <w:t>s</w:t>
      </w:r>
      <w:r w:rsidRPr="00E673DC">
        <w:rPr>
          <w:lang w:val="en-GB"/>
        </w:rPr>
        <w:t xml:space="preserve"> </w:t>
      </w:r>
      <w:r w:rsidR="00542A52" w:rsidRPr="00E673DC">
        <w:rPr>
          <w:lang w:val="en-GB"/>
        </w:rPr>
        <w:t>OCBE</w:t>
      </w:r>
      <w:r w:rsidRPr="00E673DC">
        <w:rPr>
          <w:lang w:val="en-GB"/>
        </w:rPr>
        <w:t xml:space="preserve"> as the path coefficient (0.333) is positive. The relationship between GL&amp;D and OCBE is also statistically significant as its p-value is lower 0.05 and its t-value is higher than 1.96. It implies that training </w:t>
      </w:r>
      <w:r w:rsidR="00A61F6A">
        <w:rPr>
          <w:lang w:val="en-GB"/>
        </w:rPr>
        <w:t>programmes</w:t>
      </w:r>
      <w:r w:rsidRPr="00E673DC">
        <w:rPr>
          <w:lang w:val="en-GB"/>
        </w:rPr>
        <w:t xml:space="preserve"> increase </w:t>
      </w:r>
      <w:r w:rsidR="00E53AFC">
        <w:rPr>
          <w:lang w:val="en-GB"/>
        </w:rPr>
        <w:t xml:space="preserve">an </w:t>
      </w:r>
      <w:r w:rsidRPr="00E673DC">
        <w:rPr>
          <w:lang w:val="en-GB"/>
        </w:rPr>
        <w:t>individual</w:t>
      </w:r>
      <w:r w:rsidR="009F2B2F">
        <w:rPr>
          <w:lang w:val="en-GB"/>
        </w:rPr>
        <w:t>'</w:t>
      </w:r>
      <w:r w:rsidRPr="00E673DC">
        <w:rPr>
          <w:lang w:val="en-GB"/>
        </w:rPr>
        <w:t xml:space="preserve">s environmental commitment, further leading to voluntary green </w:t>
      </w:r>
      <w:r w:rsidR="00DC79D6">
        <w:rPr>
          <w:lang w:val="en-GB"/>
        </w:rPr>
        <w:t>behaviour</w:t>
      </w:r>
      <w:r w:rsidRPr="00E673DC">
        <w:rPr>
          <w:lang w:val="en-GB"/>
        </w:rPr>
        <w:t xml:space="preserve">. However, the effect is not as strong as GR&amp;C, suggesting that GL&amp;D alone is not sufficient to shape voluntary environmental </w:t>
      </w:r>
      <w:r w:rsidR="00DC79D6">
        <w:rPr>
          <w:lang w:val="en-GB"/>
        </w:rPr>
        <w:t>behaviour</w:t>
      </w:r>
      <w:r w:rsidRPr="00E673DC">
        <w:rPr>
          <w:lang w:val="en-GB"/>
        </w:rPr>
        <w:t>. The positive path coefficient (β</w:t>
      </w:r>
      <w:r w:rsidR="00E53AFC">
        <w:rPr>
          <w:lang w:val="en-GB"/>
        </w:rPr>
        <w:t xml:space="preserve"> </w:t>
      </w:r>
      <w:r w:rsidRPr="00E673DC">
        <w:rPr>
          <w:lang w:val="en-GB"/>
        </w:rPr>
        <w:t xml:space="preserve">= 0.451) of GR&amp;C highlights that incentives either in financial or non-financial form </w:t>
      </w:r>
      <w:r w:rsidR="00A61F6A">
        <w:rPr>
          <w:lang w:val="en-GB"/>
        </w:rPr>
        <w:t>optimis</w:t>
      </w:r>
      <w:r w:rsidRPr="00E673DC">
        <w:rPr>
          <w:lang w:val="en-GB"/>
        </w:rPr>
        <w:t xml:space="preserve">e </w:t>
      </w:r>
      <w:r w:rsidR="009F2B2F">
        <w:rPr>
          <w:lang w:val="en-GB"/>
        </w:rPr>
        <w:t xml:space="preserve">an </w:t>
      </w:r>
      <w:r w:rsidR="00DC79D6">
        <w:rPr>
          <w:lang w:val="en-GB"/>
        </w:rPr>
        <w:t>organis</w:t>
      </w:r>
      <w:r w:rsidRPr="00E673DC">
        <w:rPr>
          <w:lang w:val="en-GB"/>
        </w:rPr>
        <w:t>ation</w:t>
      </w:r>
      <w:r w:rsidR="009F2B2F">
        <w:rPr>
          <w:lang w:val="en-GB"/>
        </w:rPr>
        <w:t>'</w:t>
      </w:r>
      <w:r w:rsidRPr="00E673DC">
        <w:rPr>
          <w:lang w:val="en-GB"/>
        </w:rPr>
        <w:t xml:space="preserve">s sustainability </w:t>
      </w:r>
      <w:r w:rsidRPr="00E673DC">
        <w:rPr>
          <w:lang w:val="en-GB"/>
        </w:rPr>
        <w:lastRenderedPageBreak/>
        <w:t>efforts</w:t>
      </w:r>
      <w:r w:rsidR="009F2B2F">
        <w:rPr>
          <w:lang w:val="en-GB"/>
        </w:rPr>
        <w:t>,</w:t>
      </w:r>
      <w:r w:rsidRPr="00E673DC">
        <w:rPr>
          <w:lang w:val="en-GB"/>
        </w:rPr>
        <w:t xml:space="preserve"> due to which employees show more engagement toward</w:t>
      </w:r>
      <w:r w:rsidR="007F5DFA">
        <w:rPr>
          <w:lang w:val="en-GB"/>
        </w:rPr>
        <w:t>s</w:t>
      </w:r>
      <w:r w:rsidRPr="00E673DC">
        <w:rPr>
          <w:lang w:val="en-GB"/>
        </w:rPr>
        <w:t xml:space="preserve"> pro-environmental </w:t>
      </w:r>
      <w:r w:rsidR="00DC79D6">
        <w:rPr>
          <w:lang w:val="en-GB"/>
        </w:rPr>
        <w:t>behaviour</w:t>
      </w:r>
      <w:r w:rsidRPr="00E673DC">
        <w:rPr>
          <w:lang w:val="en-GB"/>
        </w:rPr>
        <w:t xml:space="preserve">s. The higher t-value with </w:t>
      </w:r>
      <w:r w:rsidR="009F2B2F">
        <w:rPr>
          <w:lang w:val="en-GB"/>
        </w:rPr>
        <w:t xml:space="preserve">a </w:t>
      </w:r>
      <w:r w:rsidRPr="00E673DC">
        <w:rPr>
          <w:lang w:val="en-GB"/>
        </w:rPr>
        <w:t>p-value of 0.00 indicates that the impact of GR&amp;C is highly significant. The further evidence suggest</w:t>
      </w:r>
      <w:r w:rsidR="009F2B2F">
        <w:rPr>
          <w:lang w:val="en-GB"/>
        </w:rPr>
        <w:t>s</w:t>
      </w:r>
      <w:r w:rsidRPr="00E673DC">
        <w:rPr>
          <w:lang w:val="en-GB"/>
        </w:rPr>
        <w:t xml:space="preserve"> that GR&amp;C also has a strong and positive (β = 0.700) relationship with </w:t>
      </w:r>
      <w:r w:rsidR="00BA5CEE" w:rsidRPr="00E673DC">
        <w:rPr>
          <w:lang w:val="en-GB"/>
        </w:rPr>
        <w:t>GIB</w:t>
      </w:r>
      <w:r w:rsidRPr="00E673DC">
        <w:rPr>
          <w:lang w:val="en-GB"/>
        </w:rPr>
        <w:t xml:space="preserve">, indicating that rewards play </w:t>
      </w:r>
      <w:r w:rsidR="00F8610F" w:rsidRPr="00E673DC">
        <w:rPr>
          <w:lang w:val="en-GB"/>
        </w:rPr>
        <w:t>a significant role</w:t>
      </w:r>
      <w:r w:rsidRPr="00E673DC">
        <w:rPr>
          <w:lang w:val="en-GB"/>
        </w:rPr>
        <w:t xml:space="preserve"> in building innovative attitude</w:t>
      </w:r>
      <w:r w:rsidR="009F2B2F">
        <w:rPr>
          <w:lang w:val="en-GB"/>
        </w:rPr>
        <w:t>s</w:t>
      </w:r>
      <w:r w:rsidRPr="00E673DC">
        <w:rPr>
          <w:lang w:val="en-GB"/>
        </w:rPr>
        <w:t xml:space="preserve"> and </w:t>
      </w:r>
      <w:r w:rsidR="00DC79D6">
        <w:rPr>
          <w:lang w:val="en-GB"/>
        </w:rPr>
        <w:t>behaviour</w:t>
      </w:r>
      <w:r w:rsidRPr="00E673DC">
        <w:rPr>
          <w:lang w:val="en-GB"/>
        </w:rPr>
        <w:t xml:space="preserve"> toward</w:t>
      </w:r>
      <w:r w:rsidR="007F5DFA">
        <w:rPr>
          <w:lang w:val="en-GB"/>
        </w:rPr>
        <w:t>s</w:t>
      </w:r>
      <w:r w:rsidRPr="00E673DC">
        <w:rPr>
          <w:lang w:val="en-GB"/>
        </w:rPr>
        <w:t xml:space="preserve"> </w:t>
      </w:r>
      <w:r w:rsidR="00F8610F" w:rsidRPr="00E673DC">
        <w:rPr>
          <w:lang w:val="en-GB"/>
        </w:rPr>
        <w:t>the environment</w:t>
      </w:r>
      <w:r w:rsidRPr="00E673DC">
        <w:rPr>
          <w:lang w:val="en-GB"/>
        </w:rPr>
        <w:t xml:space="preserve">. </w:t>
      </w:r>
    </w:p>
    <w:p w14:paraId="79A0ACB2" w14:textId="041E466C" w:rsidR="00D13C36" w:rsidRPr="00E673DC" w:rsidRDefault="00D13C36" w:rsidP="00D77795">
      <w:pPr>
        <w:ind w:firstLine="720"/>
        <w:rPr>
          <w:lang w:val="en-GB"/>
        </w:rPr>
      </w:pPr>
      <w:r w:rsidRPr="00E673DC">
        <w:rPr>
          <w:lang w:val="en-GB"/>
        </w:rPr>
        <w:t>As can be seen in Table 6</w:t>
      </w:r>
      <w:r w:rsidR="009F2B2F">
        <w:rPr>
          <w:lang w:val="en-GB"/>
        </w:rPr>
        <w:t>,</w:t>
      </w:r>
      <w:r w:rsidRPr="00E673DC">
        <w:rPr>
          <w:lang w:val="en-GB"/>
        </w:rPr>
        <w:t xml:space="preserve"> the t-value is much higher compared to others, implying that the direct path of GR&amp;C</w:t>
      </w:r>
      <w:r w:rsidRPr="00E673DC">
        <w:rPr>
          <w:lang w:val="en-GB"/>
        </w:rPr>
        <w:sym w:font="Wingdings" w:char="F0E0"/>
      </w:r>
      <w:r w:rsidRPr="00E673DC">
        <w:rPr>
          <w:lang w:val="en-GB"/>
        </w:rPr>
        <w:t xml:space="preserve">GIB is the most significant path in </w:t>
      </w:r>
      <w:r w:rsidR="009F2B2F">
        <w:rPr>
          <w:lang w:val="en-GB"/>
        </w:rPr>
        <w:t xml:space="preserve">the </w:t>
      </w:r>
      <w:r w:rsidRPr="00E673DC">
        <w:rPr>
          <w:lang w:val="en-GB"/>
        </w:rPr>
        <w:t>entire model. On the other hand, the path of GL&amp;D toward</w:t>
      </w:r>
      <w:r w:rsidR="007F5DFA">
        <w:rPr>
          <w:lang w:val="en-GB"/>
        </w:rPr>
        <w:t>s</w:t>
      </w:r>
      <w:r w:rsidRPr="00E673DC">
        <w:rPr>
          <w:lang w:val="en-GB"/>
        </w:rPr>
        <w:t xml:space="preserve"> GIB is not statistically significant as the p-value is higher than 5% and </w:t>
      </w:r>
      <w:r w:rsidR="009F2B2F">
        <w:rPr>
          <w:lang w:val="en-GB"/>
        </w:rPr>
        <w:t xml:space="preserve">the </w:t>
      </w:r>
      <w:r w:rsidRPr="00E673DC">
        <w:rPr>
          <w:lang w:val="en-GB"/>
        </w:rPr>
        <w:t xml:space="preserve">t-value is also lower than 1.96. </w:t>
      </w:r>
      <w:r w:rsidR="009F2B2F">
        <w:rPr>
          <w:lang w:val="en-GB"/>
        </w:rPr>
        <w:t>This</w:t>
      </w:r>
      <w:r w:rsidRPr="00E673DC">
        <w:rPr>
          <w:lang w:val="en-GB"/>
        </w:rPr>
        <w:t xml:space="preserve"> implies that along with training, additional factors such as </w:t>
      </w:r>
      <w:r w:rsidR="009F2B2F">
        <w:rPr>
          <w:lang w:val="en-GB"/>
        </w:rPr>
        <w:t xml:space="preserve">the </w:t>
      </w:r>
      <w:r w:rsidR="00DC79D6">
        <w:rPr>
          <w:lang w:val="en-GB"/>
        </w:rPr>
        <w:t>organis</w:t>
      </w:r>
      <w:r w:rsidRPr="00E673DC">
        <w:rPr>
          <w:lang w:val="en-GB"/>
        </w:rPr>
        <w:t xml:space="preserve">ational culture, leadership principles, </w:t>
      </w:r>
      <w:r w:rsidR="009F2B2F">
        <w:rPr>
          <w:lang w:val="en-GB"/>
        </w:rPr>
        <w:t xml:space="preserve">and </w:t>
      </w:r>
      <w:r w:rsidR="00DC79D6">
        <w:rPr>
          <w:lang w:val="en-GB"/>
        </w:rPr>
        <w:t>organis</w:t>
      </w:r>
      <w:r w:rsidRPr="00E673DC">
        <w:rPr>
          <w:lang w:val="en-GB"/>
        </w:rPr>
        <w:t>ational resources equally contribute to employee</w:t>
      </w:r>
      <w:r w:rsidR="009F2B2F">
        <w:rPr>
          <w:lang w:val="en-GB"/>
        </w:rPr>
        <w:t>s'</w:t>
      </w:r>
      <w:r w:rsidRPr="00E673DC">
        <w:rPr>
          <w:lang w:val="en-GB"/>
        </w:rPr>
        <w:t xml:space="preserve"> innovative </w:t>
      </w:r>
      <w:r w:rsidR="009F2B2F">
        <w:rPr>
          <w:lang w:val="en-GB"/>
        </w:rPr>
        <w:t>behaviour</w:t>
      </w:r>
      <w:r w:rsidRPr="00E673DC">
        <w:rPr>
          <w:lang w:val="en-GB"/>
        </w:rPr>
        <w:t xml:space="preserve"> toward</w:t>
      </w:r>
      <w:r w:rsidR="007F5DFA">
        <w:rPr>
          <w:lang w:val="en-GB"/>
        </w:rPr>
        <w:t>s the</w:t>
      </w:r>
      <w:r w:rsidRPr="00E673DC">
        <w:rPr>
          <w:lang w:val="en-GB"/>
        </w:rPr>
        <w:t xml:space="preserve"> environment. Moreover, the substantial positive and significant effect of GIB on OCBE is quite revealing (β = 0.559, p &lt;0.001)</w:t>
      </w:r>
      <w:r w:rsidR="009F2B2F">
        <w:rPr>
          <w:lang w:val="en-GB"/>
        </w:rPr>
        <w:t>;</w:t>
      </w:r>
      <w:r w:rsidRPr="00E673DC">
        <w:rPr>
          <w:lang w:val="en-GB"/>
        </w:rPr>
        <w:t xml:space="preserve"> </w:t>
      </w:r>
      <w:r w:rsidR="009F2B2F">
        <w:rPr>
          <w:lang w:val="en-GB"/>
        </w:rPr>
        <w:t>i</w:t>
      </w:r>
      <w:r w:rsidRPr="00E673DC">
        <w:rPr>
          <w:lang w:val="en-GB"/>
        </w:rPr>
        <w:t xml:space="preserve">t supports the view that individuals involved in green innovation tend to have </w:t>
      </w:r>
      <w:r w:rsidR="009F2B2F">
        <w:rPr>
          <w:lang w:val="en-GB"/>
        </w:rPr>
        <w:t>the</w:t>
      </w:r>
      <w:r w:rsidRPr="00E673DC">
        <w:rPr>
          <w:lang w:val="en-GB"/>
        </w:rPr>
        <w:t xml:space="preserve"> capability to demonstrate pro-environmental </w:t>
      </w:r>
      <w:r w:rsidR="00DC79D6">
        <w:rPr>
          <w:lang w:val="en-GB"/>
        </w:rPr>
        <w:t>behaviour</w:t>
      </w:r>
      <w:r w:rsidRPr="00E673DC">
        <w:rPr>
          <w:lang w:val="en-GB"/>
        </w:rPr>
        <w:t>s.</w:t>
      </w:r>
    </w:p>
    <w:p w14:paraId="240E24AC" w14:textId="5209B5DA" w:rsidR="00D13C36" w:rsidRPr="00E673DC" w:rsidRDefault="00D13C36" w:rsidP="00D77795">
      <w:pPr>
        <w:ind w:firstLine="720"/>
        <w:rPr>
          <w:lang w:val="en-GB"/>
        </w:rPr>
      </w:pPr>
      <w:r w:rsidRPr="00E673DC">
        <w:rPr>
          <w:lang w:val="en-GB"/>
        </w:rPr>
        <w:t>Table 6 also yields the mediation effect of GIB on GL&amp;D</w:t>
      </w:r>
      <w:r w:rsidRPr="00E673DC">
        <w:rPr>
          <w:lang w:val="en-GB"/>
        </w:rPr>
        <w:sym w:font="Wingdings" w:char="F0E0"/>
      </w:r>
      <w:r w:rsidRPr="00E673DC">
        <w:rPr>
          <w:lang w:val="en-GB"/>
        </w:rPr>
        <w:t>OCBE and GR&amp;C</w:t>
      </w:r>
      <w:r w:rsidRPr="00E673DC">
        <w:rPr>
          <w:lang w:val="en-GB"/>
        </w:rPr>
        <w:sym w:font="Wingdings" w:char="F0E0"/>
      </w:r>
      <w:r w:rsidRPr="00E673DC">
        <w:rPr>
          <w:lang w:val="en-GB"/>
        </w:rPr>
        <w:t>OCBE. As it can be seen that the beta coefficient of GR&amp;C→GIB→OCBE is positive</w:t>
      </w:r>
      <w:r w:rsidR="009F2B2F">
        <w:rPr>
          <w:lang w:val="en-GB"/>
        </w:rPr>
        <w:t>, this</w:t>
      </w:r>
      <w:r w:rsidRPr="00E673DC">
        <w:rPr>
          <w:lang w:val="en-GB"/>
        </w:rPr>
        <w:t xml:space="preserve"> hence suggests </w:t>
      </w:r>
      <w:r w:rsidR="009F2B2F">
        <w:rPr>
          <w:lang w:val="en-GB"/>
        </w:rPr>
        <w:t xml:space="preserve">that </w:t>
      </w:r>
      <w:r w:rsidRPr="00E673DC">
        <w:rPr>
          <w:lang w:val="en-GB"/>
        </w:rPr>
        <w:t>GIB partially mediates the association of GR&amp;C</w:t>
      </w:r>
      <w:r w:rsidRPr="00E673DC">
        <w:rPr>
          <w:lang w:val="en-GB"/>
        </w:rPr>
        <w:sym w:font="Wingdings" w:char="F0E0"/>
      </w:r>
      <w:r w:rsidRPr="00E673DC">
        <w:rPr>
          <w:lang w:val="en-GB"/>
        </w:rPr>
        <w:t xml:space="preserve">OCBE. The highly significant p-value and t-value confirm that </w:t>
      </w:r>
      <w:r w:rsidR="009F2B2F">
        <w:rPr>
          <w:lang w:val="en-GB"/>
        </w:rPr>
        <w:t xml:space="preserve">the </w:t>
      </w:r>
      <w:r w:rsidRPr="00E673DC">
        <w:rPr>
          <w:lang w:val="en-GB"/>
        </w:rPr>
        <w:t xml:space="preserve">mediation effect is significant and strong. This highlights the crucial role of </w:t>
      </w:r>
      <w:r w:rsidR="00BA5CEE" w:rsidRPr="00E673DC">
        <w:rPr>
          <w:lang w:val="en-GB"/>
        </w:rPr>
        <w:t>GIB</w:t>
      </w:r>
      <w:r w:rsidR="009F2B2F">
        <w:rPr>
          <w:lang w:val="en-GB"/>
        </w:rPr>
        <w:t>,</w:t>
      </w:r>
      <w:r w:rsidRPr="00E673DC">
        <w:rPr>
          <w:lang w:val="en-GB"/>
        </w:rPr>
        <w:t xml:space="preserve"> which beautifies the sustainability efforts of </w:t>
      </w:r>
      <w:r w:rsidR="00DC79D6">
        <w:rPr>
          <w:lang w:val="en-GB"/>
        </w:rPr>
        <w:t>organis</w:t>
      </w:r>
      <w:r w:rsidRPr="00E673DC">
        <w:rPr>
          <w:lang w:val="en-GB"/>
        </w:rPr>
        <w:t>ations in the form of reward and compensation</w:t>
      </w:r>
      <w:r w:rsidR="009F2B2F">
        <w:rPr>
          <w:lang w:val="en-GB"/>
        </w:rPr>
        <w:t>,</w:t>
      </w:r>
      <w:r w:rsidRPr="00E673DC">
        <w:rPr>
          <w:lang w:val="en-GB"/>
        </w:rPr>
        <w:t xml:space="preserve"> and translate</w:t>
      </w:r>
      <w:r w:rsidR="009F2B2F">
        <w:rPr>
          <w:lang w:val="en-GB"/>
        </w:rPr>
        <w:t>s</w:t>
      </w:r>
      <w:r w:rsidRPr="00E673DC">
        <w:rPr>
          <w:lang w:val="en-GB"/>
        </w:rPr>
        <w:t xml:space="preserve"> into voluntary and extra-role </w:t>
      </w:r>
      <w:r w:rsidR="00DC79D6">
        <w:rPr>
          <w:lang w:val="en-GB"/>
        </w:rPr>
        <w:t>behaviour</w:t>
      </w:r>
      <w:r w:rsidRPr="00E673DC">
        <w:rPr>
          <w:lang w:val="en-GB"/>
        </w:rPr>
        <w:t xml:space="preserve">s. The partial mediation suggests that GR&amp;C directly and indirectly (through GIB) effects OCBE. However, the not supported mediation in the case of GL&amp;D→GIB→OCBE breaks the conventional thought, implying that training and learning </w:t>
      </w:r>
      <w:r w:rsidRPr="00E673DC">
        <w:rPr>
          <w:lang w:val="en-GB"/>
        </w:rPr>
        <w:lastRenderedPageBreak/>
        <w:t xml:space="preserve">development </w:t>
      </w:r>
      <w:r w:rsidR="00A61F6A">
        <w:rPr>
          <w:lang w:val="en-GB"/>
        </w:rPr>
        <w:t>programmes</w:t>
      </w:r>
      <w:r w:rsidRPr="00E673DC">
        <w:rPr>
          <w:lang w:val="en-GB"/>
        </w:rPr>
        <w:t xml:space="preserve"> do not guarantee the adoption of </w:t>
      </w:r>
      <w:r w:rsidR="00BA5CEE" w:rsidRPr="00E673DC">
        <w:rPr>
          <w:lang w:val="en-GB"/>
        </w:rPr>
        <w:t>GIB</w:t>
      </w:r>
      <w:r w:rsidRPr="00E673DC">
        <w:rPr>
          <w:lang w:val="en-GB"/>
        </w:rPr>
        <w:t xml:space="preserve">. </w:t>
      </w:r>
      <w:r w:rsidR="009F2B2F">
        <w:rPr>
          <w:lang w:val="en-GB"/>
        </w:rPr>
        <w:t>This</w:t>
      </w:r>
      <w:r w:rsidRPr="00E673DC">
        <w:rPr>
          <w:lang w:val="en-GB"/>
        </w:rPr>
        <w:t xml:space="preserve"> means that it is not necessarily an effective indicator to improve employee willingness to show extra support for environmental causes and go beyond their assigned duties. Since the path coefficient is 0.077 and p-value is also 0.121 (&gt;0.05), </w:t>
      </w:r>
      <w:r w:rsidR="009F2B2F">
        <w:rPr>
          <w:lang w:val="en-GB"/>
        </w:rPr>
        <w:t xml:space="preserve">this </w:t>
      </w:r>
      <w:r w:rsidRPr="00E673DC">
        <w:rPr>
          <w:lang w:val="en-GB"/>
        </w:rPr>
        <w:t>indicat</w:t>
      </w:r>
      <w:r w:rsidR="009F2B2F">
        <w:rPr>
          <w:lang w:val="en-GB"/>
        </w:rPr>
        <w:t>es</w:t>
      </w:r>
      <w:r w:rsidRPr="00E673DC">
        <w:rPr>
          <w:lang w:val="en-GB"/>
        </w:rPr>
        <w:t xml:space="preserve"> that the effect is fragile, and </w:t>
      </w:r>
      <w:r w:rsidR="009F2B2F">
        <w:rPr>
          <w:lang w:val="en-GB"/>
        </w:rPr>
        <w:t xml:space="preserve">the </w:t>
      </w:r>
      <w:r w:rsidRPr="00E673DC">
        <w:rPr>
          <w:lang w:val="en-GB"/>
        </w:rPr>
        <w:t xml:space="preserve">mediation path is not statistically significant. </w:t>
      </w:r>
    </w:p>
    <w:p w14:paraId="4DA1A5A3" w14:textId="47FEC095" w:rsidR="00D13C36" w:rsidRPr="00E673DC" w:rsidRDefault="00D13C36" w:rsidP="00D77795">
      <w:pPr>
        <w:ind w:firstLine="720"/>
        <w:rPr>
          <w:lang w:val="en-GB"/>
        </w:rPr>
      </w:pPr>
      <w:r w:rsidRPr="00E673DC">
        <w:rPr>
          <w:lang w:val="en-GB"/>
        </w:rPr>
        <w:t xml:space="preserve">Another plausible explanation to justify the view is that training alone is not a strong </w:t>
      </w:r>
      <w:r w:rsidR="009F2B2F">
        <w:rPr>
          <w:lang w:val="en-GB"/>
        </w:rPr>
        <w:t>driver;</w:t>
      </w:r>
      <w:r w:rsidRPr="00E673DC">
        <w:rPr>
          <w:lang w:val="en-GB"/>
        </w:rPr>
        <w:t xml:space="preserve"> hence, it should be coupled with other supporting factors such </w:t>
      </w:r>
      <w:r w:rsidR="009F2B2F">
        <w:rPr>
          <w:lang w:val="en-GB"/>
        </w:rPr>
        <w:t xml:space="preserve">as the </w:t>
      </w:r>
      <w:r w:rsidR="00DC79D6">
        <w:rPr>
          <w:lang w:val="en-GB"/>
        </w:rPr>
        <w:t>organis</w:t>
      </w:r>
      <w:r w:rsidRPr="00E673DC">
        <w:rPr>
          <w:lang w:val="en-GB"/>
        </w:rPr>
        <w:t xml:space="preserve">ational culture, autonomy, </w:t>
      </w:r>
      <w:r w:rsidR="00F8610F" w:rsidRPr="00E673DC">
        <w:rPr>
          <w:lang w:val="en-GB"/>
        </w:rPr>
        <w:t>leadership,</w:t>
      </w:r>
      <w:r w:rsidRPr="00E673DC">
        <w:rPr>
          <w:lang w:val="en-GB"/>
        </w:rPr>
        <w:t xml:space="preserve"> and incentives to execute what they have learned. </w:t>
      </w:r>
    </w:p>
    <w:p w14:paraId="4D5C3F2C" w14:textId="60EF0758" w:rsidR="00D13C36" w:rsidRPr="00E673DC" w:rsidRDefault="00D13C36" w:rsidP="00FE455D">
      <w:pPr>
        <w:pStyle w:val="Caption"/>
        <w:rPr>
          <w:lang w:val="en-GB"/>
        </w:rPr>
      </w:pPr>
      <w:bookmarkStart w:id="41" w:name="_Toc193015457"/>
      <w:r w:rsidRPr="00E673DC">
        <w:rPr>
          <w:lang w:val="en-GB"/>
        </w:rPr>
        <w:t xml:space="preserve">Table </w:t>
      </w:r>
      <w:r w:rsidRPr="00E673DC">
        <w:rPr>
          <w:lang w:val="en-GB"/>
        </w:rPr>
        <w:fldChar w:fldCharType="begin"/>
      </w:r>
      <w:r w:rsidRPr="00E673DC">
        <w:rPr>
          <w:lang w:val="en-GB"/>
        </w:rPr>
        <w:instrText xml:space="preserve"> SEQ Table \* ARABIC </w:instrText>
      </w:r>
      <w:r w:rsidRPr="00E673DC">
        <w:rPr>
          <w:lang w:val="en-GB"/>
        </w:rPr>
        <w:fldChar w:fldCharType="separate"/>
      </w:r>
      <w:r w:rsidRPr="00E673DC">
        <w:rPr>
          <w:noProof/>
          <w:lang w:val="en-GB"/>
        </w:rPr>
        <w:t>6</w:t>
      </w:r>
      <w:r w:rsidRPr="00E673DC">
        <w:rPr>
          <w:noProof/>
          <w:lang w:val="en-GB"/>
        </w:rPr>
        <w:fldChar w:fldCharType="end"/>
      </w:r>
      <w:r w:rsidRPr="00E673DC">
        <w:rPr>
          <w:lang w:val="en-GB"/>
        </w:rPr>
        <w:t xml:space="preserve">: Structural </w:t>
      </w:r>
      <w:r w:rsidR="003A7565">
        <w:rPr>
          <w:lang w:val="en-GB"/>
        </w:rPr>
        <w:t>M</w:t>
      </w:r>
      <w:r w:rsidRPr="00E673DC">
        <w:rPr>
          <w:lang w:val="en-GB"/>
        </w:rPr>
        <w:t>odel 1</w:t>
      </w:r>
      <w:bookmarkEnd w:id="41"/>
    </w:p>
    <w:tbl>
      <w:tblPr>
        <w:tblStyle w:val="PlainTable2"/>
        <w:tblW w:w="9441" w:type="dxa"/>
        <w:tblLayout w:type="fixed"/>
        <w:tblLook w:val="04A0" w:firstRow="1" w:lastRow="0" w:firstColumn="1" w:lastColumn="0" w:noHBand="0" w:noVBand="1"/>
      </w:tblPr>
      <w:tblGrid>
        <w:gridCol w:w="2724"/>
        <w:gridCol w:w="1192"/>
        <w:gridCol w:w="1192"/>
        <w:gridCol w:w="1192"/>
        <w:gridCol w:w="1192"/>
        <w:gridCol w:w="1949"/>
      </w:tblGrid>
      <w:tr w:rsidR="00D13C36" w:rsidRPr="00E673DC" w14:paraId="242B1808" w14:textId="77777777" w:rsidTr="002D4B1E">
        <w:trPr>
          <w:cnfStyle w:val="100000000000" w:firstRow="1" w:lastRow="0" w:firstColumn="0" w:lastColumn="0" w:oddVBand="0" w:evenVBand="0" w:oddHBand="0" w:evenHBand="0" w:firstRowFirstColumn="0" w:firstRowLastColumn="0" w:lastRowFirstColumn="0" w:lastRowLastColumn="0"/>
          <w:trHeight w:val="412"/>
        </w:trPr>
        <w:tc>
          <w:tcPr>
            <w:cnfStyle w:val="001000000000" w:firstRow="0" w:lastRow="0" w:firstColumn="1" w:lastColumn="0" w:oddVBand="0" w:evenVBand="0" w:oddHBand="0" w:evenHBand="0" w:firstRowFirstColumn="0" w:firstRowLastColumn="0" w:lastRowFirstColumn="0" w:lastRowLastColumn="0"/>
            <w:tcW w:w="2724" w:type="dxa"/>
            <w:noWrap/>
            <w:hideMark/>
          </w:tcPr>
          <w:p w14:paraId="66F05678" w14:textId="77777777" w:rsidR="00D13C36" w:rsidRPr="00E673DC" w:rsidRDefault="00D13C36" w:rsidP="002A3B4D">
            <w:pPr>
              <w:spacing w:after="160" w:line="259" w:lineRule="auto"/>
              <w:ind w:firstLine="0"/>
              <w:jc w:val="both"/>
              <w:rPr>
                <w:i/>
                <w:iCs/>
                <w:lang w:val="en-GB"/>
              </w:rPr>
            </w:pPr>
            <w:r w:rsidRPr="00E673DC">
              <w:rPr>
                <w:i/>
                <w:iCs/>
                <w:lang w:val="en-GB"/>
              </w:rPr>
              <w:t>Relationship</w:t>
            </w:r>
          </w:p>
        </w:tc>
        <w:tc>
          <w:tcPr>
            <w:tcW w:w="1192" w:type="dxa"/>
            <w:noWrap/>
            <w:hideMark/>
          </w:tcPr>
          <w:p w14:paraId="2D32317B" w14:textId="77777777" w:rsidR="00D13C36" w:rsidRPr="00E673DC" w:rsidRDefault="00D13C36" w:rsidP="002A3B4D">
            <w:pPr>
              <w:spacing w:after="160" w:line="259" w:lineRule="auto"/>
              <w:ind w:firstLine="0"/>
              <w:jc w:val="both"/>
              <w:cnfStyle w:val="100000000000" w:firstRow="1" w:lastRow="0" w:firstColumn="0" w:lastColumn="0" w:oddVBand="0" w:evenVBand="0" w:oddHBand="0" w:evenHBand="0" w:firstRowFirstColumn="0" w:firstRowLastColumn="0" w:lastRowFirstColumn="0" w:lastRowLastColumn="0"/>
              <w:rPr>
                <w:i/>
                <w:iCs/>
                <w:lang w:val="en-GB"/>
              </w:rPr>
            </w:pPr>
            <w:r w:rsidRPr="00E673DC">
              <w:rPr>
                <w:i/>
                <w:iCs/>
                <w:lang w:val="en-GB"/>
              </w:rPr>
              <w:t>Beta</w:t>
            </w:r>
          </w:p>
        </w:tc>
        <w:tc>
          <w:tcPr>
            <w:tcW w:w="1192" w:type="dxa"/>
            <w:noWrap/>
            <w:hideMark/>
          </w:tcPr>
          <w:p w14:paraId="79A10722" w14:textId="77777777" w:rsidR="00D13C36" w:rsidRPr="00E673DC" w:rsidRDefault="00D13C36" w:rsidP="002A3B4D">
            <w:pPr>
              <w:spacing w:after="160" w:line="259" w:lineRule="auto"/>
              <w:ind w:firstLine="0"/>
              <w:jc w:val="both"/>
              <w:cnfStyle w:val="100000000000" w:firstRow="1" w:lastRow="0" w:firstColumn="0" w:lastColumn="0" w:oddVBand="0" w:evenVBand="0" w:oddHBand="0" w:evenHBand="0" w:firstRowFirstColumn="0" w:firstRowLastColumn="0" w:lastRowFirstColumn="0" w:lastRowLastColumn="0"/>
              <w:rPr>
                <w:i/>
                <w:iCs/>
                <w:lang w:val="en-GB"/>
              </w:rPr>
            </w:pPr>
            <w:r w:rsidRPr="00E673DC">
              <w:rPr>
                <w:i/>
                <w:iCs/>
                <w:lang w:val="en-GB"/>
              </w:rPr>
              <w:t>STDEV</w:t>
            </w:r>
          </w:p>
        </w:tc>
        <w:tc>
          <w:tcPr>
            <w:tcW w:w="1192" w:type="dxa"/>
            <w:noWrap/>
            <w:hideMark/>
          </w:tcPr>
          <w:p w14:paraId="319BA02F" w14:textId="5A1474D0" w:rsidR="00D13C36" w:rsidRPr="00E673DC" w:rsidRDefault="00D13C36" w:rsidP="002A3B4D">
            <w:pPr>
              <w:spacing w:after="160" w:line="259" w:lineRule="auto"/>
              <w:ind w:firstLine="0"/>
              <w:jc w:val="both"/>
              <w:cnfStyle w:val="100000000000" w:firstRow="1" w:lastRow="0" w:firstColumn="0" w:lastColumn="0" w:oddVBand="0" w:evenVBand="0" w:oddHBand="0" w:evenHBand="0" w:firstRowFirstColumn="0" w:firstRowLastColumn="0" w:lastRowFirstColumn="0" w:lastRowLastColumn="0"/>
              <w:rPr>
                <w:i/>
                <w:iCs/>
                <w:lang w:val="en-GB"/>
              </w:rPr>
            </w:pPr>
            <w:r w:rsidRPr="00E673DC">
              <w:rPr>
                <w:i/>
                <w:iCs/>
                <w:lang w:val="en-GB"/>
              </w:rPr>
              <w:t>t</w:t>
            </w:r>
            <w:r w:rsidR="009F2B2F">
              <w:rPr>
                <w:i/>
                <w:iCs/>
                <w:lang w:val="en-GB"/>
              </w:rPr>
              <w:t>-</w:t>
            </w:r>
            <w:r w:rsidRPr="00E673DC">
              <w:rPr>
                <w:i/>
                <w:iCs/>
                <w:lang w:val="en-GB"/>
              </w:rPr>
              <w:t>value</w:t>
            </w:r>
          </w:p>
        </w:tc>
        <w:tc>
          <w:tcPr>
            <w:tcW w:w="1192" w:type="dxa"/>
            <w:noWrap/>
            <w:hideMark/>
          </w:tcPr>
          <w:p w14:paraId="3A5CF63A" w14:textId="77777777" w:rsidR="00D13C36" w:rsidRPr="00E673DC" w:rsidRDefault="00D13C36" w:rsidP="002A3B4D">
            <w:pPr>
              <w:spacing w:after="160" w:line="259" w:lineRule="auto"/>
              <w:ind w:firstLine="0"/>
              <w:jc w:val="both"/>
              <w:cnfStyle w:val="100000000000" w:firstRow="1" w:lastRow="0" w:firstColumn="0" w:lastColumn="0" w:oddVBand="0" w:evenVBand="0" w:oddHBand="0" w:evenHBand="0" w:firstRowFirstColumn="0" w:firstRowLastColumn="0" w:lastRowFirstColumn="0" w:lastRowLastColumn="0"/>
              <w:rPr>
                <w:i/>
                <w:iCs/>
                <w:lang w:val="en-GB"/>
              </w:rPr>
            </w:pPr>
            <w:r w:rsidRPr="00E673DC">
              <w:rPr>
                <w:i/>
                <w:iCs/>
                <w:lang w:val="en-GB"/>
              </w:rPr>
              <w:t>p-value</w:t>
            </w:r>
          </w:p>
        </w:tc>
        <w:tc>
          <w:tcPr>
            <w:tcW w:w="1949" w:type="dxa"/>
            <w:hideMark/>
          </w:tcPr>
          <w:p w14:paraId="1B5EF008" w14:textId="77777777" w:rsidR="00D13C36" w:rsidRPr="00E673DC" w:rsidRDefault="00D13C36" w:rsidP="002A3B4D">
            <w:pPr>
              <w:spacing w:after="160" w:line="259" w:lineRule="auto"/>
              <w:ind w:firstLine="0"/>
              <w:jc w:val="both"/>
              <w:cnfStyle w:val="100000000000" w:firstRow="1" w:lastRow="0" w:firstColumn="0" w:lastColumn="0" w:oddVBand="0" w:evenVBand="0" w:oddHBand="0" w:evenHBand="0" w:firstRowFirstColumn="0" w:firstRowLastColumn="0" w:lastRowFirstColumn="0" w:lastRowLastColumn="0"/>
              <w:rPr>
                <w:i/>
                <w:iCs/>
                <w:lang w:val="en-GB"/>
              </w:rPr>
            </w:pPr>
            <w:r w:rsidRPr="00E673DC">
              <w:rPr>
                <w:i/>
                <w:iCs/>
                <w:lang w:val="en-GB"/>
              </w:rPr>
              <w:t>Decision</w:t>
            </w:r>
          </w:p>
        </w:tc>
      </w:tr>
      <w:tr w:rsidR="00D13C36" w:rsidRPr="00E673DC" w14:paraId="73BA1DC0" w14:textId="77777777" w:rsidTr="002D4B1E">
        <w:trPr>
          <w:cnfStyle w:val="000000100000" w:firstRow="0" w:lastRow="0" w:firstColumn="0" w:lastColumn="0" w:oddVBand="0" w:evenVBand="0" w:oddHBand="1" w:evenHBand="0" w:firstRowFirstColumn="0" w:firstRowLastColumn="0" w:lastRowFirstColumn="0" w:lastRowLastColumn="0"/>
          <w:trHeight w:val="412"/>
        </w:trPr>
        <w:tc>
          <w:tcPr>
            <w:cnfStyle w:val="001000000000" w:firstRow="0" w:lastRow="0" w:firstColumn="1" w:lastColumn="0" w:oddVBand="0" w:evenVBand="0" w:oddHBand="0" w:evenHBand="0" w:firstRowFirstColumn="0" w:firstRowLastColumn="0" w:lastRowFirstColumn="0" w:lastRowLastColumn="0"/>
            <w:tcW w:w="2724" w:type="dxa"/>
            <w:noWrap/>
            <w:hideMark/>
          </w:tcPr>
          <w:p w14:paraId="2445BC6E" w14:textId="77777777" w:rsidR="00D13C36" w:rsidRPr="00E673DC" w:rsidRDefault="00D13C36" w:rsidP="002A3B4D">
            <w:pPr>
              <w:spacing w:after="160" w:line="259" w:lineRule="auto"/>
              <w:ind w:firstLine="0"/>
              <w:jc w:val="both"/>
              <w:rPr>
                <w:i/>
                <w:iCs/>
                <w:lang w:val="en-GB"/>
              </w:rPr>
            </w:pPr>
            <w:r w:rsidRPr="00E673DC">
              <w:rPr>
                <w:i/>
                <w:iCs/>
                <w:lang w:val="en-GB"/>
              </w:rPr>
              <w:t>Direct effect</w:t>
            </w:r>
          </w:p>
        </w:tc>
        <w:tc>
          <w:tcPr>
            <w:tcW w:w="1192" w:type="dxa"/>
            <w:noWrap/>
          </w:tcPr>
          <w:p w14:paraId="225A936A" w14:textId="77777777" w:rsidR="00D13C36" w:rsidRPr="00E673DC" w:rsidRDefault="00D13C36" w:rsidP="008F526A">
            <w:pPr>
              <w:spacing w:after="160" w:line="259" w:lineRule="auto"/>
              <w:jc w:val="both"/>
              <w:cnfStyle w:val="000000100000" w:firstRow="0" w:lastRow="0" w:firstColumn="0" w:lastColumn="0" w:oddVBand="0" w:evenVBand="0" w:oddHBand="1" w:evenHBand="0" w:firstRowFirstColumn="0" w:firstRowLastColumn="0" w:lastRowFirstColumn="0" w:lastRowLastColumn="0"/>
              <w:rPr>
                <w:b/>
                <w:bCs/>
                <w:i/>
                <w:iCs/>
                <w:lang w:val="en-GB"/>
              </w:rPr>
            </w:pPr>
          </w:p>
        </w:tc>
        <w:tc>
          <w:tcPr>
            <w:tcW w:w="1192" w:type="dxa"/>
            <w:noWrap/>
          </w:tcPr>
          <w:p w14:paraId="07D61FFB" w14:textId="77777777" w:rsidR="00D13C36" w:rsidRPr="00E673DC" w:rsidRDefault="00D13C36" w:rsidP="008F526A">
            <w:pPr>
              <w:spacing w:after="160" w:line="259" w:lineRule="auto"/>
              <w:jc w:val="both"/>
              <w:cnfStyle w:val="000000100000" w:firstRow="0" w:lastRow="0" w:firstColumn="0" w:lastColumn="0" w:oddVBand="0" w:evenVBand="0" w:oddHBand="1" w:evenHBand="0" w:firstRowFirstColumn="0" w:firstRowLastColumn="0" w:lastRowFirstColumn="0" w:lastRowLastColumn="0"/>
              <w:rPr>
                <w:b/>
                <w:bCs/>
                <w:i/>
                <w:iCs/>
                <w:lang w:val="en-GB"/>
              </w:rPr>
            </w:pPr>
          </w:p>
        </w:tc>
        <w:tc>
          <w:tcPr>
            <w:tcW w:w="1192" w:type="dxa"/>
            <w:noWrap/>
          </w:tcPr>
          <w:p w14:paraId="3C9584D3" w14:textId="77777777" w:rsidR="00D13C36" w:rsidRPr="00E673DC" w:rsidRDefault="00D13C36" w:rsidP="008F526A">
            <w:pPr>
              <w:spacing w:after="160" w:line="259" w:lineRule="auto"/>
              <w:jc w:val="both"/>
              <w:cnfStyle w:val="000000100000" w:firstRow="0" w:lastRow="0" w:firstColumn="0" w:lastColumn="0" w:oddVBand="0" w:evenVBand="0" w:oddHBand="1" w:evenHBand="0" w:firstRowFirstColumn="0" w:firstRowLastColumn="0" w:lastRowFirstColumn="0" w:lastRowLastColumn="0"/>
              <w:rPr>
                <w:b/>
                <w:bCs/>
                <w:i/>
                <w:iCs/>
                <w:lang w:val="en-GB"/>
              </w:rPr>
            </w:pPr>
          </w:p>
        </w:tc>
        <w:tc>
          <w:tcPr>
            <w:tcW w:w="1192" w:type="dxa"/>
            <w:noWrap/>
          </w:tcPr>
          <w:p w14:paraId="4F1565AC" w14:textId="77777777" w:rsidR="00D13C36" w:rsidRPr="00E673DC" w:rsidRDefault="00D13C36" w:rsidP="008F526A">
            <w:pPr>
              <w:spacing w:after="160" w:line="259" w:lineRule="auto"/>
              <w:jc w:val="both"/>
              <w:cnfStyle w:val="000000100000" w:firstRow="0" w:lastRow="0" w:firstColumn="0" w:lastColumn="0" w:oddVBand="0" w:evenVBand="0" w:oddHBand="1" w:evenHBand="0" w:firstRowFirstColumn="0" w:firstRowLastColumn="0" w:lastRowFirstColumn="0" w:lastRowLastColumn="0"/>
              <w:rPr>
                <w:b/>
                <w:bCs/>
                <w:i/>
                <w:iCs/>
                <w:lang w:val="en-GB"/>
              </w:rPr>
            </w:pPr>
          </w:p>
        </w:tc>
        <w:tc>
          <w:tcPr>
            <w:tcW w:w="1949" w:type="dxa"/>
          </w:tcPr>
          <w:p w14:paraId="02EA5B38" w14:textId="77777777" w:rsidR="00D13C36" w:rsidRPr="00E673DC" w:rsidRDefault="00D13C36" w:rsidP="008F526A">
            <w:pPr>
              <w:spacing w:after="160" w:line="259" w:lineRule="auto"/>
              <w:jc w:val="both"/>
              <w:cnfStyle w:val="000000100000" w:firstRow="0" w:lastRow="0" w:firstColumn="0" w:lastColumn="0" w:oddVBand="0" w:evenVBand="0" w:oddHBand="1" w:evenHBand="0" w:firstRowFirstColumn="0" w:firstRowLastColumn="0" w:lastRowFirstColumn="0" w:lastRowLastColumn="0"/>
              <w:rPr>
                <w:b/>
                <w:bCs/>
                <w:i/>
                <w:iCs/>
                <w:lang w:val="en-GB"/>
              </w:rPr>
            </w:pPr>
          </w:p>
        </w:tc>
      </w:tr>
      <w:tr w:rsidR="00D13C36" w:rsidRPr="00E673DC" w14:paraId="2D69AB37" w14:textId="77777777" w:rsidTr="002D4B1E">
        <w:trPr>
          <w:trHeight w:val="412"/>
        </w:trPr>
        <w:tc>
          <w:tcPr>
            <w:cnfStyle w:val="001000000000" w:firstRow="0" w:lastRow="0" w:firstColumn="1" w:lastColumn="0" w:oddVBand="0" w:evenVBand="0" w:oddHBand="0" w:evenHBand="0" w:firstRowFirstColumn="0" w:firstRowLastColumn="0" w:lastRowFirstColumn="0" w:lastRowLastColumn="0"/>
            <w:tcW w:w="2724" w:type="dxa"/>
            <w:noWrap/>
            <w:hideMark/>
          </w:tcPr>
          <w:p w14:paraId="4614479D" w14:textId="236A2F65" w:rsidR="00D13C36" w:rsidRPr="00E673DC" w:rsidRDefault="00D13C36" w:rsidP="002A3B4D">
            <w:pPr>
              <w:spacing w:after="160" w:line="259" w:lineRule="auto"/>
              <w:ind w:firstLine="0"/>
              <w:jc w:val="both"/>
              <w:rPr>
                <w:b w:val="0"/>
                <w:bCs w:val="0"/>
                <w:lang w:val="en-GB"/>
              </w:rPr>
            </w:pPr>
            <w:r w:rsidRPr="00E673DC">
              <w:rPr>
                <w:b w:val="0"/>
                <w:bCs w:val="0"/>
                <w:lang w:val="en-GB"/>
              </w:rPr>
              <w:t>GR&amp;C&gt;OCBE</w:t>
            </w:r>
          </w:p>
        </w:tc>
        <w:tc>
          <w:tcPr>
            <w:tcW w:w="1192" w:type="dxa"/>
            <w:noWrap/>
            <w:vAlign w:val="center"/>
            <w:hideMark/>
          </w:tcPr>
          <w:p w14:paraId="130C1BFE" w14:textId="77777777" w:rsidR="00D13C36" w:rsidRPr="00E673DC" w:rsidRDefault="00D13C36" w:rsidP="002A3B4D">
            <w:pPr>
              <w:spacing w:after="160" w:line="259" w:lineRule="auto"/>
              <w:ind w:firstLine="0"/>
              <w:jc w:val="both"/>
              <w:cnfStyle w:val="000000000000" w:firstRow="0" w:lastRow="0" w:firstColumn="0" w:lastColumn="0" w:oddVBand="0" w:evenVBand="0" w:oddHBand="0" w:evenHBand="0" w:firstRowFirstColumn="0" w:firstRowLastColumn="0" w:lastRowFirstColumn="0" w:lastRowLastColumn="0"/>
              <w:rPr>
                <w:lang w:val="en-GB"/>
              </w:rPr>
            </w:pPr>
            <w:r w:rsidRPr="00E673DC">
              <w:rPr>
                <w:lang w:val="en-GB"/>
              </w:rPr>
              <w:t xml:space="preserve">0.451 </w:t>
            </w:r>
          </w:p>
        </w:tc>
        <w:tc>
          <w:tcPr>
            <w:tcW w:w="1192" w:type="dxa"/>
            <w:noWrap/>
            <w:vAlign w:val="center"/>
            <w:hideMark/>
          </w:tcPr>
          <w:p w14:paraId="529A9D77" w14:textId="77777777" w:rsidR="00D13C36" w:rsidRPr="00E673DC" w:rsidRDefault="00D13C36" w:rsidP="002A3B4D">
            <w:pPr>
              <w:spacing w:after="160" w:line="259" w:lineRule="auto"/>
              <w:ind w:firstLine="0"/>
              <w:jc w:val="both"/>
              <w:cnfStyle w:val="000000000000" w:firstRow="0" w:lastRow="0" w:firstColumn="0" w:lastColumn="0" w:oddVBand="0" w:evenVBand="0" w:oddHBand="0" w:evenHBand="0" w:firstRowFirstColumn="0" w:firstRowLastColumn="0" w:lastRowFirstColumn="0" w:lastRowLastColumn="0"/>
              <w:rPr>
                <w:lang w:val="en-GB"/>
              </w:rPr>
            </w:pPr>
            <w:r w:rsidRPr="00E673DC">
              <w:rPr>
                <w:lang w:val="en-GB"/>
              </w:rPr>
              <w:t xml:space="preserve">0.071 </w:t>
            </w:r>
          </w:p>
        </w:tc>
        <w:tc>
          <w:tcPr>
            <w:tcW w:w="1192" w:type="dxa"/>
            <w:noWrap/>
            <w:vAlign w:val="center"/>
            <w:hideMark/>
          </w:tcPr>
          <w:p w14:paraId="1097AEEE" w14:textId="77777777" w:rsidR="00D13C36" w:rsidRPr="00E673DC" w:rsidRDefault="00D13C36" w:rsidP="002A3B4D">
            <w:pPr>
              <w:spacing w:after="160" w:line="259" w:lineRule="auto"/>
              <w:ind w:firstLine="0"/>
              <w:jc w:val="both"/>
              <w:cnfStyle w:val="000000000000" w:firstRow="0" w:lastRow="0" w:firstColumn="0" w:lastColumn="0" w:oddVBand="0" w:evenVBand="0" w:oddHBand="0" w:evenHBand="0" w:firstRowFirstColumn="0" w:firstRowLastColumn="0" w:lastRowFirstColumn="0" w:lastRowLastColumn="0"/>
              <w:rPr>
                <w:lang w:val="en-GB"/>
              </w:rPr>
            </w:pPr>
            <w:r w:rsidRPr="00E673DC">
              <w:rPr>
                <w:lang w:val="en-GB"/>
              </w:rPr>
              <w:t xml:space="preserve">6.360 </w:t>
            </w:r>
          </w:p>
        </w:tc>
        <w:tc>
          <w:tcPr>
            <w:tcW w:w="1192" w:type="dxa"/>
            <w:noWrap/>
            <w:vAlign w:val="center"/>
            <w:hideMark/>
          </w:tcPr>
          <w:p w14:paraId="261EABFE" w14:textId="77777777" w:rsidR="00D13C36" w:rsidRPr="00E673DC" w:rsidRDefault="00D13C36" w:rsidP="002A3B4D">
            <w:pPr>
              <w:spacing w:after="160" w:line="259" w:lineRule="auto"/>
              <w:ind w:firstLine="0"/>
              <w:jc w:val="both"/>
              <w:cnfStyle w:val="000000000000" w:firstRow="0" w:lastRow="0" w:firstColumn="0" w:lastColumn="0" w:oddVBand="0" w:evenVBand="0" w:oddHBand="0" w:evenHBand="0" w:firstRowFirstColumn="0" w:firstRowLastColumn="0" w:lastRowFirstColumn="0" w:lastRowLastColumn="0"/>
              <w:rPr>
                <w:lang w:val="en-GB"/>
              </w:rPr>
            </w:pPr>
            <w:r w:rsidRPr="00E673DC">
              <w:rPr>
                <w:lang w:val="en-GB"/>
              </w:rPr>
              <w:t xml:space="preserve">0.000 </w:t>
            </w:r>
          </w:p>
        </w:tc>
        <w:tc>
          <w:tcPr>
            <w:tcW w:w="1949" w:type="dxa"/>
            <w:hideMark/>
          </w:tcPr>
          <w:p w14:paraId="01B8E65A" w14:textId="77777777" w:rsidR="00D13C36" w:rsidRPr="00E673DC" w:rsidRDefault="00D13C36" w:rsidP="002A3B4D">
            <w:pPr>
              <w:spacing w:after="160" w:line="259" w:lineRule="auto"/>
              <w:ind w:firstLine="0"/>
              <w:jc w:val="both"/>
              <w:cnfStyle w:val="000000000000" w:firstRow="0" w:lastRow="0" w:firstColumn="0" w:lastColumn="0" w:oddVBand="0" w:evenVBand="0" w:oddHBand="0" w:evenHBand="0" w:firstRowFirstColumn="0" w:firstRowLastColumn="0" w:lastRowFirstColumn="0" w:lastRowLastColumn="0"/>
              <w:rPr>
                <w:lang w:val="en-GB"/>
              </w:rPr>
            </w:pPr>
            <w:r w:rsidRPr="00E673DC">
              <w:rPr>
                <w:lang w:val="en-GB"/>
              </w:rPr>
              <w:t>Supported</w:t>
            </w:r>
          </w:p>
        </w:tc>
      </w:tr>
      <w:tr w:rsidR="00D13C36" w:rsidRPr="00E673DC" w14:paraId="7B70B1BE" w14:textId="77777777" w:rsidTr="002D4B1E">
        <w:trPr>
          <w:cnfStyle w:val="000000100000" w:firstRow="0" w:lastRow="0" w:firstColumn="0" w:lastColumn="0" w:oddVBand="0" w:evenVBand="0" w:oddHBand="1" w:evenHBand="0" w:firstRowFirstColumn="0" w:firstRowLastColumn="0" w:lastRowFirstColumn="0" w:lastRowLastColumn="0"/>
          <w:trHeight w:val="412"/>
        </w:trPr>
        <w:tc>
          <w:tcPr>
            <w:cnfStyle w:val="001000000000" w:firstRow="0" w:lastRow="0" w:firstColumn="1" w:lastColumn="0" w:oddVBand="0" w:evenVBand="0" w:oddHBand="0" w:evenHBand="0" w:firstRowFirstColumn="0" w:firstRowLastColumn="0" w:lastRowFirstColumn="0" w:lastRowLastColumn="0"/>
            <w:tcW w:w="2724" w:type="dxa"/>
            <w:noWrap/>
            <w:hideMark/>
          </w:tcPr>
          <w:p w14:paraId="49DA3061" w14:textId="491E1DCD" w:rsidR="00D13C36" w:rsidRPr="00E673DC" w:rsidRDefault="00D13C36" w:rsidP="002A3B4D">
            <w:pPr>
              <w:spacing w:after="160" w:line="259" w:lineRule="auto"/>
              <w:ind w:firstLine="0"/>
              <w:jc w:val="both"/>
              <w:rPr>
                <w:b w:val="0"/>
                <w:bCs w:val="0"/>
                <w:lang w:val="en-GB"/>
              </w:rPr>
            </w:pPr>
            <w:r w:rsidRPr="00E673DC">
              <w:rPr>
                <w:b w:val="0"/>
                <w:bCs w:val="0"/>
                <w:lang w:val="en-GB"/>
              </w:rPr>
              <w:t>GL&amp;D&gt;OCBE</w:t>
            </w:r>
          </w:p>
        </w:tc>
        <w:tc>
          <w:tcPr>
            <w:tcW w:w="1192" w:type="dxa"/>
            <w:noWrap/>
            <w:vAlign w:val="center"/>
            <w:hideMark/>
          </w:tcPr>
          <w:p w14:paraId="527ECA16" w14:textId="1DB8C236" w:rsidR="00D13C36" w:rsidRPr="00E673DC" w:rsidRDefault="00D13C36" w:rsidP="002A3B4D">
            <w:pPr>
              <w:spacing w:after="160" w:line="259" w:lineRule="auto"/>
              <w:ind w:firstLine="0"/>
              <w:jc w:val="both"/>
              <w:cnfStyle w:val="000000100000" w:firstRow="0" w:lastRow="0" w:firstColumn="0" w:lastColumn="0" w:oddVBand="0" w:evenVBand="0" w:oddHBand="1" w:evenHBand="0" w:firstRowFirstColumn="0" w:firstRowLastColumn="0" w:lastRowFirstColumn="0" w:lastRowLastColumn="0"/>
              <w:rPr>
                <w:lang w:val="en-GB"/>
              </w:rPr>
            </w:pPr>
            <w:r w:rsidRPr="00E673DC">
              <w:rPr>
                <w:lang w:val="en-GB"/>
              </w:rPr>
              <w:t>0.333</w:t>
            </w:r>
          </w:p>
        </w:tc>
        <w:tc>
          <w:tcPr>
            <w:tcW w:w="1192" w:type="dxa"/>
            <w:noWrap/>
            <w:vAlign w:val="center"/>
            <w:hideMark/>
          </w:tcPr>
          <w:p w14:paraId="651B8774" w14:textId="77777777" w:rsidR="00D13C36" w:rsidRPr="00E673DC" w:rsidRDefault="00D13C36" w:rsidP="002A3B4D">
            <w:pPr>
              <w:spacing w:after="160" w:line="259" w:lineRule="auto"/>
              <w:ind w:firstLine="0"/>
              <w:jc w:val="both"/>
              <w:cnfStyle w:val="000000100000" w:firstRow="0" w:lastRow="0" w:firstColumn="0" w:lastColumn="0" w:oddVBand="0" w:evenVBand="0" w:oddHBand="1" w:evenHBand="0" w:firstRowFirstColumn="0" w:firstRowLastColumn="0" w:lastRowFirstColumn="0" w:lastRowLastColumn="0"/>
              <w:rPr>
                <w:lang w:val="en-GB"/>
              </w:rPr>
            </w:pPr>
            <w:r w:rsidRPr="00E673DC">
              <w:rPr>
                <w:lang w:val="en-GB"/>
              </w:rPr>
              <w:t xml:space="preserve">0.084 </w:t>
            </w:r>
          </w:p>
        </w:tc>
        <w:tc>
          <w:tcPr>
            <w:tcW w:w="1192" w:type="dxa"/>
            <w:noWrap/>
            <w:vAlign w:val="center"/>
            <w:hideMark/>
          </w:tcPr>
          <w:p w14:paraId="6C2868B2" w14:textId="77777777" w:rsidR="00D13C36" w:rsidRPr="00E673DC" w:rsidRDefault="00D13C36" w:rsidP="002A3B4D">
            <w:pPr>
              <w:spacing w:after="160" w:line="259" w:lineRule="auto"/>
              <w:ind w:firstLine="0"/>
              <w:jc w:val="both"/>
              <w:cnfStyle w:val="000000100000" w:firstRow="0" w:lastRow="0" w:firstColumn="0" w:lastColumn="0" w:oddVBand="0" w:evenVBand="0" w:oddHBand="1" w:evenHBand="0" w:firstRowFirstColumn="0" w:firstRowLastColumn="0" w:lastRowFirstColumn="0" w:lastRowLastColumn="0"/>
              <w:rPr>
                <w:lang w:val="en-GB"/>
              </w:rPr>
            </w:pPr>
            <w:r w:rsidRPr="00E673DC">
              <w:rPr>
                <w:lang w:val="en-GB"/>
              </w:rPr>
              <w:t xml:space="preserve">3.988 </w:t>
            </w:r>
          </w:p>
        </w:tc>
        <w:tc>
          <w:tcPr>
            <w:tcW w:w="1192" w:type="dxa"/>
            <w:noWrap/>
            <w:vAlign w:val="center"/>
            <w:hideMark/>
          </w:tcPr>
          <w:p w14:paraId="654562A8" w14:textId="77777777" w:rsidR="00D13C36" w:rsidRPr="00E673DC" w:rsidRDefault="00D13C36" w:rsidP="002A3B4D">
            <w:pPr>
              <w:spacing w:after="160" w:line="259" w:lineRule="auto"/>
              <w:ind w:firstLine="0"/>
              <w:jc w:val="both"/>
              <w:cnfStyle w:val="000000100000" w:firstRow="0" w:lastRow="0" w:firstColumn="0" w:lastColumn="0" w:oddVBand="0" w:evenVBand="0" w:oddHBand="1" w:evenHBand="0" w:firstRowFirstColumn="0" w:firstRowLastColumn="0" w:lastRowFirstColumn="0" w:lastRowLastColumn="0"/>
              <w:rPr>
                <w:lang w:val="en-GB"/>
              </w:rPr>
            </w:pPr>
            <w:r w:rsidRPr="00E673DC">
              <w:rPr>
                <w:lang w:val="en-GB"/>
              </w:rPr>
              <w:t xml:space="preserve">0.000 </w:t>
            </w:r>
          </w:p>
        </w:tc>
        <w:tc>
          <w:tcPr>
            <w:tcW w:w="1949" w:type="dxa"/>
            <w:hideMark/>
          </w:tcPr>
          <w:p w14:paraId="31E6B9BF" w14:textId="77777777" w:rsidR="00D13C36" w:rsidRPr="00E673DC" w:rsidRDefault="00D13C36" w:rsidP="002A3B4D">
            <w:pPr>
              <w:spacing w:after="160" w:line="259" w:lineRule="auto"/>
              <w:ind w:firstLine="0"/>
              <w:jc w:val="both"/>
              <w:cnfStyle w:val="000000100000" w:firstRow="0" w:lastRow="0" w:firstColumn="0" w:lastColumn="0" w:oddVBand="0" w:evenVBand="0" w:oddHBand="1" w:evenHBand="0" w:firstRowFirstColumn="0" w:firstRowLastColumn="0" w:lastRowFirstColumn="0" w:lastRowLastColumn="0"/>
              <w:rPr>
                <w:lang w:val="en-GB"/>
              </w:rPr>
            </w:pPr>
            <w:r w:rsidRPr="00E673DC">
              <w:rPr>
                <w:lang w:val="en-GB"/>
              </w:rPr>
              <w:t>Supported</w:t>
            </w:r>
          </w:p>
        </w:tc>
      </w:tr>
      <w:tr w:rsidR="00D13C36" w:rsidRPr="00E673DC" w14:paraId="37396075" w14:textId="77777777" w:rsidTr="002D4B1E">
        <w:trPr>
          <w:trHeight w:val="412"/>
        </w:trPr>
        <w:tc>
          <w:tcPr>
            <w:cnfStyle w:val="001000000000" w:firstRow="0" w:lastRow="0" w:firstColumn="1" w:lastColumn="0" w:oddVBand="0" w:evenVBand="0" w:oddHBand="0" w:evenHBand="0" w:firstRowFirstColumn="0" w:firstRowLastColumn="0" w:lastRowFirstColumn="0" w:lastRowLastColumn="0"/>
            <w:tcW w:w="2724" w:type="dxa"/>
            <w:noWrap/>
            <w:hideMark/>
          </w:tcPr>
          <w:p w14:paraId="2D5FD2AA" w14:textId="7DD7567E" w:rsidR="00D13C36" w:rsidRPr="00E673DC" w:rsidRDefault="00D13C36" w:rsidP="002A3B4D">
            <w:pPr>
              <w:spacing w:after="160" w:line="259" w:lineRule="auto"/>
              <w:ind w:firstLine="0"/>
              <w:jc w:val="both"/>
              <w:rPr>
                <w:b w:val="0"/>
                <w:bCs w:val="0"/>
                <w:lang w:val="en-GB"/>
              </w:rPr>
            </w:pPr>
            <w:r w:rsidRPr="00E673DC">
              <w:rPr>
                <w:b w:val="0"/>
                <w:bCs w:val="0"/>
                <w:lang w:val="en-GB"/>
              </w:rPr>
              <w:t>GR&amp;C&gt;GIB</w:t>
            </w:r>
          </w:p>
        </w:tc>
        <w:tc>
          <w:tcPr>
            <w:tcW w:w="1192" w:type="dxa"/>
            <w:noWrap/>
            <w:vAlign w:val="center"/>
            <w:hideMark/>
          </w:tcPr>
          <w:p w14:paraId="50219B59" w14:textId="77777777" w:rsidR="00D13C36" w:rsidRPr="00E673DC" w:rsidRDefault="00D13C36" w:rsidP="002A3B4D">
            <w:pPr>
              <w:spacing w:after="160" w:line="259" w:lineRule="auto"/>
              <w:ind w:firstLine="0"/>
              <w:jc w:val="both"/>
              <w:cnfStyle w:val="000000000000" w:firstRow="0" w:lastRow="0" w:firstColumn="0" w:lastColumn="0" w:oddVBand="0" w:evenVBand="0" w:oddHBand="0" w:evenHBand="0" w:firstRowFirstColumn="0" w:firstRowLastColumn="0" w:lastRowFirstColumn="0" w:lastRowLastColumn="0"/>
              <w:rPr>
                <w:lang w:val="en-GB"/>
              </w:rPr>
            </w:pPr>
            <w:r w:rsidRPr="00E673DC">
              <w:rPr>
                <w:lang w:val="en-GB"/>
              </w:rPr>
              <w:t xml:space="preserve">0.700 </w:t>
            </w:r>
          </w:p>
        </w:tc>
        <w:tc>
          <w:tcPr>
            <w:tcW w:w="1192" w:type="dxa"/>
            <w:noWrap/>
            <w:vAlign w:val="center"/>
            <w:hideMark/>
          </w:tcPr>
          <w:p w14:paraId="34518C22" w14:textId="77777777" w:rsidR="00D13C36" w:rsidRPr="00E673DC" w:rsidRDefault="00D13C36" w:rsidP="002A3B4D">
            <w:pPr>
              <w:spacing w:after="160" w:line="259" w:lineRule="auto"/>
              <w:ind w:firstLine="0"/>
              <w:jc w:val="both"/>
              <w:cnfStyle w:val="000000000000" w:firstRow="0" w:lastRow="0" w:firstColumn="0" w:lastColumn="0" w:oddVBand="0" w:evenVBand="0" w:oddHBand="0" w:evenHBand="0" w:firstRowFirstColumn="0" w:firstRowLastColumn="0" w:lastRowFirstColumn="0" w:lastRowLastColumn="0"/>
              <w:rPr>
                <w:lang w:val="en-GB"/>
              </w:rPr>
            </w:pPr>
            <w:r w:rsidRPr="00E673DC">
              <w:rPr>
                <w:lang w:val="en-GB"/>
              </w:rPr>
              <w:t xml:space="preserve">0.070 </w:t>
            </w:r>
          </w:p>
        </w:tc>
        <w:tc>
          <w:tcPr>
            <w:tcW w:w="1192" w:type="dxa"/>
            <w:noWrap/>
            <w:vAlign w:val="center"/>
            <w:hideMark/>
          </w:tcPr>
          <w:p w14:paraId="3779D649" w14:textId="77777777" w:rsidR="00D13C36" w:rsidRPr="00E673DC" w:rsidRDefault="00D13C36" w:rsidP="002A3B4D">
            <w:pPr>
              <w:spacing w:after="160" w:line="259" w:lineRule="auto"/>
              <w:ind w:firstLine="0"/>
              <w:jc w:val="both"/>
              <w:cnfStyle w:val="000000000000" w:firstRow="0" w:lastRow="0" w:firstColumn="0" w:lastColumn="0" w:oddVBand="0" w:evenVBand="0" w:oddHBand="0" w:evenHBand="0" w:firstRowFirstColumn="0" w:firstRowLastColumn="0" w:lastRowFirstColumn="0" w:lastRowLastColumn="0"/>
              <w:rPr>
                <w:lang w:val="en-GB"/>
              </w:rPr>
            </w:pPr>
            <w:r w:rsidRPr="00E673DC">
              <w:rPr>
                <w:lang w:val="en-GB"/>
              </w:rPr>
              <w:t xml:space="preserve">10.052 </w:t>
            </w:r>
          </w:p>
        </w:tc>
        <w:tc>
          <w:tcPr>
            <w:tcW w:w="1192" w:type="dxa"/>
            <w:noWrap/>
            <w:vAlign w:val="center"/>
            <w:hideMark/>
          </w:tcPr>
          <w:p w14:paraId="581E7181" w14:textId="77777777" w:rsidR="00D13C36" w:rsidRPr="00E673DC" w:rsidRDefault="00D13C36" w:rsidP="002A3B4D">
            <w:pPr>
              <w:spacing w:after="160" w:line="259" w:lineRule="auto"/>
              <w:ind w:firstLine="0"/>
              <w:jc w:val="both"/>
              <w:cnfStyle w:val="000000000000" w:firstRow="0" w:lastRow="0" w:firstColumn="0" w:lastColumn="0" w:oddVBand="0" w:evenVBand="0" w:oddHBand="0" w:evenHBand="0" w:firstRowFirstColumn="0" w:firstRowLastColumn="0" w:lastRowFirstColumn="0" w:lastRowLastColumn="0"/>
              <w:rPr>
                <w:lang w:val="en-GB"/>
              </w:rPr>
            </w:pPr>
            <w:r w:rsidRPr="00E673DC">
              <w:rPr>
                <w:lang w:val="en-GB"/>
              </w:rPr>
              <w:t xml:space="preserve">0.000 </w:t>
            </w:r>
          </w:p>
        </w:tc>
        <w:tc>
          <w:tcPr>
            <w:tcW w:w="1949" w:type="dxa"/>
            <w:hideMark/>
          </w:tcPr>
          <w:p w14:paraId="22F54A8A" w14:textId="77777777" w:rsidR="00D13C36" w:rsidRPr="00E673DC" w:rsidRDefault="00D13C36" w:rsidP="002A3B4D">
            <w:pPr>
              <w:spacing w:after="160" w:line="259" w:lineRule="auto"/>
              <w:ind w:firstLine="0"/>
              <w:jc w:val="both"/>
              <w:cnfStyle w:val="000000000000" w:firstRow="0" w:lastRow="0" w:firstColumn="0" w:lastColumn="0" w:oddVBand="0" w:evenVBand="0" w:oddHBand="0" w:evenHBand="0" w:firstRowFirstColumn="0" w:firstRowLastColumn="0" w:lastRowFirstColumn="0" w:lastRowLastColumn="0"/>
              <w:rPr>
                <w:lang w:val="en-GB"/>
              </w:rPr>
            </w:pPr>
            <w:r w:rsidRPr="00E673DC">
              <w:rPr>
                <w:lang w:val="en-GB"/>
              </w:rPr>
              <w:t>Supported</w:t>
            </w:r>
          </w:p>
        </w:tc>
      </w:tr>
      <w:tr w:rsidR="00D13C36" w:rsidRPr="00E673DC" w14:paraId="3A12ECBF" w14:textId="77777777" w:rsidTr="002D4B1E">
        <w:trPr>
          <w:cnfStyle w:val="000000100000" w:firstRow="0" w:lastRow="0" w:firstColumn="0" w:lastColumn="0" w:oddVBand="0" w:evenVBand="0" w:oddHBand="1" w:evenHBand="0" w:firstRowFirstColumn="0" w:firstRowLastColumn="0" w:lastRowFirstColumn="0" w:lastRowLastColumn="0"/>
          <w:trHeight w:val="199"/>
        </w:trPr>
        <w:tc>
          <w:tcPr>
            <w:cnfStyle w:val="001000000000" w:firstRow="0" w:lastRow="0" w:firstColumn="1" w:lastColumn="0" w:oddVBand="0" w:evenVBand="0" w:oddHBand="0" w:evenHBand="0" w:firstRowFirstColumn="0" w:firstRowLastColumn="0" w:lastRowFirstColumn="0" w:lastRowLastColumn="0"/>
            <w:tcW w:w="2724" w:type="dxa"/>
            <w:noWrap/>
          </w:tcPr>
          <w:p w14:paraId="2F36378E" w14:textId="5E299F76" w:rsidR="00D13C36" w:rsidRPr="00E673DC" w:rsidRDefault="00D13C36" w:rsidP="002A3B4D">
            <w:pPr>
              <w:spacing w:after="160" w:line="259" w:lineRule="auto"/>
              <w:ind w:firstLine="0"/>
              <w:jc w:val="both"/>
              <w:rPr>
                <w:b w:val="0"/>
                <w:bCs w:val="0"/>
                <w:lang w:val="en-GB"/>
              </w:rPr>
            </w:pPr>
            <w:r w:rsidRPr="00E673DC">
              <w:rPr>
                <w:b w:val="0"/>
                <w:bCs w:val="0"/>
                <w:lang w:val="en-GB"/>
              </w:rPr>
              <w:t>GL&amp;D&gt;GIB</w:t>
            </w:r>
          </w:p>
        </w:tc>
        <w:tc>
          <w:tcPr>
            <w:tcW w:w="1192" w:type="dxa"/>
            <w:noWrap/>
            <w:vAlign w:val="center"/>
          </w:tcPr>
          <w:p w14:paraId="4DFE0E43" w14:textId="77777777" w:rsidR="00D13C36" w:rsidRPr="00E673DC" w:rsidRDefault="00D13C36" w:rsidP="002A3B4D">
            <w:pPr>
              <w:spacing w:after="160" w:line="259" w:lineRule="auto"/>
              <w:ind w:firstLine="0"/>
              <w:jc w:val="both"/>
              <w:cnfStyle w:val="000000100000" w:firstRow="0" w:lastRow="0" w:firstColumn="0" w:lastColumn="0" w:oddVBand="0" w:evenVBand="0" w:oddHBand="1" w:evenHBand="0" w:firstRowFirstColumn="0" w:firstRowLastColumn="0" w:lastRowFirstColumn="0" w:lastRowLastColumn="0"/>
              <w:rPr>
                <w:lang w:val="en-GB"/>
              </w:rPr>
            </w:pPr>
            <w:r w:rsidRPr="00E673DC">
              <w:rPr>
                <w:lang w:val="en-GB"/>
              </w:rPr>
              <w:t xml:space="preserve">0.138 </w:t>
            </w:r>
          </w:p>
        </w:tc>
        <w:tc>
          <w:tcPr>
            <w:tcW w:w="1192" w:type="dxa"/>
            <w:noWrap/>
            <w:vAlign w:val="center"/>
          </w:tcPr>
          <w:p w14:paraId="26760BB7" w14:textId="77777777" w:rsidR="00D13C36" w:rsidRPr="00E673DC" w:rsidRDefault="00D13C36" w:rsidP="002A3B4D">
            <w:pPr>
              <w:spacing w:after="160" w:line="259" w:lineRule="auto"/>
              <w:ind w:firstLine="0"/>
              <w:jc w:val="both"/>
              <w:cnfStyle w:val="000000100000" w:firstRow="0" w:lastRow="0" w:firstColumn="0" w:lastColumn="0" w:oddVBand="0" w:evenVBand="0" w:oddHBand="1" w:evenHBand="0" w:firstRowFirstColumn="0" w:firstRowLastColumn="0" w:lastRowFirstColumn="0" w:lastRowLastColumn="0"/>
              <w:rPr>
                <w:lang w:val="en-GB"/>
              </w:rPr>
            </w:pPr>
            <w:r w:rsidRPr="00E673DC">
              <w:rPr>
                <w:lang w:val="en-GB"/>
              </w:rPr>
              <w:t xml:space="preserve">0.082 </w:t>
            </w:r>
          </w:p>
        </w:tc>
        <w:tc>
          <w:tcPr>
            <w:tcW w:w="1192" w:type="dxa"/>
            <w:noWrap/>
            <w:vAlign w:val="center"/>
          </w:tcPr>
          <w:p w14:paraId="19AC2A20" w14:textId="77777777" w:rsidR="00D13C36" w:rsidRPr="00E673DC" w:rsidRDefault="00D13C36" w:rsidP="002A3B4D">
            <w:pPr>
              <w:spacing w:after="160" w:line="259" w:lineRule="auto"/>
              <w:ind w:firstLine="0"/>
              <w:jc w:val="both"/>
              <w:cnfStyle w:val="000000100000" w:firstRow="0" w:lastRow="0" w:firstColumn="0" w:lastColumn="0" w:oddVBand="0" w:evenVBand="0" w:oddHBand="1" w:evenHBand="0" w:firstRowFirstColumn="0" w:firstRowLastColumn="0" w:lastRowFirstColumn="0" w:lastRowLastColumn="0"/>
              <w:rPr>
                <w:lang w:val="en-GB"/>
              </w:rPr>
            </w:pPr>
            <w:r w:rsidRPr="00E673DC">
              <w:rPr>
                <w:lang w:val="en-GB"/>
              </w:rPr>
              <w:t xml:space="preserve">1.681 </w:t>
            </w:r>
          </w:p>
        </w:tc>
        <w:tc>
          <w:tcPr>
            <w:tcW w:w="1192" w:type="dxa"/>
            <w:noWrap/>
            <w:vAlign w:val="center"/>
          </w:tcPr>
          <w:p w14:paraId="7CD8BB67" w14:textId="77777777" w:rsidR="00D13C36" w:rsidRPr="00E673DC" w:rsidRDefault="00D13C36" w:rsidP="002A3B4D">
            <w:pPr>
              <w:spacing w:after="160" w:line="259" w:lineRule="auto"/>
              <w:ind w:firstLine="0"/>
              <w:jc w:val="both"/>
              <w:cnfStyle w:val="000000100000" w:firstRow="0" w:lastRow="0" w:firstColumn="0" w:lastColumn="0" w:oddVBand="0" w:evenVBand="0" w:oddHBand="1" w:evenHBand="0" w:firstRowFirstColumn="0" w:firstRowLastColumn="0" w:lastRowFirstColumn="0" w:lastRowLastColumn="0"/>
              <w:rPr>
                <w:lang w:val="en-GB"/>
              </w:rPr>
            </w:pPr>
            <w:r w:rsidRPr="00E673DC">
              <w:rPr>
                <w:lang w:val="en-GB"/>
              </w:rPr>
              <w:t xml:space="preserve">0.093 </w:t>
            </w:r>
          </w:p>
        </w:tc>
        <w:tc>
          <w:tcPr>
            <w:tcW w:w="1949" w:type="dxa"/>
          </w:tcPr>
          <w:p w14:paraId="219A5DF3" w14:textId="77777777" w:rsidR="00D13C36" w:rsidRPr="00E673DC" w:rsidRDefault="00D13C36" w:rsidP="002A3B4D">
            <w:pPr>
              <w:spacing w:after="160" w:line="259" w:lineRule="auto"/>
              <w:ind w:firstLine="0"/>
              <w:jc w:val="both"/>
              <w:cnfStyle w:val="000000100000" w:firstRow="0" w:lastRow="0" w:firstColumn="0" w:lastColumn="0" w:oddVBand="0" w:evenVBand="0" w:oddHBand="1" w:evenHBand="0" w:firstRowFirstColumn="0" w:firstRowLastColumn="0" w:lastRowFirstColumn="0" w:lastRowLastColumn="0"/>
              <w:rPr>
                <w:lang w:val="en-GB"/>
              </w:rPr>
            </w:pPr>
            <w:r w:rsidRPr="00E673DC">
              <w:rPr>
                <w:lang w:val="en-GB"/>
              </w:rPr>
              <w:t>Not supported</w:t>
            </w:r>
          </w:p>
        </w:tc>
      </w:tr>
      <w:tr w:rsidR="00D13C36" w:rsidRPr="00E673DC" w14:paraId="290EFEB2" w14:textId="77777777" w:rsidTr="002D4B1E">
        <w:trPr>
          <w:trHeight w:val="412"/>
        </w:trPr>
        <w:tc>
          <w:tcPr>
            <w:cnfStyle w:val="001000000000" w:firstRow="0" w:lastRow="0" w:firstColumn="1" w:lastColumn="0" w:oddVBand="0" w:evenVBand="0" w:oddHBand="0" w:evenHBand="0" w:firstRowFirstColumn="0" w:firstRowLastColumn="0" w:lastRowFirstColumn="0" w:lastRowLastColumn="0"/>
            <w:tcW w:w="2724" w:type="dxa"/>
            <w:noWrap/>
          </w:tcPr>
          <w:p w14:paraId="03114171" w14:textId="6C2B8F69" w:rsidR="00D13C36" w:rsidRPr="00E673DC" w:rsidRDefault="00D13C36" w:rsidP="002A3B4D">
            <w:pPr>
              <w:spacing w:after="160" w:line="259" w:lineRule="auto"/>
              <w:ind w:firstLine="0"/>
              <w:jc w:val="both"/>
              <w:rPr>
                <w:b w:val="0"/>
                <w:bCs w:val="0"/>
                <w:lang w:val="en-GB"/>
              </w:rPr>
            </w:pPr>
            <w:r w:rsidRPr="00E673DC">
              <w:rPr>
                <w:b w:val="0"/>
                <w:bCs w:val="0"/>
                <w:lang w:val="en-GB"/>
              </w:rPr>
              <w:t>GIB&gt;OCBE</w:t>
            </w:r>
          </w:p>
        </w:tc>
        <w:tc>
          <w:tcPr>
            <w:tcW w:w="1192" w:type="dxa"/>
            <w:noWrap/>
            <w:vAlign w:val="center"/>
          </w:tcPr>
          <w:p w14:paraId="48084EA9" w14:textId="77777777" w:rsidR="00D13C36" w:rsidRPr="00E673DC" w:rsidRDefault="00D13C36" w:rsidP="002A3B4D">
            <w:pPr>
              <w:spacing w:after="160" w:line="259" w:lineRule="auto"/>
              <w:ind w:firstLine="0"/>
              <w:jc w:val="both"/>
              <w:cnfStyle w:val="000000000000" w:firstRow="0" w:lastRow="0" w:firstColumn="0" w:lastColumn="0" w:oddVBand="0" w:evenVBand="0" w:oddHBand="0" w:evenHBand="0" w:firstRowFirstColumn="0" w:firstRowLastColumn="0" w:lastRowFirstColumn="0" w:lastRowLastColumn="0"/>
              <w:rPr>
                <w:lang w:val="en-GB"/>
              </w:rPr>
            </w:pPr>
            <w:r w:rsidRPr="00E673DC">
              <w:rPr>
                <w:lang w:val="en-GB"/>
              </w:rPr>
              <w:t xml:space="preserve">0.559 </w:t>
            </w:r>
          </w:p>
        </w:tc>
        <w:tc>
          <w:tcPr>
            <w:tcW w:w="1192" w:type="dxa"/>
            <w:noWrap/>
            <w:vAlign w:val="center"/>
          </w:tcPr>
          <w:p w14:paraId="01BE9599" w14:textId="77777777" w:rsidR="00D13C36" w:rsidRPr="00E673DC" w:rsidRDefault="00D13C36" w:rsidP="002A3B4D">
            <w:pPr>
              <w:spacing w:after="160" w:line="259" w:lineRule="auto"/>
              <w:ind w:firstLine="0"/>
              <w:jc w:val="both"/>
              <w:cnfStyle w:val="000000000000" w:firstRow="0" w:lastRow="0" w:firstColumn="0" w:lastColumn="0" w:oddVBand="0" w:evenVBand="0" w:oddHBand="0" w:evenHBand="0" w:firstRowFirstColumn="0" w:firstRowLastColumn="0" w:lastRowFirstColumn="0" w:lastRowLastColumn="0"/>
              <w:rPr>
                <w:lang w:val="en-GB"/>
              </w:rPr>
            </w:pPr>
            <w:r w:rsidRPr="00E673DC">
              <w:rPr>
                <w:lang w:val="en-GB"/>
              </w:rPr>
              <w:t xml:space="preserve">0.086 </w:t>
            </w:r>
          </w:p>
        </w:tc>
        <w:tc>
          <w:tcPr>
            <w:tcW w:w="1192" w:type="dxa"/>
            <w:noWrap/>
            <w:vAlign w:val="center"/>
          </w:tcPr>
          <w:p w14:paraId="077DBDCA" w14:textId="77777777" w:rsidR="00D13C36" w:rsidRPr="00E673DC" w:rsidRDefault="00D13C36" w:rsidP="002A3B4D">
            <w:pPr>
              <w:spacing w:after="160" w:line="259" w:lineRule="auto"/>
              <w:ind w:firstLine="0"/>
              <w:jc w:val="both"/>
              <w:cnfStyle w:val="000000000000" w:firstRow="0" w:lastRow="0" w:firstColumn="0" w:lastColumn="0" w:oddVBand="0" w:evenVBand="0" w:oddHBand="0" w:evenHBand="0" w:firstRowFirstColumn="0" w:firstRowLastColumn="0" w:lastRowFirstColumn="0" w:lastRowLastColumn="0"/>
              <w:rPr>
                <w:lang w:val="en-GB"/>
              </w:rPr>
            </w:pPr>
            <w:r w:rsidRPr="00E673DC">
              <w:rPr>
                <w:lang w:val="en-GB"/>
              </w:rPr>
              <w:t xml:space="preserve">6.488 </w:t>
            </w:r>
          </w:p>
        </w:tc>
        <w:tc>
          <w:tcPr>
            <w:tcW w:w="1192" w:type="dxa"/>
            <w:noWrap/>
            <w:vAlign w:val="center"/>
          </w:tcPr>
          <w:p w14:paraId="7DE6B27E" w14:textId="77777777" w:rsidR="00D13C36" w:rsidRPr="00E673DC" w:rsidRDefault="00D13C36" w:rsidP="002A3B4D">
            <w:pPr>
              <w:spacing w:after="160" w:line="259" w:lineRule="auto"/>
              <w:ind w:firstLine="0"/>
              <w:jc w:val="both"/>
              <w:cnfStyle w:val="000000000000" w:firstRow="0" w:lastRow="0" w:firstColumn="0" w:lastColumn="0" w:oddVBand="0" w:evenVBand="0" w:oddHBand="0" w:evenHBand="0" w:firstRowFirstColumn="0" w:firstRowLastColumn="0" w:lastRowFirstColumn="0" w:lastRowLastColumn="0"/>
              <w:rPr>
                <w:lang w:val="en-GB"/>
              </w:rPr>
            </w:pPr>
            <w:r w:rsidRPr="00E673DC">
              <w:rPr>
                <w:lang w:val="en-GB"/>
              </w:rPr>
              <w:t xml:space="preserve">0.000 </w:t>
            </w:r>
          </w:p>
        </w:tc>
        <w:tc>
          <w:tcPr>
            <w:tcW w:w="1949" w:type="dxa"/>
          </w:tcPr>
          <w:p w14:paraId="165A80E1" w14:textId="77777777" w:rsidR="00D13C36" w:rsidRPr="00E673DC" w:rsidRDefault="00D13C36" w:rsidP="002A3B4D">
            <w:pPr>
              <w:spacing w:after="160" w:line="259" w:lineRule="auto"/>
              <w:ind w:firstLine="0"/>
              <w:jc w:val="both"/>
              <w:cnfStyle w:val="000000000000" w:firstRow="0" w:lastRow="0" w:firstColumn="0" w:lastColumn="0" w:oddVBand="0" w:evenVBand="0" w:oddHBand="0" w:evenHBand="0" w:firstRowFirstColumn="0" w:firstRowLastColumn="0" w:lastRowFirstColumn="0" w:lastRowLastColumn="0"/>
              <w:rPr>
                <w:lang w:val="en-GB"/>
              </w:rPr>
            </w:pPr>
            <w:r w:rsidRPr="00E673DC">
              <w:rPr>
                <w:lang w:val="en-GB"/>
              </w:rPr>
              <w:t>Supported</w:t>
            </w:r>
          </w:p>
        </w:tc>
      </w:tr>
      <w:tr w:rsidR="00D13C36" w:rsidRPr="00E673DC" w14:paraId="792B11EC" w14:textId="77777777" w:rsidTr="002D4B1E">
        <w:trPr>
          <w:cnfStyle w:val="000000100000" w:firstRow="0" w:lastRow="0" w:firstColumn="0" w:lastColumn="0" w:oddVBand="0" w:evenVBand="0" w:oddHBand="1" w:evenHBand="0" w:firstRowFirstColumn="0" w:firstRowLastColumn="0" w:lastRowFirstColumn="0" w:lastRowLastColumn="0"/>
          <w:trHeight w:val="412"/>
        </w:trPr>
        <w:tc>
          <w:tcPr>
            <w:cnfStyle w:val="001000000000" w:firstRow="0" w:lastRow="0" w:firstColumn="1" w:lastColumn="0" w:oddVBand="0" w:evenVBand="0" w:oddHBand="0" w:evenHBand="0" w:firstRowFirstColumn="0" w:firstRowLastColumn="0" w:lastRowFirstColumn="0" w:lastRowLastColumn="0"/>
            <w:tcW w:w="2724" w:type="dxa"/>
            <w:noWrap/>
            <w:hideMark/>
          </w:tcPr>
          <w:p w14:paraId="3F4DCD07" w14:textId="77777777" w:rsidR="00D13C36" w:rsidRPr="00E673DC" w:rsidRDefault="00D13C36" w:rsidP="002A3B4D">
            <w:pPr>
              <w:spacing w:after="160" w:line="259" w:lineRule="auto"/>
              <w:ind w:firstLine="0"/>
              <w:jc w:val="both"/>
              <w:rPr>
                <w:i/>
                <w:iCs/>
                <w:lang w:val="en-GB"/>
              </w:rPr>
            </w:pPr>
            <w:r w:rsidRPr="00E673DC">
              <w:rPr>
                <w:i/>
                <w:iCs/>
                <w:lang w:val="en-GB"/>
              </w:rPr>
              <w:t>Mediation effect</w:t>
            </w:r>
          </w:p>
        </w:tc>
        <w:tc>
          <w:tcPr>
            <w:tcW w:w="1192" w:type="dxa"/>
            <w:noWrap/>
          </w:tcPr>
          <w:p w14:paraId="26BF61A2" w14:textId="77777777" w:rsidR="00D13C36" w:rsidRPr="00E673DC" w:rsidRDefault="00D13C36" w:rsidP="002A3B4D">
            <w:pPr>
              <w:spacing w:after="160" w:line="259" w:lineRule="auto"/>
              <w:ind w:firstLine="0"/>
              <w:jc w:val="both"/>
              <w:cnfStyle w:val="000000100000" w:firstRow="0" w:lastRow="0" w:firstColumn="0" w:lastColumn="0" w:oddVBand="0" w:evenVBand="0" w:oddHBand="1" w:evenHBand="0" w:firstRowFirstColumn="0" w:firstRowLastColumn="0" w:lastRowFirstColumn="0" w:lastRowLastColumn="0"/>
              <w:rPr>
                <w:i/>
                <w:iCs/>
                <w:lang w:val="en-GB"/>
              </w:rPr>
            </w:pPr>
          </w:p>
        </w:tc>
        <w:tc>
          <w:tcPr>
            <w:tcW w:w="1192" w:type="dxa"/>
            <w:noWrap/>
          </w:tcPr>
          <w:p w14:paraId="17114065" w14:textId="77777777" w:rsidR="00D13C36" w:rsidRPr="00E673DC" w:rsidRDefault="00D13C36" w:rsidP="002A3B4D">
            <w:pPr>
              <w:spacing w:after="160" w:line="259" w:lineRule="auto"/>
              <w:ind w:firstLine="0"/>
              <w:jc w:val="both"/>
              <w:cnfStyle w:val="000000100000" w:firstRow="0" w:lastRow="0" w:firstColumn="0" w:lastColumn="0" w:oddVBand="0" w:evenVBand="0" w:oddHBand="1" w:evenHBand="0" w:firstRowFirstColumn="0" w:firstRowLastColumn="0" w:lastRowFirstColumn="0" w:lastRowLastColumn="0"/>
              <w:rPr>
                <w:i/>
                <w:iCs/>
                <w:lang w:val="en-GB"/>
              </w:rPr>
            </w:pPr>
          </w:p>
        </w:tc>
        <w:tc>
          <w:tcPr>
            <w:tcW w:w="1192" w:type="dxa"/>
            <w:noWrap/>
          </w:tcPr>
          <w:p w14:paraId="0BE0338B" w14:textId="77777777" w:rsidR="00D13C36" w:rsidRPr="00E673DC" w:rsidRDefault="00D13C36" w:rsidP="002A3B4D">
            <w:pPr>
              <w:spacing w:after="160" w:line="259" w:lineRule="auto"/>
              <w:ind w:firstLine="0"/>
              <w:jc w:val="both"/>
              <w:cnfStyle w:val="000000100000" w:firstRow="0" w:lastRow="0" w:firstColumn="0" w:lastColumn="0" w:oddVBand="0" w:evenVBand="0" w:oddHBand="1" w:evenHBand="0" w:firstRowFirstColumn="0" w:firstRowLastColumn="0" w:lastRowFirstColumn="0" w:lastRowLastColumn="0"/>
              <w:rPr>
                <w:i/>
                <w:iCs/>
                <w:lang w:val="en-GB"/>
              </w:rPr>
            </w:pPr>
          </w:p>
        </w:tc>
        <w:tc>
          <w:tcPr>
            <w:tcW w:w="1192" w:type="dxa"/>
            <w:noWrap/>
          </w:tcPr>
          <w:p w14:paraId="33260E99" w14:textId="77777777" w:rsidR="00D13C36" w:rsidRPr="00E673DC" w:rsidRDefault="00D13C36" w:rsidP="002A3B4D">
            <w:pPr>
              <w:spacing w:after="160" w:line="259" w:lineRule="auto"/>
              <w:ind w:firstLine="0"/>
              <w:jc w:val="both"/>
              <w:cnfStyle w:val="000000100000" w:firstRow="0" w:lastRow="0" w:firstColumn="0" w:lastColumn="0" w:oddVBand="0" w:evenVBand="0" w:oddHBand="1" w:evenHBand="0" w:firstRowFirstColumn="0" w:firstRowLastColumn="0" w:lastRowFirstColumn="0" w:lastRowLastColumn="0"/>
              <w:rPr>
                <w:i/>
                <w:iCs/>
                <w:lang w:val="en-GB"/>
              </w:rPr>
            </w:pPr>
          </w:p>
        </w:tc>
        <w:tc>
          <w:tcPr>
            <w:tcW w:w="1949" w:type="dxa"/>
          </w:tcPr>
          <w:p w14:paraId="560AD8C6" w14:textId="77777777" w:rsidR="00D13C36" w:rsidRPr="00E673DC" w:rsidRDefault="00D13C36" w:rsidP="002A3B4D">
            <w:pPr>
              <w:spacing w:after="160" w:line="259" w:lineRule="auto"/>
              <w:ind w:firstLine="0"/>
              <w:jc w:val="both"/>
              <w:cnfStyle w:val="000000100000" w:firstRow="0" w:lastRow="0" w:firstColumn="0" w:lastColumn="0" w:oddVBand="0" w:evenVBand="0" w:oddHBand="1" w:evenHBand="0" w:firstRowFirstColumn="0" w:firstRowLastColumn="0" w:lastRowFirstColumn="0" w:lastRowLastColumn="0"/>
              <w:rPr>
                <w:i/>
                <w:iCs/>
                <w:lang w:val="en-GB"/>
              </w:rPr>
            </w:pPr>
          </w:p>
        </w:tc>
      </w:tr>
      <w:tr w:rsidR="00D13C36" w:rsidRPr="00E673DC" w14:paraId="2625C0CA" w14:textId="77777777" w:rsidTr="002D4B1E">
        <w:trPr>
          <w:trHeight w:val="412"/>
        </w:trPr>
        <w:tc>
          <w:tcPr>
            <w:cnfStyle w:val="001000000000" w:firstRow="0" w:lastRow="0" w:firstColumn="1" w:lastColumn="0" w:oddVBand="0" w:evenVBand="0" w:oddHBand="0" w:evenHBand="0" w:firstRowFirstColumn="0" w:firstRowLastColumn="0" w:lastRowFirstColumn="0" w:lastRowLastColumn="0"/>
            <w:tcW w:w="2724" w:type="dxa"/>
            <w:noWrap/>
            <w:hideMark/>
          </w:tcPr>
          <w:p w14:paraId="045B7D74" w14:textId="21A9DC74" w:rsidR="00D13C36" w:rsidRPr="00E673DC" w:rsidRDefault="00D13C36" w:rsidP="002A3B4D">
            <w:pPr>
              <w:spacing w:after="160" w:line="259" w:lineRule="auto"/>
              <w:ind w:firstLine="0"/>
              <w:jc w:val="both"/>
              <w:rPr>
                <w:b w:val="0"/>
                <w:bCs w:val="0"/>
                <w:lang w:val="en-GB"/>
              </w:rPr>
            </w:pPr>
            <w:r w:rsidRPr="00E673DC">
              <w:rPr>
                <w:b w:val="0"/>
                <w:bCs w:val="0"/>
                <w:lang w:val="en-GB"/>
              </w:rPr>
              <w:t>GR&amp;C&gt;GIB&gt;OCBE</w:t>
            </w:r>
          </w:p>
        </w:tc>
        <w:tc>
          <w:tcPr>
            <w:tcW w:w="1192" w:type="dxa"/>
            <w:noWrap/>
            <w:vAlign w:val="center"/>
            <w:hideMark/>
          </w:tcPr>
          <w:p w14:paraId="44E88237" w14:textId="77777777" w:rsidR="00D13C36" w:rsidRPr="00E673DC" w:rsidRDefault="00D13C36" w:rsidP="002A3B4D">
            <w:pPr>
              <w:spacing w:after="160" w:line="259" w:lineRule="auto"/>
              <w:ind w:firstLine="0"/>
              <w:jc w:val="both"/>
              <w:cnfStyle w:val="000000000000" w:firstRow="0" w:lastRow="0" w:firstColumn="0" w:lastColumn="0" w:oddVBand="0" w:evenVBand="0" w:oddHBand="0" w:evenHBand="0" w:firstRowFirstColumn="0" w:firstRowLastColumn="0" w:lastRowFirstColumn="0" w:lastRowLastColumn="0"/>
              <w:rPr>
                <w:lang w:val="en-GB"/>
              </w:rPr>
            </w:pPr>
            <w:r w:rsidRPr="00E673DC">
              <w:rPr>
                <w:lang w:val="en-GB"/>
              </w:rPr>
              <w:t xml:space="preserve">0.392 </w:t>
            </w:r>
          </w:p>
        </w:tc>
        <w:tc>
          <w:tcPr>
            <w:tcW w:w="1192" w:type="dxa"/>
            <w:noWrap/>
            <w:vAlign w:val="center"/>
            <w:hideMark/>
          </w:tcPr>
          <w:p w14:paraId="26D83EDD" w14:textId="77777777" w:rsidR="00D13C36" w:rsidRPr="00E673DC" w:rsidRDefault="00D13C36" w:rsidP="002A3B4D">
            <w:pPr>
              <w:spacing w:after="160" w:line="259" w:lineRule="auto"/>
              <w:ind w:firstLine="0"/>
              <w:jc w:val="both"/>
              <w:cnfStyle w:val="000000000000" w:firstRow="0" w:lastRow="0" w:firstColumn="0" w:lastColumn="0" w:oddVBand="0" w:evenVBand="0" w:oddHBand="0" w:evenHBand="0" w:firstRowFirstColumn="0" w:firstRowLastColumn="0" w:lastRowFirstColumn="0" w:lastRowLastColumn="0"/>
              <w:rPr>
                <w:lang w:val="en-GB"/>
              </w:rPr>
            </w:pPr>
            <w:r w:rsidRPr="00E673DC">
              <w:rPr>
                <w:lang w:val="en-GB"/>
              </w:rPr>
              <w:t xml:space="preserve">0.067 </w:t>
            </w:r>
          </w:p>
        </w:tc>
        <w:tc>
          <w:tcPr>
            <w:tcW w:w="1192" w:type="dxa"/>
            <w:noWrap/>
            <w:vAlign w:val="center"/>
            <w:hideMark/>
          </w:tcPr>
          <w:p w14:paraId="50F077AE" w14:textId="77777777" w:rsidR="00D13C36" w:rsidRPr="00E673DC" w:rsidRDefault="00D13C36" w:rsidP="002A3B4D">
            <w:pPr>
              <w:spacing w:after="160" w:line="259" w:lineRule="auto"/>
              <w:ind w:firstLine="0"/>
              <w:jc w:val="both"/>
              <w:cnfStyle w:val="000000000000" w:firstRow="0" w:lastRow="0" w:firstColumn="0" w:lastColumn="0" w:oddVBand="0" w:evenVBand="0" w:oddHBand="0" w:evenHBand="0" w:firstRowFirstColumn="0" w:firstRowLastColumn="0" w:lastRowFirstColumn="0" w:lastRowLastColumn="0"/>
              <w:rPr>
                <w:lang w:val="en-GB"/>
              </w:rPr>
            </w:pPr>
            <w:r w:rsidRPr="00E673DC">
              <w:rPr>
                <w:lang w:val="en-GB"/>
              </w:rPr>
              <w:t xml:space="preserve">5.826 </w:t>
            </w:r>
          </w:p>
        </w:tc>
        <w:tc>
          <w:tcPr>
            <w:tcW w:w="1192" w:type="dxa"/>
            <w:noWrap/>
            <w:vAlign w:val="center"/>
            <w:hideMark/>
          </w:tcPr>
          <w:p w14:paraId="342C2E6B" w14:textId="77777777" w:rsidR="00D13C36" w:rsidRPr="00E673DC" w:rsidRDefault="00D13C36" w:rsidP="002A3B4D">
            <w:pPr>
              <w:spacing w:after="160" w:line="259" w:lineRule="auto"/>
              <w:ind w:firstLine="0"/>
              <w:jc w:val="both"/>
              <w:cnfStyle w:val="000000000000" w:firstRow="0" w:lastRow="0" w:firstColumn="0" w:lastColumn="0" w:oddVBand="0" w:evenVBand="0" w:oddHBand="0" w:evenHBand="0" w:firstRowFirstColumn="0" w:firstRowLastColumn="0" w:lastRowFirstColumn="0" w:lastRowLastColumn="0"/>
              <w:rPr>
                <w:lang w:val="en-GB"/>
              </w:rPr>
            </w:pPr>
            <w:r w:rsidRPr="00E673DC">
              <w:rPr>
                <w:lang w:val="en-GB"/>
              </w:rPr>
              <w:t xml:space="preserve">0.000 </w:t>
            </w:r>
          </w:p>
        </w:tc>
        <w:tc>
          <w:tcPr>
            <w:tcW w:w="1949" w:type="dxa"/>
            <w:hideMark/>
          </w:tcPr>
          <w:p w14:paraId="1DFDA167" w14:textId="77777777" w:rsidR="00D13C36" w:rsidRPr="00E673DC" w:rsidRDefault="00D13C36" w:rsidP="002A3B4D">
            <w:pPr>
              <w:spacing w:after="160" w:line="259" w:lineRule="auto"/>
              <w:ind w:firstLine="0"/>
              <w:jc w:val="both"/>
              <w:cnfStyle w:val="000000000000" w:firstRow="0" w:lastRow="0" w:firstColumn="0" w:lastColumn="0" w:oddVBand="0" w:evenVBand="0" w:oddHBand="0" w:evenHBand="0" w:firstRowFirstColumn="0" w:firstRowLastColumn="0" w:lastRowFirstColumn="0" w:lastRowLastColumn="0"/>
              <w:rPr>
                <w:lang w:val="en-GB"/>
              </w:rPr>
            </w:pPr>
            <w:r w:rsidRPr="00E673DC">
              <w:rPr>
                <w:lang w:val="en-GB"/>
              </w:rPr>
              <w:t>Supported</w:t>
            </w:r>
          </w:p>
        </w:tc>
      </w:tr>
      <w:tr w:rsidR="00D13C36" w:rsidRPr="00E673DC" w14:paraId="720BCFA2" w14:textId="77777777" w:rsidTr="002D4B1E">
        <w:trPr>
          <w:cnfStyle w:val="000000100000" w:firstRow="0" w:lastRow="0" w:firstColumn="0" w:lastColumn="0" w:oddVBand="0" w:evenVBand="0" w:oddHBand="1" w:evenHBand="0" w:firstRowFirstColumn="0" w:firstRowLastColumn="0" w:lastRowFirstColumn="0" w:lastRowLastColumn="0"/>
          <w:trHeight w:val="412"/>
        </w:trPr>
        <w:tc>
          <w:tcPr>
            <w:cnfStyle w:val="001000000000" w:firstRow="0" w:lastRow="0" w:firstColumn="1" w:lastColumn="0" w:oddVBand="0" w:evenVBand="0" w:oddHBand="0" w:evenHBand="0" w:firstRowFirstColumn="0" w:firstRowLastColumn="0" w:lastRowFirstColumn="0" w:lastRowLastColumn="0"/>
            <w:tcW w:w="2724" w:type="dxa"/>
            <w:noWrap/>
            <w:hideMark/>
          </w:tcPr>
          <w:p w14:paraId="1161CD18" w14:textId="6AE2038D" w:rsidR="00D13C36" w:rsidRPr="00E673DC" w:rsidRDefault="00D13C36" w:rsidP="002A3B4D">
            <w:pPr>
              <w:spacing w:after="160" w:line="259" w:lineRule="auto"/>
              <w:ind w:firstLine="0"/>
              <w:jc w:val="both"/>
              <w:rPr>
                <w:b w:val="0"/>
                <w:bCs w:val="0"/>
                <w:lang w:val="en-GB"/>
              </w:rPr>
            </w:pPr>
            <w:r w:rsidRPr="00E673DC">
              <w:rPr>
                <w:b w:val="0"/>
                <w:bCs w:val="0"/>
                <w:lang w:val="en-GB"/>
              </w:rPr>
              <w:t>GL&amp;D&gt;GIB&gt;OCBE</w:t>
            </w:r>
          </w:p>
        </w:tc>
        <w:tc>
          <w:tcPr>
            <w:tcW w:w="1192" w:type="dxa"/>
            <w:noWrap/>
            <w:vAlign w:val="center"/>
            <w:hideMark/>
          </w:tcPr>
          <w:p w14:paraId="7005BEAC" w14:textId="77777777" w:rsidR="00D13C36" w:rsidRPr="00E673DC" w:rsidRDefault="00D13C36" w:rsidP="002A3B4D">
            <w:pPr>
              <w:spacing w:after="160" w:line="259" w:lineRule="auto"/>
              <w:ind w:firstLine="0"/>
              <w:jc w:val="both"/>
              <w:cnfStyle w:val="000000100000" w:firstRow="0" w:lastRow="0" w:firstColumn="0" w:lastColumn="0" w:oddVBand="0" w:evenVBand="0" w:oddHBand="1" w:evenHBand="0" w:firstRowFirstColumn="0" w:firstRowLastColumn="0" w:lastRowFirstColumn="0" w:lastRowLastColumn="0"/>
              <w:rPr>
                <w:lang w:val="en-GB"/>
              </w:rPr>
            </w:pPr>
            <w:r w:rsidRPr="00E673DC">
              <w:rPr>
                <w:lang w:val="en-GB"/>
              </w:rPr>
              <w:t xml:space="preserve">0.077 </w:t>
            </w:r>
          </w:p>
        </w:tc>
        <w:tc>
          <w:tcPr>
            <w:tcW w:w="1192" w:type="dxa"/>
            <w:noWrap/>
            <w:vAlign w:val="center"/>
            <w:hideMark/>
          </w:tcPr>
          <w:p w14:paraId="2770CC17" w14:textId="77777777" w:rsidR="00D13C36" w:rsidRPr="00E673DC" w:rsidRDefault="00D13C36" w:rsidP="002A3B4D">
            <w:pPr>
              <w:spacing w:after="160" w:line="259" w:lineRule="auto"/>
              <w:ind w:firstLine="0"/>
              <w:jc w:val="both"/>
              <w:cnfStyle w:val="000000100000" w:firstRow="0" w:lastRow="0" w:firstColumn="0" w:lastColumn="0" w:oddVBand="0" w:evenVBand="0" w:oddHBand="1" w:evenHBand="0" w:firstRowFirstColumn="0" w:firstRowLastColumn="0" w:lastRowFirstColumn="0" w:lastRowLastColumn="0"/>
              <w:rPr>
                <w:lang w:val="en-GB"/>
              </w:rPr>
            </w:pPr>
            <w:r w:rsidRPr="00E673DC">
              <w:rPr>
                <w:lang w:val="en-GB"/>
              </w:rPr>
              <w:t xml:space="preserve">0.050 </w:t>
            </w:r>
          </w:p>
        </w:tc>
        <w:tc>
          <w:tcPr>
            <w:tcW w:w="1192" w:type="dxa"/>
            <w:noWrap/>
            <w:vAlign w:val="center"/>
            <w:hideMark/>
          </w:tcPr>
          <w:p w14:paraId="2D524EB8" w14:textId="77777777" w:rsidR="00D13C36" w:rsidRPr="00E673DC" w:rsidRDefault="00D13C36" w:rsidP="002A3B4D">
            <w:pPr>
              <w:spacing w:after="160" w:line="259" w:lineRule="auto"/>
              <w:ind w:firstLine="0"/>
              <w:jc w:val="both"/>
              <w:cnfStyle w:val="000000100000" w:firstRow="0" w:lastRow="0" w:firstColumn="0" w:lastColumn="0" w:oddVBand="0" w:evenVBand="0" w:oddHBand="1" w:evenHBand="0" w:firstRowFirstColumn="0" w:firstRowLastColumn="0" w:lastRowFirstColumn="0" w:lastRowLastColumn="0"/>
              <w:rPr>
                <w:lang w:val="en-GB"/>
              </w:rPr>
            </w:pPr>
            <w:r w:rsidRPr="00E673DC">
              <w:rPr>
                <w:lang w:val="en-GB"/>
              </w:rPr>
              <w:t xml:space="preserve">2.553 </w:t>
            </w:r>
          </w:p>
        </w:tc>
        <w:tc>
          <w:tcPr>
            <w:tcW w:w="1192" w:type="dxa"/>
            <w:noWrap/>
            <w:vAlign w:val="center"/>
            <w:hideMark/>
          </w:tcPr>
          <w:p w14:paraId="49A2C3CE" w14:textId="77777777" w:rsidR="00D13C36" w:rsidRPr="00E673DC" w:rsidRDefault="00D13C36" w:rsidP="002A3B4D">
            <w:pPr>
              <w:spacing w:after="160" w:line="259" w:lineRule="auto"/>
              <w:ind w:firstLine="0"/>
              <w:jc w:val="both"/>
              <w:cnfStyle w:val="000000100000" w:firstRow="0" w:lastRow="0" w:firstColumn="0" w:lastColumn="0" w:oddVBand="0" w:evenVBand="0" w:oddHBand="1" w:evenHBand="0" w:firstRowFirstColumn="0" w:firstRowLastColumn="0" w:lastRowFirstColumn="0" w:lastRowLastColumn="0"/>
              <w:rPr>
                <w:lang w:val="en-GB"/>
              </w:rPr>
            </w:pPr>
            <w:r w:rsidRPr="00E673DC">
              <w:rPr>
                <w:lang w:val="en-GB"/>
              </w:rPr>
              <w:t xml:space="preserve">0.121 </w:t>
            </w:r>
          </w:p>
        </w:tc>
        <w:tc>
          <w:tcPr>
            <w:tcW w:w="1949" w:type="dxa"/>
            <w:hideMark/>
          </w:tcPr>
          <w:p w14:paraId="043EA34F" w14:textId="77777777" w:rsidR="00D13C36" w:rsidRPr="00E673DC" w:rsidRDefault="00D13C36" w:rsidP="002A3B4D">
            <w:pPr>
              <w:spacing w:after="160" w:line="259" w:lineRule="auto"/>
              <w:ind w:firstLine="0"/>
              <w:jc w:val="both"/>
              <w:cnfStyle w:val="000000100000" w:firstRow="0" w:lastRow="0" w:firstColumn="0" w:lastColumn="0" w:oddVBand="0" w:evenVBand="0" w:oddHBand="1" w:evenHBand="0" w:firstRowFirstColumn="0" w:firstRowLastColumn="0" w:lastRowFirstColumn="0" w:lastRowLastColumn="0"/>
              <w:rPr>
                <w:lang w:val="en-GB"/>
              </w:rPr>
            </w:pPr>
            <w:r w:rsidRPr="00E673DC">
              <w:rPr>
                <w:lang w:val="en-GB"/>
              </w:rPr>
              <w:t>Not supported</w:t>
            </w:r>
          </w:p>
        </w:tc>
      </w:tr>
    </w:tbl>
    <w:p w14:paraId="4A29740F" w14:textId="77777777" w:rsidR="00D13C36" w:rsidRPr="00E673DC" w:rsidRDefault="00D13C36" w:rsidP="00D13C36">
      <w:pPr>
        <w:jc w:val="both"/>
        <w:rPr>
          <w:lang w:val="en-GB"/>
        </w:rPr>
      </w:pPr>
    </w:p>
    <w:p w14:paraId="3356472E" w14:textId="77777777" w:rsidR="00D13C36" w:rsidRPr="00E673DC" w:rsidRDefault="00D13C36" w:rsidP="002A3B4D">
      <w:pPr>
        <w:keepNext/>
        <w:ind w:firstLine="0"/>
        <w:jc w:val="center"/>
        <w:rPr>
          <w:lang w:val="en-GB"/>
        </w:rPr>
      </w:pPr>
      <w:r w:rsidRPr="00E673DC">
        <w:rPr>
          <w:noProof/>
          <w:lang w:val="en-GB"/>
          <w14:ligatures w14:val="standardContextual"/>
        </w:rPr>
        <w:lastRenderedPageBreak/>
        <w:drawing>
          <wp:inline distT="0" distB="0" distL="0" distR="0" wp14:anchorId="2989C6F9" wp14:editId="25A318E6">
            <wp:extent cx="5943600" cy="2857500"/>
            <wp:effectExtent l="0" t="0" r="0" b="0"/>
            <wp:docPr id="34790691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7906913" name="Picture 347906913"/>
                    <pic:cNvPicPr/>
                  </pic:nvPicPr>
                  <pic:blipFill>
                    <a:blip r:embed="rId17">
                      <a:extLst>
                        <a:ext uri="{28A0092B-C50C-407E-A947-70E740481C1C}">
                          <a14:useLocalDpi xmlns:a14="http://schemas.microsoft.com/office/drawing/2010/main" val="0"/>
                        </a:ext>
                      </a:extLst>
                    </a:blip>
                    <a:stretch>
                      <a:fillRect/>
                    </a:stretch>
                  </pic:blipFill>
                  <pic:spPr>
                    <a:xfrm>
                      <a:off x="0" y="0"/>
                      <a:ext cx="5943600" cy="2857500"/>
                    </a:xfrm>
                    <a:prstGeom prst="rect">
                      <a:avLst/>
                    </a:prstGeom>
                  </pic:spPr>
                </pic:pic>
              </a:graphicData>
            </a:graphic>
          </wp:inline>
        </w:drawing>
      </w:r>
    </w:p>
    <w:p w14:paraId="0FF5807D" w14:textId="77777777" w:rsidR="00D13C36" w:rsidRPr="00E673DC" w:rsidRDefault="00D13C36" w:rsidP="00FE455D">
      <w:pPr>
        <w:pStyle w:val="Caption"/>
        <w:rPr>
          <w:noProof/>
          <w:lang w:val="en-GB"/>
        </w:rPr>
      </w:pPr>
      <w:bookmarkStart w:id="42" w:name="_Toc193015505"/>
      <w:r w:rsidRPr="00E673DC">
        <w:rPr>
          <w:lang w:val="en-GB"/>
        </w:rPr>
        <w:t xml:space="preserve">Figure </w:t>
      </w:r>
      <w:r w:rsidRPr="00E673DC">
        <w:rPr>
          <w:lang w:val="en-GB"/>
        </w:rPr>
        <w:fldChar w:fldCharType="begin"/>
      </w:r>
      <w:r w:rsidRPr="00E673DC">
        <w:rPr>
          <w:lang w:val="en-GB"/>
        </w:rPr>
        <w:instrText xml:space="preserve"> SEQ Figure \* ARABIC </w:instrText>
      </w:r>
      <w:r w:rsidRPr="00E673DC">
        <w:rPr>
          <w:lang w:val="en-GB"/>
        </w:rPr>
        <w:fldChar w:fldCharType="separate"/>
      </w:r>
      <w:r w:rsidRPr="00E673DC">
        <w:rPr>
          <w:noProof/>
          <w:lang w:val="en-GB"/>
        </w:rPr>
        <w:t>2</w:t>
      </w:r>
      <w:r w:rsidRPr="00E673DC">
        <w:rPr>
          <w:noProof/>
          <w:lang w:val="en-GB"/>
        </w:rPr>
        <w:fldChar w:fldCharType="end"/>
      </w:r>
      <w:r w:rsidRPr="00E673DC">
        <w:rPr>
          <w:lang w:val="en-GB"/>
        </w:rPr>
        <w:t>: Structural Model 1</w:t>
      </w:r>
      <w:bookmarkEnd w:id="42"/>
    </w:p>
    <w:p w14:paraId="584EE78B" w14:textId="0C69632C" w:rsidR="00D13C36" w:rsidRPr="00E673DC" w:rsidRDefault="00D13C36" w:rsidP="002A3B4D">
      <w:pPr>
        <w:ind w:firstLine="0"/>
        <w:jc w:val="both"/>
        <w:rPr>
          <w:b/>
          <w:bCs/>
          <w:i/>
          <w:iCs/>
          <w:lang w:val="en-GB"/>
        </w:rPr>
      </w:pPr>
      <w:r w:rsidRPr="00E673DC">
        <w:rPr>
          <w:b/>
          <w:bCs/>
          <w:i/>
          <w:iCs/>
          <w:lang w:val="en-GB"/>
        </w:rPr>
        <w:t xml:space="preserve">Structural Path 2 </w:t>
      </w:r>
      <w:r w:rsidR="009F2B2F">
        <w:rPr>
          <w:b/>
          <w:bCs/>
          <w:i/>
          <w:iCs/>
          <w:lang w:val="en-GB"/>
        </w:rPr>
        <w:t>Wi</w:t>
      </w:r>
      <w:r w:rsidRPr="00E673DC">
        <w:rPr>
          <w:b/>
          <w:bCs/>
          <w:i/>
          <w:iCs/>
          <w:lang w:val="en-GB"/>
        </w:rPr>
        <w:t xml:space="preserve">th Formative </w:t>
      </w:r>
      <w:r w:rsidR="009F2B2F">
        <w:rPr>
          <w:b/>
          <w:bCs/>
          <w:i/>
          <w:iCs/>
          <w:lang w:val="en-GB"/>
        </w:rPr>
        <w:t>M</w:t>
      </w:r>
      <w:r w:rsidRPr="00E673DC">
        <w:rPr>
          <w:b/>
          <w:bCs/>
          <w:i/>
          <w:iCs/>
          <w:lang w:val="en-GB"/>
        </w:rPr>
        <w:t>easure (GHRP)</w:t>
      </w:r>
    </w:p>
    <w:p w14:paraId="661598CF" w14:textId="731CA7F2" w:rsidR="00D13C36" w:rsidRPr="00E673DC" w:rsidRDefault="00D13C36" w:rsidP="00D77795">
      <w:pPr>
        <w:ind w:firstLine="720"/>
        <w:rPr>
          <w:lang w:val="en-GB"/>
        </w:rPr>
      </w:pPr>
      <w:r w:rsidRPr="00E673DC">
        <w:rPr>
          <w:lang w:val="en-GB"/>
        </w:rPr>
        <w:t xml:space="preserve">As the study adopted a reflective-formative approach, GHRM practices are </w:t>
      </w:r>
      <w:r w:rsidR="009F2B2F">
        <w:rPr>
          <w:lang w:val="en-GB"/>
        </w:rPr>
        <w:t xml:space="preserve">therefore </w:t>
      </w:r>
      <w:r w:rsidRPr="00E673DC">
        <w:rPr>
          <w:lang w:val="en-GB"/>
        </w:rPr>
        <w:t xml:space="preserve">treated as a formative measure to evaluate its effect on OCBE directly and indirectly via GIB. Table 7 demonstrates that </w:t>
      </w:r>
      <w:r w:rsidR="009F2B2F">
        <w:rPr>
          <w:lang w:val="en-GB"/>
        </w:rPr>
        <w:t>G</w:t>
      </w:r>
      <w:r w:rsidRPr="00E673DC">
        <w:rPr>
          <w:lang w:val="en-GB"/>
        </w:rPr>
        <w:t xml:space="preserve">reen </w:t>
      </w:r>
      <w:r w:rsidR="009F2B2F">
        <w:rPr>
          <w:lang w:val="en-GB"/>
        </w:rPr>
        <w:t>HR</w:t>
      </w:r>
      <w:r w:rsidRPr="00E673DC">
        <w:rPr>
          <w:lang w:val="en-GB"/>
        </w:rPr>
        <w:t xml:space="preserve"> </w:t>
      </w:r>
      <w:r w:rsidR="009F2B2F">
        <w:rPr>
          <w:lang w:val="en-GB"/>
        </w:rPr>
        <w:t>P</w:t>
      </w:r>
      <w:r w:rsidRPr="00E673DC">
        <w:rPr>
          <w:lang w:val="en-GB"/>
        </w:rPr>
        <w:t>ractices, combined with GL&amp;D and GR&amp;C</w:t>
      </w:r>
      <w:r w:rsidR="009F2B2F">
        <w:rPr>
          <w:lang w:val="en-GB"/>
        </w:rPr>
        <w:t>,</w:t>
      </w:r>
      <w:r w:rsidRPr="00E673DC">
        <w:rPr>
          <w:lang w:val="en-GB"/>
        </w:rPr>
        <w:t xml:space="preserve"> strongly and positively affect </w:t>
      </w:r>
      <w:r w:rsidR="009F2B2F">
        <w:rPr>
          <w:lang w:val="en-GB"/>
        </w:rPr>
        <w:t xml:space="preserve">an </w:t>
      </w:r>
      <w:r w:rsidRPr="00E673DC">
        <w:rPr>
          <w:lang w:val="en-GB"/>
        </w:rPr>
        <w:t>individual</w:t>
      </w:r>
      <w:r w:rsidR="009F2B2F">
        <w:rPr>
          <w:lang w:val="en-GB"/>
        </w:rPr>
        <w:t>'</w:t>
      </w:r>
      <w:r w:rsidRPr="00E673DC">
        <w:rPr>
          <w:lang w:val="en-GB"/>
        </w:rPr>
        <w:t xml:space="preserve">s OCBE. The higher t-value suggests that the relationship is reliable and highly significant. It shows that individuals with effective HR practices tend to show more interest in voluntary environmental actions such as sustainable advocacy. Compared to the previous model, it is quite apparent in </w:t>
      </w:r>
      <w:r w:rsidR="00697E8C">
        <w:rPr>
          <w:lang w:val="en-GB"/>
        </w:rPr>
        <w:t xml:space="preserve">the </w:t>
      </w:r>
      <w:r w:rsidRPr="00E673DC">
        <w:rPr>
          <w:lang w:val="en-GB"/>
        </w:rPr>
        <w:t xml:space="preserve">current model that GHRP has a moderate effect in contrast </w:t>
      </w:r>
      <w:r w:rsidR="00697E8C">
        <w:rPr>
          <w:lang w:val="en-GB"/>
        </w:rPr>
        <w:t>to</w:t>
      </w:r>
      <w:r w:rsidRPr="00E673DC">
        <w:rPr>
          <w:lang w:val="en-GB"/>
        </w:rPr>
        <w:t xml:space="preserve"> GR&amp;C</w:t>
      </w:r>
      <w:r w:rsidR="00697E8C">
        <w:rPr>
          <w:lang w:val="en-GB"/>
        </w:rPr>
        <w:t>,</w:t>
      </w:r>
      <w:r w:rsidRPr="00E673DC">
        <w:rPr>
          <w:lang w:val="en-GB"/>
        </w:rPr>
        <w:t xml:space="preserve"> as its path coefficient value is less than </w:t>
      </w:r>
      <w:r w:rsidR="00697E8C">
        <w:rPr>
          <w:lang w:val="en-GB"/>
        </w:rPr>
        <w:t xml:space="preserve">the </w:t>
      </w:r>
      <w:r w:rsidRPr="00E673DC">
        <w:rPr>
          <w:lang w:val="en-GB"/>
        </w:rPr>
        <w:t>GR&amp;C beta value. Similarly, the direct effect of GHRM practices on GIB is statistically significant</w:t>
      </w:r>
      <w:r w:rsidR="00E53AFC">
        <w:rPr>
          <w:lang w:val="en-GB"/>
        </w:rPr>
        <w:t>,</w:t>
      </w:r>
      <w:r w:rsidRPr="00E673DC">
        <w:rPr>
          <w:lang w:val="en-GB"/>
        </w:rPr>
        <w:t xml:space="preserve"> </w:t>
      </w:r>
      <w:r w:rsidR="00E53AFC">
        <w:rPr>
          <w:lang w:val="en-GB"/>
        </w:rPr>
        <w:t xml:space="preserve">while </w:t>
      </w:r>
      <w:r w:rsidR="00697E8C">
        <w:rPr>
          <w:lang w:val="en-GB"/>
        </w:rPr>
        <w:t xml:space="preserve">the </w:t>
      </w:r>
      <w:r w:rsidRPr="00E673DC">
        <w:rPr>
          <w:lang w:val="en-GB"/>
        </w:rPr>
        <w:t xml:space="preserve">p-value is less than 0.05 and </w:t>
      </w:r>
      <w:r w:rsidR="00697E8C">
        <w:rPr>
          <w:lang w:val="en-GB"/>
        </w:rPr>
        <w:t xml:space="preserve">the </w:t>
      </w:r>
      <w:r w:rsidRPr="00E673DC">
        <w:rPr>
          <w:lang w:val="en-GB"/>
        </w:rPr>
        <w:t xml:space="preserve">t-value is much higher than </w:t>
      </w:r>
      <w:r w:rsidR="00697E8C">
        <w:rPr>
          <w:lang w:val="en-GB"/>
        </w:rPr>
        <w:t xml:space="preserve">the </w:t>
      </w:r>
      <w:r w:rsidRPr="00E673DC">
        <w:rPr>
          <w:lang w:val="en-GB"/>
        </w:rPr>
        <w:t xml:space="preserve">1.96 threshold. This explains that </w:t>
      </w:r>
      <w:r w:rsidR="00DC79D6">
        <w:rPr>
          <w:lang w:val="en-GB"/>
        </w:rPr>
        <w:t>organis</w:t>
      </w:r>
      <w:r w:rsidRPr="00E673DC">
        <w:rPr>
          <w:lang w:val="en-GB"/>
        </w:rPr>
        <w:t xml:space="preserve">ations with effective GHRM practices foster support and create </w:t>
      </w:r>
      <w:r w:rsidR="00E53AFC">
        <w:rPr>
          <w:lang w:val="en-GB"/>
        </w:rPr>
        <w:t xml:space="preserve">a </w:t>
      </w:r>
      <w:r w:rsidRPr="00E673DC">
        <w:rPr>
          <w:lang w:val="en-GB"/>
        </w:rPr>
        <w:t xml:space="preserve">work </w:t>
      </w:r>
      <w:r w:rsidRPr="00E673DC">
        <w:rPr>
          <w:lang w:val="en-GB"/>
        </w:rPr>
        <w:lastRenderedPageBreak/>
        <w:t xml:space="preserve">environment which further promote individuals to </w:t>
      </w:r>
      <w:r w:rsidR="00697E8C">
        <w:rPr>
          <w:lang w:val="en-GB"/>
        </w:rPr>
        <w:t>apply</w:t>
      </w:r>
      <w:r w:rsidRPr="00E673DC">
        <w:rPr>
          <w:lang w:val="en-GB"/>
        </w:rPr>
        <w:t xml:space="preserve"> their intellect to sustainable solutions. In comparison with </w:t>
      </w:r>
      <w:r w:rsidR="00697E8C">
        <w:rPr>
          <w:lang w:val="en-GB"/>
        </w:rPr>
        <w:t xml:space="preserve">the </w:t>
      </w:r>
      <w:r w:rsidRPr="00E673DC">
        <w:rPr>
          <w:lang w:val="en-GB"/>
        </w:rPr>
        <w:t xml:space="preserve">prior model, the effect of GHRM practices is stronger due to </w:t>
      </w:r>
      <w:r w:rsidR="00697E8C">
        <w:rPr>
          <w:lang w:val="en-GB"/>
        </w:rPr>
        <w:t xml:space="preserve">a </w:t>
      </w:r>
      <w:r w:rsidRPr="00E673DC">
        <w:rPr>
          <w:lang w:val="en-GB"/>
        </w:rPr>
        <w:t xml:space="preserve">high beta value, suggesting </w:t>
      </w:r>
      <w:r w:rsidR="00697E8C">
        <w:rPr>
          <w:lang w:val="en-GB"/>
        </w:rPr>
        <w:t xml:space="preserve">that a </w:t>
      </w:r>
      <w:r w:rsidRPr="00E673DC">
        <w:rPr>
          <w:lang w:val="en-GB"/>
        </w:rPr>
        <w:t>comprehensive form of HR practices contributes more toward</w:t>
      </w:r>
      <w:r w:rsidR="007F5DFA">
        <w:rPr>
          <w:lang w:val="en-GB"/>
        </w:rPr>
        <w:t>s</w:t>
      </w:r>
      <w:r w:rsidRPr="00E673DC">
        <w:rPr>
          <w:lang w:val="en-GB"/>
        </w:rPr>
        <w:t xml:space="preserve"> </w:t>
      </w:r>
      <w:r w:rsidR="00BA5CEE" w:rsidRPr="00E673DC">
        <w:rPr>
          <w:lang w:val="en-GB"/>
        </w:rPr>
        <w:t>GIB</w:t>
      </w:r>
      <w:r w:rsidRPr="00E673DC">
        <w:rPr>
          <w:lang w:val="en-GB"/>
        </w:rPr>
        <w:t xml:space="preserve">. Furthermore, the positive and significant impact of GIB on OCBE indicates that individuals involved in green innovation are likely to exhibit pro-environmental </w:t>
      </w:r>
      <w:r w:rsidR="00DC79D6">
        <w:rPr>
          <w:lang w:val="en-GB"/>
        </w:rPr>
        <w:t>behaviour</w:t>
      </w:r>
      <w:r w:rsidRPr="00E673DC">
        <w:rPr>
          <w:lang w:val="en-GB"/>
        </w:rPr>
        <w:t>s.</w:t>
      </w:r>
    </w:p>
    <w:p w14:paraId="65942AD1" w14:textId="361346FD" w:rsidR="00D13C36" w:rsidRPr="00E673DC" w:rsidRDefault="00D13C36" w:rsidP="00D77795">
      <w:pPr>
        <w:ind w:firstLine="720"/>
        <w:rPr>
          <w:lang w:val="en-GB"/>
        </w:rPr>
      </w:pPr>
      <w:r w:rsidRPr="00E673DC">
        <w:rPr>
          <w:lang w:val="en-GB"/>
        </w:rPr>
        <w:t xml:space="preserve">Interestingly, the combined effect of GL&amp;D and GR&amp;C in the form of GHRM practices partially mediates the path of OCBE via GIB. The indirect path </w:t>
      </w:r>
      <w:r w:rsidR="00F8610F" w:rsidRPr="00E673DC">
        <w:rPr>
          <w:lang w:val="en-GB"/>
        </w:rPr>
        <w:t>through</w:t>
      </w:r>
      <w:r w:rsidRPr="00E673DC">
        <w:rPr>
          <w:lang w:val="en-GB"/>
        </w:rPr>
        <w:t xml:space="preserve"> GIB appears to be moderate to strong with </w:t>
      </w:r>
      <w:r w:rsidR="00697E8C">
        <w:rPr>
          <w:lang w:val="en-GB"/>
        </w:rPr>
        <w:t xml:space="preserve">a </w:t>
      </w:r>
      <w:r w:rsidRPr="00E673DC">
        <w:rPr>
          <w:lang w:val="en-GB"/>
        </w:rPr>
        <w:t xml:space="preserve">positive impact. It means that </w:t>
      </w:r>
      <w:r w:rsidR="00697E8C">
        <w:rPr>
          <w:lang w:val="en-GB"/>
        </w:rPr>
        <w:t xml:space="preserve">the </w:t>
      </w:r>
      <w:r w:rsidRPr="00E673DC">
        <w:rPr>
          <w:lang w:val="en-GB"/>
        </w:rPr>
        <w:t xml:space="preserve">effective implementation of GHRM </w:t>
      </w:r>
      <w:r w:rsidR="00697E8C">
        <w:rPr>
          <w:lang w:val="en-GB"/>
        </w:rPr>
        <w:t>p</w:t>
      </w:r>
      <w:r w:rsidRPr="00E673DC">
        <w:rPr>
          <w:lang w:val="en-GB"/>
        </w:rPr>
        <w:t xml:space="preserve">ractices fosters </w:t>
      </w:r>
      <w:r w:rsidR="00BA5CEE" w:rsidRPr="00E673DC">
        <w:rPr>
          <w:lang w:val="en-GB"/>
        </w:rPr>
        <w:t>GIB</w:t>
      </w:r>
      <w:r w:rsidR="00697E8C">
        <w:rPr>
          <w:lang w:val="en-GB"/>
        </w:rPr>
        <w:t>,</w:t>
      </w:r>
      <w:r w:rsidRPr="00E673DC">
        <w:rPr>
          <w:lang w:val="en-GB"/>
        </w:rPr>
        <w:t xml:space="preserve"> which in return encourages employees to show voluntary yet sustainable </w:t>
      </w:r>
      <w:r w:rsidR="00DC79D6">
        <w:rPr>
          <w:lang w:val="en-GB"/>
        </w:rPr>
        <w:t>behaviour</w:t>
      </w:r>
      <w:r w:rsidRPr="00E673DC">
        <w:rPr>
          <w:lang w:val="en-GB"/>
        </w:rPr>
        <w:t xml:space="preserve">s and go beyond their traditional job roles. A low value of standard deviation suggests that the data set is consistent in nature and </w:t>
      </w:r>
      <w:r w:rsidR="00697E8C">
        <w:rPr>
          <w:lang w:val="en-GB"/>
        </w:rPr>
        <w:t xml:space="preserve">the </w:t>
      </w:r>
      <w:r w:rsidRPr="00E673DC">
        <w:rPr>
          <w:lang w:val="en-GB"/>
        </w:rPr>
        <w:t xml:space="preserve">mediation effect is reliable </w:t>
      </w:r>
      <w:r w:rsidR="00697E8C">
        <w:rPr>
          <w:lang w:val="en-GB"/>
        </w:rPr>
        <w:t>with a</w:t>
      </w:r>
      <w:r w:rsidRPr="00E673DC">
        <w:rPr>
          <w:lang w:val="en-GB"/>
        </w:rPr>
        <w:t xml:space="preserve"> stable route. Compared to </w:t>
      </w:r>
      <w:r w:rsidR="00697E8C">
        <w:rPr>
          <w:lang w:val="en-GB"/>
        </w:rPr>
        <w:t>M</w:t>
      </w:r>
      <w:r w:rsidRPr="00E673DC">
        <w:rPr>
          <w:lang w:val="en-GB"/>
        </w:rPr>
        <w:t xml:space="preserve">odel 1, it can be deduced that </w:t>
      </w:r>
      <w:r w:rsidR="00697E8C">
        <w:rPr>
          <w:lang w:val="en-GB"/>
        </w:rPr>
        <w:t xml:space="preserve">the </w:t>
      </w:r>
      <w:r w:rsidRPr="00E673DC">
        <w:rPr>
          <w:lang w:val="en-GB"/>
        </w:rPr>
        <w:t xml:space="preserve">mediation effect in </w:t>
      </w:r>
      <w:r w:rsidR="00697E8C">
        <w:rPr>
          <w:lang w:val="en-GB"/>
        </w:rPr>
        <w:t xml:space="preserve">the </w:t>
      </w:r>
      <w:r w:rsidRPr="00E673DC">
        <w:rPr>
          <w:lang w:val="en-GB"/>
        </w:rPr>
        <w:t>case of GHRM practices is stronger, thus resulting in consistent and last</w:t>
      </w:r>
      <w:r w:rsidR="00697E8C">
        <w:rPr>
          <w:lang w:val="en-GB"/>
        </w:rPr>
        <w:t>ing</w:t>
      </w:r>
      <w:r w:rsidRPr="00E673DC">
        <w:rPr>
          <w:lang w:val="en-GB"/>
        </w:rPr>
        <w:t xml:space="preserve"> pro-environmental </w:t>
      </w:r>
      <w:r w:rsidR="00DC79D6">
        <w:rPr>
          <w:lang w:val="en-GB"/>
        </w:rPr>
        <w:t>behaviour</w:t>
      </w:r>
      <w:r w:rsidRPr="00E673DC">
        <w:rPr>
          <w:lang w:val="en-GB"/>
        </w:rPr>
        <w:t xml:space="preserve">s. </w:t>
      </w:r>
    </w:p>
    <w:p w14:paraId="003B8A2B" w14:textId="2CC29415" w:rsidR="00D13C36" w:rsidRPr="00E673DC" w:rsidRDefault="00D13C36" w:rsidP="00FE455D">
      <w:pPr>
        <w:pStyle w:val="Caption"/>
        <w:rPr>
          <w:lang w:val="en-GB"/>
        </w:rPr>
      </w:pPr>
      <w:bookmarkStart w:id="43" w:name="_Toc193015458"/>
      <w:r w:rsidRPr="00E673DC">
        <w:rPr>
          <w:lang w:val="en-GB"/>
        </w:rPr>
        <w:t xml:space="preserve">Table </w:t>
      </w:r>
      <w:r w:rsidRPr="00E673DC">
        <w:rPr>
          <w:lang w:val="en-GB"/>
        </w:rPr>
        <w:fldChar w:fldCharType="begin"/>
      </w:r>
      <w:r w:rsidRPr="00E673DC">
        <w:rPr>
          <w:lang w:val="en-GB"/>
        </w:rPr>
        <w:instrText xml:space="preserve"> SEQ Table \* ARABIC </w:instrText>
      </w:r>
      <w:r w:rsidRPr="00E673DC">
        <w:rPr>
          <w:lang w:val="en-GB"/>
        </w:rPr>
        <w:fldChar w:fldCharType="separate"/>
      </w:r>
      <w:r w:rsidRPr="00E673DC">
        <w:rPr>
          <w:noProof/>
          <w:lang w:val="en-GB"/>
        </w:rPr>
        <w:t>7</w:t>
      </w:r>
      <w:r w:rsidRPr="00E673DC">
        <w:rPr>
          <w:noProof/>
          <w:lang w:val="en-GB"/>
        </w:rPr>
        <w:fldChar w:fldCharType="end"/>
      </w:r>
      <w:r w:rsidRPr="00E673DC">
        <w:rPr>
          <w:lang w:val="en-GB"/>
        </w:rPr>
        <w:t>: Structural</w:t>
      </w:r>
      <w:r w:rsidR="00600608" w:rsidRPr="00E673DC">
        <w:rPr>
          <w:lang w:val="en-GB"/>
        </w:rPr>
        <w:t xml:space="preserve"> Model 2 (With Formative Measure</w:t>
      </w:r>
      <w:r w:rsidRPr="00E673DC">
        <w:rPr>
          <w:lang w:val="en-GB"/>
        </w:rPr>
        <w:t>)</w:t>
      </w:r>
      <w:bookmarkEnd w:id="43"/>
    </w:p>
    <w:tbl>
      <w:tblPr>
        <w:tblStyle w:val="PlainTable2"/>
        <w:tblW w:w="10612" w:type="dxa"/>
        <w:jc w:val="center"/>
        <w:tblLayout w:type="fixed"/>
        <w:tblLook w:val="04A0" w:firstRow="1" w:lastRow="0" w:firstColumn="1" w:lastColumn="0" w:noHBand="0" w:noVBand="1"/>
      </w:tblPr>
      <w:tblGrid>
        <w:gridCol w:w="2771"/>
        <w:gridCol w:w="1494"/>
        <w:gridCol w:w="1494"/>
        <w:gridCol w:w="1494"/>
        <w:gridCol w:w="1495"/>
        <w:gridCol w:w="1864"/>
      </w:tblGrid>
      <w:tr w:rsidR="008F44B7" w:rsidRPr="00E673DC" w14:paraId="42757A31" w14:textId="77777777" w:rsidTr="002D4B1E">
        <w:trPr>
          <w:cnfStyle w:val="100000000000" w:firstRow="1" w:lastRow="0" w:firstColumn="0" w:lastColumn="0" w:oddVBand="0" w:evenVBand="0" w:oddHBand="0" w:evenHBand="0" w:firstRowFirstColumn="0" w:firstRowLastColumn="0" w:lastRowFirstColumn="0" w:lastRowLastColumn="0"/>
          <w:trHeight w:val="470"/>
          <w:jc w:val="center"/>
        </w:trPr>
        <w:tc>
          <w:tcPr>
            <w:cnfStyle w:val="001000000000" w:firstRow="0" w:lastRow="0" w:firstColumn="1" w:lastColumn="0" w:oddVBand="0" w:evenVBand="0" w:oddHBand="0" w:evenHBand="0" w:firstRowFirstColumn="0" w:firstRowLastColumn="0" w:lastRowFirstColumn="0" w:lastRowLastColumn="0"/>
            <w:tcW w:w="2771" w:type="dxa"/>
            <w:noWrap/>
            <w:hideMark/>
          </w:tcPr>
          <w:p w14:paraId="073038DD" w14:textId="77777777" w:rsidR="00D13C36" w:rsidRPr="00E673DC" w:rsidRDefault="00D13C36" w:rsidP="002A3B4D">
            <w:pPr>
              <w:spacing w:after="160" w:line="259" w:lineRule="auto"/>
              <w:ind w:firstLine="0"/>
              <w:jc w:val="both"/>
              <w:rPr>
                <w:i/>
                <w:iCs/>
                <w:lang w:val="en-GB"/>
              </w:rPr>
            </w:pPr>
            <w:r w:rsidRPr="00E673DC">
              <w:rPr>
                <w:i/>
                <w:iCs/>
                <w:lang w:val="en-GB"/>
              </w:rPr>
              <w:t>Relationship</w:t>
            </w:r>
          </w:p>
        </w:tc>
        <w:tc>
          <w:tcPr>
            <w:tcW w:w="1494" w:type="dxa"/>
            <w:noWrap/>
            <w:hideMark/>
          </w:tcPr>
          <w:p w14:paraId="60023453" w14:textId="77777777" w:rsidR="00D13C36" w:rsidRPr="00E673DC" w:rsidRDefault="00D13C36" w:rsidP="002A3B4D">
            <w:pPr>
              <w:spacing w:after="160" w:line="259" w:lineRule="auto"/>
              <w:ind w:firstLine="0"/>
              <w:jc w:val="both"/>
              <w:cnfStyle w:val="100000000000" w:firstRow="1" w:lastRow="0" w:firstColumn="0" w:lastColumn="0" w:oddVBand="0" w:evenVBand="0" w:oddHBand="0" w:evenHBand="0" w:firstRowFirstColumn="0" w:firstRowLastColumn="0" w:lastRowFirstColumn="0" w:lastRowLastColumn="0"/>
              <w:rPr>
                <w:i/>
                <w:iCs/>
                <w:lang w:val="en-GB"/>
              </w:rPr>
            </w:pPr>
            <w:r w:rsidRPr="00E673DC">
              <w:rPr>
                <w:i/>
                <w:iCs/>
                <w:lang w:val="en-GB"/>
              </w:rPr>
              <w:t>Beta</w:t>
            </w:r>
          </w:p>
        </w:tc>
        <w:tc>
          <w:tcPr>
            <w:tcW w:w="1494" w:type="dxa"/>
            <w:noWrap/>
            <w:hideMark/>
          </w:tcPr>
          <w:p w14:paraId="4F9E4BA7" w14:textId="77777777" w:rsidR="00D13C36" w:rsidRPr="00E673DC" w:rsidRDefault="00D13C36" w:rsidP="002A3B4D">
            <w:pPr>
              <w:spacing w:after="160" w:line="259" w:lineRule="auto"/>
              <w:ind w:firstLine="0"/>
              <w:jc w:val="both"/>
              <w:cnfStyle w:val="100000000000" w:firstRow="1" w:lastRow="0" w:firstColumn="0" w:lastColumn="0" w:oddVBand="0" w:evenVBand="0" w:oddHBand="0" w:evenHBand="0" w:firstRowFirstColumn="0" w:firstRowLastColumn="0" w:lastRowFirstColumn="0" w:lastRowLastColumn="0"/>
              <w:rPr>
                <w:i/>
                <w:iCs/>
                <w:lang w:val="en-GB"/>
              </w:rPr>
            </w:pPr>
            <w:r w:rsidRPr="00E673DC">
              <w:rPr>
                <w:i/>
                <w:iCs/>
                <w:lang w:val="en-GB"/>
              </w:rPr>
              <w:t>STDEV</w:t>
            </w:r>
          </w:p>
        </w:tc>
        <w:tc>
          <w:tcPr>
            <w:tcW w:w="1494" w:type="dxa"/>
            <w:noWrap/>
            <w:hideMark/>
          </w:tcPr>
          <w:p w14:paraId="06C92BB9" w14:textId="560F994F" w:rsidR="00D13C36" w:rsidRPr="00E673DC" w:rsidRDefault="00D13C36" w:rsidP="002A3B4D">
            <w:pPr>
              <w:spacing w:after="160" w:line="259" w:lineRule="auto"/>
              <w:ind w:firstLine="0"/>
              <w:jc w:val="both"/>
              <w:cnfStyle w:val="100000000000" w:firstRow="1" w:lastRow="0" w:firstColumn="0" w:lastColumn="0" w:oddVBand="0" w:evenVBand="0" w:oddHBand="0" w:evenHBand="0" w:firstRowFirstColumn="0" w:firstRowLastColumn="0" w:lastRowFirstColumn="0" w:lastRowLastColumn="0"/>
              <w:rPr>
                <w:i/>
                <w:iCs/>
                <w:lang w:val="en-GB"/>
              </w:rPr>
            </w:pPr>
            <w:r w:rsidRPr="00E673DC">
              <w:rPr>
                <w:i/>
                <w:iCs/>
                <w:lang w:val="en-GB"/>
              </w:rPr>
              <w:t>t</w:t>
            </w:r>
            <w:r w:rsidR="009F2B2F">
              <w:rPr>
                <w:i/>
                <w:iCs/>
                <w:lang w:val="en-GB"/>
              </w:rPr>
              <w:t>-</w:t>
            </w:r>
            <w:r w:rsidRPr="00E673DC">
              <w:rPr>
                <w:i/>
                <w:iCs/>
                <w:lang w:val="en-GB"/>
              </w:rPr>
              <w:t>value</w:t>
            </w:r>
          </w:p>
        </w:tc>
        <w:tc>
          <w:tcPr>
            <w:tcW w:w="1495" w:type="dxa"/>
            <w:noWrap/>
            <w:hideMark/>
          </w:tcPr>
          <w:p w14:paraId="6E9F1AD1" w14:textId="77777777" w:rsidR="00D13C36" w:rsidRPr="00E673DC" w:rsidRDefault="00D13C36" w:rsidP="002A3B4D">
            <w:pPr>
              <w:spacing w:after="160" w:line="259" w:lineRule="auto"/>
              <w:ind w:firstLine="0"/>
              <w:jc w:val="both"/>
              <w:cnfStyle w:val="100000000000" w:firstRow="1" w:lastRow="0" w:firstColumn="0" w:lastColumn="0" w:oddVBand="0" w:evenVBand="0" w:oddHBand="0" w:evenHBand="0" w:firstRowFirstColumn="0" w:firstRowLastColumn="0" w:lastRowFirstColumn="0" w:lastRowLastColumn="0"/>
              <w:rPr>
                <w:i/>
                <w:iCs/>
                <w:lang w:val="en-GB"/>
              </w:rPr>
            </w:pPr>
            <w:r w:rsidRPr="00E673DC">
              <w:rPr>
                <w:i/>
                <w:iCs/>
                <w:lang w:val="en-GB"/>
              </w:rPr>
              <w:t>p-value</w:t>
            </w:r>
          </w:p>
        </w:tc>
        <w:tc>
          <w:tcPr>
            <w:tcW w:w="1864" w:type="dxa"/>
            <w:hideMark/>
          </w:tcPr>
          <w:p w14:paraId="68D4B01F" w14:textId="77777777" w:rsidR="00D13C36" w:rsidRPr="00E673DC" w:rsidRDefault="00D13C36" w:rsidP="002A3B4D">
            <w:pPr>
              <w:spacing w:after="160" w:line="259" w:lineRule="auto"/>
              <w:ind w:firstLine="0"/>
              <w:jc w:val="both"/>
              <w:cnfStyle w:val="100000000000" w:firstRow="1" w:lastRow="0" w:firstColumn="0" w:lastColumn="0" w:oddVBand="0" w:evenVBand="0" w:oddHBand="0" w:evenHBand="0" w:firstRowFirstColumn="0" w:firstRowLastColumn="0" w:lastRowFirstColumn="0" w:lastRowLastColumn="0"/>
              <w:rPr>
                <w:i/>
                <w:iCs/>
                <w:lang w:val="en-GB"/>
              </w:rPr>
            </w:pPr>
            <w:r w:rsidRPr="00E673DC">
              <w:rPr>
                <w:i/>
                <w:iCs/>
                <w:lang w:val="en-GB"/>
              </w:rPr>
              <w:t>Decision</w:t>
            </w:r>
          </w:p>
        </w:tc>
      </w:tr>
      <w:tr w:rsidR="008F44B7" w:rsidRPr="00E673DC" w14:paraId="26EB4929" w14:textId="77777777" w:rsidTr="002D4B1E">
        <w:trPr>
          <w:cnfStyle w:val="000000100000" w:firstRow="0" w:lastRow="0" w:firstColumn="0" w:lastColumn="0" w:oddVBand="0" w:evenVBand="0" w:oddHBand="1" w:evenHBand="0" w:firstRowFirstColumn="0" w:firstRowLastColumn="0" w:lastRowFirstColumn="0" w:lastRowLastColumn="0"/>
          <w:trHeight w:val="470"/>
          <w:jc w:val="center"/>
        </w:trPr>
        <w:tc>
          <w:tcPr>
            <w:cnfStyle w:val="001000000000" w:firstRow="0" w:lastRow="0" w:firstColumn="1" w:lastColumn="0" w:oddVBand="0" w:evenVBand="0" w:oddHBand="0" w:evenHBand="0" w:firstRowFirstColumn="0" w:firstRowLastColumn="0" w:lastRowFirstColumn="0" w:lastRowLastColumn="0"/>
            <w:tcW w:w="2771" w:type="dxa"/>
            <w:noWrap/>
            <w:hideMark/>
          </w:tcPr>
          <w:p w14:paraId="2FDD76FA" w14:textId="77777777" w:rsidR="00D13C36" w:rsidRPr="00E673DC" w:rsidRDefault="00D13C36" w:rsidP="002A3B4D">
            <w:pPr>
              <w:spacing w:after="160" w:line="259" w:lineRule="auto"/>
              <w:ind w:firstLine="0"/>
              <w:jc w:val="both"/>
              <w:rPr>
                <w:i/>
                <w:iCs/>
                <w:lang w:val="en-GB"/>
              </w:rPr>
            </w:pPr>
            <w:r w:rsidRPr="00E673DC">
              <w:rPr>
                <w:i/>
                <w:iCs/>
                <w:lang w:val="en-GB"/>
              </w:rPr>
              <w:t>Direct effect</w:t>
            </w:r>
          </w:p>
        </w:tc>
        <w:tc>
          <w:tcPr>
            <w:tcW w:w="1494" w:type="dxa"/>
            <w:noWrap/>
          </w:tcPr>
          <w:p w14:paraId="5E2A321B" w14:textId="77777777" w:rsidR="00D13C36" w:rsidRPr="00E673DC" w:rsidRDefault="00D13C36" w:rsidP="008F526A">
            <w:pPr>
              <w:spacing w:after="160" w:line="259" w:lineRule="auto"/>
              <w:jc w:val="both"/>
              <w:cnfStyle w:val="000000100000" w:firstRow="0" w:lastRow="0" w:firstColumn="0" w:lastColumn="0" w:oddVBand="0" w:evenVBand="0" w:oddHBand="1" w:evenHBand="0" w:firstRowFirstColumn="0" w:firstRowLastColumn="0" w:lastRowFirstColumn="0" w:lastRowLastColumn="0"/>
              <w:rPr>
                <w:b/>
                <w:bCs/>
                <w:i/>
                <w:iCs/>
                <w:lang w:val="en-GB"/>
              </w:rPr>
            </w:pPr>
          </w:p>
        </w:tc>
        <w:tc>
          <w:tcPr>
            <w:tcW w:w="1494" w:type="dxa"/>
            <w:noWrap/>
          </w:tcPr>
          <w:p w14:paraId="13D1151F" w14:textId="77777777" w:rsidR="00D13C36" w:rsidRPr="00E673DC" w:rsidRDefault="00D13C36" w:rsidP="008F526A">
            <w:pPr>
              <w:spacing w:after="160" w:line="259" w:lineRule="auto"/>
              <w:jc w:val="both"/>
              <w:cnfStyle w:val="000000100000" w:firstRow="0" w:lastRow="0" w:firstColumn="0" w:lastColumn="0" w:oddVBand="0" w:evenVBand="0" w:oddHBand="1" w:evenHBand="0" w:firstRowFirstColumn="0" w:firstRowLastColumn="0" w:lastRowFirstColumn="0" w:lastRowLastColumn="0"/>
              <w:rPr>
                <w:b/>
                <w:bCs/>
                <w:i/>
                <w:iCs/>
                <w:lang w:val="en-GB"/>
              </w:rPr>
            </w:pPr>
          </w:p>
        </w:tc>
        <w:tc>
          <w:tcPr>
            <w:tcW w:w="1494" w:type="dxa"/>
            <w:noWrap/>
          </w:tcPr>
          <w:p w14:paraId="5723FB89" w14:textId="77777777" w:rsidR="00D13C36" w:rsidRPr="00E673DC" w:rsidRDefault="00D13C36" w:rsidP="008F526A">
            <w:pPr>
              <w:spacing w:after="160" w:line="259" w:lineRule="auto"/>
              <w:jc w:val="both"/>
              <w:cnfStyle w:val="000000100000" w:firstRow="0" w:lastRow="0" w:firstColumn="0" w:lastColumn="0" w:oddVBand="0" w:evenVBand="0" w:oddHBand="1" w:evenHBand="0" w:firstRowFirstColumn="0" w:firstRowLastColumn="0" w:lastRowFirstColumn="0" w:lastRowLastColumn="0"/>
              <w:rPr>
                <w:b/>
                <w:bCs/>
                <w:i/>
                <w:iCs/>
                <w:lang w:val="en-GB"/>
              </w:rPr>
            </w:pPr>
          </w:p>
        </w:tc>
        <w:tc>
          <w:tcPr>
            <w:tcW w:w="1495" w:type="dxa"/>
            <w:noWrap/>
          </w:tcPr>
          <w:p w14:paraId="1A75963B" w14:textId="77777777" w:rsidR="00D13C36" w:rsidRPr="00E673DC" w:rsidRDefault="00D13C36" w:rsidP="008F526A">
            <w:pPr>
              <w:spacing w:after="160" w:line="259" w:lineRule="auto"/>
              <w:jc w:val="both"/>
              <w:cnfStyle w:val="000000100000" w:firstRow="0" w:lastRow="0" w:firstColumn="0" w:lastColumn="0" w:oddVBand="0" w:evenVBand="0" w:oddHBand="1" w:evenHBand="0" w:firstRowFirstColumn="0" w:firstRowLastColumn="0" w:lastRowFirstColumn="0" w:lastRowLastColumn="0"/>
              <w:rPr>
                <w:b/>
                <w:bCs/>
                <w:i/>
                <w:iCs/>
                <w:lang w:val="en-GB"/>
              </w:rPr>
            </w:pPr>
          </w:p>
        </w:tc>
        <w:tc>
          <w:tcPr>
            <w:tcW w:w="1864" w:type="dxa"/>
          </w:tcPr>
          <w:p w14:paraId="2C1118A5" w14:textId="77777777" w:rsidR="00D13C36" w:rsidRPr="00E673DC" w:rsidRDefault="00D13C36" w:rsidP="008F526A">
            <w:pPr>
              <w:spacing w:after="160" w:line="259" w:lineRule="auto"/>
              <w:jc w:val="both"/>
              <w:cnfStyle w:val="000000100000" w:firstRow="0" w:lastRow="0" w:firstColumn="0" w:lastColumn="0" w:oddVBand="0" w:evenVBand="0" w:oddHBand="1" w:evenHBand="0" w:firstRowFirstColumn="0" w:firstRowLastColumn="0" w:lastRowFirstColumn="0" w:lastRowLastColumn="0"/>
              <w:rPr>
                <w:b/>
                <w:bCs/>
                <w:i/>
                <w:iCs/>
                <w:lang w:val="en-GB"/>
              </w:rPr>
            </w:pPr>
          </w:p>
        </w:tc>
      </w:tr>
      <w:tr w:rsidR="008F44B7" w:rsidRPr="00E673DC" w14:paraId="53C7C8B5" w14:textId="77777777" w:rsidTr="002D4B1E">
        <w:trPr>
          <w:trHeight w:val="470"/>
          <w:jc w:val="center"/>
        </w:trPr>
        <w:tc>
          <w:tcPr>
            <w:cnfStyle w:val="001000000000" w:firstRow="0" w:lastRow="0" w:firstColumn="1" w:lastColumn="0" w:oddVBand="0" w:evenVBand="0" w:oddHBand="0" w:evenHBand="0" w:firstRowFirstColumn="0" w:firstRowLastColumn="0" w:lastRowFirstColumn="0" w:lastRowLastColumn="0"/>
            <w:tcW w:w="2771" w:type="dxa"/>
            <w:noWrap/>
            <w:hideMark/>
          </w:tcPr>
          <w:p w14:paraId="2B626DDB" w14:textId="0C569C73" w:rsidR="00D13C36" w:rsidRPr="00E673DC" w:rsidRDefault="00D13C36" w:rsidP="002A3B4D">
            <w:pPr>
              <w:spacing w:after="160" w:line="259" w:lineRule="auto"/>
              <w:ind w:firstLine="0"/>
              <w:jc w:val="both"/>
              <w:rPr>
                <w:b w:val="0"/>
                <w:bCs w:val="0"/>
                <w:lang w:val="en-GB"/>
              </w:rPr>
            </w:pPr>
            <w:r w:rsidRPr="00E673DC">
              <w:rPr>
                <w:b w:val="0"/>
                <w:bCs w:val="0"/>
                <w:lang w:val="en-GB"/>
              </w:rPr>
              <w:t>GHP&gt;OCBE</w:t>
            </w:r>
          </w:p>
        </w:tc>
        <w:tc>
          <w:tcPr>
            <w:tcW w:w="1494" w:type="dxa"/>
            <w:noWrap/>
            <w:vAlign w:val="center"/>
            <w:hideMark/>
          </w:tcPr>
          <w:p w14:paraId="7A1D3ABB" w14:textId="77777777" w:rsidR="00D13C36" w:rsidRPr="00E673DC" w:rsidRDefault="00D13C36" w:rsidP="002A3B4D">
            <w:pPr>
              <w:spacing w:after="160" w:line="259" w:lineRule="auto"/>
              <w:ind w:firstLine="0"/>
              <w:jc w:val="both"/>
              <w:cnfStyle w:val="000000000000" w:firstRow="0" w:lastRow="0" w:firstColumn="0" w:lastColumn="0" w:oddVBand="0" w:evenVBand="0" w:oddHBand="0" w:evenHBand="0" w:firstRowFirstColumn="0" w:firstRowLastColumn="0" w:lastRowFirstColumn="0" w:lastRowLastColumn="0"/>
              <w:rPr>
                <w:lang w:val="en-GB"/>
              </w:rPr>
            </w:pPr>
            <w:r w:rsidRPr="00E673DC">
              <w:rPr>
                <w:lang w:val="en-GB"/>
              </w:rPr>
              <w:t xml:space="preserve">0.319 </w:t>
            </w:r>
          </w:p>
        </w:tc>
        <w:tc>
          <w:tcPr>
            <w:tcW w:w="1494" w:type="dxa"/>
            <w:noWrap/>
            <w:vAlign w:val="center"/>
            <w:hideMark/>
          </w:tcPr>
          <w:p w14:paraId="4E62FF69" w14:textId="77777777" w:rsidR="00D13C36" w:rsidRPr="00E673DC" w:rsidRDefault="00D13C36" w:rsidP="002A3B4D">
            <w:pPr>
              <w:spacing w:after="160" w:line="259" w:lineRule="auto"/>
              <w:ind w:firstLine="0"/>
              <w:jc w:val="both"/>
              <w:cnfStyle w:val="000000000000" w:firstRow="0" w:lastRow="0" w:firstColumn="0" w:lastColumn="0" w:oddVBand="0" w:evenVBand="0" w:oddHBand="0" w:evenHBand="0" w:firstRowFirstColumn="0" w:firstRowLastColumn="0" w:lastRowFirstColumn="0" w:lastRowLastColumn="0"/>
              <w:rPr>
                <w:lang w:val="en-GB"/>
              </w:rPr>
            </w:pPr>
            <w:r w:rsidRPr="00E673DC">
              <w:rPr>
                <w:lang w:val="en-GB"/>
              </w:rPr>
              <w:t>0.098</w:t>
            </w:r>
          </w:p>
        </w:tc>
        <w:tc>
          <w:tcPr>
            <w:tcW w:w="1494" w:type="dxa"/>
            <w:noWrap/>
            <w:vAlign w:val="center"/>
            <w:hideMark/>
          </w:tcPr>
          <w:p w14:paraId="46ED3324" w14:textId="77777777" w:rsidR="00D13C36" w:rsidRPr="00E673DC" w:rsidRDefault="00D13C36" w:rsidP="002A3B4D">
            <w:pPr>
              <w:spacing w:after="160" w:line="259" w:lineRule="auto"/>
              <w:ind w:firstLine="0"/>
              <w:jc w:val="both"/>
              <w:cnfStyle w:val="000000000000" w:firstRow="0" w:lastRow="0" w:firstColumn="0" w:lastColumn="0" w:oddVBand="0" w:evenVBand="0" w:oddHBand="0" w:evenHBand="0" w:firstRowFirstColumn="0" w:firstRowLastColumn="0" w:lastRowFirstColumn="0" w:lastRowLastColumn="0"/>
              <w:rPr>
                <w:lang w:val="en-GB"/>
              </w:rPr>
            </w:pPr>
            <w:r w:rsidRPr="00E673DC">
              <w:rPr>
                <w:lang w:val="en-GB"/>
              </w:rPr>
              <w:t xml:space="preserve">10.052 </w:t>
            </w:r>
          </w:p>
        </w:tc>
        <w:tc>
          <w:tcPr>
            <w:tcW w:w="1495" w:type="dxa"/>
            <w:noWrap/>
            <w:vAlign w:val="center"/>
            <w:hideMark/>
          </w:tcPr>
          <w:p w14:paraId="14CFB74F" w14:textId="77777777" w:rsidR="00D13C36" w:rsidRPr="00E673DC" w:rsidRDefault="00D13C36" w:rsidP="002A3B4D">
            <w:pPr>
              <w:spacing w:after="160" w:line="259" w:lineRule="auto"/>
              <w:ind w:firstLine="0"/>
              <w:jc w:val="both"/>
              <w:cnfStyle w:val="000000000000" w:firstRow="0" w:lastRow="0" w:firstColumn="0" w:lastColumn="0" w:oddVBand="0" w:evenVBand="0" w:oddHBand="0" w:evenHBand="0" w:firstRowFirstColumn="0" w:firstRowLastColumn="0" w:lastRowFirstColumn="0" w:lastRowLastColumn="0"/>
              <w:rPr>
                <w:lang w:val="en-GB"/>
              </w:rPr>
            </w:pPr>
            <w:r w:rsidRPr="00E673DC">
              <w:rPr>
                <w:lang w:val="en-GB"/>
              </w:rPr>
              <w:t xml:space="preserve">0.000 </w:t>
            </w:r>
          </w:p>
        </w:tc>
        <w:tc>
          <w:tcPr>
            <w:tcW w:w="1864" w:type="dxa"/>
            <w:hideMark/>
          </w:tcPr>
          <w:p w14:paraId="7FB81342" w14:textId="77777777" w:rsidR="00D13C36" w:rsidRPr="00E673DC" w:rsidRDefault="00D13C36" w:rsidP="002A3B4D">
            <w:pPr>
              <w:spacing w:after="160" w:line="259" w:lineRule="auto"/>
              <w:ind w:firstLine="0"/>
              <w:jc w:val="both"/>
              <w:cnfStyle w:val="000000000000" w:firstRow="0" w:lastRow="0" w:firstColumn="0" w:lastColumn="0" w:oddVBand="0" w:evenVBand="0" w:oddHBand="0" w:evenHBand="0" w:firstRowFirstColumn="0" w:firstRowLastColumn="0" w:lastRowFirstColumn="0" w:lastRowLastColumn="0"/>
              <w:rPr>
                <w:lang w:val="en-GB"/>
              </w:rPr>
            </w:pPr>
            <w:r w:rsidRPr="00E673DC">
              <w:rPr>
                <w:lang w:val="en-GB"/>
              </w:rPr>
              <w:t>Supported</w:t>
            </w:r>
          </w:p>
        </w:tc>
      </w:tr>
      <w:tr w:rsidR="008F44B7" w:rsidRPr="00E673DC" w14:paraId="1F2B4007" w14:textId="77777777" w:rsidTr="002D4B1E">
        <w:trPr>
          <w:cnfStyle w:val="000000100000" w:firstRow="0" w:lastRow="0" w:firstColumn="0" w:lastColumn="0" w:oddVBand="0" w:evenVBand="0" w:oddHBand="1" w:evenHBand="0" w:firstRowFirstColumn="0" w:firstRowLastColumn="0" w:lastRowFirstColumn="0" w:lastRowLastColumn="0"/>
          <w:trHeight w:val="470"/>
          <w:jc w:val="center"/>
        </w:trPr>
        <w:tc>
          <w:tcPr>
            <w:cnfStyle w:val="001000000000" w:firstRow="0" w:lastRow="0" w:firstColumn="1" w:lastColumn="0" w:oddVBand="0" w:evenVBand="0" w:oddHBand="0" w:evenHBand="0" w:firstRowFirstColumn="0" w:firstRowLastColumn="0" w:lastRowFirstColumn="0" w:lastRowLastColumn="0"/>
            <w:tcW w:w="2771" w:type="dxa"/>
            <w:noWrap/>
            <w:hideMark/>
          </w:tcPr>
          <w:p w14:paraId="326B99CD" w14:textId="6AF0660B" w:rsidR="00D13C36" w:rsidRPr="00E673DC" w:rsidRDefault="00D13C36" w:rsidP="002A3B4D">
            <w:pPr>
              <w:spacing w:after="160" w:line="259" w:lineRule="auto"/>
              <w:ind w:firstLine="0"/>
              <w:jc w:val="both"/>
              <w:rPr>
                <w:b w:val="0"/>
                <w:bCs w:val="0"/>
                <w:lang w:val="en-GB"/>
              </w:rPr>
            </w:pPr>
            <w:r w:rsidRPr="00E673DC">
              <w:rPr>
                <w:b w:val="0"/>
                <w:bCs w:val="0"/>
                <w:lang w:val="en-GB"/>
              </w:rPr>
              <w:t>GHP&gt;GIB</w:t>
            </w:r>
          </w:p>
        </w:tc>
        <w:tc>
          <w:tcPr>
            <w:tcW w:w="1494" w:type="dxa"/>
            <w:noWrap/>
            <w:vAlign w:val="center"/>
            <w:hideMark/>
          </w:tcPr>
          <w:p w14:paraId="64F82357" w14:textId="77777777" w:rsidR="00D13C36" w:rsidRPr="00E673DC" w:rsidRDefault="00D13C36" w:rsidP="002A3B4D">
            <w:pPr>
              <w:spacing w:after="160" w:line="259" w:lineRule="auto"/>
              <w:ind w:firstLine="0"/>
              <w:jc w:val="both"/>
              <w:cnfStyle w:val="000000100000" w:firstRow="0" w:lastRow="0" w:firstColumn="0" w:lastColumn="0" w:oddVBand="0" w:evenVBand="0" w:oddHBand="1" w:evenHBand="0" w:firstRowFirstColumn="0" w:firstRowLastColumn="0" w:lastRowFirstColumn="0" w:lastRowLastColumn="0"/>
              <w:rPr>
                <w:lang w:val="en-GB"/>
              </w:rPr>
            </w:pPr>
            <w:r w:rsidRPr="00E673DC">
              <w:rPr>
                <w:lang w:val="en-GB"/>
              </w:rPr>
              <w:t xml:space="preserve">0.793 </w:t>
            </w:r>
          </w:p>
        </w:tc>
        <w:tc>
          <w:tcPr>
            <w:tcW w:w="1494" w:type="dxa"/>
            <w:noWrap/>
            <w:vAlign w:val="center"/>
            <w:hideMark/>
          </w:tcPr>
          <w:p w14:paraId="1E70A097" w14:textId="77777777" w:rsidR="00D13C36" w:rsidRPr="00E673DC" w:rsidRDefault="00D13C36" w:rsidP="002A3B4D">
            <w:pPr>
              <w:spacing w:after="160" w:line="259" w:lineRule="auto"/>
              <w:ind w:firstLine="0"/>
              <w:jc w:val="both"/>
              <w:cnfStyle w:val="000000100000" w:firstRow="0" w:lastRow="0" w:firstColumn="0" w:lastColumn="0" w:oddVBand="0" w:evenVBand="0" w:oddHBand="1" w:evenHBand="0" w:firstRowFirstColumn="0" w:firstRowLastColumn="0" w:lastRowFirstColumn="0" w:lastRowLastColumn="0"/>
              <w:rPr>
                <w:lang w:val="en-GB"/>
              </w:rPr>
            </w:pPr>
            <w:r w:rsidRPr="00E673DC">
              <w:rPr>
                <w:lang w:val="en-GB"/>
              </w:rPr>
              <w:t xml:space="preserve">0.030 </w:t>
            </w:r>
          </w:p>
        </w:tc>
        <w:tc>
          <w:tcPr>
            <w:tcW w:w="1494" w:type="dxa"/>
            <w:noWrap/>
            <w:vAlign w:val="center"/>
            <w:hideMark/>
          </w:tcPr>
          <w:p w14:paraId="61CD8E7B" w14:textId="77777777" w:rsidR="00D13C36" w:rsidRPr="00E673DC" w:rsidRDefault="00D13C36" w:rsidP="002A3B4D">
            <w:pPr>
              <w:spacing w:after="160" w:line="259" w:lineRule="auto"/>
              <w:ind w:firstLine="0"/>
              <w:jc w:val="both"/>
              <w:cnfStyle w:val="000000100000" w:firstRow="0" w:lastRow="0" w:firstColumn="0" w:lastColumn="0" w:oddVBand="0" w:evenVBand="0" w:oddHBand="1" w:evenHBand="0" w:firstRowFirstColumn="0" w:firstRowLastColumn="0" w:lastRowFirstColumn="0" w:lastRowLastColumn="0"/>
              <w:rPr>
                <w:lang w:val="en-GB"/>
              </w:rPr>
            </w:pPr>
            <w:r w:rsidRPr="00E673DC">
              <w:rPr>
                <w:lang w:val="en-GB"/>
              </w:rPr>
              <w:t xml:space="preserve">6.360 </w:t>
            </w:r>
          </w:p>
        </w:tc>
        <w:tc>
          <w:tcPr>
            <w:tcW w:w="1495" w:type="dxa"/>
            <w:noWrap/>
            <w:vAlign w:val="center"/>
            <w:hideMark/>
          </w:tcPr>
          <w:p w14:paraId="25DFE56B" w14:textId="77777777" w:rsidR="00D13C36" w:rsidRPr="00E673DC" w:rsidRDefault="00D13C36" w:rsidP="002A3B4D">
            <w:pPr>
              <w:spacing w:after="160" w:line="259" w:lineRule="auto"/>
              <w:ind w:firstLine="0"/>
              <w:jc w:val="both"/>
              <w:cnfStyle w:val="000000100000" w:firstRow="0" w:lastRow="0" w:firstColumn="0" w:lastColumn="0" w:oddVBand="0" w:evenVBand="0" w:oddHBand="1" w:evenHBand="0" w:firstRowFirstColumn="0" w:firstRowLastColumn="0" w:lastRowFirstColumn="0" w:lastRowLastColumn="0"/>
              <w:rPr>
                <w:lang w:val="en-GB"/>
              </w:rPr>
            </w:pPr>
            <w:r w:rsidRPr="00E673DC">
              <w:rPr>
                <w:lang w:val="en-GB"/>
              </w:rPr>
              <w:t xml:space="preserve">0.000 </w:t>
            </w:r>
          </w:p>
        </w:tc>
        <w:tc>
          <w:tcPr>
            <w:tcW w:w="1864" w:type="dxa"/>
            <w:hideMark/>
          </w:tcPr>
          <w:p w14:paraId="19710075" w14:textId="77777777" w:rsidR="00D13C36" w:rsidRPr="00E673DC" w:rsidRDefault="00D13C36" w:rsidP="002A3B4D">
            <w:pPr>
              <w:spacing w:after="160" w:line="259" w:lineRule="auto"/>
              <w:ind w:firstLine="0"/>
              <w:jc w:val="both"/>
              <w:cnfStyle w:val="000000100000" w:firstRow="0" w:lastRow="0" w:firstColumn="0" w:lastColumn="0" w:oddVBand="0" w:evenVBand="0" w:oddHBand="1" w:evenHBand="0" w:firstRowFirstColumn="0" w:firstRowLastColumn="0" w:lastRowFirstColumn="0" w:lastRowLastColumn="0"/>
              <w:rPr>
                <w:lang w:val="en-GB"/>
              </w:rPr>
            </w:pPr>
            <w:r w:rsidRPr="00E673DC">
              <w:rPr>
                <w:lang w:val="en-GB"/>
              </w:rPr>
              <w:t>Supported</w:t>
            </w:r>
          </w:p>
        </w:tc>
      </w:tr>
      <w:tr w:rsidR="008F44B7" w:rsidRPr="00E673DC" w14:paraId="45CD07D8" w14:textId="77777777" w:rsidTr="002D4B1E">
        <w:trPr>
          <w:trHeight w:val="470"/>
          <w:jc w:val="center"/>
        </w:trPr>
        <w:tc>
          <w:tcPr>
            <w:cnfStyle w:val="001000000000" w:firstRow="0" w:lastRow="0" w:firstColumn="1" w:lastColumn="0" w:oddVBand="0" w:evenVBand="0" w:oddHBand="0" w:evenHBand="0" w:firstRowFirstColumn="0" w:firstRowLastColumn="0" w:lastRowFirstColumn="0" w:lastRowLastColumn="0"/>
            <w:tcW w:w="2771" w:type="dxa"/>
            <w:noWrap/>
          </w:tcPr>
          <w:p w14:paraId="594416DF" w14:textId="24DCFF86" w:rsidR="00D13C36" w:rsidRPr="00E673DC" w:rsidRDefault="00D13C36" w:rsidP="002A3B4D">
            <w:pPr>
              <w:spacing w:after="160" w:line="259" w:lineRule="auto"/>
              <w:ind w:firstLine="0"/>
              <w:jc w:val="both"/>
              <w:rPr>
                <w:b w:val="0"/>
                <w:bCs w:val="0"/>
                <w:lang w:val="en-GB"/>
              </w:rPr>
            </w:pPr>
            <w:r w:rsidRPr="00E673DC">
              <w:rPr>
                <w:b w:val="0"/>
                <w:bCs w:val="0"/>
                <w:lang w:val="en-GB"/>
              </w:rPr>
              <w:t>GIB&gt;OCBE</w:t>
            </w:r>
          </w:p>
        </w:tc>
        <w:tc>
          <w:tcPr>
            <w:tcW w:w="1494" w:type="dxa"/>
            <w:noWrap/>
            <w:vAlign w:val="center"/>
          </w:tcPr>
          <w:p w14:paraId="242E4A0C" w14:textId="77777777" w:rsidR="00D13C36" w:rsidRPr="00E673DC" w:rsidRDefault="00D13C36" w:rsidP="002A3B4D">
            <w:pPr>
              <w:spacing w:after="160" w:line="259" w:lineRule="auto"/>
              <w:ind w:firstLine="0"/>
              <w:jc w:val="both"/>
              <w:cnfStyle w:val="000000000000" w:firstRow="0" w:lastRow="0" w:firstColumn="0" w:lastColumn="0" w:oddVBand="0" w:evenVBand="0" w:oddHBand="0" w:evenHBand="0" w:firstRowFirstColumn="0" w:firstRowLastColumn="0" w:lastRowFirstColumn="0" w:lastRowLastColumn="0"/>
              <w:rPr>
                <w:lang w:val="en-GB"/>
              </w:rPr>
            </w:pPr>
            <w:r w:rsidRPr="00E673DC">
              <w:rPr>
                <w:lang w:val="en-GB"/>
              </w:rPr>
              <w:t xml:space="preserve">0.530 </w:t>
            </w:r>
          </w:p>
        </w:tc>
        <w:tc>
          <w:tcPr>
            <w:tcW w:w="1494" w:type="dxa"/>
            <w:noWrap/>
            <w:vAlign w:val="center"/>
          </w:tcPr>
          <w:p w14:paraId="1EDB6A74" w14:textId="77777777" w:rsidR="00D13C36" w:rsidRPr="00E673DC" w:rsidRDefault="00D13C36" w:rsidP="002A3B4D">
            <w:pPr>
              <w:spacing w:after="160" w:line="259" w:lineRule="auto"/>
              <w:ind w:firstLine="0"/>
              <w:jc w:val="both"/>
              <w:cnfStyle w:val="000000000000" w:firstRow="0" w:lastRow="0" w:firstColumn="0" w:lastColumn="0" w:oddVBand="0" w:evenVBand="0" w:oddHBand="0" w:evenHBand="0" w:firstRowFirstColumn="0" w:firstRowLastColumn="0" w:lastRowFirstColumn="0" w:lastRowLastColumn="0"/>
              <w:rPr>
                <w:lang w:val="en-GB"/>
              </w:rPr>
            </w:pPr>
            <w:r w:rsidRPr="00E673DC">
              <w:rPr>
                <w:lang w:val="en-GB"/>
              </w:rPr>
              <w:t xml:space="preserve">0.099 </w:t>
            </w:r>
          </w:p>
        </w:tc>
        <w:tc>
          <w:tcPr>
            <w:tcW w:w="1494" w:type="dxa"/>
            <w:noWrap/>
            <w:vAlign w:val="center"/>
          </w:tcPr>
          <w:p w14:paraId="628FB18A" w14:textId="77777777" w:rsidR="00D13C36" w:rsidRPr="00E673DC" w:rsidRDefault="00D13C36" w:rsidP="002A3B4D">
            <w:pPr>
              <w:spacing w:after="160" w:line="259" w:lineRule="auto"/>
              <w:ind w:firstLine="0"/>
              <w:jc w:val="both"/>
              <w:cnfStyle w:val="000000000000" w:firstRow="0" w:lastRow="0" w:firstColumn="0" w:lastColumn="0" w:oddVBand="0" w:evenVBand="0" w:oddHBand="0" w:evenHBand="0" w:firstRowFirstColumn="0" w:firstRowLastColumn="0" w:lastRowFirstColumn="0" w:lastRowLastColumn="0"/>
              <w:rPr>
                <w:lang w:val="en-GB"/>
              </w:rPr>
            </w:pPr>
            <w:r w:rsidRPr="00E673DC">
              <w:rPr>
                <w:lang w:val="en-GB"/>
              </w:rPr>
              <w:t xml:space="preserve">3.988 </w:t>
            </w:r>
          </w:p>
        </w:tc>
        <w:tc>
          <w:tcPr>
            <w:tcW w:w="1495" w:type="dxa"/>
            <w:noWrap/>
            <w:vAlign w:val="center"/>
          </w:tcPr>
          <w:p w14:paraId="3D9AED53" w14:textId="77777777" w:rsidR="00D13C36" w:rsidRPr="00E673DC" w:rsidRDefault="00D13C36" w:rsidP="002A3B4D">
            <w:pPr>
              <w:spacing w:after="160" w:line="259" w:lineRule="auto"/>
              <w:ind w:firstLine="0"/>
              <w:jc w:val="both"/>
              <w:cnfStyle w:val="000000000000" w:firstRow="0" w:lastRow="0" w:firstColumn="0" w:lastColumn="0" w:oddVBand="0" w:evenVBand="0" w:oddHBand="0" w:evenHBand="0" w:firstRowFirstColumn="0" w:firstRowLastColumn="0" w:lastRowFirstColumn="0" w:lastRowLastColumn="0"/>
              <w:rPr>
                <w:lang w:val="en-GB"/>
              </w:rPr>
            </w:pPr>
            <w:r w:rsidRPr="00E673DC">
              <w:rPr>
                <w:lang w:val="en-GB"/>
              </w:rPr>
              <w:t xml:space="preserve">0.000 </w:t>
            </w:r>
          </w:p>
        </w:tc>
        <w:tc>
          <w:tcPr>
            <w:tcW w:w="1864" w:type="dxa"/>
          </w:tcPr>
          <w:p w14:paraId="7B8F5C18" w14:textId="77777777" w:rsidR="00D13C36" w:rsidRPr="00E673DC" w:rsidRDefault="00D13C36" w:rsidP="002A3B4D">
            <w:pPr>
              <w:spacing w:after="160" w:line="259" w:lineRule="auto"/>
              <w:ind w:firstLine="0"/>
              <w:jc w:val="both"/>
              <w:cnfStyle w:val="000000000000" w:firstRow="0" w:lastRow="0" w:firstColumn="0" w:lastColumn="0" w:oddVBand="0" w:evenVBand="0" w:oddHBand="0" w:evenHBand="0" w:firstRowFirstColumn="0" w:firstRowLastColumn="0" w:lastRowFirstColumn="0" w:lastRowLastColumn="0"/>
              <w:rPr>
                <w:lang w:val="en-GB"/>
              </w:rPr>
            </w:pPr>
            <w:r w:rsidRPr="00E673DC">
              <w:rPr>
                <w:lang w:val="en-GB"/>
              </w:rPr>
              <w:t>Supported</w:t>
            </w:r>
          </w:p>
        </w:tc>
      </w:tr>
      <w:tr w:rsidR="008F44B7" w:rsidRPr="00E673DC" w14:paraId="7FD34112" w14:textId="77777777" w:rsidTr="002D4B1E">
        <w:trPr>
          <w:cnfStyle w:val="000000100000" w:firstRow="0" w:lastRow="0" w:firstColumn="0" w:lastColumn="0" w:oddVBand="0" w:evenVBand="0" w:oddHBand="1" w:evenHBand="0" w:firstRowFirstColumn="0" w:firstRowLastColumn="0" w:lastRowFirstColumn="0" w:lastRowLastColumn="0"/>
          <w:trHeight w:val="470"/>
          <w:jc w:val="center"/>
        </w:trPr>
        <w:tc>
          <w:tcPr>
            <w:cnfStyle w:val="001000000000" w:firstRow="0" w:lastRow="0" w:firstColumn="1" w:lastColumn="0" w:oddVBand="0" w:evenVBand="0" w:oddHBand="0" w:evenHBand="0" w:firstRowFirstColumn="0" w:firstRowLastColumn="0" w:lastRowFirstColumn="0" w:lastRowLastColumn="0"/>
            <w:tcW w:w="2771" w:type="dxa"/>
            <w:noWrap/>
            <w:hideMark/>
          </w:tcPr>
          <w:p w14:paraId="65B2BE83" w14:textId="77777777" w:rsidR="00D13C36" w:rsidRPr="00E673DC" w:rsidRDefault="00D13C36" w:rsidP="002A3B4D">
            <w:pPr>
              <w:spacing w:after="160" w:line="259" w:lineRule="auto"/>
              <w:ind w:firstLine="0"/>
              <w:jc w:val="both"/>
              <w:rPr>
                <w:i/>
                <w:iCs/>
                <w:lang w:val="en-GB"/>
              </w:rPr>
            </w:pPr>
            <w:r w:rsidRPr="00E673DC">
              <w:rPr>
                <w:i/>
                <w:iCs/>
                <w:lang w:val="en-GB"/>
              </w:rPr>
              <w:t>Mediation effect</w:t>
            </w:r>
          </w:p>
        </w:tc>
        <w:tc>
          <w:tcPr>
            <w:tcW w:w="1494" w:type="dxa"/>
            <w:noWrap/>
          </w:tcPr>
          <w:p w14:paraId="154387A7" w14:textId="77777777" w:rsidR="00D13C36" w:rsidRPr="00E673DC" w:rsidRDefault="00D13C36" w:rsidP="008F526A">
            <w:pPr>
              <w:spacing w:after="160" w:line="259" w:lineRule="auto"/>
              <w:jc w:val="both"/>
              <w:cnfStyle w:val="000000100000" w:firstRow="0" w:lastRow="0" w:firstColumn="0" w:lastColumn="0" w:oddVBand="0" w:evenVBand="0" w:oddHBand="1" w:evenHBand="0" w:firstRowFirstColumn="0" w:firstRowLastColumn="0" w:lastRowFirstColumn="0" w:lastRowLastColumn="0"/>
              <w:rPr>
                <w:i/>
                <w:iCs/>
                <w:lang w:val="en-GB"/>
              </w:rPr>
            </w:pPr>
          </w:p>
        </w:tc>
        <w:tc>
          <w:tcPr>
            <w:tcW w:w="1494" w:type="dxa"/>
            <w:noWrap/>
          </w:tcPr>
          <w:p w14:paraId="5AB7BFE6" w14:textId="77777777" w:rsidR="00D13C36" w:rsidRPr="00E673DC" w:rsidRDefault="00D13C36" w:rsidP="008F526A">
            <w:pPr>
              <w:spacing w:after="160" w:line="259" w:lineRule="auto"/>
              <w:jc w:val="both"/>
              <w:cnfStyle w:val="000000100000" w:firstRow="0" w:lastRow="0" w:firstColumn="0" w:lastColumn="0" w:oddVBand="0" w:evenVBand="0" w:oddHBand="1" w:evenHBand="0" w:firstRowFirstColumn="0" w:firstRowLastColumn="0" w:lastRowFirstColumn="0" w:lastRowLastColumn="0"/>
              <w:rPr>
                <w:i/>
                <w:iCs/>
                <w:lang w:val="en-GB"/>
              </w:rPr>
            </w:pPr>
          </w:p>
        </w:tc>
        <w:tc>
          <w:tcPr>
            <w:tcW w:w="1494" w:type="dxa"/>
            <w:noWrap/>
          </w:tcPr>
          <w:p w14:paraId="5649B72A" w14:textId="77777777" w:rsidR="00D13C36" w:rsidRPr="00E673DC" w:rsidRDefault="00D13C36" w:rsidP="008F526A">
            <w:pPr>
              <w:spacing w:after="160" w:line="259" w:lineRule="auto"/>
              <w:jc w:val="both"/>
              <w:cnfStyle w:val="000000100000" w:firstRow="0" w:lastRow="0" w:firstColumn="0" w:lastColumn="0" w:oddVBand="0" w:evenVBand="0" w:oddHBand="1" w:evenHBand="0" w:firstRowFirstColumn="0" w:firstRowLastColumn="0" w:lastRowFirstColumn="0" w:lastRowLastColumn="0"/>
              <w:rPr>
                <w:i/>
                <w:iCs/>
                <w:lang w:val="en-GB"/>
              </w:rPr>
            </w:pPr>
          </w:p>
        </w:tc>
        <w:tc>
          <w:tcPr>
            <w:tcW w:w="1495" w:type="dxa"/>
            <w:noWrap/>
          </w:tcPr>
          <w:p w14:paraId="6504B394" w14:textId="77777777" w:rsidR="00D13C36" w:rsidRPr="00E673DC" w:rsidRDefault="00D13C36" w:rsidP="008F526A">
            <w:pPr>
              <w:spacing w:after="160" w:line="259" w:lineRule="auto"/>
              <w:jc w:val="both"/>
              <w:cnfStyle w:val="000000100000" w:firstRow="0" w:lastRow="0" w:firstColumn="0" w:lastColumn="0" w:oddVBand="0" w:evenVBand="0" w:oddHBand="1" w:evenHBand="0" w:firstRowFirstColumn="0" w:firstRowLastColumn="0" w:lastRowFirstColumn="0" w:lastRowLastColumn="0"/>
              <w:rPr>
                <w:i/>
                <w:iCs/>
                <w:lang w:val="en-GB"/>
              </w:rPr>
            </w:pPr>
          </w:p>
        </w:tc>
        <w:tc>
          <w:tcPr>
            <w:tcW w:w="1864" w:type="dxa"/>
          </w:tcPr>
          <w:p w14:paraId="006A0F22" w14:textId="77777777" w:rsidR="00D13C36" w:rsidRPr="00E673DC" w:rsidRDefault="00D13C36" w:rsidP="008F526A">
            <w:pPr>
              <w:spacing w:after="160" w:line="259" w:lineRule="auto"/>
              <w:jc w:val="both"/>
              <w:cnfStyle w:val="000000100000" w:firstRow="0" w:lastRow="0" w:firstColumn="0" w:lastColumn="0" w:oddVBand="0" w:evenVBand="0" w:oddHBand="1" w:evenHBand="0" w:firstRowFirstColumn="0" w:firstRowLastColumn="0" w:lastRowFirstColumn="0" w:lastRowLastColumn="0"/>
              <w:rPr>
                <w:i/>
                <w:iCs/>
                <w:lang w:val="en-GB"/>
              </w:rPr>
            </w:pPr>
          </w:p>
        </w:tc>
      </w:tr>
      <w:tr w:rsidR="008F44B7" w:rsidRPr="00E673DC" w14:paraId="6B769C6A" w14:textId="77777777" w:rsidTr="002D4B1E">
        <w:trPr>
          <w:trHeight w:val="470"/>
          <w:jc w:val="center"/>
        </w:trPr>
        <w:tc>
          <w:tcPr>
            <w:cnfStyle w:val="001000000000" w:firstRow="0" w:lastRow="0" w:firstColumn="1" w:lastColumn="0" w:oddVBand="0" w:evenVBand="0" w:oddHBand="0" w:evenHBand="0" w:firstRowFirstColumn="0" w:firstRowLastColumn="0" w:lastRowFirstColumn="0" w:lastRowLastColumn="0"/>
            <w:tcW w:w="2771" w:type="dxa"/>
            <w:noWrap/>
            <w:hideMark/>
          </w:tcPr>
          <w:p w14:paraId="667458CF" w14:textId="6B92CE88" w:rsidR="00D13C36" w:rsidRPr="00E673DC" w:rsidRDefault="00D13C36" w:rsidP="002A3B4D">
            <w:pPr>
              <w:spacing w:after="160" w:line="259" w:lineRule="auto"/>
              <w:ind w:firstLine="0"/>
              <w:jc w:val="both"/>
              <w:rPr>
                <w:lang w:val="en-GB"/>
              </w:rPr>
            </w:pPr>
            <w:r w:rsidRPr="00E673DC">
              <w:rPr>
                <w:b w:val="0"/>
                <w:bCs w:val="0"/>
                <w:lang w:val="en-GB"/>
              </w:rPr>
              <w:t>GHP&gt;GIB&gt;OCBE</w:t>
            </w:r>
          </w:p>
        </w:tc>
        <w:tc>
          <w:tcPr>
            <w:tcW w:w="1494" w:type="dxa"/>
            <w:noWrap/>
            <w:vAlign w:val="center"/>
            <w:hideMark/>
          </w:tcPr>
          <w:p w14:paraId="187FDC70" w14:textId="77777777" w:rsidR="00D13C36" w:rsidRPr="00E673DC" w:rsidRDefault="00D13C36" w:rsidP="002A3B4D">
            <w:pPr>
              <w:spacing w:after="160" w:line="259" w:lineRule="auto"/>
              <w:ind w:firstLine="0"/>
              <w:jc w:val="both"/>
              <w:cnfStyle w:val="000000000000" w:firstRow="0" w:lastRow="0" w:firstColumn="0" w:lastColumn="0" w:oddVBand="0" w:evenVBand="0" w:oddHBand="0" w:evenHBand="0" w:firstRowFirstColumn="0" w:firstRowLastColumn="0" w:lastRowFirstColumn="0" w:lastRowLastColumn="0"/>
              <w:rPr>
                <w:lang w:val="en-GB"/>
              </w:rPr>
            </w:pPr>
            <w:r w:rsidRPr="00E673DC">
              <w:rPr>
                <w:lang w:val="en-GB"/>
              </w:rPr>
              <w:t xml:space="preserve">0.421 </w:t>
            </w:r>
          </w:p>
        </w:tc>
        <w:tc>
          <w:tcPr>
            <w:tcW w:w="1494" w:type="dxa"/>
            <w:noWrap/>
            <w:hideMark/>
          </w:tcPr>
          <w:p w14:paraId="7C3862FD" w14:textId="77777777" w:rsidR="00D13C36" w:rsidRPr="00E673DC" w:rsidRDefault="00D13C36" w:rsidP="002A3B4D">
            <w:pPr>
              <w:spacing w:after="160" w:line="259" w:lineRule="auto"/>
              <w:ind w:firstLine="0"/>
              <w:jc w:val="both"/>
              <w:cnfStyle w:val="000000000000" w:firstRow="0" w:lastRow="0" w:firstColumn="0" w:lastColumn="0" w:oddVBand="0" w:evenVBand="0" w:oddHBand="0" w:evenHBand="0" w:firstRowFirstColumn="0" w:firstRowLastColumn="0" w:lastRowFirstColumn="0" w:lastRowLastColumn="0"/>
              <w:rPr>
                <w:lang w:val="en-GB"/>
              </w:rPr>
            </w:pPr>
            <w:r w:rsidRPr="00E673DC">
              <w:rPr>
                <w:lang w:val="en-GB"/>
              </w:rPr>
              <w:t>0.081</w:t>
            </w:r>
          </w:p>
        </w:tc>
        <w:tc>
          <w:tcPr>
            <w:tcW w:w="1494" w:type="dxa"/>
            <w:noWrap/>
            <w:vAlign w:val="center"/>
            <w:hideMark/>
          </w:tcPr>
          <w:p w14:paraId="1A3A8DDB" w14:textId="77777777" w:rsidR="00D13C36" w:rsidRPr="00E673DC" w:rsidRDefault="00D13C36" w:rsidP="002A3B4D">
            <w:pPr>
              <w:spacing w:after="160" w:line="259" w:lineRule="auto"/>
              <w:ind w:firstLine="0"/>
              <w:jc w:val="both"/>
              <w:cnfStyle w:val="000000000000" w:firstRow="0" w:lastRow="0" w:firstColumn="0" w:lastColumn="0" w:oddVBand="0" w:evenVBand="0" w:oddHBand="0" w:evenHBand="0" w:firstRowFirstColumn="0" w:firstRowLastColumn="0" w:lastRowFirstColumn="0" w:lastRowLastColumn="0"/>
              <w:rPr>
                <w:lang w:val="en-GB"/>
              </w:rPr>
            </w:pPr>
            <w:r w:rsidRPr="00E673DC">
              <w:rPr>
                <w:lang w:val="en-GB"/>
              </w:rPr>
              <w:t xml:space="preserve">5.175 </w:t>
            </w:r>
          </w:p>
        </w:tc>
        <w:tc>
          <w:tcPr>
            <w:tcW w:w="1495" w:type="dxa"/>
            <w:noWrap/>
            <w:vAlign w:val="center"/>
            <w:hideMark/>
          </w:tcPr>
          <w:p w14:paraId="5360CD78" w14:textId="77777777" w:rsidR="00D13C36" w:rsidRPr="00E673DC" w:rsidRDefault="00D13C36" w:rsidP="002A3B4D">
            <w:pPr>
              <w:spacing w:after="160" w:line="259" w:lineRule="auto"/>
              <w:ind w:firstLine="0"/>
              <w:jc w:val="both"/>
              <w:cnfStyle w:val="000000000000" w:firstRow="0" w:lastRow="0" w:firstColumn="0" w:lastColumn="0" w:oddVBand="0" w:evenVBand="0" w:oddHBand="0" w:evenHBand="0" w:firstRowFirstColumn="0" w:firstRowLastColumn="0" w:lastRowFirstColumn="0" w:lastRowLastColumn="0"/>
              <w:rPr>
                <w:lang w:val="en-GB"/>
              </w:rPr>
            </w:pPr>
            <w:r w:rsidRPr="00E673DC">
              <w:rPr>
                <w:lang w:val="en-GB"/>
              </w:rPr>
              <w:t xml:space="preserve">0.000 </w:t>
            </w:r>
          </w:p>
        </w:tc>
        <w:tc>
          <w:tcPr>
            <w:tcW w:w="1864" w:type="dxa"/>
            <w:hideMark/>
          </w:tcPr>
          <w:p w14:paraId="43B7564D" w14:textId="77777777" w:rsidR="00D13C36" w:rsidRPr="00E673DC" w:rsidRDefault="00D13C36" w:rsidP="002A3B4D">
            <w:pPr>
              <w:spacing w:after="160" w:line="259" w:lineRule="auto"/>
              <w:ind w:firstLine="0"/>
              <w:jc w:val="both"/>
              <w:cnfStyle w:val="000000000000" w:firstRow="0" w:lastRow="0" w:firstColumn="0" w:lastColumn="0" w:oddVBand="0" w:evenVBand="0" w:oddHBand="0" w:evenHBand="0" w:firstRowFirstColumn="0" w:firstRowLastColumn="0" w:lastRowFirstColumn="0" w:lastRowLastColumn="0"/>
              <w:rPr>
                <w:lang w:val="en-GB"/>
              </w:rPr>
            </w:pPr>
            <w:r w:rsidRPr="00E673DC">
              <w:rPr>
                <w:lang w:val="en-GB"/>
              </w:rPr>
              <w:t>Supported</w:t>
            </w:r>
          </w:p>
        </w:tc>
      </w:tr>
    </w:tbl>
    <w:p w14:paraId="405B838C" w14:textId="77777777" w:rsidR="00D13C36" w:rsidRPr="00E673DC" w:rsidRDefault="00D13C36" w:rsidP="00D13C36">
      <w:pPr>
        <w:rPr>
          <w:lang w:val="en-GB"/>
        </w:rPr>
      </w:pPr>
    </w:p>
    <w:p w14:paraId="11D26136" w14:textId="77777777" w:rsidR="00D13C36" w:rsidRPr="00E673DC" w:rsidRDefault="00D13C36" w:rsidP="00D13C36">
      <w:pPr>
        <w:tabs>
          <w:tab w:val="left" w:pos="3048"/>
        </w:tabs>
        <w:rPr>
          <w:lang w:val="en-GB"/>
        </w:rPr>
      </w:pPr>
    </w:p>
    <w:p w14:paraId="4EE815CE" w14:textId="77777777" w:rsidR="00D13C36" w:rsidRPr="00E673DC" w:rsidRDefault="00D13C36" w:rsidP="002A3B4D">
      <w:pPr>
        <w:keepNext/>
        <w:tabs>
          <w:tab w:val="left" w:pos="3048"/>
        </w:tabs>
        <w:ind w:firstLine="0"/>
        <w:jc w:val="center"/>
        <w:rPr>
          <w:lang w:val="en-GB"/>
        </w:rPr>
      </w:pPr>
      <w:r w:rsidRPr="00E673DC">
        <w:rPr>
          <w:noProof/>
          <w:lang w:val="en-GB"/>
          <w14:ligatures w14:val="standardContextual"/>
        </w:rPr>
        <w:drawing>
          <wp:inline distT="0" distB="0" distL="0" distR="0" wp14:anchorId="7CFEEC3E" wp14:editId="5ABA0BAB">
            <wp:extent cx="5935980" cy="1790700"/>
            <wp:effectExtent l="0" t="0" r="7620" b="0"/>
            <wp:docPr id="111915756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9157560" name="Picture 1119157560"/>
                    <pic:cNvPicPr/>
                  </pic:nvPicPr>
                  <pic:blipFill>
                    <a:blip r:embed="rId18">
                      <a:extLst>
                        <a:ext uri="{28A0092B-C50C-407E-A947-70E740481C1C}">
                          <a14:useLocalDpi xmlns:a14="http://schemas.microsoft.com/office/drawing/2010/main" val="0"/>
                        </a:ext>
                      </a:extLst>
                    </a:blip>
                    <a:stretch>
                      <a:fillRect/>
                    </a:stretch>
                  </pic:blipFill>
                  <pic:spPr>
                    <a:xfrm>
                      <a:off x="0" y="0"/>
                      <a:ext cx="5935980" cy="1790700"/>
                    </a:xfrm>
                    <a:prstGeom prst="rect">
                      <a:avLst/>
                    </a:prstGeom>
                  </pic:spPr>
                </pic:pic>
              </a:graphicData>
            </a:graphic>
          </wp:inline>
        </w:drawing>
      </w:r>
    </w:p>
    <w:p w14:paraId="38995ABA" w14:textId="77777777" w:rsidR="00D13C36" w:rsidRPr="00E673DC" w:rsidRDefault="00D13C36" w:rsidP="00FE455D">
      <w:pPr>
        <w:pStyle w:val="Caption"/>
        <w:rPr>
          <w:lang w:val="en-GB"/>
        </w:rPr>
      </w:pPr>
      <w:bookmarkStart w:id="44" w:name="_Toc193015506"/>
      <w:r w:rsidRPr="00E673DC">
        <w:rPr>
          <w:lang w:val="en-GB"/>
        </w:rPr>
        <w:t xml:space="preserve">Figure </w:t>
      </w:r>
      <w:r w:rsidRPr="00E673DC">
        <w:rPr>
          <w:lang w:val="en-GB"/>
        </w:rPr>
        <w:fldChar w:fldCharType="begin"/>
      </w:r>
      <w:r w:rsidRPr="00E673DC">
        <w:rPr>
          <w:lang w:val="en-GB"/>
        </w:rPr>
        <w:instrText xml:space="preserve"> SEQ Figure \* ARABIC </w:instrText>
      </w:r>
      <w:r w:rsidRPr="00E673DC">
        <w:rPr>
          <w:lang w:val="en-GB"/>
        </w:rPr>
        <w:fldChar w:fldCharType="separate"/>
      </w:r>
      <w:r w:rsidRPr="00E673DC">
        <w:rPr>
          <w:noProof/>
          <w:lang w:val="en-GB"/>
        </w:rPr>
        <w:t>3</w:t>
      </w:r>
      <w:r w:rsidRPr="00E673DC">
        <w:rPr>
          <w:noProof/>
          <w:lang w:val="en-GB"/>
        </w:rPr>
        <w:fldChar w:fldCharType="end"/>
      </w:r>
      <w:r w:rsidRPr="00E673DC">
        <w:rPr>
          <w:lang w:val="en-GB"/>
        </w:rPr>
        <w:t>: Structural Model 2</w:t>
      </w:r>
      <w:bookmarkEnd w:id="44"/>
    </w:p>
    <w:p w14:paraId="6E3A51B5" w14:textId="77777777" w:rsidR="00D13C36" w:rsidRPr="00E673DC" w:rsidRDefault="00D13C36" w:rsidP="00D13C36">
      <w:pPr>
        <w:tabs>
          <w:tab w:val="left" w:pos="3048"/>
        </w:tabs>
        <w:rPr>
          <w:lang w:val="en-GB"/>
        </w:rPr>
      </w:pPr>
    </w:p>
    <w:bookmarkEnd w:id="16"/>
    <w:p w14:paraId="279C558D" w14:textId="77777777" w:rsidR="009916C6" w:rsidRPr="00E673DC" w:rsidRDefault="009916C6" w:rsidP="009916C6">
      <w:pPr>
        <w:spacing w:before="0" w:beforeAutospacing="0"/>
        <w:ind w:firstLine="0"/>
        <w:rPr>
          <w:lang w:val="en-GB"/>
        </w:rPr>
      </w:pPr>
    </w:p>
    <w:p w14:paraId="3FCA7868" w14:textId="77777777" w:rsidR="009916C6" w:rsidRPr="00E673DC" w:rsidRDefault="009916C6" w:rsidP="009916C6">
      <w:pPr>
        <w:spacing w:before="0" w:beforeAutospacing="0"/>
        <w:rPr>
          <w:lang w:val="en-GB"/>
        </w:rPr>
      </w:pPr>
    </w:p>
    <w:p w14:paraId="0CD17BB3" w14:textId="77777777" w:rsidR="009916C6" w:rsidRPr="00E673DC" w:rsidRDefault="009916C6" w:rsidP="009916C6">
      <w:pPr>
        <w:spacing w:before="0" w:beforeAutospacing="0"/>
        <w:rPr>
          <w:lang w:val="en-GB"/>
        </w:rPr>
      </w:pPr>
    </w:p>
    <w:p w14:paraId="281A1A1B" w14:textId="77777777" w:rsidR="009916C6" w:rsidRPr="00E673DC" w:rsidRDefault="009916C6" w:rsidP="009916C6">
      <w:pPr>
        <w:spacing w:before="0" w:beforeAutospacing="0"/>
        <w:rPr>
          <w:lang w:val="en-GB"/>
        </w:rPr>
      </w:pPr>
    </w:p>
    <w:p w14:paraId="53CE6C13" w14:textId="4642A4AF" w:rsidR="009916C6" w:rsidRPr="00E673DC" w:rsidRDefault="009916C6" w:rsidP="009916C6">
      <w:pPr>
        <w:spacing w:before="0" w:beforeAutospacing="0"/>
        <w:rPr>
          <w:lang w:val="en-GB"/>
        </w:rPr>
      </w:pPr>
    </w:p>
    <w:p w14:paraId="296ED9D2" w14:textId="3114E899" w:rsidR="009916C6" w:rsidRPr="00E673DC" w:rsidRDefault="009916C6" w:rsidP="009916C6">
      <w:pPr>
        <w:spacing w:before="0" w:beforeAutospacing="0"/>
        <w:rPr>
          <w:lang w:val="en-GB"/>
        </w:rPr>
      </w:pPr>
    </w:p>
    <w:p w14:paraId="41FB28A1" w14:textId="1CA728A1" w:rsidR="009916C6" w:rsidRPr="00E673DC" w:rsidRDefault="009916C6" w:rsidP="00580EFD">
      <w:pPr>
        <w:spacing w:before="0" w:beforeAutospacing="0"/>
        <w:rPr>
          <w:lang w:val="en-GB"/>
        </w:rPr>
      </w:pPr>
    </w:p>
    <w:p w14:paraId="0D697502" w14:textId="7FB42DEC" w:rsidR="008F44B7" w:rsidRPr="00E673DC" w:rsidRDefault="00580EFD" w:rsidP="00007936">
      <w:pPr>
        <w:pStyle w:val="Heading1"/>
        <w:ind w:left="0" w:firstLine="0"/>
        <w:rPr>
          <w:lang w:val="en-GB"/>
        </w:rPr>
      </w:pPr>
      <w:r w:rsidRPr="00E673DC">
        <w:rPr>
          <w:lang w:val="en-GB"/>
        </w:rPr>
        <w:br w:type="page"/>
      </w:r>
      <w:bookmarkStart w:id="45" w:name="_Toc197952410"/>
      <w:r w:rsidR="002D4B1E" w:rsidRPr="00E673DC">
        <w:rPr>
          <w:lang w:val="en-GB"/>
        </w:rPr>
        <w:lastRenderedPageBreak/>
        <w:t>Discussion</w:t>
      </w:r>
      <w:bookmarkEnd w:id="45"/>
    </w:p>
    <w:p w14:paraId="25539D7F" w14:textId="38CE3257" w:rsidR="008F44B7" w:rsidRPr="00E673DC" w:rsidRDefault="008F44B7" w:rsidP="00D77795">
      <w:pPr>
        <w:ind w:firstLine="720"/>
        <w:rPr>
          <w:lang w:val="en-GB"/>
        </w:rPr>
      </w:pPr>
      <w:r w:rsidRPr="00E673DC">
        <w:rPr>
          <w:lang w:val="en-GB"/>
        </w:rPr>
        <w:t xml:space="preserve">A conceptual model has been developed that integrates GHRM practices with GIB to </w:t>
      </w:r>
      <w:r w:rsidR="00A61F6A">
        <w:rPr>
          <w:lang w:val="en-GB"/>
        </w:rPr>
        <w:t>optimis</w:t>
      </w:r>
      <w:r w:rsidRPr="00E673DC">
        <w:rPr>
          <w:lang w:val="en-GB"/>
        </w:rPr>
        <w:t xml:space="preserve">e OCBE in the workplace. This model aims to provide valuable insights </w:t>
      </w:r>
      <w:r w:rsidR="00697E8C">
        <w:rPr>
          <w:lang w:val="en-GB"/>
        </w:rPr>
        <w:t xml:space="preserve">for </w:t>
      </w:r>
      <w:r w:rsidRPr="00E673DC">
        <w:rPr>
          <w:lang w:val="en-GB"/>
        </w:rPr>
        <w:t>governmental organisations, enabling them to strategically align GHRM practices and GIB to enhance their OCBE and achieve a competitive advantage. Upon reviewing the literature on GHRM, two specific practices were identified: GL&amp;D and GR&amp;C. Subsequently, the influence of GHRM on OCBE was evaluated. The analysis demonstrates that GHRM practices, combined with GL&amp;D and GR&amp;C</w:t>
      </w:r>
      <w:r w:rsidR="00697E8C">
        <w:rPr>
          <w:lang w:val="en-GB"/>
        </w:rPr>
        <w:t>,</w:t>
      </w:r>
      <w:r w:rsidRPr="00E673DC">
        <w:rPr>
          <w:lang w:val="en-GB"/>
        </w:rPr>
        <w:t xml:space="preserve"> strongly and positively affect an individual</w:t>
      </w:r>
      <w:r w:rsidR="00697E8C">
        <w:rPr>
          <w:lang w:val="en-GB"/>
        </w:rPr>
        <w:t>'</w:t>
      </w:r>
      <w:r w:rsidRPr="00E673DC">
        <w:rPr>
          <w:lang w:val="en-GB"/>
        </w:rPr>
        <w:t>s OCBE</w:t>
      </w:r>
      <w:r w:rsidR="00697E8C">
        <w:rPr>
          <w:lang w:val="en-GB"/>
        </w:rPr>
        <w:t>,</w:t>
      </w:r>
      <w:r w:rsidR="00B02EB0" w:rsidRPr="00E673DC">
        <w:rPr>
          <w:lang w:val="en-GB"/>
        </w:rPr>
        <w:t xml:space="preserve"> which leads to the acceptance of H1a and H1b</w:t>
      </w:r>
      <w:r w:rsidRPr="00E673DC">
        <w:rPr>
          <w:lang w:val="en-GB"/>
        </w:rPr>
        <w:t xml:space="preserve">. These observations align with the findings of Silvester et al. </w:t>
      </w:r>
      <w:r w:rsidRPr="00E673DC">
        <w:rPr>
          <w:lang w:val="en-GB"/>
        </w:rPr>
        <w:fldChar w:fldCharType="begin"/>
      </w:r>
      <w:r w:rsidRPr="00E673DC">
        <w:rPr>
          <w:lang w:val="en-GB"/>
        </w:rPr>
        <w:instrText xml:space="preserve"> ADDIN ZOTERO_ITEM CSL_CITATION {"citationID":"u63WjwE8","properties":{"formattedCitation":"(2019)","plainCitation":"(2019)","noteIndex":0},"citationItems":[{"id":70,"uris":["http://zotero.org/users/local/TOdoVrPG/items/PVGACJ4P"],"itemData":{"id":70,"type":"article-journal","abstract":"The successful implementation of green HRM practices in the organizations may pivot on organizational citizenship behavior toward environment (OCBE) among employees. Green HRM practices are foreseen to build organizations that accentuate environmental, dwell on human assets and recruit employees with profound knowledge regarding the environment, grant skills and competencies training in the technology and innovation sectors as well as offering rewards and compensations to produce a flourishing environmental management. The purpose of this research is to study the relationship between green HRM practices and OCBE among employees. Data of this study has been gathered through survey. Questionnaire was distributed among the employees in Company Y, Petaling Jaya, Selangor to collect data for analysis purpose. The findings of this study indicates that there is a significant relationship between green HRM practices and OCBE among the employees in Company Y. The findings also emphasize that green reward and compensation most strongly contribute to OCBE. The results of this study can assist Company Y to identify the importance of green reward and compensation in influencing OCBE. In conclusion, green HRM practices are applied in a moderate level to encourage OCBE among employees in Company Y.","container-title":"Journal of Management and Operation Research","issue":"18","journalAbbreviation":"Journal of Management and Operation Research","language":"en","page":"1 - 7","source":"Zotero","title":"The Relationship between Green HRM Practices and Organizational Citizenship Behavior toward Environment (OCBE)","URL":"https://d1wqtxts1xzle7.cloudfront.net/79000232/JoMOR-2019-VOL-1-NO-18-1-libre.pdf?1642470003=&amp;response-content-disposition=inline%3B+filename%3DThe_Relationship_between_Green_HRM_Pract.pdf&amp;Expires=1737015455&amp;Signature=ZvxEn5pOyxJmbaXFR5MLivJSH2IcmHL3pNUIEYeIx48SDKkMNDMtcYewkuul0bX5YZF-d9QGzvPMeDYtoObuONDOvd2Apv0-onUWZbusCVbO1AvGqiZn59FEb8Xghufr41GnfgZvNsCRO8WC~dq5dXxflxyHT3ixLHl0oMXNMg~5EaD5HrLw9pjrYw3gpaLo2ehzEgmGj~~hq3fttIayiv6uSITDOzTPhq6GjyU1OXmS3NDFr4m4-EJn8feE34O25U0Ss0mbcswgqGRDIJz39oF8ocieijIzHrvaS8c7tpUYi9fuPW26dah7BOmE2Op53eWmGyCDaPa2M51OPvqdww__&amp;Key-Pair-Id=APKAJLOHF5GGSLRBV4ZA","volume":"1","author":[{"family":"Silvester","given":"Yahshini"},{"family":"Sarip","given":"Azlineer"},{"family":"Hassan","given":"Mohamed Ayyub"}],"issued":{"date-parts":[["2019"]]}},"suppress-author":true}],"schema":"https://github.com/citation-style-language/schema/raw/master/csl-citation.json"} </w:instrText>
      </w:r>
      <w:r w:rsidRPr="00E673DC">
        <w:rPr>
          <w:lang w:val="en-GB"/>
        </w:rPr>
        <w:fldChar w:fldCharType="separate"/>
      </w:r>
      <w:r w:rsidRPr="00E673DC">
        <w:rPr>
          <w:lang w:val="en-GB"/>
        </w:rPr>
        <w:t>(2019)</w:t>
      </w:r>
      <w:r w:rsidRPr="00E673DC">
        <w:rPr>
          <w:lang w:val="en-GB"/>
        </w:rPr>
        <w:fldChar w:fldCharType="end"/>
      </w:r>
      <w:r w:rsidRPr="00E673DC">
        <w:rPr>
          <w:lang w:val="en-GB"/>
        </w:rPr>
        <w:t xml:space="preserve">, which indicated that GHRM practices primarily enhance OCBE within an </w:t>
      </w:r>
      <w:r w:rsidR="00DC79D6">
        <w:rPr>
          <w:lang w:val="en-GB"/>
        </w:rPr>
        <w:t>organis</w:t>
      </w:r>
      <w:r w:rsidRPr="00E673DC">
        <w:rPr>
          <w:lang w:val="en-GB"/>
        </w:rPr>
        <w:t xml:space="preserve">ation and </w:t>
      </w:r>
      <w:r w:rsidR="00697E8C">
        <w:rPr>
          <w:lang w:val="en-GB"/>
        </w:rPr>
        <w:t xml:space="preserve">that </w:t>
      </w:r>
      <w:r w:rsidRPr="00E673DC">
        <w:rPr>
          <w:lang w:val="en-GB"/>
        </w:rPr>
        <w:t xml:space="preserve">GR&amp;C </w:t>
      </w:r>
      <w:r w:rsidR="00A61F6A">
        <w:rPr>
          <w:lang w:val="en-GB"/>
        </w:rPr>
        <w:t>is</w:t>
      </w:r>
      <w:r w:rsidRPr="00E673DC">
        <w:rPr>
          <w:lang w:val="en-GB"/>
        </w:rPr>
        <w:t xml:space="preserve"> implemented to increase employees' awareness and involvement. The results are also consistent with Mostafa </w:t>
      </w:r>
      <w:r w:rsidR="00697E8C">
        <w:rPr>
          <w:lang w:val="en-GB"/>
        </w:rPr>
        <w:t>and</w:t>
      </w:r>
      <w:r w:rsidRPr="00E673DC">
        <w:rPr>
          <w:lang w:val="en-GB"/>
        </w:rPr>
        <w:t xml:space="preserve"> Saleh </w:t>
      </w:r>
      <w:r w:rsidRPr="00E673DC">
        <w:rPr>
          <w:lang w:val="en-GB"/>
        </w:rPr>
        <w:fldChar w:fldCharType="begin"/>
      </w:r>
      <w:r w:rsidR="00E72F10" w:rsidRPr="00E673DC">
        <w:rPr>
          <w:lang w:val="en-GB"/>
        </w:rPr>
        <w:instrText xml:space="preserve"> ADDIN ZOTERO_ITEM CSL_CITATION {"citationID":"ycpzpeZU","properties":{"formattedCitation":"(2023)","plainCitation":"(2023)","noteIndex":0},"citationItems":[{"id":67,"uris":["http://zotero.org/users/local/TOdoVrPG/items/T5ESCEI5"],"itemData":{"id":67,"type":"article-journal","abstract":"In an era of green environmental awareness, Green Human Resources Management (GHRM) uses human resources management practices to support green environmental functions. It embraces green environmental concerns by applying human resources initiatives to generate high performance and better efficiency in operations. Although the literature on GHRM is growing, a few studies investigated to what extent green innovative culture (GIC) moderates the relationship between green human resources management practices and organizational citizenship behavior towards the environment (OCBE). To address this research gap, the authors tested a new conceptual framework investigating the direct and interactive effects of GHRM practices and GIC on OCBE. A quantitative study uses a survey from a 174 convenient sample of employees selected from a manufacturing firm operating in Egypt. The research results revealed that (1) GHRM practices are crucial for encouraging employees to engage in green activities, in addition (2) there is a significant positive effect of GHRM practices on OCBE, while on the other hand, (3) the interaction of GHRM and GIC can foster employees’ engagement in OCBE. The research significance lies in identifying and validating the GHRM practices applied in the manufacturing firm, as it advances the previous studies by developing a research model that offers critical insights on how manufacturing organizations working in industrial and agricultural packaging solutions could strategically link their GHRM practices and green innovative culture to support their OCBE in creating a competitive advantage in the market.","container-title":"International Business Research","DOI":"10.5539/ibr.v16n4p15","ISSN":"1913-9012, 1913-9004","issue":"4","journalAbbreviation":"IBR","language":"en","license":"https://creativecommons.org/licenses/by/4.0","page":"15","source":"DOI.org (Crossref)","title":"The Relationship between Green Human Resource Management Practices and Organizational Citizenship Behavior","URL":"https://ccsenet.org/journal/index.php/ibr/article/view/0/48544","volume":"16","author":[{"family":"Mostafa","given":"Bassant Adel"},{"family":"Saleh","given":"Reham Saber"}],"accessed":{"date-parts":[["2024",10,16]]},"issued":{"date-parts":[["2023"]]}},"suppress-author":true}],"schema":"https://github.com/citation-style-language/schema/raw/master/csl-citation.json"} </w:instrText>
      </w:r>
      <w:r w:rsidRPr="00E673DC">
        <w:rPr>
          <w:lang w:val="en-GB"/>
        </w:rPr>
        <w:fldChar w:fldCharType="separate"/>
      </w:r>
      <w:r w:rsidRPr="00E673DC">
        <w:rPr>
          <w:lang w:val="en-GB"/>
        </w:rPr>
        <w:t>(2023)</w:t>
      </w:r>
      <w:r w:rsidRPr="00E673DC">
        <w:rPr>
          <w:lang w:val="en-GB"/>
        </w:rPr>
        <w:fldChar w:fldCharType="end"/>
      </w:r>
      <w:r w:rsidR="00697E8C">
        <w:rPr>
          <w:lang w:val="en-GB"/>
        </w:rPr>
        <w:t>,</w:t>
      </w:r>
      <w:r w:rsidRPr="00E673DC">
        <w:rPr>
          <w:lang w:val="en-GB"/>
        </w:rPr>
        <w:t xml:space="preserve"> which indicated that GHRM practices have a positive impact on OCBE and play an important role in motivating employees to participate in green activities</w:t>
      </w:r>
      <w:r w:rsidR="00697E8C">
        <w:rPr>
          <w:lang w:val="en-GB"/>
        </w:rPr>
        <w:t xml:space="preserve">, </w:t>
      </w:r>
      <w:r w:rsidR="00E53AFC">
        <w:rPr>
          <w:lang w:val="en-GB"/>
        </w:rPr>
        <w:t>where</w:t>
      </w:r>
      <w:r w:rsidR="00833BA8" w:rsidRPr="00E673DC">
        <w:rPr>
          <w:lang w:val="en-GB"/>
        </w:rPr>
        <w:t xml:space="preserve"> these results </w:t>
      </w:r>
      <w:r w:rsidR="00E53AFC">
        <w:rPr>
          <w:lang w:val="en-GB"/>
        </w:rPr>
        <w:t xml:space="preserve">are </w:t>
      </w:r>
      <w:r w:rsidR="00833BA8" w:rsidRPr="00E673DC">
        <w:rPr>
          <w:lang w:val="en-GB"/>
        </w:rPr>
        <w:t xml:space="preserve">aligned with SLT, highlighting the significance of watching and imitating others' </w:t>
      </w:r>
      <w:r w:rsidR="00DC79D6">
        <w:rPr>
          <w:lang w:val="en-GB"/>
        </w:rPr>
        <w:t>behaviour</w:t>
      </w:r>
      <w:r w:rsidR="00833BA8" w:rsidRPr="00E673DC">
        <w:rPr>
          <w:lang w:val="en-GB"/>
        </w:rPr>
        <w:t>s, attitudes, and emotions.</w:t>
      </w:r>
      <w:r w:rsidRPr="00E673DC">
        <w:rPr>
          <w:lang w:val="en-GB"/>
        </w:rPr>
        <w:t xml:space="preserve"> Hence, we argue that government </w:t>
      </w:r>
      <w:r w:rsidR="00DC79D6">
        <w:rPr>
          <w:lang w:val="en-GB"/>
        </w:rPr>
        <w:t>organis</w:t>
      </w:r>
      <w:r w:rsidRPr="00E673DC">
        <w:rPr>
          <w:lang w:val="en-GB"/>
        </w:rPr>
        <w:t xml:space="preserve">ations who are adopting GHRM practices are most likely boosting </w:t>
      </w:r>
      <w:r w:rsidR="00697E8C">
        <w:rPr>
          <w:lang w:val="en-GB"/>
        </w:rPr>
        <w:t xml:space="preserve">the </w:t>
      </w:r>
      <w:r w:rsidRPr="00E673DC">
        <w:rPr>
          <w:lang w:val="en-GB"/>
        </w:rPr>
        <w:t>OCBE of their employees</w:t>
      </w:r>
      <w:r w:rsidR="00697E8C">
        <w:rPr>
          <w:lang w:val="en-GB"/>
        </w:rPr>
        <w:t>,</w:t>
      </w:r>
      <w:r w:rsidRPr="00E673DC">
        <w:rPr>
          <w:lang w:val="en-GB"/>
        </w:rPr>
        <w:t xml:space="preserve"> which leads them to perform duties and responsibilities beyond their prescribed ones.</w:t>
      </w:r>
    </w:p>
    <w:p w14:paraId="13CDD433" w14:textId="1D1B0AA7" w:rsidR="008F44B7" w:rsidRPr="00E673DC" w:rsidRDefault="008F44B7" w:rsidP="00D77795">
      <w:pPr>
        <w:ind w:firstLine="720"/>
        <w:rPr>
          <w:lang w:val="en-GB"/>
        </w:rPr>
      </w:pPr>
      <w:r w:rsidRPr="00E673DC">
        <w:rPr>
          <w:lang w:val="en-GB"/>
        </w:rPr>
        <w:t>Subsequently, the direct effect of GHRP on GIB has been evaluated. The evaluation demonstrates that the influence of GHRM practices on GIB is statistically significant and positive</w:t>
      </w:r>
      <w:r w:rsidR="00B02EB0" w:rsidRPr="00E673DC">
        <w:rPr>
          <w:lang w:val="en-GB"/>
        </w:rPr>
        <w:t>.</w:t>
      </w:r>
      <w:r w:rsidR="00B02EB0" w:rsidRPr="00E673DC">
        <w:rPr>
          <w:rFonts w:ascii="Lato-Regular" w:hAnsi="Lato-Regular" w:cs="Lato-Regular"/>
          <w:sz w:val="16"/>
          <w:szCs w:val="16"/>
          <w:lang w:val="en-GB"/>
        </w:rPr>
        <w:t xml:space="preserve"> </w:t>
      </w:r>
      <w:r w:rsidR="00B02EB0" w:rsidRPr="00E673DC">
        <w:rPr>
          <w:lang w:val="en-GB"/>
        </w:rPr>
        <w:t xml:space="preserve">The results support </w:t>
      </w:r>
      <w:r w:rsidR="00D579D9" w:rsidRPr="00E673DC">
        <w:rPr>
          <w:lang w:val="en-GB"/>
        </w:rPr>
        <w:t xml:space="preserve">the acceptance of </w:t>
      </w:r>
      <w:r w:rsidR="00B02EB0" w:rsidRPr="00E673DC">
        <w:rPr>
          <w:lang w:val="en-GB"/>
        </w:rPr>
        <w:t>H2a and H2b</w:t>
      </w:r>
      <w:r w:rsidRPr="00E673DC">
        <w:rPr>
          <w:lang w:val="en-GB"/>
        </w:rPr>
        <w:t xml:space="preserve">. This finding can be interpreted based on AMO theory. For example, employees participate in environmental initiatives when </w:t>
      </w:r>
      <w:r w:rsidRPr="00E673DC">
        <w:rPr>
          <w:lang w:val="en-GB"/>
        </w:rPr>
        <w:lastRenderedPageBreak/>
        <w:t xml:space="preserve">they receive comprehensive training </w:t>
      </w:r>
      <w:r w:rsidR="00A61F6A">
        <w:rPr>
          <w:lang w:val="en-GB"/>
        </w:rPr>
        <w:t>programmes</w:t>
      </w:r>
      <w:r w:rsidRPr="00E673DC">
        <w:rPr>
          <w:lang w:val="en-GB"/>
        </w:rPr>
        <w:t xml:space="preserve"> that advance the </w:t>
      </w:r>
      <w:r w:rsidR="00DC79D6">
        <w:rPr>
          <w:lang w:val="en-GB"/>
        </w:rPr>
        <w:t>organis</w:t>
      </w:r>
      <w:r w:rsidRPr="00E673DC">
        <w:rPr>
          <w:lang w:val="en-GB"/>
        </w:rPr>
        <w:t>ation's sustainability culture and objectives</w:t>
      </w:r>
      <w:r w:rsidR="00697E8C">
        <w:rPr>
          <w:lang w:val="en-GB"/>
        </w:rPr>
        <w:t>,</w:t>
      </w:r>
      <w:r w:rsidRPr="00E673DC">
        <w:rPr>
          <w:lang w:val="en-GB"/>
        </w:rPr>
        <w:t xml:space="preserve"> and enhance their ability to manage environment-related issues </w:t>
      </w:r>
      <w:r w:rsidRPr="00E673DC">
        <w:rPr>
          <w:lang w:val="en-GB"/>
        </w:rPr>
        <w:fldChar w:fldCharType="begin"/>
      </w:r>
      <w:r w:rsidRPr="00E673DC">
        <w:rPr>
          <w:lang w:val="en-GB"/>
        </w:rPr>
        <w:instrText xml:space="preserve"> ADDIN ZOTERO_ITEM CSL_CITATION {"citationID":"srYPpZ0k","properties":{"formattedCitation":"(Jackson et al., 2011)","plainCitation":"(Jackson et al., 2011)","noteIndex":0},"citationItems":[{"id":181,"uris":["http://zotero.org/users/local/TOdoVrPG/items/3YDJT624"],"itemData":{"id":181,"type":"article-journal","abstract":"The topic of environmental sustainability is generating increased concern among business executives, governments, consumers, and management scholars. As these stakeholders struggle with the challenges and opportunities presented by an array of environmental issues, HRM scholars and practitioners alike have been relatively slow to engage in the ongoing discussions and debates. Through this special issue on Green HRM, we seek to stimulate the field of HRM to expand its role in the pursuit of environmentally sustainable business. In this introduction to the special issue, we first provide an overview of the articles that appear in the special issue. Next we present a detailed discussion of research questions that arise from a consideration of several functional HRM practices, including performance management; training, development, and learning; compensation and rewards; and organizational culture. We conclude by describing opportunities for research at the intersection of strategic HRM and environmental management. If pursued with vigor, research addressing this extensive agenda could begin to establish a healthy field of Green HRM scholarship.","container-title":"German Journal of Human Resource Management: Zeitschrift für Personalforschung","DOI":"https://doi.org/10.1177/239700221102500203","journalAbbreviation":"German Journal of Human Resource Management: Zeitschrift für Personalforschung","language":"en","page":"99-116.","source":"Zotero","title":"State-of-the-Art and Future Directions for Green Human Resource Management: Introduction to the Special Issue","volume":"25(2)","author":[{"family":"Jackson","given":"Susan E."},{"family":"Renwick","given":"Douglas W. S."},{"family":"Jabbour","given":"Charbel J. C."},{"family":"Muller-Camen*","given":"Michael"}],"issued":{"date-parts":[["2011"]]}}}],"schema":"https://github.com/citation-style-language/schema/raw/master/csl-citation.json"} </w:instrText>
      </w:r>
      <w:r w:rsidRPr="00E673DC">
        <w:rPr>
          <w:lang w:val="en-GB"/>
        </w:rPr>
        <w:fldChar w:fldCharType="separate"/>
      </w:r>
      <w:r w:rsidRPr="00E673DC">
        <w:rPr>
          <w:lang w:val="en-GB"/>
        </w:rPr>
        <w:t>(Jackson et al., 2011)</w:t>
      </w:r>
      <w:r w:rsidRPr="00E673DC">
        <w:rPr>
          <w:lang w:val="en-GB"/>
        </w:rPr>
        <w:fldChar w:fldCharType="end"/>
      </w:r>
      <w:r w:rsidRPr="00E673DC">
        <w:rPr>
          <w:lang w:val="en-GB"/>
        </w:rPr>
        <w:t xml:space="preserve">. So, based on the analysis we argue that effective GHRM practices foster support and create a work environment that encourages sustainable solutions, suggesting that comprehensive HR practices enhance </w:t>
      </w:r>
      <w:r w:rsidR="00BA5CEE" w:rsidRPr="00E673DC">
        <w:rPr>
          <w:lang w:val="en-GB"/>
        </w:rPr>
        <w:t>GIB</w:t>
      </w:r>
      <w:r w:rsidRPr="00E673DC">
        <w:rPr>
          <w:lang w:val="en-GB"/>
        </w:rPr>
        <w:t>.</w:t>
      </w:r>
    </w:p>
    <w:p w14:paraId="5A5271CE" w14:textId="07AD54E7" w:rsidR="008F44B7" w:rsidRPr="00E673DC" w:rsidRDefault="008F44B7" w:rsidP="00D77795">
      <w:pPr>
        <w:ind w:firstLine="720"/>
        <w:rPr>
          <w:lang w:val="en-GB"/>
        </w:rPr>
      </w:pPr>
      <w:r w:rsidRPr="00E673DC">
        <w:rPr>
          <w:lang w:val="en-GB"/>
        </w:rPr>
        <w:t xml:space="preserve">In addition, the direct effect of GIB on OCBE has been assessed. The evaluation demonstrates that GIB is strongly and positively </w:t>
      </w:r>
      <w:r w:rsidR="00697E8C" w:rsidRPr="00E673DC">
        <w:rPr>
          <w:lang w:val="en-GB"/>
        </w:rPr>
        <w:t>affect</w:t>
      </w:r>
      <w:r w:rsidR="00E53AFC">
        <w:rPr>
          <w:lang w:val="en-GB"/>
        </w:rPr>
        <w:t>s</w:t>
      </w:r>
      <w:r w:rsidR="00697E8C" w:rsidRPr="00E673DC">
        <w:rPr>
          <w:lang w:val="en-GB"/>
        </w:rPr>
        <w:t xml:space="preserve"> </w:t>
      </w:r>
      <w:r w:rsidRPr="00E673DC">
        <w:rPr>
          <w:lang w:val="en-GB"/>
        </w:rPr>
        <w:t xml:space="preserve">OCBE. These findings are consistent with </w:t>
      </w:r>
      <w:r w:rsidR="00E53AFC">
        <w:rPr>
          <w:lang w:val="en-GB"/>
        </w:rPr>
        <w:t>those</w:t>
      </w:r>
      <w:r w:rsidRPr="00E673DC">
        <w:rPr>
          <w:lang w:val="en-GB"/>
        </w:rPr>
        <w:t xml:space="preserve"> of Mostafa </w:t>
      </w:r>
      <w:r w:rsidR="00697E8C">
        <w:rPr>
          <w:lang w:val="en-GB"/>
        </w:rPr>
        <w:t>and</w:t>
      </w:r>
      <w:r w:rsidRPr="00E673DC">
        <w:rPr>
          <w:lang w:val="en-GB"/>
        </w:rPr>
        <w:t xml:space="preserve"> Saleh </w:t>
      </w:r>
      <w:r w:rsidRPr="00E673DC">
        <w:rPr>
          <w:lang w:val="en-GB"/>
        </w:rPr>
        <w:fldChar w:fldCharType="begin"/>
      </w:r>
      <w:r w:rsidR="00E72F10" w:rsidRPr="00E673DC">
        <w:rPr>
          <w:lang w:val="en-GB"/>
        </w:rPr>
        <w:instrText xml:space="preserve"> ADDIN ZOTERO_ITEM CSL_CITATION {"citationID":"dTUWMPPX","properties":{"formattedCitation":"(2023)","plainCitation":"(2023)","noteIndex":0},"citationItems":[{"id":67,"uris":["http://zotero.org/users/local/TOdoVrPG/items/T5ESCEI5"],"itemData":{"id":67,"type":"article-journal","abstract":"In an era of green environmental awareness, Green Human Resources Management (GHRM) uses human resources management practices to support green environmental functions. It embraces green environmental concerns by applying human resources initiatives to generate high performance and better efficiency in operations. Although the literature on GHRM is growing, a few studies investigated to what extent green innovative culture (GIC) moderates the relationship between green human resources management practices and organizational citizenship behavior towards the environment (OCBE). To address this research gap, the authors tested a new conceptual framework investigating the direct and interactive effects of GHRM practices and GIC on OCBE. A quantitative study uses a survey from a 174 convenient sample of employees selected from a manufacturing firm operating in Egypt. The research results revealed that (1) GHRM practices are crucial for encouraging employees to engage in green activities, in addition (2) there is a significant positive effect of GHRM practices on OCBE, while on the other hand, (3) the interaction of GHRM and GIC can foster employees’ engagement in OCBE. The research significance lies in identifying and validating the GHRM practices applied in the manufacturing firm, as it advances the previous studies by developing a research model that offers critical insights on how manufacturing organizations working in industrial and agricultural packaging solutions could strategically link their GHRM practices and green innovative culture to support their OCBE in creating a competitive advantage in the market.","container-title":"International Business Research","DOI":"10.5539/ibr.v16n4p15","ISSN":"1913-9012, 1913-9004","issue":"4","journalAbbreviation":"IBR","language":"en","license":"https://creativecommons.org/licenses/by/4.0","page":"15","source":"DOI.org (Crossref)","title":"The Relationship between Green Human Resource Management Practices and Organizational Citizenship Behavior","URL":"https://ccsenet.org/journal/index.php/ibr/article/view/0/48544","volume":"16","author":[{"family":"Mostafa","given":"Bassant Adel"},{"family":"Saleh","given":"Reham Saber"}],"accessed":{"date-parts":[["2024",10,16]]},"issued":{"date-parts":[["2023"]]}},"suppress-author":true}],"schema":"https://github.com/citation-style-language/schema/raw/master/csl-citation.json"} </w:instrText>
      </w:r>
      <w:r w:rsidRPr="00E673DC">
        <w:rPr>
          <w:lang w:val="en-GB"/>
        </w:rPr>
        <w:fldChar w:fldCharType="separate"/>
      </w:r>
      <w:r w:rsidRPr="00E673DC">
        <w:rPr>
          <w:lang w:val="en-GB"/>
        </w:rPr>
        <w:t>(2023)</w:t>
      </w:r>
      <w:r w:rsidRPr="00E673DC">
        <w:rPr>
          <w:lang w:val="en-GB"/>
        </w:rPr>
        <w:fldChar w:fldCharType="end"/>
      </w:r>
      <w:r w:rsidR="00697E8C">
        <w:rPr>
          <w:lang w:val="en-GB"/>
        </w:rPr>
        <w:t>,</w:t>
      </w:r>
      <w:r w:rsidRPr="00E673DC">
        <w:rPr>
          <w:lang w:val="en-GB"/>
        </w:rPr>
        <w:t xml:space="preserve"> which stated that GIC (here</w:t>
      </w:r>
      <w:r w:rsidR="00E53AFC">
        <w:rPr>
          <w:lang w:val="en-GB"/>
        </w:rPr>
        <w:t>,</w:t>
      </w:r>
      <w:r w:rsidRPr="00E673DC">
        <w:rPr>
          <w:lang w:val="en-GB"/>
        </w:rPr>
        <w:t xml:space="preserve"> GIB) can foster employees</w:t>
      </w:r>
      <w:r w:rsidR="00697E8C">
        <w:rPr>
          <w:lang w:val="en-GB"/>
        </w:rPr>
        <w:t>'</w:t>
      </w:r>
      <w:r w:rsidRPr="00E673DC">
        <w:rPr>
          <w:lang w:val="en-GB"/>
        </w:rPr>
        <w:t xml:space="preserve"> engagement in OCBE. This leads us to </w:t>
      </w:r>
      <w:r w:rsidR="00F8610F" w:rsidRPr="00E673DC">
        <w:rPr>
          <w:lang w:val="en-GB"/>
        </w:rPr>
        <w:t>assess</w:t>
      </w:r>
      <w:r w:rsidRPr="00E673DC">
        <w:rPr>
          <w:lang w:val="en-GB"/>
        </w:rPr>
        <w:t xml:space="preserve"> the mediating effect of GIB on the relationship between GHRM practices and OCBE</w:t>
      </w:r>
      <w:r w:rsidR="00697E8C">
        <w:rPr>
          <w:lang w:val="en-GB"/>
        </w:rPr>
        <w:t>,</w:t>
      </w:r>
      <w:r w:rsidRPr="00E673DC">
        <w:rPr>
          <w:lang w:val="en-GB"/>
        </w:rPr>
        <w:t xml:space="preserve"> which </w:t>
      </w:r>
      <w:r w:rsidR="00697E8C">
        <w:rPr>
          <w:lang w:val="en-GB"/>
        </w:rPr>
        <w:t xml:space="preserve">was </w:t>
      </w:r>
      <w:r w:rsidRPr="00E673DC">
        <w:rPr>
          <w:lang w:val="en-GB"/>
        </w:rPr>
        <w:t>show</w:t>
      </w:r>
      <w:r w:rsidR="00697E8C">
        <w:rPr>
          <w:lang w:val="en-GB"/>
        </w:rPr>
        <w:t>n</w:t>
      </w:r>
      <w:r w:rsidRPr="00E673DC">
        <w:rPr>
          <w:lang w:val="en-GB"/>
        </w:rPr>
        <w:t xml:space="preserve"> in the analysis to be moderate to strong with </w:t>
      </w:r>
      <w:r w:rsidR="00697E8C">
        <w:rPr>
          <w:lang w:val="en-GB"/>
        </w:rPr>
        <w:t xml:space="preserve">a </w:t>
      </w:r>
      <w:r w:rsidRPr="00E673DC">
        <w:rPr>
          <w:lang w:val="en-GB"/>
        </w:rPr>
        <w:t xml:space="preserve">positive impact. </w:t>
      </w:r>
      <w:r w:rsidR="00697E8C">
        <w:rPr>
          <w:lang w:val="en-GB"/>
        </w:rPr>
        <w:t>T</w:t>
      </w:r>
      <w:r w:rsidRPr="00E673DC">
        <w:rPr>
          <w:lang w:val="en-GB"/>
        </w:rPr>
        <w:t xml:space="preserve">his can evidence </w:t>
      </w:r>
      <w:r w:rsidR="00697E8C">
        <w:rPr>
          <w:lang w:val="en-GB"/>
        </w:rPr>
        <w:t xml:space="preserve">that </w:t>
      </w:r>
      <w:r w:rsidRPr="00E673DC">
        <w:rPr>
          <w:lang w:val="en-GB"/>
        </w:rPr>
        <w:t>the effective implementation of GHRP can promote GIB, leading employees to engage in voluntary and sustainable actions beyond their standard job roles.</w:t>
      </w:r>
      <w:r w:rsidR="00B02EB0" w:rsidRPr="00E673DC">
        <w:rPr>
          <w:lang w:val="en-GB"/>
        </w:rPr>
        <w:t xml:space="preserve"> This also </w:t>
      </w:r>
      <w:r w:rsidR="00F8610F" w:rsidRPr="00E673DC">
        <w:rPr>
          <w:lang w:val="en-GB"/>
        </w:rPr>
        <w:t>led</w:t>
      </w:r>
      <w:r w:rsidR="00B02EB0" w:rsidRPr="00E673DC">
        <w:rPr>
          <w:lang w:val="en-GB"/>
        </w:rPr>
        <w:t xml:space="preserve"> to </w:t>
      </w:r>
      <w:r w:rsidR="00697E8C">
        <w:rPr>
          <w:lang w:val="en-GB"/>
        </w:rPr>
        <w:t xml:space="preserve">the </w:t>
      </w:r>
      <w:r w:rsidR="00B02EB0" w:rsidRPr="00E673DC">
        <w:rPr>
          <w:lang w:val="en-GB"/>
        </w:rPr>
        <w:t>acceptance of H3a</w:t>
      </w:r>
      <w:r w:rsidR="00F36BA2" w:rsidRPr="00E673DC">
        <w:rPr>
          <w:lang w:val="en-GB"/>
        </w:rPr>
        <w:t>,</w:t>
      </w:r>
      <w:r w:rsidR="00B02EB0" w:rsidRPr="00E673DC">
        <w:rPr>
          <w:lang w:val="en-GB"/>
        </w:rPr>
        <w:t xml:space="preserve"> H3b</w:t>
      </w:r>
      <w:r w:rsidR="00697E8C">
        <w:rPr>
          <w:lang w:val="en-GB"/>
        </w:rPr>
        <w:t>,</w:t>
      </w:r>
      <w:r w:rsidR="00F36BA2" w:rsidRPr="00E673DC">
        <w:rPr>
          <w:lang w:val="en-GB"/>
        </w:rPr>
        <w:t xml:space="preserve"> and H3c</w:t>
      </w:r>
      <w:r w:rsidR="00B02EB0" w:rsidRPr="00E673DC">
        <w:rPr>
          <w:lang w:val="en-GB"/>
        </w:rPr>
        <w:t>.</w:t>
      </w:r>
    </w:p>
    <w:p w14:paraId="27E4DE67" w14:textId="4A98676D" w:rsidR="008F44B7" w:rsidRPr="00E673DC" w:rsidRDefault="00697E8C" w:rsidP="00D77795">
      <w:pPr>
        <w:ind w:firstLine="720"/>
        <w:rPr>
          <w:lang w:val="en-GB"/>
        </w:rPr>
      </w:pPr>
      <w:r>
        <w:rPr>
          <w:lang w:val="en-GB"/>
        </w:rPr>
        <w:t>The r</w:t>
      </w:r>
      <w:r w:rsidR="008F44B7" w:rsidRPr="00E673DC">
        <w:rPr>
          <w:lang w:val="en-GB"/>
        </w:rPr>
        <w:t xml:space="preserve">esearch findings indicate that Dubai </w:t>
      </w:r>
      <w:r w:rsidR="00720C30">
        <w:rPr>
          <w:lang w:val="en-GB"/>
        </w:rPr>
        <w:t>G</w:t>
      </w:r>
      <w:r w:rsidR="008F44B7" w:rsidRPr="00E673DC">
        <w:rPr>
          <w:lang w:val="en-GB"/>
        </w:rPr>
        <w:t xml:space="preserve">overnment </w:t>
      </w:r>
      <w:r w:rsidR="00DC79D6">
        <w:rPr>
          <w:lang w:val="en-GB"/>
        </w:rPr>
        <w:t>organis</w:t>
      </w:r>
      <w:r w:rsidR="008F44B7" w:rsidRPr="00E673DC">
        <w:rPr>
          <w:lang w:val="en-GB"/>
        </w:rPr>
        <w:t xml:space="preserve">ations implementing GHRM practices should </w:t>
      </w:r>
      <w:r>
        <w:rPr>
          <w:lang w:val="en-GB"/>
        </w:rPr>
        <w:t>emphasis</w:t>
      </w:r>
      <w:r w:rsidR="008F44B7" w:rsidRPr="00E673DC">
        <w:rPr>
          <w:lang w:val="en-GB"/>
        </w:rPr>
        <w:t xml:space="preserve">e the importance of fostering innovative green </w:t>
      </w:r>
      <w:r w:rsidR="00DC79D6">
        <w:rPr>
          <w:lang w:val="en-GB"/>
        </w:rPr>
        <w:t>behaviour</w:t>
      </w:r>
      <w:r w:rsidR="008F44B7" w:rsidRPr="00E673DC">
        <w:rPr>
          <w:lang w:val="en-GB"/>
        </w:rPr>
        <w:t xml:space="preserve"> to aid employees in executing green plans and strategies. These findings align with Muisyo and Qin </w:t>
      </w:r>
      <w:r w:rsidR="008F44B7" w:rsidRPr="00E673DC">
        <w:rPr>
          <w:lang w:val="en-GB"/>
        </w:rPr>
        <w:fldChar w:fldCharType="begin"/>
      </w:r>
      <w:r w:rsidR="00E72F10" w:rsidRPr="00E673DC">
        <w:rPr>
          <w:lang w:val="en-GB"/>
        </w:rPr>
        <w:instrText xml:space="preserve"> ADDIN ZOTERO_ITEM CSL_CITATION {"citationID":"B9X9V1js","properties":{"formattedCitation":"(2021)","plainCitation":"(2021)","noteIndex":0},"citationItems":[{"id":387,"uris":["http://zotero.org/users/local/TOdoVrPG/items/GLHSCETW"],"itemData":{"id":387,"type":"article-journal","abstract":"Prior scholarships have documented that green human resource management practices have performance enabling effects on a firm’s green performance. However, there is a dearth of studies that empirically model the extent to which green innovation culture moderates the relationship between green human resource practices and the firm’s green performance. To address this gap, this paper established two-fold objectives. First, to examine the effects of green human resource practices and green innovation culture on firm green performance. Second, to model the extent to which green innovation culture moderates the relationship between green human resource management and manufacturing firms’ green performance in China. This was done using data obtained from an extensive scale survey of 300 employees in Chinese manufacturing firms located in the Jiangsu Province. The study suggests that green human resource management practices which include recruitment and selection, training and development, performance management and appraisal, reward and payment, and employee involvement and leadership have a significant effect on green or environmental performance. The study also suggests that green innovation which includes green product innovation culture and green process innovation culture enhances firm green performance. Our paper further suggests that firms that integrate green human resource management practices and green innovation culture are associated with higher green performance than firms that practice green human resource management only.","container-title":"Journal of Cleaner Production","DOI":"10.1016/j.jclepro.2020.125720","ISSN":"0959-6526","journalAbbreviation":"Journal of Cleaner Production","page":"125720","title":"Enhancing the FIRM’S green performance through green HRM: The moderating role of green innovation culture","URL":"https://www.sciencedirect.com/science/article/pii/S0959652620357668","volume":"289","author":[{"family":"Muisyo","given":"Paul Kivinda"},{"family":"Qin","given":"Su"}],"issued":{"date-parts":[["2021"]]}},"suppress-author":true}],"schema":"https://github.com/citation-style-language/schema/raw/master/csl-citation.json"} </w:instrText>
      </w:r>
      <w:r w:rsidR="008F44B7" w:rsidRPr="00E673DC">
        <w:rPr>
          <w:lang w:val="en-GB"/>
        </w:rPr>
        <w:fldChar w:fldCharType="separate"/>
      </w:r>
      <w:r w:rsidR="008F44B7" w:rsidRPr="00E673DC">
        <w:rPr>
          <w:lang w:val="en-GB"/>
        </w:rPr>
        <w:t>(2021)</w:t>
      </w:r>
      <w:r w:rsidR="008F44B7" w:rsidRPr="00E673DC">
        <w:rPr>
          <w:lang w:val="en-GB"/>
        </w:rPr>
        <w:fldChar w:fldCharType="end"/>
      </w:r>
      <w:r w:rsidR="008F44B7" w:rsidRPr="00E673DC">
        <w:rPr>
          <w:lang w:val="en-GB"/>
        </w:rPr>
        <w:t xml:space="preserve">, who argued that innovative integration between GHRM and GIB is necessary to achieve enduring environmental sustainability and enhanced environmental performance. </w:t>
      </w:r>
    </w:p>
    <w:p w14:paraId="6E6C50A1" w14:textId="77777777" w:rsidR="008F44B7" w:rsidRPr="00E673DC" w:rsidRDefault="008F44B7">
      <w:pPr>
        <w:spacing w:before="0" w:beforeAutospacing="0" w:after="160" w:afterAutospacing="0" w:line="259" w:lineRule="auto"/>
        <w:ind w:firstLine="0"/>
        <w:contextualSpacing w:val="0"/>
        <w:rPr>
          <w:lang w:val="en-GB"/>
        </w:rPr>
      </w:pPr>
      <w:r w:rsidRPr="00E673DC">
        <w:rPr>
          <w:lang w:val="en-GB"/>
        </w:rPr>
        <w:br w:type="page"/>
      </w:r>
    </w:p>
    <w:p w14:paraId="4C5E11F8" w14:textId="04F40E79" w:rsidR="008F44B7" w:rsidRPr="00E673DC" w:rsidRDefault="008F44B7" w:rsidP="00007936">
      <w:pPr>
        <w:pStyle w:val="Heading1"/>
        <w:ind w:left="0" w:firstLine="0"/>
        <w:rPr>
          <w:lang w:val="en-GB"/>
        </w:rPr>
      </w:pPr>
      <w:bookmarkStart w:id="46" w:name="_Toc197952411"/>
      <w:r w:rsidRPr="00E673DC">
        <w:rPr>
          <w:lang w:val="en-GB"/>
        </w:rPr>
        <w:lastRenderedPageBreak/>
        <w:t>Theoretical and Practical Implications</w:t>
      </w:r>
      <w:bookmarkEnd w:id="46"/>
    </w:p>
    <w:p w14:paraId="06F56C28" w14:textId="6BB20652" w:rsidR="008F44B7" w:rsidRPr="00E673DC" w:rsidRDefault="008F44B7" w:rsidP="00D77795">
      <w:pPr>
        <w:ind w:firstLine="720"/>
        <w:rPr>
          <w:lang w:val="en-GB"/>
        </w:rPr>
      </w:pPr>
      <w:r w:rsidRPr="00E673DC">
        <w:rPr>
          <w:lang w:val="en-GB"/>
        </w:rPr>
        <w:t xml:space="preserve">The key theoretical contribution of our study pertains to exploring the influence of GHRM practices (GL&amp;D and GR&amp;C) on OCBE with the mediation of GIB, a pathway which has been unexplored to date in </w:t>
      </w:r>
      <w:r w:rsidR="00697E8C">
        <w:rPr>
          <w:lang w:val="en-GB"/>
        </w:rPr>
        <w:t xml:space="preserve">the </w:t>
      </w:r>
      <w:r w:rsidRPr="00E673DC">
        <w:rPr>
          <w:lang w:val="en-GB"/>
        </w:rPr>
        <w:t xml:space="preserve">research. The study responds to Mostafa </w:t>
      </w:r>
      <w:r w:rsidR="00697E8C">
        <w:rPr>
          <w:lang w:val="en-GB"/>
        </w:rPr>
        <w:t>and</w:t>
      </w:r>
      <w:r w:rsidRPr="00E673DC">
        <w:rPr>
          <w:lang w:val="en-GB"/>
        </w:rPr>
        <w:t xml:space="preserve"> Saleh</w:t>
      </w:r>
      <w:r w:rsidR="00697E8C">
        <w:rPr>
          <w:lang w:val="en-GB"/>
        </w:rPr>
        <w:t>'s</w:t>
      </w:r>
      <w:r w:rsidRPr="00E673DC">
        <w:rPr>
          <w:lang w:val="en-GB"/>
        </w:rPr>
        <w:t xml:space="preserve"> </w:t>
      </w:r>
      <w:r w:rsidRPr="00E673DC">
        <w:rPr>
          <w:lang w:val="en-GB"/>
        </w:rPr>
        <w:fldChar w:fldCharType="begin"/>
      </w:r>
      <w:r w:rsidR="00E72F10" w:rsidRPr="00E673DC">
        <w:rPr>
          <w:lang w:val="en-GB"/>
        </w:rPr>
        <w:instrText xml:space="preserve"> ADDIN ZOTERO_ITEM CSL_CITATION {"citationID":"sdc4ADvF","properties":{"formattedCitation":"(2023)","plainCitation":"(2023)","noteIndex":0},"citationItems":[{"id":67,"uris":["http://zotero.org/users/local/TOdoVrPG/items/T5ESCEI5"],"itemData":{"id":67,"type":"article-journal","abstract":"In an era of green environmental awareness, Green Human Resources Management (GHRM) uses human resources management practices to support green environmental functions. It embraces green environmental concerns by applying human resources initiatives to generate high performance and better efficiency in operations. Although the literature on GHRM is growing, a few studies investigated to what extent green innovative culture (GIC) moderates the relationship between green human resources management practices and organizational citizenship behavior towards the environment (OCBE). To address this research gap, the authors tested a new conceptual framework investigating the direct and interactive effects of GHRM practices and GIC on OCBE. A quantitative study uses a survey from a 174 convenient sample of employees selected from a manufacturing firm operating in Egypt. The research results revealed that (1) GHRM practices are crucial for encouraging employees to engage in green activities, in addition (2) there is a significant positive effect of GHRM practices on OCBE, while on the other hand, (3) the interaction of GHRM and GIC can foster employees’ engagement in OCBE. The research significance lies in identifying and validating the GHRM practices applied in the manufacturing firm, as it advances the previous studies by developing a research model that offers critical insights on how manufacturing organizations working in industrial and agricultural packaging solutions could strategically link their GHRM practices and green innovative culture to support their OCBE in creating a competitive advantage in the market.","container-title":"International Business Research","DOI":"10.5539/ibr.v16n4p15","ISSN":"1913-9012, 1913-9004","issue":"4","journalAbbreviation":"IBR","language":"en","license":"https://creativecommons.org/licenses/by/4.0","page":"15","source":"DOI.org (Crossref)","title":"The Relationship between Green Human Resource Management Practices and Organizational Citizenship Behavior","URL":"https://ccsenet.org/journal/index.php/ibr/article/view/0/48544","volume":"16","author":[{"family":"Mostafa","given":"Bassant Adel"},{"family":"Saleh","given":"Reham Saber"}],"accessed":{"date-parts":[["2024",10,16]]},"issued":{"date-parts":[["2023"]]}},"suppress-author":true}],"schema":"https://github.com/citation-style-language/schema/raw/master/csl-citation.json"} </w:instrText>
      </w:r>
      <w:r w:rsidRPr="00E673DC">
        <w:rPr>
          <w:lang w:val="en-GB"/>
        </w:rPr>
        <w:fldChar w:fldCharType="separate"/>
      </w:r>
      <w:r w:rsidRPr="00E673DC">
        <w:rPr>
          <w:lang w:val="en-GB"/>
        </w:rPr>
        <w:t>(2023)</w:t>
      </w:r>
      <w:r w:rsidRPr="00E673DC">
        <w:rPr>
          <w:lang w:val="en-GB"/>
        </w:rPr>
        <w:fldChar w:fldCharType="end"/>
      </w:r>
      <w:r w:rsidRPr="00E673DC">
        <w:rPr>
          <w:lang w:val="en-GB"/>
        </w:rPr>
        <w:t xml:space="preserve"> call for additional literature on the relationship between GHRM practices and OCBE conducted </w:t>
      </w:r>
      <w:r w:rsidR="00697E8C">
        <w:rPr>
          <w:lang w:val="en-GB"/>
        </w:rPr>
        <w:t>i</w:t>
      </w:r>
      <w:r w:rsidRPr="00E673DC">
        <w:rPr>
          <w:lang w:val="en-GB"/>
        </w:rPr>
        <w:t xml:space="preserve">n public </w:t>
      </w:r>
      <w:r w:rsidR="00DC79D6">
        <w:rPr>
          <w:lang w:val="en-GB"/>
        </w:rPr>
        <w:t>organis</w:t>
      </w:r>
      <w:r w:rsidRPr="00E673DC">
        <w:rPr>
          <w:lang w:val="en-GB"/>
        </w:rPr>
        <w:t xml:space="preserve">ations. </w:t>
      </w:r>
    </w:p>
    <w:p w14:paraId="1042E505" w14:textId="729FE90A" w:rsidR="008F44B7" w:rsidRPr="00E673DC" w:rsidRDefault="00542A52" w:rsidP="00D77795">
      <w:pPr>
        <w:ind w:firstLine="720"/>
        <w:rPr>
          <w:lang w:val="en-GB"/>
        </w:rPr>
      </w:pPr>
      <w:r w:rsidRPr="00E673DC">
        <w:rPr>
          <w:lang w:val="en-GB"/>
        </w:rPr>
        <w:t xml:space="preserve">Using GIB as a mediator offers an approach to understanding green management by presenting an integrated framework for examining the ways </w:t>
      </w:r>
      <w:r w:rsidR="00DC79D6">
        <w:rPr>
          <w:lang w:val="en-GB"/>
        </w:rPr>
        <w:t>organis</w:t>
      </w:r>
      <w:r w:rsidRPr="00E673DC">
        <w:rPr>
          <w:lang w:val="en-GB"/>
        </w:rPr>
        <w:t>ations can achieve higher OCBE through the integration of GIB and GHRM.</w:t>
      </w:r>
      <w:r w:rsidR="008F44B7" w:rsidRPr="00E673DC">
        <w:rPr>
          <w:lang w:val="en-GB"/>
        </w:rPr>
        <w:t xml:space="preserve"> </w:t>
      </w:r>
      <w:r w:rsidRPr="00E673DC">
        <w:rPr>
          <w:lang w:val="en-GB"/>
        </w:rPr>
        <w:t>T</w:t>
      </w:r>
      <w:r w:rsidR="008F44B7" w:rsidRPr="00E673DC">
        <w:rPr>
          <w:lang w:val="en-GB"/>
        </w:rPr>
        <w:t xml:space="preserve">his is the first study to consider </w:t>
      </w:r>
      <w:r w:rsidR="00BA5CEE" w:rsidRPr="00E673DC">
        <w:rPr>
          <w:lang w:val="en-GB"/>
        </w:rPr>
        <w:t>GIB</w:t>
      </w:r>
      <w:r w:rsidR="008F44B7" w:rsidRPr="00E673DC">
        <w:rPr>
          <w:lang w:val="en-GB"/>
        </w:rPr>
        <w:t xml:space="preserve"> as a mediating variable in the relationship between GHRM practices and </w:t>
      </w:r>
      <w:r w:rsidR="00F8610F" w:rsidRPr="00E673DC">
        <w:rPr>
          <w:lang w:val="en-GB"/>
        </w:rPr>
        <w:t>OCBE.</w:t>
      </w:r>
    </w:p>
    <w:p w14:paraId="7158A3EA" w14:textId="10A85543" w:rsidR="008F44B7" w:rsidRPr="00E673DC" w:rsidRDefault="00061A54" w:rsidP="00D77795">
      <w:pPr>
        <w:ind w:firstLine="720"/>
        <w:rPr>
          <w:lang w:val="en-GB"/>
        </w:rPr>
      </w:pPr>
      <w:r w:rsidRPr="00E673DC">
        <w:rPr>
          <w:lang w:val="en-GB"/>
        </w:rPr>
        <w:t xml:space="preserve">This research employed </w:t>
      </w:r>
      <w:r w:rsidR="008F44B7" w:rsidRPr="00E673DC">
        <w:rPr>
          <w:lang w:val="en-GB"/>
        </w:rPr>
        <w:t>the SLT, SET</w:t>
      </w:r>
      <w:r w:rsidR="00697E8C">
        <w:rPr>
          <w:lang w:val="en-GB"/>
        </w:rPr>
        <w:t>,</w:t>
      </w:r>
      <w:r w:rsidR="008F44B7" w:rsidRPr="00E673DC">
        <w:rPr>
          <w:lang w:val="en-GB"/>
        </w:rPr>
        <w:t xml:space="preserve"> and AMO theories to extend the understanding of the formulated model investigating unmapped GHRM</w:t>
      </w:r>
      <w:r w:rsidR="00F36BA2" w:rsidRPr="00E673DC">
        <w:rPr>
          <w:lang w:val="en-GB"/>
        </w:rPr>
        <w:t>→</w:t>
      </w:r>
      <w:r w:rsidR="008F44B7" w:rsidRPr="00E673DC">
        <w:rPr>
          <w:lang w:val="en-GB"/>
        </w:rPr>
        <w:t>GIB</w:t>
      </w:r>
      <w:r w:rsidR="00F36BA2" w:rsidRPr="00E673DC">
        <w:rPr>
          <w:lang w:val="en-GB"/>
        </w:rPr>
        <w:t>→</w:t>
      </w:r>
      <w:r w:rsidR="008F44B7" w:rsidRPr="00E673DC">
        <w:rPr>
          <w:lang w:val="en-GB"/>
        </w:rPr>
        <w:t xml:space="preserve">OCBE pathways. The findings align with AMO theory, demonstrating that GL&amp;D enhances employees' cognitive skills, critical thinking, abilities, and knowledge to address environmental challenges. It also boosts awareness of OCBE in the workplace, encouraging mindful decision-making in environmental practices. For example, training </w:t>
      </w:r>
      <w:r w:rsidR="00A61F6A">
        <w:rPr>
          <w:lang w:val="en-GB"/>
        </w:rPr>
        <w:t>programmes</w:t>
      </w:r>
      <w:r w:rsidR="008F44B7" w:rsidRPr="00E673DC">
        <w:rPr>
          <w:lang w:val="en-GB"/>
        </w:rPr>
        <w:t xml:space="preserve"> that enhance employees' environmental skills and knowledge can increase their ability to participate in OCBE. Similarly, recognition and rewards for environmentally friendly </w:t>
      </w:r>
      <w:r w:rsidR="00DC79D6">
        <w:rPr>
          <w:lang w:val="en-GB"/>
        </w:rPr>
        <w:t>behaviour</w:t>
      </w:r>
      <w:r w:rsidR="008F44B7" w:rsidRPr="00E673DC">
        <w:rPr>
          <w:lang w:val="en-GB"/>
        </w:rPr>
        <w:t xml:space="preserve">s can boost motivation, while creating an </w:t>
      </w:r>
      <w:r w:rsidR="00DC79D6">
        <w:rPr>
          <w:lang w:val="en-GB"/>
        </w:rPr>
        <w:t>organis</w:t>
      </w:r>
      <w:r w:rsidR="008F44B7" w:rsidRPr="00E673DC">
        <w:rPr>
          <w:lang w:val="en-GB"/>
        </w:rPr>
        <w:t xml:space="preserve">ational culture that supports environmental initiatives provides ample opportunities for employees to demonstrate OCBE </w:t>
      </w:r>
      <w:r w:rsidR="008F44B7" w:rsidRPr="00E673DC">
        <w:rPr>
          <w:lang w:val="en-GB"/>
        </w:rPr>
        <w:fldChar w:fldCharType="begin"/>
      </w:r>
      <w:r w:rsidR="00E72F10" w:rsidRPr="00E673DC">
        <w:rPr>
          <w:lang w:val="en-GB"/>
        </w:rPr>
        <w:instrText xml:space="preserve"> ADDIN ZOTERO_ITEM CSL_CITATION {"citationID":"GmmjfLyL","properties":{"formattedCitation":"(Tariq et al., 2016)","plainCitation":"(Tariq et al., 2016)","noteIndex":0},"citationItems":[{"id":243,"uris":["http://zotero.org/users/local/TOdoVrPG/items/FDFXFJXW"],"itemData":{"id":243,"type":"article-journal","abstract":"Being a member of the society, it is evident that the organization has to operate like a team player; cue the influx of the green management concept. The study focuses on the second aspect of the green human resources management definition, which is preservation of knowledge asset and specifically addresses the novel concept of “Green employee empowerment” as a mediator. The research paper focuses on integrating and systematically arranging literature regarding motivating employees to pursue green tasks, as mediated by green employee empowerment. Literature supports that employees must be encouraged, empowered, and eco-conscious in order to take responsibility of green management tasks, which is core dilemma in today’s world. Green empowered employees is a novel concept as introduced by this research paper but also has strong literature support stemming from the concept of “employee empowerment”. The unit of analysis was previous available research studies relevant to the topic (their findings are included). Both the service and manufacturing sectors was focused and data was collected from ISI web of knowledge. Additionally, the search mostly focused on updated knowledge and only focused on 104 of recent and relevant studies. The study concluded that empowered employees are more motivated to perform environmental tasks which pay to be green. Human resources are truly the back bone of any successful organization, so motivated green workforce has a deep influential effect on social organizational profitability and productivity.","container-title":"Quality &amp; Quantity","DOI":"10.1007/s11135-014-0146-0","ISSN":"1573-7845","issue":"1","journalAbbreviation":"Quality &amp; Quantity","page":"237-269","title":"Green employee empowerment: a systematic literature review on state-of-art in green human resource management","URL":"https://doi.org/10.1007/s11135-014-0146-0","volume":"50","author":[{"family":"Tariq","given":"Sanober"},{"family":"Jan","given":"Farzand Ali"},{"family":"Ahmad","given":"Muhammad Shakil"}],"issued":{"date-parts":[["2016"]]}}}],"schema":"https://github.com/citation-style-language/schema/raw/master/csl-citation.json"} </w:instrText>
      </w:r>
      <w:r w:rsidR="008F44B7" w:rsidRPr="00E673DC">
        <w:rPr>
          <w:lang w:val="en-GB"/>
        </w:rPr>
        <w:fldChar w:fldCharType="separate"/>
      </w:r>
      <w:r w:rsidR="008F44B7" w:rsidRPr="00E673DC">
        <w:rPr>
          <w:lang w:val="en-GB"/>
        </w:rPr>
        <w:t>(Tariq et al., 2016)</w:t>
      </w:r>
      <w:r w:rsidR="008F44B7" w:rsidRPr="00E673DC">
        <w:rPr>
          <w:lang w:val="en-GB"/>
        </w:rPr>
        <w:fldChar w:fldCharType="end"/>
      </w:r>
      <w:r w:rsidR="008F44B7" w:rsidRPr="00E673DC">
        <w:rPr>
          <w:lang w:val="en-GB"/>
        </w:rPr>
        <w:t xml:space="preserve">. We can consider this a call to </w:t>
      </w:r>
      <w:r w:rsidR="004B2693">
        <w:rPr>
          <w:lang w:val="en-GB"/>
        </w:rPr>
        <w:t xml:space="preserve">a </w:t>
      </w:r>
      <w:r w:rsidR="008F44B7" w:rsidRPr="00E673DC">
        <w:rPr>
          <w:lang w:val="en-GB"/>
        </w:rPr>
        <w:t xml:space="preserve">comprehensive form of HR practices </w:t>
      </w:r>
      <w:r w:rsidR="004B2693">
        <w:rPr>
          <w:lang w:val="en-GB"/>
        </w:rPr>
        <w:t xml:space="preserve">by </w:t>
      </w:r>
      <w:r w:rsidR="008F44B7" w:rsidRPr="00E673DC">
        <w:rPr>
          <w:lang w:val="en-GB"/>
        </w:rPr>
        <w:t>not only considering some factors and ignoring others.</w:t>
      </w:r>
    </w:p>
    <w:p w14:paraId="5458E875" w14:textId="60445019" w:rsidR="008F44B7" w:rsidRPr="00E673DC" w:rsidRDefault="008F44B7" w:rsidP="00D77795">
      <w:pPr>
        <w:ind w:firstLine="720"/>
        <w:rPr>
          <w:lang w:val="en-GB"/>
        </w:rPr>
      </w:pPr>
      <w:r w:rsidRPr="00E673DC">
        <w:rPr>
          <w:lang w:val="en-GB"/>
        </w:rPr>
        <w:lastRenderedPageBreak/>
        <w:t xml:space="preserve">The research outcomes also align with SLT, </w:t>
      </w:r>
      <w:r w:rsidR="00697E8C">
        <w:rPr>
          <w:lang w:val="en-GB"/>
        </w:rPr>
        <w:t>emphasis</w:t>
      </w:r>
      <w:r w:rsidRPr="00E673DC">
        <w:rPr>
          <w:lang w:val="en-GB"/>
        </w:rPr>
        <w:t>ing the importance of observing and model</w:t>
      </w:r>
      <w:r w:rsidR="00DC79D6">
        <w:rPr>
          <w:lang w:val="en-GB"/>
        </w:rPr>
        <w:t>l</w:t>
      </w:r>
      <w:r w:rsidRPr="00E673DC">
        <w:rPr>
          <w:lang w:val="en-GB"/>
        </w:rPr>
        <w:t xml:space="preserve">ing the </w:t>
      </w:r>
      <w:r w:rsidR="00DC79D6">
        <w:rPr>
          <w:lang w:val="en-GB"/>
        </w:rPr>
        <w:t>behaviour</w:t>
      </w:r>
      <w:r w:rsidRPr="00E673DC">
        <w:rPr>
          <w:lang w:val="en-GB"/>
        </w:rPr>
        <w:t xml:space="preserve">s, attitudes, and emotional reactions of others. The findings suggest that GHRM practices create a culture of sustainability within the </w:t>
      </w:r>
      <w:r w:rsidR="00DC79D6">
        <w:rPr>
          <w:lang w:val="en-GB"/>
        </w:rPr>
        <w:t>organis</w:t>
      </w:r>
      <w:r w:rsidRPr="00E673DC">
        <w:rPr>
          <w:lang w:val="en-GB"/>
        </w:rPr>
        <w:t xml:space="preserve">ation. Employees learn and adopt green </w:t>
      </w:r>
      <w:r w:rsidR="00DC79D6">
        <w:rPr>
          <w:lang w:val="en-GB"/>
        </w:rPr>
        <w:t>behaviour</w:t>
      </w:r>
      <w:r w:rsidRPr="00E673DC">
        <w:rPr>
          <w:lang w:val="en-GB"/>
        </w:rPr>
        <w:t>s by observing their peers and leaders who are engaged in green practices. This model</w:t>
      </w:r>
      <w:r w:rsidR="00DC79D6">
        <w:rPr>
          <w:lang w:val="en-GB"/>
        </w:rPr>
        <w:t>l</w:t>
      </w:r>
      <w:r w:rsidRPr="00E673DC">
        <w:rPr>
          <w:lang w:val="en-GB"/>
        </w:rPr>
        <w:t xml:space="preserve">ing effect enhances the overall OCBE within the </w:t>
      </w:r>
      <w:r w:rsidR="00DC79D6">
        <w:rPr>
          <w:lang w:val="en-GB"/>
        </w:rPr>
        <w:t>organis</w:t>
      </w:r>
      <w:r w:rsidRPr="00E673DC">
        <w:rPr>
          <w:lang w:val="en-GB"/>
        </w:rPr>
        <w:t xml:space="preserve">ation. The Dubai </w:t>
      </w:r>
      <w:r w:rsidR="00720C30">
        <w:rPr>
          <w:lang w:val="en-GB"/>
        </w:rPr>
        <w:t>G</w:t>
      </w:r>
      <w:r w:rsidRPr="00E673DC">
        <w:rPr>
          <w:lang w:val="en-GB"/>
        </w:rPr>
        <w:t xml:space="preserve">overnment </w:t>
      </w:r>
      <w:r w:rsidR="00DC79D6">
        <w:rPr>
          <w:lang w:val="en-GB"/>
        </w:rPr>
        <w:t>organis</w:t>
      </w:r>
      <w:r w:rsidRPr="00E673DC">
        <w:rPr>
          <w:lang w:val="en-GB"/>
        </w:rPr>
        <w:t xml:space="preserve">ation shall provide opportunities for employees to observe and participate in green initiatives by volunteering. Dubai </w:t>
      </w:r>
      <w:r w:rsidR="00720C30">
        <w:rPr>
          <w:lang w:val="en-GB"/>
        </w:rPr>
        <w:t>G</w:t>
      </w:r>
      <w:r w:rsidRPr="00E673DC">
        <w:rPr>
          <w:lang w:val="en-GB"/>
        </w:rPr>
        <w:t xml:space="preserve">overnment </w:t>
      </w:r>
      <w:r w:rsidR="00DC79D6">
        <w:rPr>
          <w:lang w:val="en-GB"/>
        </w:rPr>
        <w:t>organis</w:t>
      </w:r>
      <w:r w:rsidRPr="00E673DC">
        <w:rPr>
          <w:lang w:val="en-GB"/>
        </w:rPr>
        <w:t xml:space="preserve">ations can foster a culture of environmental responsibility and innovation by doing </w:t>
      </w:r>
      <w:r w:rsidR="004B2693">
        <w:rPr>
          <w:lang w:val="en-GB"/>
        </w:rPr>
        <w:t>so</w:t>
      </w:r>
      <w:r w:rsidRPr="00E673DC">
        <w:rPr>
          <w:lang w:val="en-GB"/>
        </w:rPr>
        <w:t xml:space="preserve">. This can be done through workshops, training sessions, and green projects that allow employees to learn and adopt green </w:t>
      </w:r>
      <w:r w:rsidR="00DC79D6">
        <w:rPr>
          <w:lang w:val="en-GB"/>
        </w:rPr>
        <w:t>behaviour</w:t>
      </w:r>
      <w:r w:rsidRPr="00E673DC">
        <w:rPr>
          <w:lang w:val="en-GB"/>
        </w:rPr>
        <w:t xml:space="preserve">s by observing their peers and leaders who are engaged in green practices. In addition to that, policies and procedures shall be embedded by letting employees volunteer and </w:t>
      </w:r>
      <w:r w:rsidR="004B2693">
        <w:rPr>
          <w:lang w:val="en-GB"/>
        </w:rPr>
        <w:t xml:space="preserve">contribute a </w:t>
      </w:r>
      <w:r w:rsidRPr="00E673DC">
        <w:rPr>
          <w:lang w:val="en-GB"/>
        </w:rPr>
        <w:t>certain number of hours yearly. This might also be linked with the annual performance appraisal.</w:t>
      </w:r>
    </w:p>
    <w:p w14:paraId="305F4F5E" w14:textId="77777777" w:rsidR="008F44B7" w:rsidRPr="00E673DC" w:rsidRDefault="008F44B7">
      <w:pPr>
        <w:spacing w:before="0" w:beforeAutospacing="0" w:after="160" w:afterAutospacing="0" w:line="259" w:lineRule="auto"/>
        <w:ind w:firstLine="0"/>
        <w:contextualSpacing w:val="0"/>
        <w:rPr>
          <w:rFonts w:eastAsia="Times New Roman"/>
          <w:lang w:val="en-GB"/>
        </w:rPr>
      </w:pPr>
      <w:r w:rsidRPr="00E673DC">
        <w:rPr>
          <w:rFonts w:eastAsia="Times New Roman"/>
          <w:lang w:val="en-GB"/>
        </w:rPr>
        <w:br w:type="page"/>
      </w:r>
    </w:p>
    <w:p w14:paraId="21D4EA12" w14:textId="54E0BA74" w:rsidR="008F44B7" w:rsidRDefault="008F44B7" w:rsidP="00CD6E34">
      <w:pPr>
        <w:pStyle w:val="Heading1"/>
        <w:rPr>
          <w:lang w:val="en-GB"/>
        </w:rPr>
      </w:pPr>
      <w:bookmarkStart w:id="47" w:name="_Toc197952412"/>
      <w:bookmarkStart w:id="48" w:name="_Hlk192856934"/>
      <w:r w:rsidRPr="00E673DC">
        <w:rPr>
          <w:lang w:val="en-GB"/>
        </w:rPr>
        <w:lastRenderedPageBreak/>
        <w:t>Conclusions</w:t>
      </w:r>
      <w:r w:rsidR="002A4FAE">
        <w:rPr>
          <w:lang w:val="en-GB"/>
        </w:rPr>
        <w:t xml:space="preserve">, </w:t>
      </w:r>
      <w:r w:rsidRPr="00E673DC">
        <w:rPr>
          <w:lang w:val="en-GB"/>
        </w:rPr>
        <w:t>Recommendations</w:t>
      </w:r>
      <w:r w:rsidR="002A4FAE">
        <w:rPr>
          <w:lang w:val="en-GB"/>
        </w:rPr>
        <w:t>, and Limitations</w:t>
      </w:r>
      <w:bookmarkEnd w:id="47"/>
    </w:p>
    <w:p w14:paraId="5FC17A96" w14:textId="77777777" w:rsidR="002A4FAE" w:rsidRPr="002A4FAE" w:rsidRDefault="002A4FAE">
      <w:pPr>
        <w:pStyle w:val="ListParagraph"/>
        <w:keepNext/>
        <w:keepLines/>
        <w:numPr>
          <w:ilvl w:val="0"/>
          <w:numId w:val="1"/>
        </w:numPr>
        <w:suppressAutoHyphens/>
        <w:overflowPunct w:val="0"/>
        <w:autoSpaceDE w:val="0"/>
        <w:autoSpaceDN w:val="0"/>
        <w:adjustRightInd w:val="0"/>
        <w:spacing w:before="360" w:beforeAutospacing="0" w:afterAutospacing="0" w:line="300" w:lineRule="atLeast"/>
        <w:contextualSpacing w:val="0"/>
        <w:textAlignment w:val="baseline"/>
        <w:outlineLvl w:val="0"/>
        <w:rPr>
          <w:b/>
          <w:bCs w:val="0"/>
          <w:vanish/>
          <w:szCs w:val="20"/>
          <w:lang w:val="en-GB" w:bidi="ar-SA"/>
        </w:rPr>
      </w:pPr>
    </w:p>
    <w:p w14:paraId="4208950D" w14:textId="77777777" w:rsidR="002A4FAE" w:rsidRPr="002A4FAE" w:rsidRDefault="002A4FAE">
      <w:pPr>
        <w:pStyle w:val="ListParagraph"/>
        <w:keepNext/>
        <w:keepLines/>
        <w:numPr>
          <w:ilvl w:val="0"/>
          <w:numId w:val="1"/>
        </w:numPr>
        <w:suppressAutoHyphens/>
        <w:overflowPunct w:val="0"/>
        <w:autoSpaceDE w:val="0"/>
        <w:autoSpaceDN w:val="0"/>
        <w:adjustRightInd w:val="0"/>
        <w:spacing w:before="360" w:beforeAutospacing="0" w:afterAutospacing="0" w:line="300" w:lineRule="atLeast"/>
        <w:contextualSpacing w:val="0"/>
        <w:textAlignment w:val="baseline"/>
        <w:outlineLvl w:val="0"/>
        <w:rPr>
          <w:b/>
          <w:bCs w:val="0"/>
          <w:vanish/>
          <w:szCs w:val="20"/>
          <w:lang w:val="en-GB" w:bidi="ar-SA"/>
        </w:rPr>
      </w:pPr>
    </w:p>
    <w:p w14:paraId="7A240F04" w14:textId="77777777" w:rsidR="002A4FAE" w:rsidRPr="002A4FAE" w:rsidRDefault="002A4FAE">
      <w:pPr>
        <w:pStyle w:val="ListParagraph"/>
        <w:keepNext/>
        <w:keepLines/>
        <w:numPr>
          <w:ilvl w:val="0"/>
          <w:numId w:val="1"/>
        </w:numPr>
        <w:suppressAutoHyphens/>
        <w:overflowPunct w:val="0"/>
        <w:autoSpaceDE w:val="0"/>
        <w:autoSpaceDN w:val="0"/>
        <w:adjustRightInd w:val="0"/>
        <w:spacing w:before="360" w:beforeAutospacing="0" w:afterAutospacing="0" w:line="300" w:lineRule="atLeast"/>
        <w:contextualSpacing w:val="0"/>
        <w:textAlignment w:val="baseline"/>
        <w:outlineLvl w:val="0"/>
        <w:rPr>
          <w:b/>
          <w:bCs w:val="0"/>
          <w:vanish/>
          <w:szCs w:val="20"/>
          <w:lang w:val="en-GB" w:bidi="ar-SA"/>
        </w:rPr>
      </w:pPr>
    </w:p>
    <w:p w14:paraId="74929E5F" w14:textId="3E403007" w:rsidR="002A4FAE" w:rsidRPr="002A4FAE" w:rsidRDefault="002A4FAE" w:rsidP="002A4FAE">
      <w:pPr>
        <w:pStyle w:val="heading2"/>
        <w:rPr>
          <w:sz w:val="24"/>
          <w:szCs w:val="24"/>
          <w:lang w:val="en-GB"/>
        </w:rPr>
      </w:pPr>
      <w:bookmarkStart w:id="49" w:name="_Toc197952413"/>
      <w:r>
        <w:rPr>
          <w:sz w:val="24"/>
          <w:szCs w:val="24"/>
          <w:lang w:val="en-GB"/>
        </w:rPr>
        <w:t>Conclusions and Recommendations</w:t>
      </w:r>
      <w:bookmarkEnd w:id="49"/>
    </w:p>
    <w:p w14:paraId="49A0B1B3" w14:textId="0E85EC9A" w:rsidR="002330C7" w:rsidRPr="00E673DC" w:rsidRDefault="00542A52" w:rsidP="00D77795">
      <w:pPr>
        <w:ind w:firstLine="720"/>
        <w:rPr>
          <w:lang w:val="en-GB"/>
        </w:rPr>
      </w:pPr>
      <w:r w:rsidRPr="00E673DC">
        <w:rPr>
          <w:lang w:val="en-GB"/>
        </w:rPr>
        <w:t xml:space="preserve">This study presents an in-depth examination of the influence of Green Human Resource Management (GHRM) practices on </w:t>
      </w:r>
      <w:r w:rsidR="00DC79D6">
        <w:rPr>
          <w:lang w:val="en-GB"/>
        </w:rPr>
        <w:t>Organis</w:t>
      </w:r>
      <w:r w:rsidRPr="00E673DC">
        <w:rPr>
          <w:lang w:val="en-GB"/>
        </w:rPr>
        <w:t xml:space="preserve">ational Citizenship </w:t>
      </w:r>
      <w:r w:rsidR="00DC79D6">
        <w:rPr>
          <w:lang w:val="en-GB"/>
        </w:rPr>
        <w:t>Behaviour</w:t>
      </w:r>
      <w:r w:rsidRPr="00E673DC">
        <w:rPr>
          <w:lang w:val="en-GB"/>
        </w:rPr>
        <w:t xml:space="preserve"> towards the Environment (OCBE) within government </w:t>
      </w:r>
      <w:r w:rsidR="00DC79D6">
        <w:rPr>
          <w:lang w:val="en-GB"/>
        </w:rPr>
        <w:t>organis</w:t>
      </w:r>
      <w:r w:rsidRPr="00E673DC">
        <w:rPr>
          <w:lang w:val="en-GB"/>
        </w:rPr>
        <w:t>ations in Dubai.</w:t>
      </w:r>
      <w:r w:rsidR="002330C7" w:rsidRPr="00E673DC">
        <w:rPr>
          <w:lang w:val="en-GB"/>
        </w:rPr>
        <w:t xml:space="preserve"> The study reveals a positive correlation between GHRM practices, particularly Green Learning and Development (GL&amp;D) and Green Rewards and Compensation (GR&amp;C), and OCBE. This relationship is further enhanced by the mediating role of Green Innovative </w:t>
      </w:r>
      <w:r w:rsidR="00DC79D6">
        <w:rPr>
          <w:lang w:val="en-GB"/>
        </w:rPr>
        <w:t>Behaviour</w:t>
      </w:r>
      <w:r w:rsidR="002330C7" w:rsidRPr="00E673DC">
        <w:rPr>
          <w:lang w:val="en-GB"/>
        </w:rPr>
        <w:t xml:space="preserve"> (GIB), which fosters a culture of innovation and creativity, leading to improved environmental citizenship </w:t>
      </w:r>
      <w:r w:rsidR="00DC79D6">
        <w:rPr>
          <w:lang w:val="en-GB"/>
        </w:rPr>
        <w:t>behaviour</w:t>
      </w:r>
      <w:r w:rsidR="002330C7" w:rsidRPr="00E673DC">
        <w:rPr>
          <w:lang w:val="en-GB"/>
        </w:rPr>
        <w:t xml:space="preserve"> among employees.</w:t>
      </w:r>
    </w:p>
    <w:p w14:paraId="34CE0E79" w14:textId="37C1B955" w:rsidR="002330C7" w:rsidRPr="00E673DC" w:rsidRDefault="00542A52" w:rsidP="00D77795">
      <w:pPr>
        <w:ind w:firstLine="720"/>
        <w:rPr>
          <w:lang w:val="en-GB"/>
        </w:rPr>
      </w:pPr>
      <w:r w:rsidRPr="00E673DC">
        <w:rPr>
          <w:lang w:val="en-GB"/>
        </w:rPr>
        <w:t>The findings highlight the significance of combining GHRM practices with GIB to attain sustainable environmental performance.</w:t>
      </w:r>
      <w:r w:rsidR="002330C7" w:rsidRPr="00E673DC">
        <w:rPr>
          <w:lang w:val="en-GB"/>
        </w:rPr>
        <w:t xml:space="preserve"> Effective GHRM practices not only enhance employees' environmental abilities and motivation</w:t>
      </w:r>
      <w:r w:rsidR="004B2693">
        <w:rPr>
          <w:lang w:val="en-GB"/>
        </w:rPr>
        <w:t>,</w:t>
      </w:r>
      <w:r w:rsidR="002330C7" w:rsidRPr="00E673DC">
        <w:rPr>
          <w:lang w:val="en-GB"/>
        </w:rPr>
        <w:t xml:space="preserve"> but also provide opportunities for green innovation, resulting in higher levels of OCBE.</w:t>
      </w:r>
    </w:p>
    <w:p w14:paraId="600E1624" w14:textId="2861B8E6" w:rsidR="002330C7" w:rsidRPr="00E673DC" w:rsidRDefault="002330C7" w:rsidP="00D77795">
      <w:pPr>
        <w:ind w:firstLine="720"/>
        <w:rPr>
          <w:lang w:val="en-GB"/>
        </w:rPr>
      </w:pPr>
      <w:r w:rsidRPr="00E673DC">
        <w:rPr>
          <w:lang w:val="en-GB"/>
        </w:rPr>
        <w:t xml:space="preserve">The study recommends that Dubai </w:t>
      </w:r>
      <w:r w:rsidR="00720C30">
        <w:rPr>
          <w:lang w:val="en-GB"/>
        </w:rPr>
        <w:t>G</w:t>
      </w:r>
      <w:r w:rsidRPr="00E673DC">
        <w:rPr>
          <w:lang w:val="en-GB"/>
        </w:rPr>
        <w:t xml:space="preserve">overnment entities adopt GHRM practices to build a robust employment value proposition, enhance motivation, reduce employee turnover, and improve </w:t>
      </w:r>
      <w:r w:rsidR="00DC79D6">
        <w:rPr>
          <w:lang w:val="en-GB"/>
        </w:rPr>
        <w:t>organis</w:t>
      </w:r>
      <w:r w:rsidRPr="00E673DC">
        <w:rPr>
          <w:lang w:val="en-GB"/>
        </w:rPr>
        <w:t xml:space="preserve">ational performance concerning environmental impacts. This includes investing in comprehensive GL&amp;D </w:t>
      </w:r>
      <w:r w:rsidR="00A61F6A">
        <w:rPr>
          <w:lang w:val="en-GB"/>
        </w:rPr>
        <w:t>programmes</w:t>
      </w:r>
      <w:r w:rsidRPr="00E673DC">
        <w:rPr>
          <w:lang w:val="en-GB"/>
        </w:rPr>
        <w:t xml:space="preserve"> and establishing a robust rewards system to </w:t>
      </w:r>
      <w:r w:rsidR="00720C30">
        <w:rPr>
          <w:lang w:val="en-GB"/>
        </w:rPr>
        <w:t>recognis</w:t>
      </w:r>
      <w:r w:rsidRPr="00E673DC">
        <w:rPr>
          <w:lang w:val="en-GB"/>
        </w:rPr>
        <w:t>e employees' contributions to environmental sustainability.</w:t>
      </w:r>
    </w:p>
    <w:p w14:paraId="17744948" w14:textId="43AA0ED4" w:rsidR="002330C7" w:rsidRPr="00E673DC" w:rsidRDefault="00720C30" w:rsidP="00D77795">
      <w:pPr>
        <w:ind w:firstLine="720"/>
        <w:rPr>
          <w:lang w:val="en-GB"/>
        </w:rPr>
      </w:pPr>
      <w:r>
        <w:rPr>
          <w:lang w:val="en-GB"/>
        </w:rPr>
        <w:t xml:space="preserve">The </w:t>
      </w:r>
      <w:r w:rsidR="002330C7" w:rsidRPr="00E673DC">
        <w:rPr>
          <w:lang w:val="en-GB"/>
        </w:rPr>
        <w:t xml:space="preserve">DGHRD </w:t>
      </w:r>
      <w:r w:rsidR="004B2693">
        <w:rPr>
          <w:lang w:val="en-GB"/>
        </w:rPr>
        <w:t>should</w:t>
      </w:r>
      <w:r w:rsidR="002330C7" w:rsidRPr="00E673DC">
        <w:rPr>
          <w:lang w:val="en-GB"/>
        </w:rPr>
        <w:t xml:space="preserve"> </w:t>
      </w:r>
      <w:r w:rsidR="004B2693">
        <w:rPr>
          <w:lang w:val="en-GB"/>
        </w:rPr>
        <w:t>e</w:t>
      </w:r>
      <w:r w:rsidR="002330C7" w:rsidRPr="00E673DC">
        <w:rPr>
          <w:lang w:val="en-GB"/>
        </w:rPr>
        <w:t xml:space="preserve">nhance GL&amp;D </w:t>
      </w:r>
      <w:r w:rsidR="004B2693">
        <w:rPr>
          <w:lang w:val="en-GB"/>
        </w:rPr>
        <w:t>p</w:t>
      </w:r>
      <w:r w:rsidR="00A61F6A">
        <w:rPr>
          <w:lang w:val="en-GB"/>
        </w:rPr>
        <w:t>rogrammes</w:t>
      </w:r>
      <w:r w:rsidR="002330C7" w:rsidRPr="00E673DC">
        <w:rPr>
          <w:lang w:val="en-GB"/>
        </w:rPr>
        <w:t xml:space="preserve"> and encourage investing in comprehensive training </w:t>
      </w:r>
      <w:r w:rsidR="00A61F6A">
        <w:rPr>
          <w:lang w:val="en-GB"/>
        </w:rPr>
        <w:t>programmes</w:t>
      </w:r>
      <w:r w:rsidR="002330C7" w:rsidRPr="00E673DC">
        <w:rPr>
          <w:lang w:val="en-GB"/>
        </w:rPr>
        <w:t xml:space="preserve"> that focus on environmental sustainability. These </w:t>
      </w:r>
      <w:r w:rsidR="00A61F6A">
        <w:rPr>
          <w:lang w:val="en-GB"/>
        </w:rPr>
        <w:t>programmes</w:t>
      </w:r>
      <w:r w:rsidR="002330C7" w:rsidRPr="00E673DC">
        <w:rPr>
          <w:lang w:val="en-GB"/>
        </w:rPr>
        <w:t xml:space="preserve"> should aim to enhance employees' knowledge, skills, and abilities to address </w:t>
      </w:r>
      <w:r w:rsidR="002330C7" w:rsidRPr="00E673DC">
        <w:rPr>
          <w:lang w:val="en-GB"/>
        </w:rPr>
        <w:lastRenderedPageBreak/>
        <w:t xml:space="preserve">environmental challenges effectively. Regular workshops, seminars, and training sessions on green practices can help in building </w:t>
      </w:r>
      <w:r w:rsidR="00BA7F1E" w:rsidRPr="00E673DC">
        <w:rPr>
          <w:lang w:val="en-GB"/>
        </w:rPr>
        <w:t>a sturdy foundation</w:t>
      </w:r>
      <w:r w:rsidR="002330C7" w:rsidRPr="00E673DC">
        <w:rPr>
          <w:lang w:val="en-GB"/>
        </w:rPr>
        <w:t xml:space="preserve"> for environmental awareness and action.</w:t>
      </w:r>
    </w:p>
    <w:p w14:paraId="632C1FB4" w14:textId="019F826B" w:rsidR="002330C7" w:rsidRPr="00E673DC" w:rsidRDefault="00720C30" w:rsidP="00D77795">
      <w:pPr>
        <w:ind w:firstLine="720"/>
        <w:rPr>
          <w:lang w:val="en-GB"/>
        </w:rPr>
      </w:pPr>
      <w:r>
        <w:rPr>
          <w:lang w:val="en-GB"/>
        </w:rPr>
        <w:t xml:space="preserve">The </w:t>
      </w:r>
      <w:r w:rsidR="002330C7" w:rsidRPr="00E673DC">
        <w:rPr>
          <w:lang w:val="en-GB"/>
        </w:rPr>
        <w:t xml:space="preserve">DGHRD should also establish a robust rewards and compensation system that </w:t>
      </w:r>
      <w:r>
        <w:rPr>
          <w:lang w:val="en-GB"/>
        </w:rPr>
        <w:t>recognis</w:t>
      </w:r>
      <w:r w:rsidR="002330C7" w:rsidRPr="00E673DC">
        <w:rPr>
          <w:lang w:val="en-GB"/>
        </w:rPr>
        <w:t>es and appreciates employees' contributions to environmental sustainability. This can include financial incentives, non-financial rewards, and recognition-based rewards for employees who actively participate in green initiatives.</w:t>
      </w:r>
    </w:p>
    <w:p w14:paraId="2EC92059" w14:textId="70D7437B" w:rsidR="002330C7" w:rsidRPr="00E673DC" w:rsidRDefault="002330C7" w:rsidP="00D77795">
      <w:pPr>
        <w:ind w:firstLine="720"/>
        <w:rPr>
          <w:lang w:val="en-GB"/>
        </w:rPr>
      </w:pPr>
      <w:r w:rsidRPr="00E673DC">
        <w:rPr>
          <w:lang w:val="en-GB"/>
        </w:rPr>
        <w:t xml:space="preserve">Furthermore, the </w:t>
      </w:r>
      <w:r w:rsidR="004B2693">
        <w:rPr>
          <w:lang w:val="en-GB"/>
        </w:rPr>
        <w:t>study</w:t>
      </w:r>
      <w:r w:rsidRPr="00E673DC">
        <w:rPr>
          <w:lang w:val="en-GB"/>
        </w:rPr>
        <w:t xml:space="preserve"> </w:t>
      </w:r>
      <w:r w:rsidR="00697E8C">
        <w:rPr>
          <w:lang w:val="en-GB"/>
        </w:rPr>
        <w:t>emphasis</w:t>
      </w:r>
      <w:r w:rsidRPr="00E673DC">
        <w:rPr>
          <w:lang w:val="en-GB"/>
        </w:rPr>
        <w:t xml:space="preserve">es the need for creating a green culture within </w:t>
      </w:r>
      <w:r w:rsidR="00DC79D6">
        <w:rPr>
          <w:lang w:val="en-GB"/>
        </w:rPr>
        <w:t>organis</w:t>
      </w:r>
      <w:r w:rsidRPr="00E673DC">
        <w:rPr>
          <w:lang w:val="en-GB"/>
        </w:rPr>
        <w:t xml:space="preserve">ations by providing platforms for knowledge sharing, encouraging participation in green initiatives, and aligning policies with environmental sustainability goals. This approach helps embed environmental values into the </w:t>
      </w:r>
      <w:r w:rsidR="00DC79D6">
        <w:rPr>
          <w:lang w:val="en-GB"/>
        </w:rPr>
        <w:t>organis</w:t>
      </w:r>
      <w:r w:rsidRPr="00E673DC">
        <w:rPr>
          <w:lang w:val="en-GB"/>
        </w:rPr>
        <w:t xml:space="preserve">ational culture and promote sustained green </w:t>
      </w:r>
      <w:r w:rsidR="00DC79D6">
        <w:rPr>
          <w:lang w:val="en-GB"/>
        </w:rPr>
        <w:t>behaviour</w:t>
      </w:r>
      <w:r w:rsidRPr="00E673DC">
        <w:rPr>
          <w:lang w:val="en-GB"/>
        </w:rPr>
        <w:t>s.</w:t>
      </w:r>
    </w:p>
    <w:p w14:paraId="74EAB5A5" w14:textId="6FAF7DDD" w:rsidR="002330C7" w:rsidRPr="00E673DC" w:rsidRDefault="002330C7" w:rsidP="00D77795">
      <w:pPr>
        <w:ind w:firstLine="720"/>
        <w:rPr>
          <w:lang w:val="en-GB"/>
        </w:rPr>
      </w:pPr>
      <w:r w:rsidRPr="00E673DC">
        <w:rPr>
          <w:lang w:val="en-GB"/>
        </w:rPr>
        <w:t xml:space="preserve">This </w:t>
      </w:r>
      <w:r w:rsidR="004B2693">
        <w:rPr>
          <w:lang w:val="en-GB"/>
        </w:rPr>
        <w:t>research</w:t>
      </w:r>
      <w:r w:rsidRPr="00E673DC">
        <w:rPr>
          <w:lang w:val="en-GB"/>
        </w:rPr>
        <w:t xml:space="preserve"> also makes vital contributions to the OCBE domain. Firstly, for researchers interested in enhancing knowledge about the concept, this </w:t>
      </w:r>
      <w:r w:rsidR="004B2693">
        <w:rPr>
          <w:lang w:val="en-GB"/>
        </w:rPr>
        <w:t>study</w:t>
      </w:r>
      <w:r w:rsidRPr="00E673DC">
        <w:rPr>
          <w:lang w:val="en-GB"/>
        </w:rPr>
        <w:t xml:space="preserve"> presents a coherent and concise overview of the underpinning theories such as GHRM and OCBE. For the DGHRD, this study offers a penetrating view of how GHRM</w:t>
      </w:r>
      <w:r w:rsidR="004B2693">
        <w:rPr>
          <w:lang w:val="en-GB"/>
        </w:rPr>
        <w:t xml:space="preserve"> practices</w:t>
      </w:r>
      <w:r w:rsidRPr="00E673DC">
        <w:rPr>
          <w:lang w:val="en-GB"/>
        </w:rPr>
        <w:t xml:space="preserve"> can act as contributing factors in achieving the government</w:t>
      </w:r>
      <w:r w:rsidR="004B2693">
        <w:rPr>
          <w:lang w:val="en-GB"/>
        </w:rPr>
        <w:t>'s</w:t>
      </w:r>
      <w:r w:rsidRPr="00E673DC">
        <w:rPr>
          <w:lang w:val="en-GB"/>
        </w:rPr>
        <w:t xml:space="preserve"> vision </w:t>
      </w:r>
      <w:r w:rsidR="004B2693">
        <w:rPr>
          <w:lang w:val="en-GB"/>
        </w:rPr>
        <w:t>for</w:t>
      </w:r>
      <w:r w:rsidRPr="00E673DC">
        <w:rPr>
          <w:lang w:val="en-GB"/>
        </w:rPr>
        <w:t xml:space="preserve"> renewable energy </w:t>
      </w:r>
      <w:r w:rsidR="004B2693">
        <w:rPr>
          <w:lang w:val="en-GB"/>
        </w:rPr>
        <w:t xml:space="preserve">by </w:t>
      </w:r>
      <w:r w:rsidRPr="00E673DC">
        <w:rPr>
          <w:lang w:val="en-GB"/>
        </w:rPr>
        <w:t xml:space="preserve">2050 </w:t>
      </w:r>
      <w:r w:rsidR="004B2693">
        <w:rPr>
          <w:lang w:val="en-GB"/>
        </w:rPr>
        <w:t xml:space="preserve">through </w:t>
      </w:r>
      <w:r w:rsidRPr="00E673DC">
        <w:rPr>
          <w:lang w:val="en-GB"/>
        </w:rPr>
        <w:t>enhancing Pro-EB for employees</w:t>
      </w:r>
      <w:r w:rsidR="004B2693">
        <w:rPr>
          <w:lang w:val="en-GB"/>
        </w:rPr>
        <w:t>,</w:t>
      </w:r>
      <w:r w:rsidRPr="00E673DC">
        <w:rPr>
          <w:lang w:val="en-GB"/>
        </w:rPr>
        <w:t xml:space="preserve"> which leads to increasing </w:t>
      </w:r>
      <w:r w:rsidR="004B2693">
        <w:rPr>
          <w:lang w:val="en-GB"/>
        </w:rPr>
        <w:t xml:space="preserve">the </w:t>
      </w:r>
      <w:r w:rsidRPr="00E673DC">
        <w:rPr>
          <w:lang w:val="en-GB"/>
        </w:rPr>
        <w:t xml:space="preserve">OCBE </w:t>
      </w:r>
      <w:r w:rsidR="004B2693">
        <w:rPr>
          <w:lang w:val="en-GB"/>
        </w:rPr>
        <w:t xml:space="preserve">that </w:t>
      </w:r>
      <w:r w:rsidRPr="00E673DC">
        <w:rPr>
          <w:lang w:val="en-GB"/>
        </w:rPr>
        <w:t xml:space="preserve">will </w:t>
      </w:r>
      <w:r w:rsidR="004B2693" w:rsidRPr="00E673DC">
        <w:rPr>
          <w:lang w:val="en-GB"/>
        </w:rPr>
        <w:t xml:space="preserve">definitely </w:t>
      </w:r>
      <w:r w:rsidRPr="00E673DC">
        <w:rPr>
          <w:lang w:val="en-GB"/>
        </w:rPr>
        <w:t xml:space="preserve">increase the happiness and loyalty in the Dubai </w:t>
      </w:r>
      <w:r w:rsidR="00720C30">
        <w:rPr>
          <w:lang w:val="en-GB"/>
        </w:rPr>
        <w:t>G</w:t>
      </w:r>
      <w:r w:rsidRPr="00E673DC">
        <w:rPr>
          <w:lang w:val="en-GB"/>
        </w:rPr>
        <w:t xml:space="preserve">overnment </w:t>
      </w:r>
      <w:r w:rsidR="00DC79D6">
        <w:rPr>
          <w:lang w:val="en-GB"/>
        </w:rPr>
        <w:t>organis</w:t>
      </w:r>
      <w:r w:rsidRPr="00E673DC">
        <w:rPr>
          <w:lang w:val="en-GB"/>
        </w:rPr>
        <w:t>ations and made them employers of choice.</w:t>
      </w:r>
    </w:p>
    <w:p w14:paraId="6B47676F" w14:textId="5B0253A4" w:rsidR="002330C7" w:rsidRPr="00E673DC" w:rsidRDefault="002330C7" w:rsidP="00D77795">
      <w:pPr>
        <w:ind w:firstLine="720"/>
        <w:rPr>
          <w:lang w:val="en-GB"/>
        </w:rPr>
      </w:pPr>
      <w:r w:rsidRPr="00E673DC">
        <w:rPr>
          <w:lang w:val="en-GB"/>
        </w:rPr>
        <w:t xml:space="preserve">By implementing these recommendations, Dubai Government </w:t>
      </w:r>
      <w:r w:rsidR="004B2693">
        <w:rPr>
          <w:lang w:val="en-GB"/>
        </w:rPr>
        <w:t>o</w:t>
      </w:r>
      <w:r w:rsidR="00DC79D6">
        <w:rPr>
          <w:lang w:val="en-GB"/>
        </w:rPr>
        <w:t>rganis</w:t>
      </w:r>
      <w:r w:rsidRPr="00E673DC">
        <w:rPr>
          <w:lang w:val="en-GB"/>
        </w:rPr>
        <w:t xml:space="preserve">ations can enhance their GHRM practices, foster </w:t>
      </w:r>
      <w:r w:rsidR="00BA5CEE" w:rsidRPr="00E673DC">
        <w:rPr>
          <w:lang w:val="en-GB"/>
        </w:rPr>
        <w:t>GIB</w:t>
      </w:r>
      <w:r w:rsidRPr="00E673DC">
        <w:rPr>
          <w:lang w:val="en-GB"/>
        </w:rPr>
        <w:t xml:space="preserve">, and ultimately achieve higher levels of </w:t>
      </w:r>
      <w:r w:rsidR="00BA5CEE" w:rsidRPr="00E673DC">
        <w:rPr>
          <w:lang w:val="en-GB"/>
        </w:rPr>
        <w:t>OCBE</w:t>
      </w:r>
      <w:r w:rsidRPr="00E673DC">
        <w:rPr>
          <w:lang w:val="en-GB"/>
        </w:rPr>
        <w:t>.</w:t>
      </w:r>
    </w:p>
    <w:p w14:paraId="3ACE0A2F" w14:textId="001BE805" w:rsidR="008F44B7" w:rsidRPr="00E673DC" w:rsidRDefault="008F44B7" w:rsidP="005C1A31">
      <w:pPr>
        <w:ind w:firstLine="720"/>
        <w:jc w:val="both"/>
        <w:rPr>
          <w:lang w:val="en-GB"/>
        </w:rPr>
      </w:pPr>
    </w:p>
    <w:bookmarkEnd w:id="48"/>
    <w:p w14:paraId="285984E8" w14:textId="77777777" w:rsidR="008F44B7" w:rsidRPr="00E673DC" w:rsidRDefault="008F44B7">
      <w:pPr>
        <w:spacing w:before="0" w:beforeAutospacing="0" w:after="160" w:afterAutospacing="0" w:line="259" w:lineRule="auto"/>
        <w:ind w:firstLine="0"/>
        <w:contextualSpacing w:val="0"/>
        <w:rPr>
          <w:rFonts w:eastAsia="Times New Roman"/>
          <w:lang w:val="en-GB"/>
        </w:rPr>
      </w:pPr>
      <w:r w:rsidRPr="00E673DC">
        <w:rPr>
          <w:rFonts w:eastAsia="Times New Roman"/>
          <w:lang w:val="en-GB"/>
        </w:rPr>
        <w:lastRenderedPageBreak/>
        <w:br w:type="page"/>
      </w:r>
    </w:p>
    <w:p w14:paraId="2014A515" w14:textId="4B5D1BA2" w:rsidR="008F44B7" w:rsidRPr="002A4FAE" w:rsidRDefault="008F44B7" w:rsidP="002A4FAE">
      <w:pPr>
        <w:pStyle w:val="heading2"/>
        <w:rPr>
          <w:sz w:val="24"/>
          <w:szCs w:val="24"/>
          <w:lang w:val="en-GB"/>
        </w:rPr>
      </w:pPr>
      <w:bookmarkStart w:id="50" w:name="_Toc197952414"/>
      <w:r w:rsidRPr="002A4FAE">
        <w:rPr>
          <w:sz w:val="24"/>
          <w:szCs w:val="24"/>
          <w:lang w:val="en-GB"/>
        </w:rPr>
        <w:lastRenderedPageBreak/>
        <w:t>Limitations</w:t>
      </w:r>
      <w:bookmarkEnd w:id="50"/>
    </w:p>
    <w:p w14:paraId="0AA37180" w14:textId="2961056E" w:rsidR="008F44B7" w:rsidRPr="00E673DC" w:rsidRDefault="008F44B7" w:rsidP="00D77795">
      <w:pPr>
        <w:ind w:firstLine="720"/>
        <w:rPr>
          <w:lang w:val="en-GB"/>
        </w:rPr>
      </w:pPr>
      <w:r w:rsidRPr="00E673DC">
        <w:rPr>
          <w:lang w:val="en-GB"/>
        </w:rPr>
        <w:t xml:space="preserve">While this study fills an important gap in the green research domain pertaining to the government sector in the UAE, it has some limitations that could guide future research. It focuses on two </w:t>
      </w:r>
      <w:r w:rsidR="003231DD">
        <w:rPr>
          <w:lang w:val="en-GB"/>
        </w:rPr>
        <w:t>Green HR Practices</w:t>
      </w:r>
      <w:r w:rsidRPr="00E673DC">
        <w:rPr>
          <w:lang w:val="en-GB"/>
        </w:rPr>
        <w:t xml:space="preserve">: </w:t>
      </w:r>
      <w:r w:rsidR="00720C30">
        <w:rPr>
          <w:lang w:val="en-GB"/>
        </w:rPr>
        <w:t>G</w:t>
      </w:r>
      <w:r w:rsidRPr="00E673DC">
        <w:rPr>
          <w:lang w:val="en-GB"/>
        </w:rPr>
        <w:t xml:space="preserve">L&amp;D and </w:t>
      </w:r>
      <w:r w:rsidR="00720C30">
        <w:rPr>
          <w:lang w:val="en-GB"/>
        </w:rPr>
        <w:t>G</w:t>
      </w:r>
      <w:r w:rsidRPr="00E673DC">
        <w:rPr>
          <w:lang w:val="en-GB"/>
        </w:rPr>
        <w:t xml:space="preserve">R&amp;C. Future studies should include additional </w:t>
      </w:r>
      <w:r w:rsidR="003231DD">
        <w:rPr>
          <w:lang w:val="en-GB"/>
        </w:rPr>
        <w:t>Green HR Practices</w:t>
      </w:r>
      <w:r w:rsidRPr="00E673DC">
        <w:rPr>
          <w:lang w:val="en-GB"/>
        </w:rPr>
        <w:t xml:space="preserve"> to enhance the overall contribution. Second, the current study is limited to the Dubai Government of UAE. Government environmental practices have significant difference</w:t>
      </w:r>
      <w:r w:rsidR="004B2693">
        <w:rPr>
          <w:lang w:val="en-GB"/>
        </w:rPr>
        <w:t>s</w:t>
      </w:r>
      <w:r w:rsidRPr="00E673DC">
        <w:rPr>
          <w:lang w:val="en-GB"/>
        </w:rPr>
        <w:t xml:space="preserve"> from country to country. Therefore, the results of this study may not apply to other governments in other countries. In this regard, future studies should be </w:t>
      </w:r>
      <w:r w:rsidR="00F8610F" w:rsidRPr="00E673DC">
        <w:rPr>
          <w:lang w:val="en-GB"/>
        </w:rPr>
        <w:t>conducted</w:t>
      </w:r>
      <w:r w:rsidRPr="00E673DC">
        <w:rPr>
          <w:lang w:val="en-GB"/>
        </w:rPr>
        <w:t xml:space="preserve"> to examine these practices in </w:t>
      </w:r>
      <w:r w:rsidR="004B2693">
        <w:rPr>
          <w:lang w:val="en-GB"/>
        </w:rPr>
        <w:t xml:space="preserve">the </w:t>
      </w:r>
      <w:r w:rsidRPr="00E673DC">
        <w:rPr>
          <w:lang w:val="en-GB"/>
        </w:rPr>
        <w:t xml:space="preserve">governmental sector in </w:t>
      </w:r>
      <w:r w:rsidR="004B2693">
        <w:rPr>
          <w:lang w:val="en-GB"/>
        </w:rPr>
        <w:t xml:space="preserve">other </w:t>
      </w:r>
      <w:r w:rsidRPr="00E673DC">
        <w:rPr>
          <w:lang w:val="en-GB"/>
        </w:rPr>
        <w:t xml:space="preserve">countries to compare </w:t>
      </w:r>
      <w:r w:rsidR="004B2693">
        <w:rPr>
          <w:lang w:val="en-GB"/>
        </w:rPr>
        <w:t xml:space="preserve">the </w:t>
      </w:r>
      <w:r w:rsidRPr="00E673DC">
        <w:rPr>
          <w:lang w:val="en-GB"/>
        </w:rPr>
        <w:t xml:space="preserve">results with the current study. Third, the sample of this study includes respondents from various </w:t>
      </w:r>
      <w:r w:rsidR="00DC79D6">
        <w:rPr>
          <w:lang w:val="en-GB"/>
        </w:rPr>
        <w:t>organis</w:t>
      </w:r>
      <w:r w:rsidRPr="00E673DC">
        <w:rPr>
          <w:lang w:val="en-GB"/>
        </w:rPr>
        <w:t xml:space="preserve">ations within </w:t>
      </w:r>
      <w:r w:rsidR="004B2693">
        <w:rPr>
          <w:lang w:val="en-GB"/>
        </w:rPr>
        <w:t xml:space="preserve">the </w:t>
      </w:r>
      <w:r w:rsidRPr="00E673DC">
        <w:rPr>
          <w:lang w:val="en-GB"/>
        </w:rPr>
        <w:t xml:space="preserve">Dubai Government. The involvement of respondents from various entities may sway the results of this study; therefore, in the future, only one entity </w:t>
      </w:r>
      <w:r w:rsidR="004B2693">
        <w:rPr>
          <w:lang w:val="en-GB"/>
        </w:rPr>
        <w:t>might</w:t>
      </w:r>
      <w:r w:rsidRPr="00E673DC">
        <w:rPr>
          <w:lang w:val="en-GB"/>
        </w:rPr>
        <w:t xml:space="preserve"> be selected to </w:t>
      </w:r>
      <w:r w:rsidR="00F8610F" w:rsidRPr="00E673DC">
        <w:rPr>
          <w:lang w:val="en-GB"/>
        </w:rPr>
        <w:t>evaluate</w:t>
      </w:r>
      <w:r w:rsidRPr="00E673DC">
        <w:rPr>
          <w:lang w:val="en-GB"/>
        </w:rPr>
        <w:t xml:space="preserve"> the effect of </w:t>
      </w:r>
      <w:r w:rsidR="003231DD">
        <w:rPr>
          <w:lang w:val="en-GB"/>
        </w:rPr>
        <w:t>Green HR Practices</w:t>
      </w:r>
      <w:r w:rsidRPr="00E673DC">
        <w:rPr>
          <w:lang w:val="en-GB"/>
        </w:rPr>
        <w:t xml:space="preserve"> on OCBE rather than select</w:t>
      </w:r>
      <w:r w:rsidR="004B2693">
        <w:rPr>
          <w:lang w:val="en-GB"/>
        </w:rPr>
        <w:t>ing</w:t>
      </w:r>
      <w:r w:rsidRPr="00E673DC">
        <w:rPr>
          <w:lang w:val="en-GB"/>
        </w:rPr>
        <w:t xml:space="preserve"> many entities. Another limitation is that the data </w:t>
      </w:r>
      <w:r w:rsidR="004B2693">
        <w:rPr>
          <w:lang w:val="en-GB"/>
        </w:rPr>
        <w:t>were</w:t>
      </w:r>
      <w:r w:rsidRPr="00E673DC">
        <w:rPr>
          <w:lang w:val="en-GB"/>
        </w:rPr>
        <w:t xml:space="preserve"> collected just once from </w:t>
      </w:r>
      <w:r w:rsidR="004B2693">
        <w:rPr>
          <w:lang w:val="en-GB"/>
        </w:rPr>
        <w:t xml:space="preserve">the </w:t>
      </w:r>
      <w:r w:rsidRPr="00E673DC">
        <w:rPr>
          <w:lang w:val="en-GB"/>
        </w:rPr>
        <w:t xml:space="preserve">respondents. </w:t>
      </w:r>
      <w:r w:rsidR="007F5DFA">
        <w:rPr>
          <w:lang w:val="en-GB"/>
        </w:rPr>
        <w:t>Utilis</w:t>
      </w:r>
      <w:r w:rsidR="00542A52" w:rsidRPr="00E673DC">
        <w:rPr>
          <w:lang w:val="en-GB"/>
        </w:rPr>
        <w:t>ing a case study or longitudinal data would yield a more thorough comprehension of the GHRM construct.</w:t>
      </w:r>
      <w:r w:rsidRPr="00E673DC">
        <w:rPr>
          <w:lang w:val="en-GB"/>
        </w:rPr>
        <w:t xml:space="preserve"> Lastly, further research into the multidimensional aspects of GHRM is necessary.</w:t>
      </w:r>
    </w:p>
    <w:p w14:paraId="41C21CF7" w14:textId="77777777" w:rsidR="00580EFD" w:rsidRPr="00E673DC" w:rsidRDefault="00580EFD" w:rsidP="008F44B7">
      <w:pPr>
        <w:keepLines/>
        <w:overflowPunct w:val="0"/>
        <w:autoSpaceDE w:val="0"/>
        <w:autoSpaceDN w:val="0"/>
        <w:adjustRightInd w:val="0"/>
        <w:spacing w:line="276" w:lineRule="auto"/>
        <w:jc w:val="both"/>
        <w:textAlignment w:val="baseline"/>
        <w:rPr>
          <w:rFonts w:eastAsia="Times New Roman"/>
          <w:lang w:val="en-GB"/>
        </w:rPr>
      </w:pPr>
    </w:p>
    <w:p w14:paraId="35DE19E8" w14:textId="77777777" w:rsidR="008F44B7" w:rsidRPr="00E673DC" w:rsidRDefault="008F44B7">
      <w:pPr>
        <w:spacing w:before="0" w:beforeAutospacing="0" w:after="160" w:afterAutospacing="0" w:line="259" w:lineRule="auto"/>
        <w:ind w:firstLine="0"/>
        <w:contextualSpacing w:val="0"/>
        <w:rPr>
          <w:b/>
          <w:lang w:val="en-GB"/>
        </w:rPr>
      </w:pPr>
      <w:r w:rsidRPr="00E673DC">
        <w:rPr>
          <w:lang w:val="en-GB"/>
        </w:rPr>
        <w:br w:type="page"/>
      </w:r>
    </w:p>
    <w:p w14:paraId="43F512F0" w14:textId="74EFFD87" w:rsidR="0021688C" w:rsidRPr="00E673DC" w:rsidRDefault="00067F6E" w:rsidP="00546E53">
      <w:pPr>
        <w:pStyle w:val="References"/>
        <w:ind w:firstLine="0"/>
        <w:jc w:val="center"/>
        <w:rPr>
          <w:b w:val="0"/>
          <w:sz w:val="24"/>
          <w:szCs w:val="24"/>
          <w:lang w:val="en-GB"/>
        </w:rPr>
      </w:pPr>
      <w:bookmarkStart w:id="51" w:name="_Toc197952415"/>
      <w:r w:rsidRPr="00E673DC">
        <w:rPr>
          <w:sz w:val="24"/>
          <w:szCs w:val="24"/>
          <w:lang w:val="en-GB"/>
        </w:rPr>
        <w:lastRenderedPageBreak/>
        <w:t>References</w:t>
      </w:r>
      <w:bookmarkEnd w:id="51"/>
      <w:r w:rsidR="007034DD" w:rsidRPr="00E673DC">
        <w:rPr>
          <w:sz w:val="24"/>
          <w:szCs w:val="24"/>
          <w:lang w:val="en-GB"/>
        </w:rPr>
        <w:t xml:space="preserve"> </w:t>
      </w:r>
    </w:p>
    <w:p w14:paraId="6277261E" w14:textId="77777777" w:rsidR="00170A80" w:rsidRPr="00E673DC" w:rsidRDefault="00170A80" w:rsidP="00264424">
      <w:pPr>
        <w:pStyle w:val="Bibliography"/>
        <w:spacing w:after="100"/>
        <w:rPr>
          <w:lang w:val="en-GB"/>
        </w:rPr>
      </w:pPr>
      <w:r w:rsidRPr="00E673DC">
        <w:rPr>
          <w:lang w:val="en-GB"/>
        </w:rPr>
        <w:fldChar w:fldCharType="begin"/>
      </w:r>
      <w:r w:rsidRPr="00E673DC">
        <w:rPr>
          <w:lang w:val="en-GB"/>
        </w:rPr>
        <w:instrText xml:space="preserve"> ADDIN ZOTERO_BIBL {"uncited":[],"omitted":[],"custom":[]} CSL_BIBLIOGRAPHY </w:instrText>
      </w:r>
      <w:r w:rsidRPr="00E673DC">
        <w:rPr>
          <w:lang w:val="en-GB"/>
        </w:rPr>
        <w:fldChar w:fldCharType="separate"/>
      </w:r>
      <w:r w:rsidRPr="00E673DC">
        <w:rPr>
          <w:lang w:val="en-GB"/>
        </w:rPr>
        <w:t xml:space="preserve">Ahmad, S. (2015). Green Human Resource Management: Policies and practices. </w:t>
      </w:r>
      <w:r w:rsidRPr="00E673DC">
        <w:rPr>
          <w:i/>
          <w:iCs/>
          <w:lang w:val="en-GB"/>
        </w:rPr>
        <w:t>Cogent Business &amp; Management</w:t>
      </w:r>
      <w:r w:rsidRPr="00E673DC">
        <w:rPr>
          <w:lang w:val="en-GB"/>
        </w:rPr>
        <w:t xml:space="preserve">, </w:t>
      </w:r>
      <w:r w:rsidRPr="00716EE2">
        <w:rPr>
          <w:lang w:val="en-GB"/>
        </w:rPr>
        <w:t>2</w:t>
      </w:r>
      <w:r w:rsidRPr="00E673DC">
        <w:rPr>
          <w:lang w:val="en-GB"/>
        </w:rPr>
        <w:t>(1). http://dx.doi.org/10.1080/23311975.2015.1030817</w:t>
      </w:r>
    </w:p>
    <w:p w14:paraId="0FFE3667" w14:textId="77777777" w:rsidR="00170A80" w:rsidRPr="00E673DC" w:rsidRDefault="00170A80" w:rsidP="00170A80">
      <w:pPr>
        <w:pStyle w:val="Bibliography"/>
        <w:rPr>
          <w:lang w:val="en-GB"/>
        </w:rPr>
      </w:pPr>
      <w:r w:rsidRPr="00E673DC">
        <w:rPr>
          <w:lang w:val="en-GB"/>
        </w:rPr>
        <w:t xml:space="preserve">Alvesson, M., &amp; Sandberg, J. (2013). </w:t>
      </w:r>
      <w:r w:rsidRPr="00E673DC">
        <w:rPr>
          <w:i/>
          <w:iCs/>
          <w:lang w:val="en-GB"/>
        </w:rPr>
        <w:t>Constructing Research Questions: Doing Interesting Research</w:t>
      </w:r>
      <w:r w:rsidRPr="00E673DC">
        <w:rPr>
          <w:lang w:val="en-GB"/>
        </w:rPr>
        <w:t>. Sage Publications. https://books.google.ae/books?hl=en&amp;lr=&amp;id=csrfEAAAQBAJ&amp;oi=fnd&amp;pg=PP2&amp;dq=Alvesson,+M.,+%26+Sandberg,+J.+(2013).+Constructing+Research+Questions:+Doing+Interesting+Research.+Sage+Publications.&amp;ots=RkiV3CMqGk&amp;sig=aS6rT3Dv09HPdoWfzX5h9meKkHQ&amp;redir_esc=y#v=onepage&amp;q=Alvesson%2C%20M.%2C%20%26%20Sandberg%2C%20J.%20(2013).%20Constructing%20Research%20Questions%3A%20Doing%20Interesting%20Research.%20Sage%20Publications.&amp;f=false</w:t>
      </w:r>
    </w:p>
    <w:p w14:paraId="2679B74E" w14:textId="77777777" w:rsidR="00170A80" w:rsidRPr="00E673DC" w:rsidRDefault="00170A80" w:rsidP="00170A80">
      <w:pPr>
        <w:pStyle w:val="Bibliography"/>
        <w:rPr>
          <w:lang w:val="en-GB"/>
        </w:rPr>
      </w:pPr>
      <w:r w:rsidRPr="00E673DC">
        <w:rPr>
          <w:lang w:val="en-GB"/>
        </w:rPr>
        <w:t xml:space="preserve">Amrutha, V. N., &amp; Geetha, S. N. (2020). A systematic review on green human resource management: Implications for social sustainability. </w:t>
      </w:r>
      <w:r w:rsidRPr="00E673DC">
        <w:rPr>
          <w:i/>
          <w:iCs/>
          <w:lang w:val="en-GB"/>
        </w:rPr>
        <w:t>Journal of Cleaner Production</w:t>
      </w:r>
      <w:r w:rsidRPr="00E673DC">
        <w:rPr>
          <w:lang w:val="en-GB"/>
        </w:rPr>
        <w:t xml:space="preserve">, </w:t>
      </w:r>
      <w:r w:rsidRPr="00716EE2">
        <w:rPr>
          <w:lang w:val="en-GB"/>
        </w:rPr>
        <w:t>247</w:t>
      </w:r>
      <w:r w:rsidRPr="00E673DC">
        <w:rPr>
          <w:lang w:val="en-GB"/>
        </w:rPr>
        <w:t>, 119131. https://doi.org/10.1016/j.jclepro.2019.119131</w:t>
      </w:r>
    </w:p>
    <w:p w14:paraId="2679F36B" w14:textId="77777777" w:rsidR="00170A80" w:rsidRPr="00E673DC" w:rsidRDefault="00170A80" w:rsidP="00170A80">
      <w:pPr>
        <w:pStyle w:val="Bibliography"/>
        <w:rPr>
          <w:lang w:val="en-GB"/>
        </w:rPr>
      </w:pPr>
      <w:r w:rsidRPr="00E673DC">
        <w:rPr>
          <w:lang w:val="en-GB"/>
        </w:rPr>
        <w:t xml:space="preserve">Anwar, N., Nik Mahmood, N. H., Yusliza, M. Y., Ramayah, T., Noor Faezah, J., &amp; Khalid, W. (2020). Green Human Resource Management for organisational citizenship behaviour towards the environment and environmental performance on a university campus. </w:t>
      </w:r>
      <w:r w:rsidRPr="00E673DC">
        <w:rPr>
          <w:i/>
          <w:iCs/>
          <w:lang w:val="en-GB"/>
        </w:rPr>
        <w:t>Journal of Cleaner Production</w:t>
      </w:r>
      <w:r w:rsidRPr="00E673DC">
        <w:rPr>
          <w:lang w:val="en-GB"/>
        </w:rPr>
        <w:t xml:space="preserve">, </w:t>
      </w:r>
      <w:r w:rsidRPr="00716EE2">
        <w:rPr>
          <w:lang w:val="en-GB"/>
        </w:rPr>
        <w:t>256</w:t>
      </w:r>
      <w:r w:rsidRPr="00E673DC">
        <w:rPr>
          <w:lang w:val="en-GB"/>
        </w:rPr>
        <w:t>, 120401. https://doi.org/10.1016/j.jclepro.2020.120401</w:t>
      </w:r>
    </w:p>
    <w:p w14:paraId="2F7C1FAC" w14:textId="35992371" w:rsidR="00170A80" w:rsidRPr="00E673DC" w:rsidRDefault="00170A80" w:rsidP="00716EE2">
      <w:pPr>
        <w:pStyle w:val="Bibliography"/>
        <w:spacing w:after="100"/>
        <w:rPr>
          <w:lang w:val="en-GB"/>
        </w:rPr>
      </w:pPr>
      <w:r w:rsidRPr="00E673DC">
        <w:rPr>
          <w:lang w:val="en-GB"/>
        </w:rPr>
        <w:t xml:space="preserve">Bandura, A. (1986). </w:t>
      </w:r>
      <w:r w:rsidR="00716EE2" w:rsidRPr="00E673DC">
        <w:rPr>
          <w:i/>
          <w:iCs/>
          <w:lang w:val="en-GB"/>
        </w:rPr>
        <w:t xml:space="preserve">Social Foundations </w:t>
      </w:r>
      <w:r w:rsidR="00716EE2">
        <w:rPr>
          <w:i/>
          <w:iCs/>
          <w:lang w:val="en-GB"/>
        </w:rPr>
        <w:t>o</w:t>
      </w:r>
      <w:r w:rsidR="00716EE2" w:rsidRPr="00E673DC">
        <w:rPr>
          <w:i/>
          <w:iCs/>
          <w:lang w:val="en-GB"/>
        </w:rPr>
        <w:t xml:space="preserve">f Thought </w:t>
      </w:r>
      <w:r w:rsidR="00716EE2">
        <w:rPr>
          <w:i/>
          <w:iCs/>
          <w:lang w:val="en-GB"/>
        </w:rPr>
        <w:t>a</w:t>
      </w:r>
      <w:r w:rsidR="00716EE2" w:rsidRPr="00E673DC">
        <w:rPr>
          <w:i/>
          <w:iCs/>
          <w:lang w:val="en-GB"/>
        </w:rPr>
        <w:t>nd Action</w:t>
      </w:r>
      <w:r w:rsidRPr="00E673DC">
        <w:rPr>
          <w:lang w:val="en-GB"/>
        </w:rPr>
        <w:t xml:space="preserve"> (Vol. 2). Englewood Cliffs. http://ereserve.library.utah.edu/Annual/PSY/3960/Gelfand/social1.pdf</w:t>
      </w:r>
    </w:p>
    <w:p w14:paraId="47D7CE1E" w14:textId="77777777" w:rsidR="00170A80" w:rsidRPr="00E673DC" w:rsidRDefault="00170A80" w:rsidP="00170A80">
      <w:pPr>
        <w:pStyle w:val="Bibliography"/>
        <w:rPr>
          <w:lang w:val="en-GB"/>
        </w:rPr>
      </w:pPr>
      <w:r w:rsidRPr="00E673DC">
        <w:rPr>
          <w:lang w:val="en-GB"/>
        </w:rPr>
        <w:lastRenderedPageBreak/>
        <w:t xml:space="preserve">Bhutto, A. W., Bazmi, A. A., Zahedi, G., &amp; Klemeš, J. J. (2014). A review of progress in renewable energy implementation in the Gulf Cooperation Council countries. </w:t>
      </w:r>
      <w:r w:rsidRPr="00E673DC">
        <w:rPr>
          <w:i/>
          <w:iCs/>
          <w:lang w:val="en-GB"/>
        </w:rPr>
        <w:t>Journal of Cleaner Production</w:t>
      </w:r>
      <w:r w:rsidRPr="00E673DC">
        <w:rPr>
          <w:lang w:val="en-GB"/>
        </w:rPr>
        <w:t xml:space="preserve">, </w:t>
      </w:r>
      <w:r w:rsidRPr="00716EE2">
        <w:rPr>
          <w:lang w:val="en-GB"/>
        </w:rPr>
        <w:t>71</w:t>
      </w:r>
      <w:r w:rsidRPr="00E673DC">
        <w:rPr>
          <w:lang w:val="en-GB"/>
        </w:rPr>
        <w:t>, 168–180. https://doi.org/10.1016/j.jclepro.2013.12.073</w:t>
      </w:r>
    </w:p>
    <w:p w14:paraId="3D0B3D6D" w14:textId="77777777" w:rsidR="00170A80" w:rsidRPr="00E673DC" w:rsidRDefault="00170A80" w:rsidP="00170A80">
      <w:pPr>
        <w:pStyle w:val="Bibliography"/>
        <w:rPr>
          <w:lang w:val="en-GB"/>
        </w:rPr>
      </w:pPr>
      <w:r w:rsidRPr="00E673DC">
        <w:rPr>
          <w:lang w:val="en-GB"/>
        </w:rPr>
        <w:t xml:space="preserve">Biernacki, P., &amp; Waldorf, D. (1981). Snowball Sampling: Problems and Techniques of Chain Referral Sampling. </w:t>
      </w:r>
      <w:r w:rsidRPr="00E673DC">
        <w:rPr>
          <w:i/>
          <w:iCs/>
          <w:lang w:val="en-GB"/>
        </w:rPr>
        <w:t>Sociological Methods &amp; Research</w:t>
      </w:r>
      <w:r w:rsidRPr="00E673DC">
        <w:rPr>
          <w:lang w:val="en-GB"/>
        </w:rPr>
        <w:t xml:space="preserve">, </w:t>
      </w:r>
      <w:r w:rsidRPr="00716EE2">
        <w:rPr>
          <w:lang w:val="en-GB"/>
        </w:rPr>
        <w:t>10</w:t>
      </w:r>
      <w:r w:rsidRPr="00E673DC">
        <w:rPr>
          <w:lang w:val="en-GB"/>
        </w:rPr>
        <w:t>(2), 141–163. https://doi.org/10.1177/004912418101000205</w:t>
      </w:r>
    </w:p>
    <w:p w14:paraId="734040FB" w14:textId="09CE7F21" w:rsidR="00170A80" w:rsidRPr="00E673DC" w:rsidRDefault="00170A80" w:rsidP="00170A80">
      <w:pPr>
        <w:pStyle w:val="Bibliography"/>
        <w:rPr>
          <w:lang w:val="en-GB"/>
        </w:rPr>
      </w:pPr>
      <w:r w:rsidRPr="00E673DC">
        <w:rPr>
          <w:lang w:val="en-GB"/>
        </w:rPr>
        <w:t xml:space="preserve">Blau, P. M. (2017). </w:t>
      </w:r>
      <w:r w:rsidRPr="00E673DC">
        <w:rPr>
          <w:i/>
          <w:iCs/>
          <w:lang w:val="en-GB"/>
        </w:rPr>
        <w:t>Exchange and Power in Social Life</w:t>
      </w:r>
      <w:r w:rsidRPr="00E673DC">
        <w:rPr>
          <w:lang w:val="en-GB"/>
        </w:rPr>
        <w:t xml:space="preserve"> </w:t>
      </w:r>
      <w:bookmarkStart w:id="52" w:name="_Hlk197361781"/>
      <w:r w:rsidRPr="00E673DC">
        <w:rPr>
          <w:lang w:val="en-GB"/>
        </w:rPr>
        <w:t xml:space="preserve">(2nd </w:t>
      </w:r>
      <w:r w:rsidR="00BC7AC0">
        <w:rPr>
          <w:lang w:val="en-GB"/>
        </w:rPr>
        <w:t>ed.</w:t>
      </w:r>
      <w:r w:rsidRPr="00E673DC">
        <w:rPr>
          <w:lang w:val="en-GB"/>
        </w:rPr>
        <w:t>)</w:t>
      </w:r>
      <w:bookmarkEnd w:id="52"/>
      <w:r w:rsidRPr="00E673DC">
        <w:rPr>
          <w:lang w:val="en-GB"/>
        </w:rPr>
        <w:t>. Routledge. https://doi.org/10.4324/9780203792643</w:t>
      </w:r>
    </w:p>
    <w:p w14:paraId="0309DAD8" w14:textId="77777777" w:rsidR="00170A80" w:rsidRPr="00E673DC" w:rsidRDefault="00170A80" w:rsidP="00DC79D6">
      <w:pPr>
        <w:pStyle w:val="Bibliography"/>
        <w:spacing w:after="100"/>
        <w:rPr>
          <w:lang w:val="en-GB"/>
        </w:rPr>
      </w:pPr>
      <w:r w:rsidRPr="00E673DC">
        <w:rPr>
          <w:lang w:val="en-GB"/>
        </w:rPr>
        <w:t xml:space="preserve">Boiral, O. (2009). Greening the Corporation Through Organizational Citizenship Behaviors. </w:t>
      </w:r>
      <w:r w:rsidRPr="00E673DC">
        <w:rPr>
          <w:i/>
          <w:iCs/>
          <w:lang w:val="en-GB"/>
        </w:rPr>
        <w:t>Journal of Business Ethics</w:t>
      </w:r>
      <w:r w:rsidRPr="00E673DC">
        <w:rPr>
          <w:lang w:val="en-GB"/>
        </w:rPr>
        <w:t xml:space="preserve">, </w:t>
      </w:r>
      <w:r w:rsidRPr="00BC7AC0">
        <w:rPr>
          <w:lang w:val="en-GB"/>
        </w:rPr>
        <w:t>87</w:t>
      </w:r>
      <w:r w:rsidRPr="00E673DC">
        <w:rPr>
          <w:lang w:val="en-GB"/>
        </w:rPr>
        <w:t>(4), 221–236. https://doi.org/10.1007/s10551-008-9881-2</w:t>
      </w:r>
    </w:p>
    <w:p w14:paraId="2C1D351C" w14:textId="77777777" w:rsidR="00170A80" w:rsidRPr="00E673DC" w:rsidRDefault="00170A80" w:rsidP="00170A80">
      <w:pPr>
        <w:pStyle w:val="Bibliography"/>
        <w:rPr>
          <w:lang w:val="en-GB"/>
        </w:rPr>
      </w:pPr>
      <w:r w:rsidRPr="00E673DC">
        <w:rPr>
          <w:lang w:val="en-GB"/>
        </w:rPr>
        <w:t xml:space="preserve">Boiral, O., &amp; Paillé, P. (2012). Organizational Citizenship Behaviour for the Environment: Measurement and Validation. </w:t>
      </w:r>
      <w:r w:rsidRPr="00E673DC">
        <w:rPr>
          <w:i/>
          <w:iCs/>
          <w:lang w:val="en-GB"/>
        </w:rPr>
        <w:t>Journal of Business Ethics</w:t>
      </w:r>
      <w:r w:rsidRPr="00E673DC">
        <w:rPr>
          <w:lang w:val="en-GB"/>
        </w:rPr>
        <w:t xml:space="preserve">, </w:t>
      </w:r>
      <w:r w:rsidRPr="00BC7AC0">
        <w:rPr>
          <w:lang w:val="en-GB"/>
        </w:rPr>
        <w:t>109</w:t>
      </w:r>
      <w:r w:rsidRPr="00E673DC">
        <w:rPr>
          <w:lang w:val="en-GB"/>
        </w:rPr>
        <w:t>(4), 431–445. https://doi.org/10.1007/s10551-011-1138-9</w:t>
      </w:r>
    </w:p>
    <w:p w14:paraId="778B4631" w14:textId="77777777" w:rsidR="00170A80" w:rsidRPr="00E673DC" w:rsidRDefault="00170A80" w:rsidP="00170A80">
      <w:pPr>
        <w:pStyle w:val="Bibliography"/>
        <w:rPr>
          <w:lang w:val="en-GB"/>
        </w:rPr>
      </w:pPr>
      <w:r w:rsidRPr="00E673DC">
        <w:rPr>
          <w:lang w:val="en-GB"/>
        </w:rPr>
        <w:t xml:space="preserve">Bryman, A., &amp; Bell, E. (2015). </w:t>
      </w:r>
      <w:r w:rsidRPr="00E673DC">
        <w:rPr>
          <w:i/>
          <w:iCs/>
          <w:lang w:val="en-GB"/>
        </w:rPr>
        <w:t>Business Research Methods (4th ed.)</w:t>
      </w:r>
      <w:r w:rsidRPr="00E673DC">
        <w:rPr>
          <w:lang w:val="en-GB"/>
        </w:rPr>
        <w:t>. Oxford University Press. https://books.google.ae/books?hl=en&amp;lr=&amp;id=hptjEAAAQBAJ&amp;oi=fnd&amp;pg=PP1&amp;dq=%E2%80%A2%09Bryman,+A.,+%26+Bell,+E.+(2015).+Business+Research+Methods+(4th+ed.).+Oxford+University+Press&amp;ots=Ddnf0ezX1y&amp;sig=kSGLlpeCEd99Jo-3WYLFrQMgXNU&amp;redir_esc=y#v=onepage&amp;q=%E2%80%A2%09Bryman%2C%20A.%2C%20%26%20Bell%2C%20E.%20(2015).%20Business%20Research%20Methods%20(4th%20ed.).%20Oxford%20University%20Press&amp;f=false</w:t>
      </w:r>
    </w:p>
    <w:p w14:paraId="3510C089" w14:textId="77777777" w:rsidR="00170A80" w:rsidRPr="00E673DC" w:rsidRDefault="00170A80" w:rsidP="00170A80">
      <w:pPr>
        <w:pStyle w:val="Bibliography"/>
        <w:rPr>
          <w:lang w:val="en-GB"/>
        </w:rPr>
      </w:pPr>
      <w:r w:rsidRPr="00E673DC">
        <w:rPr>
          <w:lang w:val="en-GB"/>
        </w:rPr>
        <w:lastRenderedPageBreak/>
        <w:t xml:space="preserve">Chen, Y.-S., &amp; Chang, C.-H. (2013). Greenwash and Green Trust: The Mediation Effects of Green Consumer Confusion and Green Perceived Risk. </w:t>
      </w:r>
      <w:r w:rsidRPr="00E673DC">
        <w:rPr>
          <w:i/>
          <w:iCs/>
          <w:lang w:val="en-GB"/>
        </w:rPr>
        <w:t>Journal of Business Ethics</w:t>
      </w:r>
      <w:r w:rsidRPr="00E673DC">
        <w:rPr>
          <w:lang w:val="en-GB"/>
        </w:rPr>
        <w:t xml:space="preserve">, </w:t>
      </w:r>
      <w:r w:rsidRPr="00BC7AC0">
        <w:rPr>
          <w:lang w:val="en-GB"/>
        </w:rPr>
        <w:t>114</w:t>
      </w:r>
      <w:r w:rsidRPr="00E673DC">
        <w:rPr>
          <w:lang w:val="en-GB"/>
        </w:rPr>
        <w:t>(3), 489–500. https://doi.org/10.1007/s10551-012-1360-0</w:t>
      </w:r>
    </w:p>
    <w:p w14:paraId="5EB70FA0" w14:textId="77777777" w:rsidR="00170A80" w:rsidRPr="00E673DC" w:rsidRDefault="00170A80" w:rsidP="00170A80">
      <w:pPr>
        <w:pStyle w:val="Bibliography"/>
        <w:rPr>
          <w:lang w:val="en-GB"/>
        </w:rPr>
      </w:pPr>
      <w:r w:rsidRPr="00E673DC">
        <w:rPr>
          <w:lang w:val="en-GB"/>
        </w:rPr>
        <w:t xml:space="preserve">Comte, A. (1853). </w:t>
      </w:r>
      <w:r w:rsidRPr="00E673DC">
        <w:rPr>
          <w:i/>
          <w:iCs/>
          <w:lang w:val="en-GB"/>
        </w:rPr>
        <w:t>The Positive Philosophy</w:t>
      </w:r>
      <w:r w:rsidRPr="00E673DC">
        <w:rPr>
          <w:lang w:val="en-GB"/>
        </w:rPr>
        <w:t xml:space="preserve"> (Vol. 1). John Chapman.</w:t>
      </w:r>
    </w:p>
    <w:p w14:paraId="2FDF4E62" w14:textId="77777777" w:rsidR="00170A80" w:rsidRPr="00E673DC" w:rsidRDefault="00170A80" w:rsidP="00170A80">
      <w:pPr>
        <w:pStyle w:val="Bibliography"/>
        <w:rPr>
          <w:lang w:val="en-GB"/>
        </w:rPr>
      </w:pPr>
      <w:r w:rsidRPr="00E673DC">
        <w:rPr>
          <w:lang w:val="en-GB"/>
        </w:rPr>
        <w:t xml:space="preserve">Creswell, J. W. (2014). </w:t>
      </w:r>
      <w:r w:rsidRPr="00E673DC">
        <w:rPr>
          <w:i/>
          <w:iCs/>
          <w:lang w:val="en-GB"/>
        </w:rPr>
        <w:t>Research Design: Qualitative, Quantitative, and Mixed Methods Approaches</w:t>
      </w:r>
      <w:r w:rsidRPr="00E673DC">
        <w:rPr>
          <w:lang w:val="en-GB"/>
        </w:rPr>
        <w:t>. SAGE Publications. https://books.google.ae/books?hl=en&amp;lr=&amp;id=335ZDwAAQBAJ&amp;oi=fnd&amp;pg=PT16&amp;dq=Creswell,+J.+W.+(2014).+Research+design:+Qualitative,+quantitative,+and+mixed+methods+approaches.+Thousand+Oaks,+CA:+SAGE+Publications&amp;ots=YEwRIRwosM&amp;sig=JB51TcNGnpLfjACC969SiZ6Wdpw&amp;redir_esc=y#v=onepage&amp;q&amp;f=false</w:t>
      </w:r>
    </w:p>
    <w:p w14:paraId="24CED69A" w14:textId="77777777" w:rsidR="00170A80" w:rsidRPr="00E673DC" w:rsidRDefault="00170A80" w:rsidP="00170A80">
      <w:pPr>
        <w:pStyle w:val="Bibliography"/>
        <w:rPr>
          <w:lang w:val="en-GB"/>
        </w:rPr>
      </w:pPr>
      <w:r w:rsidRPr="00E673DC">
        <w:rPr>
          <w:lang w:val="en-GB"/>
        </w:rPr>
        <w:t xml:space="preserve">Daily, B. F., Bishop, J. W., &amp; Massoud, J. A. (2012). The role of training and empowerment in environmental performance. </w:t>
      </w:r>
      <w:r w:rsidRPr="00E673DC">
        <w:rPr>
          <w:i/>
          <w:iCs/>
          <w:lang w:val="en-GB"/>
        </w:rPr>
        <w:t>International Journal of Operations &amp; Production Management</w:t>
      </w:r>
      <w:r w:rsidRPr="00E673DC">
        <w:rPr>
          <w:lang w:val="en-GB"/>
        </w:rPr>
        <w:t xml:space="preserve">, </w:t>
      </w:r>
      <w:r w:rsidRPr="00BC7AC0">
        <w:rPr>
          <w:lang w:val="en-GB"/>
        </w:rPr>
        <w:t>32</w:t>
      </w:r>
      <w:r w:rsidRPr="00E673DC">
        <w:rPr>
          <w:lang w:val="en-GB"/>
        </w:rPr>
        <w:t>(5), 631–647. https://doi.org/10.1108/01443571211226524</w:t>
      </w:r>
    </w:p>
    <w:p w14:paraId="2E0B92FC" w14:textId="77777777" w:rsidR="00170A80" w:rsidRPr="00E673DC" w:rsidRDefault="00170A80" w:rsidP="00170A80">
      <w:pPr>
        <w:pStyle w:val="Bibliography"/>
        <w:rPr>
          <w:lang w:val="en-GB"/>
        </w:rPr>
      </w:pPr>
      <w:r w:rsidRPr="00E673DC">
        <w:rPr>
          <w:lang w:val="en-GB"/>
        </w:rPr>
        <w:t xml:space="preserve">Dubai Electricity and Water Authority. (2021). </w:t>
      </w:r>
      <w:r w:rsidRPr="00E673DC">
        <w:rPr>
          <w:i/>
          <w:iCs/>
          <w:lang w:val="en-GB"/>
        </w:rPr>
        <w:t>DEWA Sustainability Report 2021</w:t>
      </w:r>
      <w:r w:rsidRPr="00E673DC">
        <w:rPr>
          <w:lang w:val="en-GB"/>
        </w:rPr>
        <w:t xml:space="preserve"> [Sustainability]. https://www.dewa.gov.ae/en/consumer/sustainability/sustainability-reports</w:t>
      </w:r>
    </w:p>
    <w:p w14:paraId="0D129A80" w14:textId="77777777" w:rsidR="00170A80" w:rsidRPr="00E673DC" w:rsidRDefault="00170A80" w:rsidP="00170A80">
      <w:pPr>
        <w:pStyle w:val="Bibliography"/>
        <w:rPr>
          <w:lang w:val="en-GB"/>
        </w:rPr>
      </w:pPr>
      <w:r w:rsidRPr="00E673DC">
        <w:rPr>
          <w:lang w:val="en-GB"/>
        </w:rPr>
        <w:t xml:space="preserve">Dubai Government. (2025). </w:t>
      </w:r>
      <w:r w:rsidRPr="00E673DC">
        <w:rPr>
          <w:i/>
          <w:iCs/>
          <w:lang w:val="en-GB"/>
        </w:rPr>
        <w:t>Environment &amp; Sustainability</w:t>
      </w:r>
      <w:r w:rsidRPr="00E673DC">
        <w:rPr>
          <w:lang w:val="en-GB"/>
        </w:rPr>
        <w:t xml:space="preserve"> [Government]. https://dubai.ae/environment-sustainability</w:t>
      </w:r>
    </w:p>
    <w:p w14:paraId="1DBDE8E2" w14:textId="77777777" w:rsidR="00170A80" w:rsidRPr="00E673DC" w:rsidRDefault="00170A80" w:rsidP="00170A80">
      <w:pPr>
        <w:pStyle w:val="Bibliography"/>
        <w:rPr>
          <w:lang w:val="en-GB"/>
        </w:rPr>
      </w:pPr>
      <w:r w:rsidRPr="00E673DC">
        <w:rPr>
          <w:lang w:val="en-GB"/>
        </w:rPr>
        <w:t xml:space="preserve">Dubai Government Human Resources Department. (2025). </w:t>
      </w:r>
      <w:r w:rsidRPr="00E673DC">
        <w:rPr>
          <w:i/>
          <w:iCs/>
          <w:lang w:val="en-GB"/>
        </w:rPr>
        <w:t>About Us</w:t>
      </w:r>
      <w:r w:rsidRPr="00E673DC">
        <w:rPr>
          <w:lang w:val="en-GB"/>
        </w:rPr>
        <w:t>. https://www.dghr.gov.ae/en/Pages/AboutUs.aspx</w:t>
      </w:r>
    </w:p>
    <w:p w14:paraId="199BEB6A" w14:textId="77777777" w:rsidR="00170A80" w:rsidRPr="00E673DC" w:rsidRDefault="00170A80" w:rsidP="00170A80">
      <w:pPr>
        <w:pStyle w:val="Bibliography"/>
        <w:rPr>
          <w:lang w:val="en-GB"/>
        </w:rPr>
      </w:pPr>
      <w:r w:rsidRPr="00E673DC">
        <w:rPr>
          <w:lang w:val="en-GB"/>
        </w:rPr>
        <w:lastRenderedPageBreak/>
        <w:t xml:space="preserve">Dubai Media Office. (2024). </w:t>
      </w:r>
      <w:r w:rsidRPr="00E673DC">
        <w:rPr>
          <w:i/>
          <w:iCs/>
          <w:lang w:val="en-GB"/>
        </w:rPr>
        <w:t>DGHR unveils report on the future of Human Resources Management in Dubai</w:t>
      </w:r>
      <w:r w:rsidRPr="00E673DC">
        <w:rPr>
          <w:lang w:val="en-GB"/>
        </w:rPr>
        <w:t>. https://www.mediaoffice.ae/en/news/2024/july/28-07/dghr-human-resources-management</w:t>
      </w:r>
    </w:p>
    <w:p w14:paraId="0DA2F5A9" w14:textId="77777777" w:rsidR="00170A80" w:rsidRPr="00E673DC" w:rsidRDefault="00170A80" w:rsidP="00FE455D">
      <w:pPr>
        <w:pStyle w:val="Bibliography"/>
        <w:spacing w:after="100"/>
        <w:rPr>
          <w:lang w:val="en-GB"/>
        </w:rPr>
      </w:pPr>
      <w:r w:rsidRPr="00E673DC">
        <w:rPr>
          <w:lang w:val="en-GB"/>
        </w:rPr>
        <w:t xml:space="preserve">Etikan, I., Musa, S. A., &amp; Alkassim, R. S. (2016). Comparison of Convenience Sampling and Purposive Sampling. </w:t>
      </w:r>
      <w:r w:rsidRPr="00E673DC">
        <w:rPr>
          <w:i/>
          <w:iCs/>
          <w:lang w:val="en-GB"/>
        </w:rPr>
        <w:t>American Journal of Theoretical and Applied Statistics</w:t>
      </w:r>
      <w:r w:rsidRPr="00E673DC">
        <w:rPr>
          <w:lang w:val="en-GB"/>
        </w:rPr>
        <w:t xml:space="preserve">, </w:t>
      </w:r>
      <w:r w:rsidRPr="00BC7AC0">
        <w:rPr>
          <w:lang w:val="en-GB"/>
        </w:rPr>
        <w:t>5</w:t>
      </w:r>
      <w:r w:rsidRPr="00E673DC">
        <w:rPr>
          <w:lang w:val="en-GB"/>
        </w:rPr>
        <w:t>(1), 1–4. https://d1wqtxts1xzle7.cloudfront.net/55796997/Comparison_Convenience_and_Purposive_Sampling-2016_4p-libre.pdf?1518575584=&amp;response-content-disposition=inline%3B+filename%3DComparison_of_Convenience_Sampling_and_P.pdf&amp;Expires=1742211403&amp;Signature=CfgjttXTUoYovHVzITMYhViC-0BRR31SdPMWqNl71W2dDP6s3TONkR7zejlgsaYb~HdqoCcnAmcUpJWNHZwUuQAuWPcWFbPhaXTlDbLBmG-WjPULQgzUh3zfK0wJuMgQKQP~sxeeng8Q37DtNeY1LRZf9AGBTcqmyZNBRQgZ6G7wYaibcWecqrL35CCCYvYmjoyyjpRDWJyUSBIGbGo2HQBe6X92oNK-72u85iIvKvHt-tjVTc7elG8IY6KFptu7V4GyyzhMqA32qoSlNyrGlVZLbv4VaepgSt9W4gU1LL3T7q5HGSM3s6yAXRRaZlTZL7o0qGqCS5Nel9pQLxdYfg__&amp;Key-Pair-Id=APKAJLOHF5GGSLRBV4ZA</w:t>
      </w:r>
    </w:p>
    <w:p w14:paraId="3FB7180E" w14:textId="77777777" w:rsidR="00170A80" w:rsidRPr="00E673DC" w:rsidRDefault="00170A80" w:rsidP="00170A80">
      <w:pPr>
        <w:pStyle w:val="Bibliography"/>
        <w:rPr>
          <w:lang w:val="en-GB"/>
        </w:rPr>
      </w:pPr>
      <w:r w:rsidRPr="00E673DC">
        <w:rPr>
          <w:lang w:val="en-GB"/>
        </w:rPr>
        <w:t xml:space="preserve">Fonseca, L. M., Domingues, J. P., &amp; Dima, A. M. (2020). Mapping the Sustainable Development Goals Relationships. </w:t>
      </w:r>
      <w:r w:rsidRPr="00E673DC">
        <w:rPr>
          <w:i/>
          <w:iCs/>
          <w:lang w:val="en-GB"/>
        </w:rPr>
        <w:t>Sustainability</w:t>
      </w:r>
      <w:r w:rsidRPr="00E673DC">
        <w:rPr>
          <w:lang w:val="en-GB"/>
        </w:rPr>
        <w:t xml:space="preserve">, </w:t>
      </w:r>
      <w:r w:rsidRPr="00BC7AC0">
        <w:rPr>
          <w:lang w:val="en-GB"/>
        </w:rPr>
        <w:t>12</w:t>
      </w:r>
      <w:r w:rsidRPr="00E673DC">
        <w:rPr>
          <w:lang w:val="en-GB"/>
        </w:rPr>
        <w:t>(8), 3359. https://doi.org/10.3390/su12083359</w:t>
      </w:r>
    </w:p>
    <w:p w14:paraId="6E22ABBF" w14:textId="77777777" w:rsidR="00170A80" w:rsidRPr="00E673DC" w:rsidRDefault="00170A80" w:rsidP="00600608">
      <w:pPr>
        <w:pStyle w:val="Bibliography"/>
        <w:spacing w:after="100"/>
        <w:rPr>
          <w:lang w:val="en-GB"/>
        </w:rPr>
      </w:pPr>
      <w:r w:rsidRPr="00E673DC">
        <w:rPr>
          <w:lang w:val="en-GB"/>
        </w:rPr>
        <w:t xml:space="preserve">Goodman, L. A. (1961). Snowball Sampling. </w:t>
      </w:r>
      <w:r w:rsidRPr="00E673DC">
        <w:rPr>
          <w:i/>
          <w:iCs/>
          <w:lang w:val="en-GB"/>
        </w:rPr>
        <w:t>The Annals of Mathematical Statistics</w:t>
      </w:r>
      <w:r w:rsidRPr="00E673DC">
        <w:rPr>
          <w:lang w:val="en-GB"/>
        </w:rPr>
        <w:t xml:space="preserve">, </w:t>
      </w:r>
      <w:r w:rsidRPr="00BC7AC0">
        <w:rPr>
          <w:lang w:val="en-GB"/>
        </w:rPr>
        <w:t>32</w:t>
      </w:r>
      <w:r w:rsidRPr="00E673DC">
        <w:rPr>
          <w:lang w:val="en-GB"/>
        </w:rPr>
        <w:t>(1), 148–170. JSTOR. http://www.jstor.org/stable/2237615</w:t>
      </w:r>
    </w:p>
    <w:p w14:paraId="4323B659" w14:textId="512A3707" w:rsidR="00170A80" w:rsidRPr="00E673DC" w:rsidRDefault="00170A80" w:rsidP="00170A80">
      <w:pPr>
        <w:pStyle w:val="Bibliography"/>
        <w:rPr>
          <w:lang w:val="en-GB"/>
        </w:rPr>
      </w:pPr>
      <w:r w:rsidRPr="00E673DC">
        <w:rPr>
          <w:lang w:val="en-GB"/>
        </w:rPr>
        <w:lastRenderedPageBreak/>
        <w:t xml:space="preserve">Hair, J. F., Risher, J. J., Sarstedt, M., &amp; Ringle, C. M. (2019). When to use and how to report the results of PLS-SEM. </w:t>
      </w:r>
      <w:r w:rsidRPr="00E673DC">
        <w:rPr>
          <w:i/>
          <w:iCs/>
          <w:lang w:val="en-GB"/>
        </w:rPr>
        <w:t>European Business Review</w:t>
      </w:r>
      <w:r w:rsidRPr="00E673DC">
        <w:rPr>
          <w:lang w:val="en-GB"/>
        </w:rPr>
        <w:t xml:space="preserve">, </w:t>
      </w:r>
      <w:r w:rsidRPr="00BC7AC0">
        <w:rPr>
          <w:lang w:val="en-GB"/>
        </w:rPr>
        <w:t>31</w:t>
      </w:r>
      <w:r w:rsidRPr="00E673DC">
        <w:rPr>
          <w:lang w:val="en-GB"/>
        </w:rPr>
        <w:t>(1), 2–24. https://doi.org/10.1108/EBR-11-2018-0203</w:t>
      </w:r>
    </w:p>
    <w:p w14:paraId="4C1746D4" w14:textId="77777777" w:rsidR="00170A80" w:rsidRPr="00E673DC" w:rsidRDefault="00170A80" w:rsidP="00170A80">
      <w:pPr>
        <w:pStyle w:val="Bibliography"/>
        <w:rPr>
          <w:lang w:val="en-GB"/>
        </w:rPr>
      </w:pPr>
      <w:r w:rsidRPr="00E673DC">
        <w:rPr>
          <w:lang w:val="en-GB"/>
        </w:rPr>
        <w:t xml:space="preserve">Hu, M.-L. M., Horng, J.-S., &amp; Sun, Y.-H. C. (2009). Hospitality teams: Knowledge sharing and service innovation performance. </w:t>
      </w:r>
      <w:r w:rsidRPr="00E673DC">
        <w:rPr>
          <w:i/>
          <w:iCs/>
          <w:lang w:val="en-GB"/>
        </w:rPr>
        <w:t>Tourism Management</w:t>
      </w:r>
      <w:r w:rsidRPr="00E673DC">
        <w:rPr>
          <w:lang w:val="en-GB"/>
        </w:rPr>
        <w:t xml:space="preserve">, </w:t>
      </w:r>
      <w:r w:rsidRPr="00BC7AC0">
        <w:rPr>
          <w:lang w:val="en-GB"/>
        </w:rPr>
        <w:t>30</w:t>
      </w:r>
      <w:r w:rsidRPr="00E673DC">
        <w:rPr>
          <w:lang w:val="en-GB"/>
        </w:rPr>
        <w:t>(1), 41–50. https://doi.org/10.1016/j.tourman.2008.04.009</w:t>
      </w:r>
    </w:p>
    <w:p w14:paraId="34050C55" w14:textId="77777777" w:rsidR="00170A80" w:rsidRPr="00E673DC" w:rsidRDefault="00170A80" w:rsidP="00170A80">
      <w:pPr>
        <w:pStyle w:val="Bibliography"/>
        <w:rPr>
          <w:lang w:val="en-GB"/>
        </w:rPr>
      </w:pPr>
      <w:r w:rsidRPr="00E673DC">
        <w:rPr>
          <w:lang w:val="en-GB"/>
        </w:rPr>
        <w:t xml:space="preserve">ISO. (2021). </w:t>
      </w:r>
      <w:r w:rsidRPr="00E673DC">
        <w:rPr>
          <w:i/>
          <w:iCs/>
          <w:lang w:val="en-GB"/>
        </w:rPr>
        <w:t>ISO 14001:2015, Environmental management systems—Requirements with guidance for use</w:t>
      </w:r>
      <w:r w:rsidRPr="00E673DC">
        <w:rPr>
          <w:lang w:val="en-GB"/>
        </w:rPr>
        <w:t>. International Organization for Standardization (ISO). https://www.iso.org/standard/60857-v2.html</w:t>
      </w:r>
    </w:p>
    <w:p w14:paraId="40B6E023" w14:textId="77777777" w:rsidR="00170A80" w:rsidRPr="00E673DC" w:rsidRDefault="00170A80" w:rsidP="00170A80">
      <w:pPr>
        <w:pStyle w:val="Bibliography"/>
        <w:rPr>
          <w:lang w:val="en-GB"/>
        </w:rPr>
      </w:pPr>
      <w:r w:rsidRPr="00E673DC">
        <w:rPr>
          <w:lang w:val="en-GB"/>
        </w:rPr>
        <w:t xml:space="preserve">Jabbour, C. J. C. (2011). How green are HRM practices, organizational culture, learning and teamwork? A Brazilian study. </w:t>
      </w:r>
      <w:r w:rsidRPr="00E673DC">
        <w:rPr>
          <w:i/>
          <w:iCs/>
          <w:lang w:val="en-GB"/>
        </w:rPr>
        <w:t>Industrial and Commercial Training</w:t>
      </w:r>
      <w:r w:rsidRPr="00E673DC">
        <w:rPr>
          <w:lang w:val="en-GB"/>
        </w:rPr>
        <w:t xml:space="preserve">, </w:t>
      </w:r>
      <w:r w:rsidRPr="00BC7AC0">
        <w:rPr>
          <w:lang w:val="en-GB"/>
        </w:rPr>
        <w:t>43(</w:t>
      </w:r>
      <w:r w:rsidRPr="00E673DC">
        <w:rPr>
          <w:lang w:val="en-GB"/>
        </w:rPr>
        <w:t>2), 98–105. https://doi.org/10.1108/00197851111108926</w:t>
      </w:r>
    </w:p>
    <w:p w14:paraId="42C16E97" w14:textId="50C5D889" w:rsidR="00170A80" w:rsidRPr="00E673DC" w:rsidRDefault="00170A80" w:rsidP="00170A80">
      <w:pPr>
        <w:pStyle w:val="Bibliography"/>
        <w:rPr>
          <w:lang w:val="en-GB"/>
        </w:rPr>
      </w:pPr>
      <w:r w:rsidRPr="00E673DC">
        <w:rPr>
          <w:lang w:val="en-GB"/>
        </w:rPr>
        <w:t xml:space="preserve">Jackson, S. E., Renwick, D. W. S., Jabbour, C. J. C., &amp; Muller-Camen, M. (2011). State-of-the-Art and Future Directions for Green Human Resource Management: Introduction to the Special Issue. </w:t>
      </w:r>
      <w:r w:rsidRPr="00E673DC">
        <w:rPr>
          <w:i/>
          <w:iCs/>
          <w:lang w:val="en-GB"/>
        </w:rPr>
        <w:t>German Journal of Human Resource Management: Zeitschrift Für Personalforschung</w:t>
      </w:r>
      <w:r w:rsidRPr="00E673DC">
        <w:rPr>
          <w:lang w:val="en-GB"/>
        </w:rPr>
        <w:t xml:space="preserve">, </w:t>
      </w:r>
      <w:r w:rsidRPr="00BC7AC0">
        <w:rPr>
          <w:lang w:val="en-GB"/>
        </w:rPr>
        <w:t>25(2)</w:t>
      </w:r>
      <w:r w:rsidRPr="00E673DC">
        <w:rPr>
          <w:lang w:val="en-GB"/>
        </w:rPr>
        <w:t>, 99</w:t>
      </w:r>
      <w:r w:rsidR="00BC7AC0">
        <w:rPr>
          <w:lang w:val="en-GB"/>
        </w:rPr>
        <w:t>–</w:t>
      </w:r>
      <w:r w:rsidRPr="00E673DC">
        <w:rPr>
          <w:lang w:val="en-GB"/>
        </w:rPr>
        <w:t>116. https://doi.org/10.1177/239700221102500203</w:t>
      </w:r>
    </w:p>
    <w:p w14:paraId="11BC6276" w14:textId="77777777" w:rsidR="00170A80" w:rsidRPr="00E673DC" w:rsidRDefault="00170A80" w:rsidP="00170A80">
      <w:pPr>
        <w:pStyle w:val="Bibliography"/>
        <w:rPr>
          <w:lang w:val="en-GB"/>
        </w:rPr>
      </w:pPr>
      <w:r w:rsidRPr="00E673DC">
        <w:rPr>
          <w:lang w:val="en-GB"/>
        </w:rPr>
        <w:t xml:space="preserve">Jankelová, N., Némethová, I., Dabić, M., &amp; Kallmuenzer, A. (2024). Enhancing organizational citizenship behavior towards the environment. </w:t>
      </w:r>
      <w:r w:rsidRPr="00E673DC">
        <w:rPr>
          <w:i/>
          <w:iCs/>
          <w:lang w:val="en-GB"/>
        </w:rPr>
        <w:t>Review of Managerial Science</w:t>
      </w:r>
      <w:r w:rsidRPr="00E673DC">
        <w:rPr>
          <w:lang w:val="en-GB"/>
        </w:rPr>
        <w:t>, 1–32. https://doi.org/10.1007/s11846-024-00781-x</w:t>
      </w:r>
    </w:p>
    <w:p w14:paraId="031A06E9" w14:textId="77777777" w:rsidR="00170A80" w:rsidRPr="00E673DC" w:rsidRDefault="00170A80" w:rsidP="00170A80">
      <w:pPr>
        <w:pStyle w:val="Bibliography"/>
        <w:rPr>
          <w:lang w:val="en-GB"/>
        </w:rPr>
      </w:pPr>
      <w:r w:rsidRPr="00E673DC">
        <w:rPr>
          <w:lang w:val="en-GB"/>
        </w:rPr>
        <w:t xml:space="preserve">Janssen, O. (2000). Job demands, perceptions of effort-reward fairness and innovative work behaviour. </w:t>
      </w:r>
      <w:r w:rsidRPr="00E673DC">
        <w:rPr>
          <w:i/>
          <w:iCs/>
          <w:lang w:val="en-GB"/>
        </w:rPr>
        <w:t>Journal of Occupational and Organizational Psychology</w:t>
      </w:r>
      <w:r w:rsidRPr="00E673DC">
        <w:rPr>
          <w:lang w:val="en-GB"/>
        </w:rPr>
        <w:t xml:space="preserve">, </w:t>
      </w:r>
      <w:r w:rsidRPr="00BC7AC0">
        <w:rPr>
          <w:lang w:val="en-GB"/>
        </w:rPr>
        <w:t>73</w:t>
      </w:r>
      <w:r w:rsidRPr="00E673DC">
        <w:rPr>
          <w:lang w:val="en-GB"/>
        </w:rPr>
        <w:t>(3), 287–302. https://doi.org/10.1348/096317900167038</w:t>
      </w:r>
    </w:p>
    <w:p w14:paraId="1887DB69" w14:textId="77777777" w:rsidR="00170A80" w:rsidRPr="00E673DC" w:rsidRDefault="00170A80" w:rsidP="00170A80">
      <w:pPr>
        <w:pStyle w:val="Bibliography"/>
        <w:rPr>
          <w:lang w:val="en-GB"/>
        </w:rPr>
      </w:pPr>
      <w:r w:rsidRPr="00E673DC">
        <w:rPr>
          <w:lang w:val="en-GB"/>
        </w:rPr>
        <w:lastRenderedPageBreak/>
        <w:t xml:space="preserve">Jia, J., Liu, H., Chin, T., &amp; Hu, D. (2018). The Continuous Mediating Effects of GHRM on Employees’ Green Passion via Transformational Leadership and Green Creativity. </w:t>
      </w:r>
      <w:r w:rsidRPr="00E673DC">
        <w:rPr>
          <w:i/>
          <w:iCs/>
          <w:lang w:val="en-GB"/>
        </w:rPr>
        <w:t>Sustainability</w:t>
      </w:r>
      <w:r w:rsidRPr="00E673DC">
        <w:rPr>
          <w:lang w:val="en-GB"/>
        </w:rPr>
        <w:t xml:space="preserve">, </w:t>
      </w:r>
      <w:r w:rsidRPr="00BC7AC0">
        <w:rPr>
          <w:lang w:val="en-GB"/>
        </w:rPr>
        <w:t>10</w:t>
      </w:r>
      <w:r w:rsidRPr="00E673DC">
        <w:rPr>
          <w:lang w:val="en-GB"/>
        </w:rPr>
        <w:t>(9). https://doi.org/10.3390/su10093237</w:t>
      </w:r>
    </w:p>
    <w:p w14:paraId="2EF8F88E" w14:textId="77777777" w:rsidR="00170A80" w:rsidRPr="00E673DC" w:rsidRDefault="00170A80" w:rsidP="00170A80">
      <w:pPr>
        <w:pStyle w:val="Bibliography"/>
        <w:rPr>
          <w:lang w:val="en-GB"/>
        </w:rPr>
      </w:pPr>
      <w:r w:rsidRPr="00E673DC">
        <w:rPr>
          <w:lang w:val="en-GB"/>
        </w:rPr>
        <w:t xml:space="preserve">Kakar, A. S., &amp; Khan, M. (2022). Exploring the impact of green HRM practices on pro-environmental behavior via interplay of organization citizenship behavior. </w:t>
      </w:r>
      <w:r w:rsidRPr="00E673DC">
        <w:rPr>
          <w:i/>
          <w:iCs/>
          <w:lang w:val="en-GB"/>
        </w:rPr>
        <w:t>Green Finance</w:t>
      </w:r>
      <w:r w:rsidRPr="00E673DC">
        <w:rPr>
          <w:lang w:val="en-GB"/>
        </w:rPr>
        <w:t xml:space="preserve">, </w:t>
      </w:r>
      <w:r w:rsidRPr="00BC7AC0">
        <w:rPr>
          <w:lang w:val="en-GB"/>
        </w:rPr>
        <w:t>4</w:t>
      </w:r>
      <w:r w:rsidRPr="00E673DC">
        <w:rPr>
          <w:lang w:val="en-GB"/>
        </w:rPr>
        <w:t>(3), 274–294. https://doi.org/10.3934/GF.2022013</w:t>
      </w:r>
    </w:p>
    <w:p w14:paraId="20642CEA" w14:textId="77777777" w:rsidR="00170A80" w:rsidRPr="00E673DC" w:rsidRDefault="00170A80" w:rsidP="00170A80">
      <w:pPr>
        <w:pStyle w:val="Bibliography"/>
        <w:rPr>
          <w:lang w:val="en-GB"/>
        </w:rPr>
      </w:pPr>
      <w:r w:rsidRPr="00E673DC">
        <w:rPr>
          <w:lang w:val="en-GB"/>
        </w:rPr>
        <w:t xml:space="preserve">Katz, D. (1964). The motivational basis of organizational behavior. </w:t>
      </w:r>
      <w:r w:rsidRPr="00E673DC">
        <w:rPr>
          <w:i/>
          <w:iCs/>
          <w:lang w:val="en-GB"/>
        </w:rPr>
        <w:t>Behavioral Science</w:t>
      </w:r>
      <w:r w:rsidRPr="00E673DC">
        <w:rPr>
          <w:lang w:val="en-GB"/>
        </w:rPr>
        <w:t xml:space="preserve">, </w:t>
      </w:r>
      <w:r w:rsidRPr="00BC7AC0">
        <w:rPr>
          <w:lang w:val="en-GB"/>
        </w:rPr>
        <w:t>9</w:t>
      </w:r>
      <w:r w:rsidRPr="00E673DC">
        <w:rPr>
          <w:lang w:val="en-GB"/>
        </w:rPr>
        <w:t>(2), 131–146. https://doi.org/10.1002/bs.3830090206</w:t>
      </w:r>
    </w:p>
    <w:p w14:paraId="3E1BD1DE" w14:textId="77777777" w:rsidR="00170A80" w:rsidRPr="00E673DC" w:rsidRDefault="00170A80" w:rsidP="00170A80">
      <w:pPr>
        <w:pStyle w:val="Bibliography"/>
        <w:rPr>
          <w:lang w:val="en-GB"/>
        </w:rPr>
      </w:pPr>
      <w:r w:rsidRPr="00E673DC">
        <w:rPr>
          <w:lang w:val="en-GB"/>
        </w:rPr>
        <w:t xml:space="preserve">Kim, A., Kim, Y., Han, K., Jackson, S. E., &amp; Ployhart, R. E. (2017). Multilevel Influences on Voluntary Workplace Green Behavior: Individual Differences, Leader Behavior, and Coworker Advocacy. </w:t>
      </w:r>
      <w:r w:rsidRPr="00E673DC">
        <w:rPr>
          <w:i/>
          <w:iCs/>
          <w:lang w:val="en-GB"/>
        </w:rPr>
        <w:t>Journal of Management</w:t>
      </w:r>
      <w:r w:rsidRPr="00E673DC">
        <w:rPr>
          <w:lang w:val="en-GB"/>
        </w:rPr>
        <w:t xml:space="preserve">, </w:t>
      </w:r>
      <w:r w:rsidRPr="00BC7AC0">
        <w:rPr>
          <w:lang w:val="en-GB"/>
        </w:rPr>
        <w:t>43(</w:t>
      </w:r>
      <w:r w:rsidRPr="00E673DC">
        <w:rPr>
          <w:lang w:val="en-GB"/>
        </w:rPr>
        <w:t>5), 1335–1358. https://doi.org/10.1177/0149206314547386</w:t>
      </w:r>
    </w:p>
    <w:p w14:paraId="4C4F08B7" w14:textId="77777777" w:rsidR="00170A80" w:rsidRPr="00E673DC" w:rsidRDefault="00170A80" w:rsidP="00170A80">
      <w:pPr>
        <w:pStyle w:val="Bibliography"/>
        <w:rPr>
          <w:lang w:val="en-GB"/>
        </w:rPr>
      </w:pPr>
      <w:r w:rsidRPr="00E673DC">
        <w:rPr>
          <w:lang w:val="en-GB"/>
        </w:rPr>
        <w:t xml:space="preserve">Lambriex-Schmitz, P., Van der Klink, M. R., Beausaert, S., Bijker, M., &amp; Segers, M. (2020). Towards successful innovations in education: Development and validation of a multi-dimensional Innovative Work Behaviour Instrument. </w:t>
      </w:r>
      <w:r w:rsidRPr="00E673DC">
        <w:rPr>
          <w:i/>
          <w:iCs/>
          <w:lang w:val="en-GB"/>
        </w:rPr>
        <w:t>Vocations and Learning</w:t>
      </w:r>
      <w:r w:rsidRPr="00E673DC">
        <w:rPr>
          <w:lang w:val="en-GB"/>
        </w:rPr>
        <w:t xml:space="preserve">, </w:t>
      </w:r>
      <w:r w:rsidRPr="00BC7AC0">
        <w:rPr>
          <w:lang w:val="en-GB"/>
        </w:rPr>
        <w:t>13</w:t>
      </w:r>
      <w:r w:rsidRPr="00E673DC">
        <w:rPr>
          <w:lang w:val="en-GB"/>
        </w:rPr>
        <w:t>(2), 313–340. https://doi.org/10.1007/s12186-020-09242-4</w:t>
      </w:r>
    </w:p>
    <w:p w14:paraId="0F0E30DF" w14:textId="77777777" w:rsidR="00170A80" w:rsidRPr="00E673DC" w:rsidRDefault="00170A80" w:rsidP="00170A80">
      <w:pPr>
        <w:pStyle w:val="Bibliography"/>
        <w:rPr>
          <w:lang w:val="en-GB"/>
        </w:rPr>
      </w:pPr>
      <w:r w:rsidRPr="00E673DC">
        <w:rPr>
          <w:lang w:val="en-GB"/>
        </w:rPr>
        <w:t xml:space="preserve">Legate, A. E., Hair Jr, J. F., Chretien, J. L., &amp; Risher, J. J. (2023). PLS-SEM: Prediction-oriented solutions for HRD researchers. </w:t>
      </w:r>
      <w:r w:rsidRPr="00E673DC">
        <w:rPr>
          <w:i/>
          <w:iCs/>
          <w:lang w:val="en-GB"/>
        </w:rPr>
        <w:t>Human Resource Development Quarterly</w:t>
      </w:r>
      <w:r w:rsidRPr="00E673DC">
        <w:rPr>
          <w:lang w:val="en-GB"/>
        </w:rPr>
        <w:t xml:space="preserve">, </w:t>
      </w:r>
      <w:r w:rsidRPr="00BC7AC0">
        <w:rPr>
          <w:lang w:val="en-GB"/>
        </w:rPr>
        <w:t>34</w:t>
      </w:r>
      <w:r w:rsidRPr="00E673DC">
        <w:rPr>
          <w:lang w:val="en-GB"/>
        </w:rPr>
        <w:t>(1), 91–109. https://doi.org/10.1002/hrdq.21466</w:t>
      </w:r>
    </w:p>
    <w:p w14:paraId="2E758D11" w14:textId="25CF49B7" w:rsidR="00170A80" w:rsidRPr="00E673DC" w:rsidRDefault="00170A80" w:rsidP="00170A80">
      <w:pPr>
        <w:pStyle w:val="Bibliography"/>
        <w:rPr>
          <w:lang w:val="en-GB"/>
        </w:rPr>
      </w:pPr>
      <w:r w:rsidRPr="00E673DC">
        <w:rPr>
          <w:lang w:val="en-GB"/>
        </w:rPr>
        <w:t xml:space="preserve">Liebowitz, J. (2010). The role of HR in achieving a sustainability culture. </w:t>
      </w:r>
      <w:r w:rsidRPr="00E673DC">
        <w:rPr>
          <w:i/>
          <w:iCs/>
          <w:lang w:val="en-GB"/>
        </w:rPr>
        <w:t>Journal of Sustainable Development</w:t>
      </w:r>
      <w:r w:rsidRPr="00BC7AC0">
        <w:rPr>
          <w:lang w:val="en-GB"/>
        </w:rPr>
        <w:t>, 3(4), 50.</w:t>
      </w:r>
    </w:p>
    <w:p w14:paraId="6EB18589" w14:textId="77777777" w:rsidR="00170A80" w:rsidRPr="00E673DC" w:rsidRDefault="00170A80" w:rsidP="00170A80">
      <w:pPr>
        <w:pStyle w:val="Bibliography"/>
        <w:rPr>
          <w:lang w:val="en-GB"/>
        </w:rPr>
      </w:pPr>
      <w:r w:rsidRPr="00E673DC">
        <w:rPr>
          <w:lang w:val="en-GB"/>
        </w:rPr>
        <w:t xml:space="preserve">Malik, S. Y., Mughal, Y. H., Azam, T., Cao, Y., Wan, Z., Zhu, H., &amp; Thurasamy, R. (2021). Corporate Social Responsibility, Green Human Resources Management, and </w:t>
      </w:r>
      <w:r w:rsidRPr="00E673DC">
        <w:rPr>
          <w:lang w:val="en-GB"/>
        </w:rPr>
        <w:lastRenderedPageBreak/>
        <w:t xml:space="preserve">Sustainable Performance: Is Organizational Citizenship Behavior towards Environment the Missing Link? </w:t>
      </w:r>
      <w:r w:rsidRPr="00E673DC">
        <w:rPr>
          <w:i/>
          <w:iCs/>
          <w:lang w:val="en-GB"/>
        </w:rPr>
        <w:t>Sustainability</w:t>
      </w:r>
      <w:r w:rsidRPr="00BC7AC0">
        <w:rPr>
          <w:lang w:val="en-GB"/>
        </w:rPr>
        <w:t>, 13(3), 1044.</w:t>
      </w:r>
      <w:r w:rsidRPr="00E673DC">
        <w:rPr>
          <w:lang w:val="en-GB"/>
        </w:rPr>
        <w:t xml:space="preserve"> https://doi.org/10.3390/su13031044</w:t>
      </w:r>
    </w:p>
    <w:p w14:paraId="2B5CDA19" w14:textId="77777777" w:rsidR="00170A80" w:rsidRPr="00E673DC" w:rsidRDefault="00170A80" w:rsidP="00170A80">
      <w:pPr>
        <w:pStyle w:val="Bibliography"/>
        <w:rPr>
          <w:lang w:val="en-GB"/>
        </w:rPr>
      </w:pPr>
      <w:r w:rsidRPr="00E673DC">
        <w:rPr>
          <w:lang w:val="en-GB"/>
        </w:rPr>
        <w:t xml:space="preserve">Masri, H. A., &amp; Jaaron, A. A. M. (2017). Assessing green human resources management practices in Palestinian manufacturing context: An empirical study. </w:t>
      </w:r>
      <w:r w:rsidRPr="00E673DC">
        <w:rPr>
          <w:i/>
          <w:iCs/>
          <w:lang w:val="en-GB"/>
        </w:rPr>
        <w:t>Journal of Cleaner Production</w:t>
      </w:r>
      <w:r w:rsidRPr="00E673DC">
        <w:rPr>
          <w:lang w:val="en-GB"/>
        </w:rPr>
        <w:t xml:space="preserve">, </w:t>
      </w:r>
      <w:r w:rsidRPr="00BC7AC0">
        <w:rPr>
          <w:lang w:val="en-GB"/>
        </w:rPr>
        <w:t>143</w:t>
      </w:r>
      <w:r w:rsidRPr="00E673DC">
        <w:rPr>
          <w:lang w:val="en-GB"/>
        </w:rPr>
        <w:t>, 474–489. https://doi.org/10.1016/j.jclepro.2016.12.087</w:t>
      </w:r>
    </w:p>
    <w:p w14:paraId="2427B857" w14:textId="77777777" w:rsidR="00170A80" w:rsidRPr="00E673DC" w:rsidRDefault="00170A80" w:rsidP="00170A80">
      <w:pPr>
        <w:pStyle w:val="Bibliography"/>
        <w:rPr>
          <w:lang w:val="en-GB"/>
        </w:rPr>
      </w:pPr>
      <w:r w:rsidRPr="00E673DC">
        <w:rPr>
          <w:lang w:val="en-GB"/>
        </w:rPr>
        <w:t xml:space="preserve">Mostafa, B. A., &amp; Saleh, R. S. (2023). The Relationship between Green Human Resource Management Practices and Organizational Citizenship Behavior. </w:t>
      </w:r>
      <w:r w:rsidRPr="00E673DC">
        <w:rPr>
          <w:i/>
          <w:iCs/>
          <w:lang w:val="en-GB"/>
        </w:rPr>
        <w:t>International Business Research</w:t>
      </w:r>
      <w:r w:rsidRPr="00E673DC">
        <w:rPr>
          <w:lang w:val="en-GB"/>
        </w:rPr>
        <w:t xml:space="preserve">, </w:t>
      </w:r>
      <w:r w:rsidRPr="00BC7AC0">
        <w:rPr>
          <w:lang w:val="en-GB"/>
        </w:rPr>
        <w:t>16</w:t>
      </w:r>
      <w:r w:rsidRPr="00E673DC">
        <w:rPr>
          <w:lang w:val="en-GB"/>
        </w:rPr>
        <w:t>(4), 15. https://doi.org/10.5539/ibr.v16n4p15</w:t>
      </w:r>
    </w:p>
    <w:p w14:paraId="22D7B17B" w14:textId="77777777" w:rsidR="00170A80" w:rsidRPr="00E673DC" w:rsidRDefault="00170A80" w:rsidP="00170A80">
      <w:pPr>
        <w:pStyle w:val="Bibliography"/>
        <w:rPr>
          <w:lang w:val="en-GB"/>
        </w:rPr>
      </w:pPr>
      <w:r w:rsidRPr="00E673DC">
        <w:rPr>
          <w:lang w:val="en-GB"/>
        </w:rPr>
        <w:t xml:space="preserve">Muisyo, P. K., &amp; Qin, S. (2021). Enhancing the FIRM’S green performance through green HRM: The moderating role of green innovation culture. </w:t>
      </w:r>
      <w:r w:rsidRPr="00E673DC">
        <w:rPr>
          <w:i/>
          <w:iCs/>
          <w:lang w:val="en-GB"/>
        </w:rPr>
        <w:t>Journal of Cleaner Production</w:t>
      </w:r>
      <w:r w:rsidRPr="00E673DC">
        <w:rPr>
          <w:lang w:val="en-GB"/>
        </w:rPr>
        <w:t xml:space="preserve">, </w:t>
      </w:r>
      <w:r w:rsidRPr="00BC7AC0">
        <w:rPr>
          <w:lang w:val="en-GB"/>
        </w:rPr>
        <w:t>289</w:t>
      </w:r>
      <w:r w:rsidRPr="00E673DC">
        <w:rPr>
          <w:lang w:val="en-GB"/>
        </w:rPr>
        <w:t>, 125720. https://doi.org/10.1016/j.jclepro.2020.125720</w:t>
      </w:r>
    </w:p>
    <w:p w14:paraId="47C08749" w14:textId="77777777" w:rsidR="00170A80" w:rsidRPr="00E673DC" w:rsidRDefault="00170A80" w:rsidP="00170A80">
      <w:pPr>
        <w:pStyle w:val="Bibliography"/>
        <w:rPr>
          <w:lang w:val="en-GB"/>
        </w:rPr>
      </w:pPr>
      <w:r w:rsidRPr="00E673DC">
        <w:rPr>
          <w:lang w:val="en-GB"/>
        </w:rPr>
        <w:t xml:space="preserve">Nagendra, A., &amp; Kansal, S. (2015). Reducing carbon footprint through green HRM. </w:t>
      </w:r>
      <w:r w:rsidRPr="00E673DC">
        <w:rPr>
          <w:i/>
          <w:iCs/>
          <w:lang w:val="en-GB"/>
        </w:rPr>
        <w:t>SAMVAD</w:t>
      </w:r>
      <w:r w:rsidRPr="00BC7AC0">
        <w:rPr>
          <w:lang w:val="en-GB"/>
        </w:rPr>
        <w:t>, 8</w:t>
      </w:r>
      <w:r w:rsidRPr="00E673DC">
        <w:rPr>
          <w:lang w:val="en-GB"/>
        </w:rPr>
        <w:t>.</w:t>
      </w:r>
    </w:p>
    <w:p w14:paraId="4012DFEC" w14:textId="7336A36B" w:rsidR="00170A80" w:rsidRPr="00E673DC" w:rsidRDefault="00170A80" w:rsidP="00170A80">
      <w:pPr>
        <w:pStyle w:val="Bibliography"/>
        <w:rPr>
          <w:lang w:val="en-GB"/>
        </w:rPr>
      </w:pPr>
      <w:r w:rsidRPr="00E673DC">
        <w:rPr>
          <w:lang w:val="en-GB"/>
        </w:rPr>
        <w:t xml:space="preserve">Nejati, M., Rabiei, S., &amp; Jabbour, C. J. C. (2017). Envisioning the invisible: Understanding the synergy between green human resource management and green supply chain management in manufacturing firms in Iran in light of the moderating effect of employees’ resistance to change. </w:t>
      </w:r>
      <w:r w:rsidRPr="00E673DC">
        <w:rPr>
          <w:i/>
          <w:iCs/>
          <w:lang w:val="en-GB"/>
        </w:rPr>
        <w:t>Journal of Cleaner Production</w:t>
      </w:r>
      <w:r w:rsidRPr="00BC7AC0">
        <w:rPr>
          <w:lang w:val="en-GB"/>
        </w:rPr>
        <w:t>, 168, 163</w:t>
      </w:r>
      <w:r w:rsidR="00BC7AC0">
        <w:rPr>
          <w:lang w:val="en-GB"/>
        </w:rPr>
        <w:t>–</w:t>
      </w:r>
      <w:r w:rsidRPr="00BC7AC0">
        <w:rPr>
          <w:lang w:val="en-GB"/>
        </w:rPr>
        <w:t>172.</w:t>
      </w:r>
    </w:p>
    <w:p w14:paraId="2F2549DC" w14:textId="77777777" w:rsidR="00170A80" w:rsidRPr="00E673DC" w:rsidRDefault="00170A80" w:rsidP="00170A80">
      <w:pPr>
        <w:pStyle w:val="Bibliography"/>
        <w:rPr>
          <w:lang w:val="en-GB"/>
        </w:rPr>
      </w:pPr>
      <w:r w:rsidRPr="00E673DC">
        <w:rPr>
          <w:lang w:val="en-GB"/>
        </w:rPr>
        <w:t xml:space="preserve">Niyomdecha, L., &amp; Yahya, K. K. (2015). </w:t>
      </w:r>
      <w:r w:rsidRPr="00E673DC">
        <w:rPr>
          <w:i/>
          <w:iCs/>
          <w:lang w:val="en-GB"/>
        </w:rPr>
        <w:t>Examining The Relationship Between Human Resource Management Practices And Organizational Citizenship Behavior For Environment Among Administrative Staff In A Thailand University</w:t>
      </w:r>
      <w:r w:rsidRPr="00E673DC">
        <w:rPr>
          <w:lang w:val="en-GB"/>
        </w:rPr>
        <w:t>.</w:t>
      </w:r>
    </w:p>
    <w:p w14:paraId="448F50B1" w14:textId="77777777" w:rsidR="00170A80" w:rsidRPr="00E673DC" w:rsidRDefault="00170A80" w:rsidP="00170A80">
      <w:pPr>
        <w:pStyle w:val="Bibliography"/>
        <w:rPr>
          <w:lang w:val="en-GB"/>
        </w:rPr>
      </w:pPr>
      <w:r w:rsidRPr="00E673DC">
        <w:rPr>
          <w:lang w:val="en-GB"/>
        </w:rPr>
        <w:t xml:space="preserve">Paillé, P., Mejía-Morelos, J. H., Marché-Paillé, A., Chen, C. C., &amp; Chen, Y. (2016). Corporate Greening, Exchange Process Among Co-workers, and Ethics of Care: An Empirical </w:t>
      </w:r>
      <w:r w:rsidRPr="00E673DC">
        <w:rPr>
          <w:lang w:val="en-GB"/>
        </w:rPr>
        <w:lastRenderedPageBreak/>
        <w:t xml:space="preserve">Study on the Determinants of Pro-environmental Behaviors at Coworkers-Level. </w:t>
      </w:r>
      <w:r w:rsidRPr="00E673DC">
        <w:rPr>
          <w:i/>
          <w:iCs/>
          <w:lang w:val="en-GB"/>
        </w:rPr>
        <w:t>Journal of Business Ethics</w:t>
      </w:r>
      <w:r w:rsidRPr="00E673DC">
        <w:rPr>
          <w:lang w:val="en-GB"/>
        </w:rPr>
        <w:t xml:space="preserve">, </w:t>
      </w:r>
      <w:r w:rsidRPr="00BC7AC0">
        <w:rPr>
          <w:lang w:val="en-GB"/>
        </w:rPr>
        <w:t>136</w:t>
      </w:r>
      <w:r w:rsidRPr="00E673DC">
        <w:rPr>
          <w:lang w:val="en-GB"/>
        </w:rPr>
        <w:t>(3), 655–673. https://doi.org/10.1007/s10551-015-2537-0</w:t>
      </w:r>
    </w:p>
    <w:p w14:paraId="491772FD" w14:textId="77777777" w:rsidR="00170A80" w:rsidRPr="00E673DC" w:rsidRDefault="00170A80" w:rsidP="00170A80">
      <w:pPr>
        <w:pStyle w:val="Bibliography"/>
        <w:rPr>
          <w:lang w:val="en-GB"/>
        </w:rPr>
      </w:pPr>
      <w:r w:rsidRPr="00E673DC">
        <w:rPr>
          <w:lang w:val="en-GB"/>
        </w:rPr>
        <w:t xml:space="preserve">Pham, N. T., Phan, Q. P. T., &amp; Tučková, Z. (2018). Enhancing the organizational citizenship behavior for the environment: The roles of green training and organizational culture. </w:t>
      </w:r>
      <w:r w:rsidRPr="00E673DC">
        <w:rPr>
          <w:i/>
          <w:iCs/>
          <w:lang w:val="en-GB"/>
        </w:rPr>
        <w:t>Management &amp; Marketing</w:t>
      </w:r>
      <w:r w:rsidRPr="00E673DC">
        <w:rPr>
          <w:lang w:val="en-GB"/>
        </w:rPr>
        <w:t xml:space="preserve">, </w:t>
      </w:r>
      <w:r w:rsidRPr="00BC7AC0">
        <w:rPr>
          <w:lang w:val="en-GB"/>
        </w:rPr>
        <w:t>13</w:t>
      </w:r>
      <w:r w:rsidRPr="00E673DC">
        <w:rPr>
          <w:lang w:val="en-GB"/>
        </w:rPr>
        <w:t>(4), 1174–1189. https://doi.org/10.2478/mmcks-2018-0030</w:t>
      </w:r>
    </w:p>
    <w:p w14:paraId="23A321D6" w14:textId="24336F98" w:rsidR="00170A80" w:rsidRPr="00E673DC" w:rsidRDefault="00170A80" w:rsidP="00170A80">
      <w:pPr>
        <w:pStyle w:val="Bibliography"/>
        <w:rPr>
          <w:lang w:val="en-GB"/>
        </w:rPr>
      </w:pPr>
      <w:r w:rsidRPr="00E673DC">
        <w:rPr>
          <w:lang w:val="en-GB"/>
        </w:rPr>
        <w:t xml:space="preserve">Pillai, R., Islam, A., Kumar, P., &amp; Almustafa, H. (2024). Assessing the influence of organisational citizenship behaviour towards environment on economic cost performance in </w:t>
      </w:r>
      <w:r w:rsidRPr="00E673DC">
        <w:rPr>
          <w:smallCaps/>
          <w:lang w:val="en-GB"/>
        </w:rPr>
        <w:t>UAE</w:t>
      </w:r>
      <w:r w:rsidRPr="00E673DC">
        <w:rPr>
          <w:lang w:val="en-GB"/>
        </w:rPr>
        <w:t xml:space="preserve"> hotels. </w:t>
      </w:r>
      <w:r w:rsidRPr="00E673DC">
        <w:rPr>
          <w:i/>
          <w:iCs/>
          <w:lang w:val="en-GB"/>
        </w:rPr>
        <w:t>Business Ethics, the Environment &amp; Responsibility</w:t>
      </w:r>
      <w:r w:rsidRPr="00E673DC">
        <w:rPr>
          <w:lang w:val="en-GB"/>
        </w:rPr>
        <w:t>, 12700. https://doi.org/10.1111/beer.12700</w:t>
      </w:r>
    </w:p>
    <w:p w14:paraId="4455E4FC" w14:textId="77777777" w:rsidR="00170A80" w:rsidRPr="00E673DC" w:rsidRDefault="00170A80" w:rsidP="00170A80">
      <w:pPr>
        <w:pStyle w:val="Bibliography"/>
        <w:rPr>
          <w:lang w:val="en-GB"/>
        </w:rPr>
      </w:pPr>
      <w:r w:rsidRPr="00E673DC">
        <w:rPr>
          <w:lang w:val="en-GB"/>
        </w:rPr>
        <w:t xml:space="preserve">Pillai, R., &amp; Sivathanu, B. (2014). Green human resource management. </w:t>
      </w:r>
      <w:r w:rsidRPr="00E673DC">
        <w:rPr>
          <w:i/>
          <w:iCs/>
          <w:lang w:val="en-GB"/>
        </w:rPr>
        <w:t>ZENITH International Journal of Multidisciplinary Research</w:t>
      </w:r>
      <w:r w:rsidRPr="00E673DC">
        <w:rPr>
          <w:lang w:val="en-GB"/>
        </w:rPr>
        <w:t xml:space="preserve">, </w:t>
      </w:r>
      <w:r w:rsidRPr="00BC7AC0">
        <w:rPr>
          <w:lang w:val="en-GB"/>
        </w:rPr>
        <w:t>4</w:t>
      </w:r>
      <w:r w:rsidRPr="00E673DC">
        <w:rPr>
          <w:lang w:val="en-GB"/>
        </w:rPr>
        <w:t>(1), 72–82.</w:t>
      </w:r>
    </w:p>
    <w:p w14:paraId="2E3E7403" w14:textId="0F0A9644" w:rsidR="00170A80" w:rsidRPr="00E673DC" w:rsidRDefault="00170A80" w:rsidP="00170A80">
      <w:pPr>
        <w:pStyle w:val="Bibliography"/>
        <w:rPr>
          <w:lang w:val="en-GB"/>
        </w:rPr>
      </w:pPr>
      <w:r w:rsidRPr="00E673DC">
        <w:rPr>
          <w:lang w:val="en-GB"/>
        </w:rPr>
        <w:t xml:space="preserve">Rawashdeh, A. M. (2018). The impact of green human resource management on organizational environmental performance in Jordanian health service organizations. </w:t>
      </w:r>
      <w:r w:rsidRPr="00E673DC">
        <w:rPr>
          <w:i/>
          <w:iCs/>
          <w:lang w:val="en-GB"/>
        </w:rPr>
        <w:t>Management Science Letters</w:t>
      </w:r>
      <w:r w:rsidRPr="00BC7AC0">
        <w:rPr>
          <w:lang w:val="en-GB"/>
        </w:rPr>
        <w:t>, 8(10),</w:t>
      </w:r>
      <w:r w:rsidRPr="00E673DC">
        <w:rPr>
          <w:lang w:val="en-GB"/>
        </w:rPr>
        <w:t xml:space="preserve"> 1049</w:t>
      </w:r>
      <w:r w:rsidR="00BC7AC0">
        <w:rPr>
          <w:lang w:val="en-GB"/>
        </w:rPr>
        <w:t>–</w:t>
      </w:r>
      <w:r w:rsidRPr="00E673DC">
        <w:rPr>
          <w:lang w:val="en-GB"/>
        </w:rPr>
        <w:t>1058. https://doi.org/10.5267/j.msl.2018.7.006</w:t>
      </w:r>
    </w:p>
    <w:p w14:paraId="2CF5501D" w14:textId="77777777" w:rsidR="00170A80" w:rsidRPr="00E673DC" w:rsidRDefault="00170A80" w:rsidP="00170A80">
      <w:pPr>
        <w:pStyle w:val="Bibliography"/>
        <w:rPr>
          <w:lang w:val="en-GB"/>
        </w:rPr>
      </w:pPr>
      <w:r w:rsidRPr="00E673DC">
        <w:rPr>
          <w:lang w:val="en-GB"/>
        </w:rPr>
        <w:t xml:space="preserve">Ren, Z., &amp; Hussain, R. Y. (2022). A mediated–moderated model for green human resource management: An employee perspective. </w:t>
      </w:r>
      <w:r w:rsidRPr="00E673DC">
        <w:rPr>
          <w:i/>
          <w:iCs/>
          <w:lang w:val="en-GB"/>
        </w:rPr>
        <w:t>Frontiers in Environmental Science</w:t>
      </w:r>
      <w:r w:rsidRPr="00BC7AC0">
        <w:rPr>
          <w:lang w:val="en-GB"/>
        </w:rPr>
        <w:t>, 10, 973692.</w:t>
      </w:r>
    </w:p>
    <w:p w14:paraId="5A0F24C7" w14:textId="77777777" w:rsidR="00170A80" w:rsidRPr="00E673DC" w:rsidRDefault="00170A80" w:rsidP="00170A80">
      <w:pPr>
        <w:pStyle w:val="Bibliography"/>
        <w:rPr>
          <w:lang w:val="en-GB"/>
        </w:rPr>
      </w:pPr>
      <w:r w:rsidRPr="00E673DC">
        <w:rPr>
          <w:lang w:val="en-GB"/>
        </w:rPr>
        <w:t xml:space="preserve">Renwick, D. W. S., Jabbour, C. J. C., Muller-Camen, M., Redman, T., &amp; Wilkinson, A. (2016). Contemporary developments in Green (environmental) HRM scholarship. </w:t>
      </w:r>
      <w:r w:rsidRPr="00E673DC">
        <w:rPr>
          <w:i/>
          <w:iCs/>
          <w:lang w:val="en-GB"/>
        </w:rPr>
        <w:t xml:space="preserve">The </w:t>
      </w:r>
      <w:r w:rsidRPr="00E673DC">
        <w:rPr>
          <w:i/>
          <w:iCs/>
          <w:lang w:val="en-GB"/>
        </w:rPr>
        <w:lastRenderedPageBreak/>
        <w:t>International Journal of Human Resource Management</w:t>
      </w:r>
      <w:r w:rsidRPr="00E673DC">
        <w:rPr>
          <w:lang w:val="en-GB"/>
        </w:rPr>
        <w:t xml:space="preserve">, </w:t>
      </w:r>
      <w:r w:rsidRPr="00BC7AC0">
        <w:rPr>
          <w:lang w:val="en-GB"/>
        </w:rPr>
        <w:t>27</w:t>
      </w:r>
      <w:r w:rsidRPr="00E673DC">
        <w:rPr>
          <w:lang w:val="en-GB"/>
        </w:rPr>
        <w:t>(2), 114–128. https://doi.org/10.1080/09585192.2015.1105844</w:t>
      </w:r>
    </w:p>
    <w:p w14:paraId="1202C1A2" w14:textId="77777777" w:rsidR="00170A80" w:rsidRPr="00E673DC" w:rsidRDefault="00170A80" w:rsidP="00170A80">
      <w:pPr>
        <w:pStyle w:val="Bibliography"/>
        <w:rPr>
          <w:lang w:val="en-GB"/>
        </w:rPr>
      </w:pPr>
      <w:r w:rsidRPr="00E673DC">
        <w:rPr>
          <w:lang w:val="en-GB"/>
        </w:rPr>
        <w:t xml:space="preserve">Renwick, D. W. S., Redman, T., &amp; Maguire, S. (2013). Green Human Resource Management: A Review and Research Agenda. </w:t>
      </w:r>
      <w:r w:rsidRPr="00E673DC">
        <w:rPr>
          <w:i/>
          <w:iCs/>
          <w:lang w:val="en-GB"/>
        </w:rPr>
        <w:t>International Journal of Management Reviews</w:t>
      </w:r>
      <w:r w:rsidRPr="00E673DC">
        <w:rPr>
          <w:lang w:val="en-GB"/>
        </w:rPr>
        <w:t xml:space="preserve">, </w:t>
      </w:r>
      <w:r w:rsidRPr="00BC7AC0">
        <w:rPr>
          <w:lang w:val="en-GB"/>
        </w:rPr>
        <w:t>15</w:t>
      </w:r>
      <w:r w:rsidRPr="00E673DC">
        <w:rPr>
          <w:lang w:val="en-GB"/>
        </w:rPr>
        <w:t>(1), 1–14. https://doi.org/10.1111/j.1468-2370.2011.00328.x</w:t>
      </w:r>
    </w:p>
    <w:p w14:paraId="0ECB2771" w14:textId="77777777" w:rsidR="00170A80" w:rsidRPr="00E673DC" w:rsidRDefault="00170A80" w:rsidP="00170A80">
      <w:pPr>
        <w:pStyle w:val="Bibliography"/>
        <w:rPr>
          <w:lang w:val="en-GB"/>
        </w:rPr>
      </w:pPr>
      <w:r w:rsidRPr="00E673DC">
        <w:rPr>
          <w:lang w:val="en-GB"/>
        </w:rPr>
        <w:t xml:space="preserve">Saputro, A., &amp; Nawangsari, L. C. (2021). The Effect of Green Human Resource Management on Organization Citizenship Behaviour for Environment (OCBE) and Its Implications on Employee Performance at Pt Andalan Bakti Niaga. </w:t>
      </w:r>
      <w:r w:rsidRPr="00E673DC">
        <w:rPr>
          <w:i/>
          <w:iCs/>
          <w:lang w:val="en-GB"/>
        </w:rPr>
        <w:t>European Journal of Business and Management Research</w:t>
      </w:r>
      <w:r w:rsidRPr="00E673DC">
        <w:rPr>
          <w:lang w:val="en-GB"/>
        </w:rPr>
        <w:t xml:space="preserve">, </w:t>
      </w:r>
      <w:r w:rsidRPr="00BC7AC0">
        <w:rPr>
          <w:lang w:val="en-GB"/>
        </w:rPr>
        <w:t>6</w:t>
      </w:r>
      <w:r w:rsidRPr="00E673DC">
        <w:rPr>
          <w:lang w:val="en-GB"/>
        </w:rPr>
        <w:t xml:space="preserve">(1), 174–181. </w:t>
      </w:r>
      <w:r w:rsidRPr="00BC7AC0">
        <w:rPr>
          <w:lang w:val="en-GB"/>
        </w:rPr>
        <w:t>https://doi.org/10.24018/ejbmr.2021.6.1.716</w:t>
      </w:r>
    </w:p>
    <w:p w14:paraId="22B4C762" w14:textId="77777777" w:rsidR="00170A80" w:rsidRPr="00E673DC" w:rsidRDefault="00170A80" w:rsidP="00170A80">
      <w:pPr>
        <w:pStyle w:val="Bibliography"/>
        <w:rPr>
          <w:lang w:val="en-GB"/>
        </w:rPr>
      </w:pPr>
      <w:r w:rsidRPr="00E673DC">
        <w:rPr>
          <w:lang w:val="en-GB"/>
        </w:rPr>
        <w:t xml:space="preserve">Sarstedt, M., Ringle, C. M., &amp; Hair, J. F. (2022). Partial Least Squares Structural Equation Modeling. In C. Homburg, M. Klarmann, &amp; A. Vomberg (Eds.), </w:t>
      </w:r>
      <w:r w:rsidRPr="00E673DC">
        <w:rPr>
          <w:i/>
          <w:iCs/>
          <w:lang w:val="en-GB"/>
        </w:rPr>
        <w:t>Handbook of Market Research</w:t>
      </w:r>
      <w:r w:rsidRPr="00E673DC">
        <w:rPr>
          <w:lang w:val="en-GB"/>
        </w:rPr>
        <w:t xml:space="preserve"> (pp. 587–632). Springer International Publishing. https://doi.org/10.1007/978-3-319-57413-4_15</w:t>
      </w:r>
    </w:p>
    <w:p w14:paraId="0C51D053" w14:textId="77777777" w:rsidR="00170A80" w:rsidRPr="00E673DC" w:rsidRDefault="00170A80" w:rsidP="00170A80">
      <w:pPr>
        <w:pStyle w:val="Bibliography"/>
        <w:rPr>
          <w:lang w:val="en-GB"/>
        </w:rPr>
      </w:pPr>
      <w:r w:rsidRPr="00E673DC">
        <w:rPr>
          <w:lang w:val="en-GB"/>
        </w:rPr>
        <w:t xml:space="preserve">Saunders, M., Lewis, P., &amp; Thornhill, A. (2019). </w:t>
      </w:r>
      <w:r w:rsidRPr="00E673DC">
        <w:rPr>
          <w:i/>
          <w:iCs/>
          <w:lang w:val="en-GB"/>
        </w:rPr>
        <w:t>Research Methods for Business Students</w:t>
      </w:r>
      <w:r w:rsidRPr="00E673DC">
        <w:rPr>
          <w:lang w:val="en-GB"/>
        </w:rPr>
        <w:t>. Pearson Education.</w:t>
      </w:r>
    </w:p>
    <w:p w14:paraId="39B1ABD6" w14:textId="77777777" w:rsidR="00170A80" w:rsidRPr="00E673DC" w:rsidRDefault="00170A80" w:rsidP="00170A80">
      <w:pPr>
        <w:pStyle w:val="Bibliography"/>
        <w:rPr>
          <w:lang w:val="en-GB"/>
        </w:rPr>
      </w:pPr>
      <w:r w:rsidRPr="00E673DC">
        <w:rPr>
          <w:lang w:val="en-GB"/>
        </w:rPr>
        <w:t xml:space="preserve">Shafaei, A., Nejati, M., &amp; Mohd Yusoff, Y. (2020). Green human resource management. </w:t>
      </w:r>
      <w:r w:rsidRPr="00E673DC">
        <w:rPr>
          <w:i/>
          <w:iCs/>
          <w:lang w:val="en-GB"/>
        </w:rPr>
        <w:t>International Journal of Manpower</w:t>
      </w:r>
      <w:r w:rsidRPr="00E673DC">
        <w:rPr>
          <w:lang w:val="en-GB"/>
        </w:rPr>
        <w:t xml:space="preserve">, </w:t>
      </w:r>
      <w:r w:rsidRPr="00BC7AC0">
        <w:rPr>
          <w:lang w:val="en-GB"/>
        </w:rPr>
        <w:t>41</w:t>
      </w:r>
      <w:r w:rsidRPr="00E673DC">
        <w:rPr>
          <w:lang w:val="en-GB"/>
        </w:rPr>
        <w:t>(7), 1041–1060. https://doi.org/10.1108/IJM-08-2019-0406</w:t>
      </w:r>
    </w:p>
    <w:p w14:paraId="701A069B" w14:textId="77777777" w:rsidR="00170A80" w:rsidRPr="00E673DC" w:rsidRDefault="00170A80" w:rsidP="00170A80">
      <w:pPr>
        <w:pStyle w:val="Bibliography"/>
        <w:rPr>
          <w:lang w:val="en-GB"/>
        </w:rPr>
      </w:pPr>
      <w:r w:rsidRPr="00E673DC">
        <w:rPr>
          <w:lang w:val="en-GB"/>
        </w:rPr>
        <w:t xml:space="preserve">Shah, M. (2019). Green human resource management: Development of a valid measurement scale. </w:t>
      </w:r>
      <w:r w:rsidRPr="00E673DC">
        <w:rPr>
          <w:i/>
          <w:iCs/>
          <w:lang w:val="en-GB"/>
        </w:rPr>
        <w:t>Business Strategy and the Environment</w:t>
      </w:r>
      <w:r w:rsidRPr="00E673DC">
        <w:rPr>
          <w:lang w:val="en-GB"/>
        </w:rPr>
        <w:t xml:space="preserve">, </w:t>
      </w:r>
      <w:r w:rsidRPr="00BC7AC0">
        <w:rPr>
          <w:lang w:val="en-GB"/>
        </w:rPr>
        <w:t>28</w:t>
      </w:r>
      <w:r w:rsidRPr="00E673DC">
        <w:rPr>
          <w:lang w:val="en-GB"/>
        </w:rPr>
        <w:t>(5), 771–785. https://doi.org/10.1002/bse.2279</w:t>
      </w:r>
    </w:p>
    <w:p w14:paraId="317C6EA8" w14:textId="77777777" w:rsidR="00170A80" w:rsidRPr="00E673DC" w:rsidRDefault="00170A80" w:rsidP="00170A80">
      <w:pPr>
        <w:pStyle w:val="Bibliography"/>
        <w:rPr>
          <w:lang w:val="en-GB"/>
        </w:rPr>
      </w:pPr>
      <w:r w:rsidRPr="00E673DC">
        <w:rPr>
          <w:lang w:val="en-GB"/>
        </w:rPr>
        <w:lastRenderedPageBreak/>
        <w:t xml:space="preserve">Silvester, Y., Sarip, A., &amp; Hassan, M. A. (2019). The Relationship between Green HRM Practices and Organizational Citizenship Behavior toward Environment (OCBE). </w:t>
      </w:r>
      <w:r w:rsidRPr="00E673DC">
        <w:rPr>
          <w:i/>
          <w:iCs/>
          <w:lang w:val="en-GB"/>
        </w:rPr>
        <w:t>Journal of Management and Operation Research</w:t>
      </w:r>
      <w:r w:rsidRPr="00E673DC">
        <w:rPr>
          <w:lang w:val="en-GB"/>
        </w:rPr>
        <w:t xml:space="preserve">, </w:t>
      </w:r>
      <w:r w:rsidRPr="00BC7AC0">
        <w:rPr>
          <w:lang w:val="en-GB"/>
        </w:rPr>
        <w:t>1</w:t>
      </w:r>
      <w:r w:rsidRPr="00E673DC">
        <w:rPr>
          <w:lang w:val="en-GB"/>
        </w:rPr>
        <w:t>(18), 1–7. https://d1wqtxts1xzle7.cloudfront.net/79000232/JoMOR-2019-VOL-1-NO-18-1-libre.pdf?1642470003=&amp;response-content-disposition=inline%3B+filename%3DThe_Relationship_between_Green_HRM_Pract.pdf&amp;Expires=1737015455&amp;Signature=ZvxEn5pOyxJmbaXFR5MLivJSH2IcmHL3pNUIEYeIx48SDKkMNDMtcYewkuul0bX5YZF-d9QGzvPMeDYtoObuONDOvd2Apv0-onUWZbusCVbO1AvGqiZn59FEb8Xghufr41GnfgZvNsCRO8WC~dq5dXxflxyHT3ixLHl0oMXNMg~5EaD5HrLw9pjrYw3gpaLo2ehzEgmGj~~hq3fttIayiv6uSITDOzTPhq6GjyU1OXmS3NDFr4m4-EJn8feE34O25U0Ss0mbcswgqGRDIJz39oF8ocieijIzHrvaS8c7tpUYi9fuPW26dah7BOmE2Op53eWmGyCDaPa2M51OPvqdww__&amp;Key-Pair-Id=APKAJLOHF5GGSLRBV4ZA</w:t>
      </w:r>
    </w:p>
    <w:p w14:paraId="0DADF0BC" w14:textId="77777777" w:rsidR="00170A80" w:rsidRPr="00E673DC" w:rsidRDefault="00170A80" w:rsidP="00170A80">
      <w:pPr>
        <w:pStyle w:val="Bibliography"/>
        <w:rPr>
          <w:lang w:val="en-GB"/>
        </w:rPr>
      </w:pPr>
      <w:r w:rsidRPr="00E673DC">
        <w:rPr>
          <w:lang w:val="en-GB"/>
        </w:rPr>
        <w:t xml:space="preserve">Singh, S. K., Giudice, M. D., Chierici, R., &amp; Graziano, D. (2020). Green innovation and environmental performance: The role of green transformational leadership and green human resource management. </w:t>
      </w:r>
      <w:r w:rsidRPr="00E673DC">
        <w:rPr>
          <w:i/>
          <w:iCs/>
          <w:lang w:val="en-GB"/>
        </w:rPr>
        <w:t>Technological Forecasting and Social Change</w:t>
      </w:r>
      <w:r w:rsidRPr="00E673DC">
        <w:rPr>
          <w:lang w:val="en-GB"/>
        </w:rPr>
        <w:t xml:space="preserve">, </w:t>
      </w:r>
      <w:r w:rsidRPr="00BC7AC0">
        <w:rPr>
          <w:lang w:val="en-GB"/>
        </w:rPr>
        <w:t>150</w:t>
      </w:r>
      <w:r w:rsidRPr="00E673DC">
        <w:rPr>
          <w:lang w:val="en-GB"/>
        </w:rPr>
        <w:t>, 119762. https://doi.org/10.1016/j.techfore.2019.119762</w:t>
      </w:r>
    </w:p>
    <w:p w14:paraId="64F91DA2" w14:textId="77777777" w:rsidR="00170A80" w:rsidRPr="00E673DC" w:rsidRDefault="00170A80" w:rsidP="00170A80">
      <w:pPr>
        <w:pStyle w:val="Bibliography"/>
        <w:rPr>
          <w:lang w:val="en-GB"/>
        </w:rPr>
      </w:pPr>
      <w:r w:rsidRPr="00E673DC">
        <w:rPr>
          <w:lang w:val="en-GB"/>
        </w:rPr>
        <w:t xml:space="preserve">Sobaih, A. E. E., Hasanein, A., &amp; Elshaer, I. (2020). Influences of Green Human Resources Management on Environmental Performance in Small Lodging Enterprises: The Role of Green Innovation. </w:t>
      </w:r>
      <w:r w:rsidRPr="00E673DC">
        <w:rPr>
          <w:i/>
          <w:iCs/>
          <w:lang w:val="en-GB"/>
        </w:rPr>
        <w:t>Sustainability</w:t>
      </w:r>
      <w:r w:rsidRPr="00E673DC">
        <w:rPr>
          <w:lang w:val="en-GB"/>
        </w:rPr>
        <w:t xml:space="preserve">, </w:t>
      </w:r>
      <w:r w:rsidRPr="00BC7AC0">
        <w:rPr>
          <w:lang w:val="en-GB"/>
        </w:rPr>
        <w:t>12</w:t>
      </w:r>
      <w:r w:rsidRPr="00E673DC">
        <w:rPr>
          <w:lang w:val="en-GB"/>
        </w:rPr>
        <w:t>(24), 10371.</w:t>
      </w:r>
    </w:p>
    <w:p w14:paraId="43F2B8AD" w14:textId="77777777" w:rsidR="00170A80" w:rsidRPr="00E673DC" w:rsidRDefault="00170A80" w:rsidP="00170A80">
      <w:pPr>
        <w:pStyle w:val="Bibliography"/>
        <w:rPr>
          <w:lang w:val="en-GB"/>
        </w:rPr>
      </w:pPr>
      <w:r w:rsidRPr="00E673DC">
        <w:rPr>
          <w:lang w:val="en-GB"/>
        </w:rPr>
        <w:lastRenderedPageBreak/>
        <w:t xml:space="preserve">Švermová, P. (2018). The Environmental Pillar of CSR and Company Management. </w:t>
      </w:r>
      <w:r w:rsidRPr="00E673DC">
        <w:rPr>
          <w:i/>
          <w:iCs/>
          <w:lang w:val="en-GB"/>
        </w:rPr>
        <w:t>The Technical University of Liberec-Conference Paper-December 2018</w:t>
      </w:r>
      <w:r w:rsidRPr="00E673DC">
        <w:rPr>
          <w:lang w:val="en-GB"/>
        </w:rPr>
        <w:t>.</w:t>
      </w:r>
    </w:p>
    <w:p w14:paraId="51A3A31B" w14:textId="77777777" w:rsidR="00170A80" w:rsidRPr="00E673DC" w:rsidRDefault="00170A80" w:rsidP="00170A80">
      <w:pPr>
        <w:pStyle w:val="Bibliography"/>
        <w:rPr>
          <w:lang w:val="en-GB"/>
        </w:rPr>
      </w:pPr>
      <w:r w:rsidRPr="00E673DC">
        <w:rPr>
          <w:lang w:val="en-GB"/>
        </w:rPr>
        <w:t xml:space="preserve">Tang, G., Chen, Y., Jiang, Y., Paille, P., &amp; Jia, J. (2018). Green human resource management practices: Scale development and validity. </w:t>
      </w:r>
      <w:r w:rsidRPr="00E673DC">
        <w:rPr>
          <w:i/>
          <w:iCs/>
          <w:lang w:val="en-GB"/>
        </w:rPr>
        <w:t>Asia Paciﬁc Journal of Human Resources</w:t>
      </w:r>
      <w:r w:rsidRPr="00E673DC">
        <w:rPr>
          <w:lang w:val="en-GB"/>
        </w:rPr>
        <w:t xml:space="preserve">, </w:t>
      </w:r>
      <w:r w:rsidRPr="00BC7AC0">
        <w:rPr>
          <w:lang w:val="en-GB"/>
        </w:rPr>
        <w:t>56</w:t>
      </w:r>
      <w:r w:rsidRPr="00E673DC">
        <w:rPr>
          <w:lang w:val="en-GB"/>
        </w:rPr>
        <w:t>(1), 31–55. https://doi.org/10.1111/1744-7941.12147</w:t>
      </w:r>
    </w:p>
    <w:p w14:paraId="0DB52FFC" w14:textId="77777777" w:rsidR="00170A80" w:rsidRPr="00E673DC" w:rsidRDefault="00170A80" w:rsidP="00170A80">
      <w:pPr>
        <w:pStyle w:val="Bibliography"/>
        <w:rPr>
          <w:lang w:val="en-GB"/>
        </w:rPr>
      </w:pPr>
      <w:r w:rsidRPr="00E673DC">
        <w:rPr>
          <w:lang w:val="en-GB"/>
        </w:rPr>
        <w:t xml:space="preserve">Tariq, S., Jan, F. A., &amp; Ahmad, M. S. (2016). Green employee empowerment: A systematic literature review on state-of-art in green human resource management. </w:t>
      </w:r>
      <w:r w:rsidRPr="00E673DC">
        <w:rPr>
          <w:i/>
          <w:iCs/>
          <w:lang w:val="en-GB"/>
        </w:rPr>
        <w:t>Quality &amp; Quantity</w:t>
      </w:r>
      <w:r w:rsidRPr="00E673DC">
        <w:rPr>
          <w:lang w:val="en-GB"/>
        </w:rPr>
        <w:t xml:space="preserve">, </w:t>
      </w:r>
      <w:r w:rsidRPr="00BC7AC0">
        <w:rPr>
          <w:lang w:val="en-GB"/>
        </w:rPr>
        <w:t>50</w:t>
      </w:r>
      <w:r w:rsidRPr="00E673DC">
        <w:rPr>
          <w:lang w:val="en-GB"/>
        </w:rPr>
        <w:t>(1), 237–269. https://doi.org/10.1007/s11135-014-0146-0</w:t>
      </w:r>
    </w:p>
    <w:p w14:paraId="7AFE7C9B" w14:textId="77777777" w:rsidR="00170A80" w:rsidRPr="00E673DC" w:rsidRDefault="00170A80" w:rsidP="00170A80">
      <w:pPr>
        <w:pStyle w:val="Bibliography"/>
        <w:rPr>
          <w:lang w:val="en-GB"/>
        </w:rPr>
      </w:pPr>
      <w:r w:rsidRPr="00E673DC">
        <w:rPr>
          <w:lang w:val="en-GB"/>
        </w:rPr>
        <w:t xml:space="preserve">The Executive Council. (2024). </w:t>
      </w:r>
      <w:r w:rsidRPr="00E673DC">
        <w:rPr>
          <w:i/>
          <w:iCs/>
          <w:lang w:val="en-GB"/>
        </w:rPr>
        <w:t>Government of Dubai</w:t>
      </w:r>
      <w:r w:rsidRPr="00E673DC">
        <w:rPr>
          <w:lang w:val="en-GB"/>
        </w:rPr>
        <w:t>. https://tec.gov.ae/en/web/tec/government-of-dubai</w:t>
      </w:r>
    </w:p>
    <w:p w14:paraId="0FFF5101" w14:textId="77777777" w:rsidR="00170A80" w:rsidRPr="00E673DC" w:rsidRDefault="00170A80" w:rsidP="00170A80">
      <w:pPr>
        <w:pStyle w:val="Bibliography"/>
        <w:rPr>
          <w:lang w:val="en-GB"/>
        </w:rPr>
      </w:pPr>
      <w:r w:rsidRPr="00E673DC">
        <w:rPr>
          <w:lang w:val="en-GB"/>
        </w:rPr>
        <w:t xml:space="preserve">Tulane University. (2018). Social exchange theory. </w:t>
      </w:r>
      <w:r w:rsidRPr="00E673DC">
        <w:rPr>
          <w:i/>
          <w:iCs/>
          <w:lang w:val="en-GB"/>
        </w:rPr>
        <w:t>Tulane School of Social Work</w:t>
      </w:r>
      <w:r w:rsidRPr="00E673DC">
        <w:rPr>
          <w:lang w:val="en-GB"/>
        </w:rPr>
        <w:t>. https://socialwork.tulane.edu/blog/social-exchange-theory/</w:t>
      </w:r>
    </w:p>
    <w:p w14:paraId="50D34F3B" w14:textId="77777777" w:rsidR="00170A80" w:rsidRPr="00E673DC" w:rsidRDefault="00170A80" w:rsidP="00170A80">
      <w:pPr>
        <w:pStyle w:val="Bibliography"/>
        <w:rPr>
          <w:lang w:val="en-GB"/>
        </w:rPr>
      </w:pPr>
      <w:r w:rsidRPr="00E673DC">
        <w:rPr>
          <w:lang w:val="en-GB"/>
        </w:rPr>
        <w:t xml:space="preserve">UAE Ministry of Climate Change and Environment. (2023). </w:t>
      </w:r>
      <w:r w:rsidRPr="00E673DC">
        <w:rPr>
          <w:i/>
          <w:iCs/>
          <w:lang w:val="en-GB"/>
        </w:rPr>
        <w:t>The United Arab Emirates’ First Long-Term Strategy (LTS): Demonstrating Commitment to Net Zero by 2050</w:t>
      </w:r>
      <w:r w:rsidRPr="00E673DC">
        <w:rPr>
          <w:lang w:val="en-GB"/>
        </w:rPr>
        <w:t>. https://unfccc.int/sites/default/files/resource/UAE_LTLEDS.pdf</w:t>
      </w:r>
    </w:p>
    <w:p w14:paraId="5593694B" w14:textId="77777777" w:rsidR="00170A80" w:rsidRPr="00E673DC" w:rsidRDefault="00170A80" w:rsidP="00170A80">
      <w:pPr>
        <w:pStyle w:val="Bibliography"/>
        <w:rPr>
          <w:lang w:val="en-GB"/>
        </w:rPr>
      </w:pPr>
      <w:r w:rsidRPr="00E673DC">
        <w:rPr>
          <w:lang w:val="en-GB"/>
        </w:rPr>
        <w:t xml:space="preserve">WAM. (2024). DGHR unveils report on the future of human resources. </w:t>
      </w:r>
      <w:r w:rsidRPr="00E673DC">
        <w:rPr>
          <w:i/>
          <w:iCs/>
          <w:lang w:val="en-GB"/>
        </w:rPr>
        <w:t>WAM</w:t>
      </w:r>
      <w:r w:rsidRPr="00E673DC">
        <w:rPr>
          <w:lang w:val="en-GB"/>
        </w:rPr>
        <w:t>. https://www.wam.ae/en/article/b4e0s2x-dghr-unveils-report-future-human-resources</w:t>
      </w:r>
    </w:p>
    <w:p w14:paraId="133B3A71" w14:textId="77777777" w:rsidR="00170A80" w:rsidRPr="00E673DC" w:rsidRDefault="00170A80" w:rsidP="00170A80">
      <w:pPr>
        <w:pStyle w:val="Bibliography"/>
        <w:rPr>
          <w:lang w:val="en-GB"/>
        </w:rPr>
      </w:pPr>
      <w:r w:rsidRPr="00E673DC">
        <w:rPr>
          <w:lang w:val="en-GB"/>
        </w:rPr>
        <w:t xml:space="preserve">Worku, M. A., &amp; Debela, K. L. (2024). A systematic literature review on organizational citizenship behavior: Conceptualization, antecedents, and future research directions. </w:t>
      </w:r>
      <w:r w:rsidRPr="00E673DC">
        <w:rPr>
          <w:i/>
          <w:iCs/>
          <w:lang w:val="en-GB"/>
        </w:rPr>
        <w:t>Cogent Business &amp; Management</w:t>
      </w:r>
      <w:r w:rsidRPr="00E673DC">
        <w:rPr>
          <w:lang w:val="en-GB"/>
        </w:rPr>
        <w:t xml:space="preserve">, </w:t>
      </w:r>
      <w:r w:rsidRPr="00BC7AC0">
        <w:rPr>
          <w:lang w:val="en-GB"/>
        </w:rPr>
        <w:t>11</w:t>
      </w:r>
      <w:r w:rsidRPr="00E673DC">
        <w:rPr>
          <w:lang w:val="en-GB"/>
        </w:rPr>
        <w:t>(1), 2350804. https://doi.org/10.1080/23311975.2024.2350804</w:t>
      </w:r>
    </w:p>
    <w:p w14:paraId="623DAC82" w14:textId="77777777" w:rsidR="00170A80" w:rsidRPr="00E673DC" w:rsidRDefault="00170A80" w:rsidP="00170A80">
      <w:pPr>
        <w:pStyle w:val="Bibliography"/>
        <w:rPr>
          <w:lang w:val="en-GB"/>
        </w:rPr>
      </w:pPr>
      <w:r w:rsidRPr="00E673DC">
        <w:rPr>
          <w:lang w:val="en-GB"/>
        </w:rPr>
        <w:lastRenderedPageBreak/>
        <w:t xml:space="preserve">Yong, J. Y., Yusliza, M.-Y., Ramayah, T., &amp; Fawehinmi, O. (2019). Nexus between green intellectual capital and green human resource management. </w:t>
      </w:r>
      <w:r w:rsidRPr="00E673DC">
        <w:rPr>
          <w:i/>
          <w:iCs/>
          <w:lang w:val="en-GB"/>
        </w:rPr>
        <w:t>Journal of Cleaner Production</w:t>
      </w:r>
      <w:r w:rsidRPr="00E673DC">
        <w:rPr>
          <w:lang w:val="en-GB"/>
        </w:rPr>
        <w:t xml:space="preserve">, </w:t>
      </w:r>
      <w:r w:rsidRPr="00BC7AC0">
        <w:rPr>
          <w:lang w:val="en-GB"/>
        </w:rPr>
        <w:t>215</w:t>
      </w:r>
      <w:r w:rsidRPr="00E673DC">
        <w:rPr>
          <w:lang w:val="en-GB"/>
        </w:rPr>
        <w:t>, 364–374. https://doi.org/10.1016/j.jclepro.2018.12.306</w:t>
      </w:r>
    </w:p>
    <w:p w14:paraId="730FDE8D" w14:textId="77777777" w:rsidR="00170A80" w:rsidRPr="00E673DC" w:rsidRDefault="00170A80" w:rsidP="00170A80">
      <w:pPr>
        <w:pStyle w:val="Bibliography"/>
        <w:rPr>
          <w:lang w:val="en-GB"/>
        </w:rPr>
      </w:pPr>
      <w:r w:rsidRPr="00E673DC">
        <w:rPr>
          <w:lang w:val="en-GB"/>
        </w:rPr>
        <w:t xml:space="preserve">Yusoff, Y. M., Nejati, M., Kee, D. M. H., &amp; Amran, A. (2020). Linking Green Human Resource Management Practices to Environmental Performance in Hotel Industry. </w:t>
      </w:r>
      <w:r w:rsidRPr="00E673DC">
        <w:rPr>
          <w:i/>
          <w:iCs/>
          <w:lang w:val="en-GB"/>
        </w:rPr>
        <w:t>Global Business Review</w:t>
      </w:r>
      <w:r w:rsidRPr="00E673DC">
        <w:rPr>
          <w:lang w:val="en-GB"/>
        </w:rPr>
        <w:t xml:space="preserve">, </w:t>
      </w:r>
      <w:r w:rsidRPr="00BC7AC0">
        <w:rPr>
          <w:lang w:val="en-GB"/>
        </w:rPr>
        <w:t>21</w:t>
      </w:r>
      <w:r w:rsidRPr="00E673DC">
        <w:rPr>
          <w:lang w:val="en-GB"/>
        </w:rPr>
        <w:t>(3), 663–680. https://doi.org/10.1177/0972150918779294</w:t>
      </w:r>
    </w:p>
    <w:p w14:paraId="42D9B392" w14:textId="5F519227" w:rsidR="00170A80" w:rsidRPr="00E673DC" w:rsidRDefault="00170A80" w:rsidP="00170A80">
      <w:pPr>
        <w:pStyle w:val="Bibliography"/>
        <w:rPr>
          <w:lang w:val="en-GB"/>
        </w:rPr>
      </w:pPr>
      <w:r w:rsidRPr="00E673DC">
        <w:rPr>
          <w:lang w:val="en-GB"/>
        </w:rPr>
        <w:t xml:space="preserve">Zubair, S. S., &amp; Khan, M. A. (2019). Sustainable development: The role of green HRM. </w:t>
      </w:r>
      <w:r w:rsidRPr="00E673DC">
        <w:rPr>
          <w:i/>
          <w:iCs/>
          <w:lang w:val="en-GB"/>
        </w:rPr>
        <w:t>International Journal of Research in Human Resource Management</w:t>
      </w:r>
      <w:r w:rsidRPr="00E673DC">
        <w:rPr>
          <w:lang w:val="en-GB"/>
        </w:rPr>
        <w:t xml:space="preserve">, </w:t>
      </w:r>
      <w:r w:rsidRPr="00BC7AC0">
        <w:rPr>
          <w:lang w:val="en-GB"/>
        </w:rPr>
        <w:t>1(2),</w:t>
      </w:r>
      <w:r w:rsidRPr="00E673DC">
        <w:rPr>
          <w:lang w:val="en-GB"/>
        </w:rPr>
        <w:t xml:space="preserve"> 1–6. https://papers.ssrn.com/sol3/papers.cfm?abstract_id=3417040</w:t>
      </w:r>
    </w:p>
    <w:p w14:paraId="7B3D767C" w14:textId="35A016C7" w:rsidR="008F44B7" w:rsidRPr="00E673DC" w:rsidRDefault="00170A80" w:rsidP="000654B9">
      <w:pPr>
        <w:ind w:firstLine="0"/>
        <w:rPr>
          <w:lang w:val="en-GB"/>
        </w:rPr>
      </w:pPr>
      <w:r w:rsidRPr="00E673DC">
        <w:rPr>
          <w:lang w:val="en-GB"/>
        </w:rPr>
        <w:fldChar w:fldCharType="end"/>
      </w:r>
    </w:p>
    <w:sectPr w:rsidR="008F44B7" w:rsidRPr="00E673DC" w:rsidSect="00F4431E">
      <w:headerReference w:type="default" r:id="rId19"/>
      <w:footerReference w:type="even" r:id="rId20"/>
      <w:footerReference w:type="default" r:id="rId21"/>
      <w:footerReference w:type="first" r:id="rId22"/>
      <w:pgSz w:w="12240" w:h="15840"/>
      <w:pgMar w:top="1701" w:right="1701" w:bottom="1134" w:left="1418"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61D635" w14:textId="77777777" w:rsidR="00187DDA" w:rsidRDefault="00187DDA" w:rsidP="00A066C8">
      <w:pPr>
        <w:spacing w:before="0" w:after="0" w:line="240" w:lineRule="auto"/>
      </w:pPr>
      <w:r>
        <w:separator/>
      </w:r>
    </w:p>
  </w:endnote>
  <w:endnote w:type="continuationSeparator" w:id="0">
    <w:p w14:paraId="4E9A57ED" w14:textId="77777777" w:rsidR="00187DDA" w:rsidRDefault="00187DDA" w:rsidP="00A066C8">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Lato-Regular">
    <w:altName w:val="Lato"/>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AF7C2C" w14:textId="50015603" w:rsidR="004F0F09" w:rsidRDefault="004F0F09">
    <w:pPr>
      <w:pStyle w:val="Footer"/>
    </w:pPr>
    <w:r>
      <w:rPr>
        <w:noProof/>
      </w:rPr>
      <mc:AlternateContent>
        <mc:Choice Requires="wps">
          <w:drawing>
            <wp:anchor distT="0" distB="0" distL="0" distR="0" simplePos="0" relativeHeight="251659264" behindDoc="0" locked="0" layoutInCell="1" allowOverlap="1" wp14:anchorId="5E4D84A2" wp14:editId="67CADBCE">
              <wp:simplePos x="635" y="635"/>
              <wp:positionH relativeFrom="page">
                <wp:align>center</wp:align>
              </wp:positionH>
              <wp:positionV relativeFrom="page">
                <wp:align>bottom</wp:align>
              </wp:positionV>
              <wp:extent cx="1353185" cy="678180"/>
              <wp:effectExtent l="0" t="0" r="18415" b="0"/>
              <wp:wrapNone/>
              <wp:docPr id="941074480" name="Text Box 3" descr="DEWA-Confident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353185" cy="678180"/>
                      </a:xfrm>
                      <a:prstGeom prst="rect">
                        <a:avLst/>
                      </a:prstGeom>
                      <a:noFill/>
                      <a:ln>
                        <a:noFill/>
                      </a:ln>
                    </wps:spPr>
                    <wps:txbx>
                      <w:txbxContent>
                        <w:p w14:paraId="575A9137" w14:textId="4881D202" w:rsidR="004F0F09" w:rsidRPr="004F0F09" w:rsidRDefault="004F0F09" w:rsidP="004F0F09">
                          <w:pPr>
                            <w:spacing w:after="0"/>
                            <w:rPr>
                              <w:rFonts w:ascii="Calibri" w:eastAsia="Calibri" w:hAnsi="Calibri" w:cs="Calibri"/>
                              <w:noProof/>
                              <w:color w:val="000000"/>
                              <w:sz w:val="20"/>
                              <w:szCs w:val="20"/>
                            </w:rPr>
                          </w:pPr>
                          <w:r w:rsidRPr="004F0F09">
                            <w:rPr>
                              <w:rFonts w:ascii="Calibri" w:eastAsia="Calibri" w:hAnsi="Calibri" w:cs="Calibri"/>
                              <w:noProof/>
                              <w:color w:val="000000"/>
                              <w:sz w:val="20"/>
                              <w:szCs w:val="20"/>
                            </w:rPr>
                            <w:t>DEWA-Confidential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5E4D84A2" id="_x0000_t202" coordsize="21600,21600" o:spt="202" path="m,l,21600r21600,l21600,xe">
              <v:stroke joinstyle="miter"/>
              <v:path gradientshapeok="t" o:connecttype="rect"/>
            </v:shapetype>
            <v:shape id="Text Box 3" o:spid="_x0000_s1026" type="#_x0000_t202" alt="DEWA-Confidential" style="position:absolute;left:0;text-align:left;margin-left:0;margin-top:0;width:106.55pt;height:53.4pt;z-index:25165926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" filled="f" stroked="f">
              <v:textbox style="mso-fit-shape-to-text:t" inset="0,0,0,15pt">
                <w:txbxContent>
                  <w:p w14:paraId="575A9137" w14:textId="4881D202" w:rsidR="004F0F09" w:rsidRPr="004F0F09" w:rsidRDefault="004F0F09" w:rsidP="004F0F09">
                    <w:pPr>
                      <w:spacing w:after="0"/>
                      <w:rPr>
                        <w:rFonts w:ascii="Calibri" w:eastAsia="Calibri" w:hAnsi="Calibri" w:cs="Calibri"/>
                        <w:noProof/>
                        <w:color w:val="000000"/>
                        <w:sz w:val="20"/>
                        <w:szCs w:val="20"/>
                      </w:rPr>
                    </w:pPr>
                    <w:r w:rsidRPr="004F0F09">
                      <w:rPr>
                        <w:rFonts w:ascii="Calibri" w:eastAsia="Calibri" w:hAnsi="Calibri" w:cs="Calibri"/>
                        <w:noProof/>
                        <w:color w:val="000000"/>
                        <w:sz w:val="20"/>
                        <w:szCs w:val="20"/>
                      </w:rPr>
                      <w:t>DEWA-Confidential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3F02C2" w14:textId="283104A6" w:rsidR="004F0F09" w:rsidRDefault="004F0F09">
    <w:pPr>
      <w:pStyle w:val="Footer"/>
    </w:pPr>
    <w:r>
      <w:rPr>
        <w:noProof/>
      </w:rPr>
      <mc:AlternateContent>
        <mc:Choice Requires="wps">
          <w:drawing>
            <wp:anchor distT="0" distB="0" distL="0" distR="0" simplePos="0" relativeHeight="251658240" behindDoc="0" locked="0" layoutInCell="1" allowOverlap="1" wp14:anchorId="7B8C22E7" wp14:editId="565E03DF">
              <wp:simplePos x="635" y="635"/>
              <wp:positionH relativeFrom="page">
                <wp:align>center</wp:align>
              </wp:positionH>
              <wp:positionV relativeFrom="page">
                <wp:align>bottom</wp:align>
              </wp:positionV>
              <wp:extent cx="1353185" cy="678180"/>
              <wp:effectExtent l="0" t="0" r="18415" b="0"/>
              <wp:wrapNone/>
              <wp:docPr id="803400527" name="Text Box 2" descr="DEWA-Confident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353185" cy="678180"/>
                      </a:xfrm>
                      <a:prstGeom prst="rect">
                        <a:avLst/>
                      </a:prstGeom>
                      <a:noFill/>
                      <a:ln>
                        <a:noFill/>
                      </a:ln>
                    </wps:spPr>
                    <wps:txbx>
                      <w:txbxContent>
                        <w:p w14:paraId="19BF0BE9" w14:textId="5138AC8E" w:rsidR="004F0F09" w:rsidRPr="004F0F09" w:rsidRDefault="004F0F09" w:rsidP="004F0F09">
                          <w:pPr>
                            <w:spacing w:after="0"/>
                            <w:rPr>
                              <w:rFonts w:ascii="Calibri" w:eastAsia="Calibri" w:hAnsi="Calibri" w:cs="Calibri"/>
                              <w:noProof/>
                              <w:color w:val="000000"/>
                              <w:sz w:val="20"/>
                              <w:szCs w:val="20"/>
                            </w:rPr>
                          </w:pPr>
                          <w:r w:rsidRPr="004F0F09">
                            <w:rPr>
                              <w:rFonts w:ascii="Calibri" w:eastAsia="Calibri" w:hAnsi="Calibri" w:cs="Calibri"/>
                              <w:noProof/>
                              <w:color w:val="000000"/>
                              <w:sz w:val="20"/>
                              <w:szCs w:val="20"/>
                            </w:rPr>
                            <w:t>DEWA-Confidential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7B8C22E7" id="_x0000_t202" coordsize="21600,21600" o:spt="202" path="m,l,21600r21600,l21600,xe">
              <v:stroke joinstyle="miter"/>
              <v:path gradientshapeok="t" o:connecttype="rect"/>
            </v:shapetype>
            <v:shape id="Text Box 2" o:spid="_x0000_s1027" type="#_x0000_t202" alt="DEWA-Confidential" style="position:absolute;left:0;text-align:left;margin-left:0;margin-top:0;width:106.55pt;height:53.4pt;z-index:25165824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" filled="f" stroked="f">
              <v:textbox style="mso-fit-shape-to-text:t" inset="0,0,0,15pt">
                <w:txbxContent>
                  <w:p w14:paraId="19BF0BE9" w14:textId="5138AC8E" w:rsidR="004F0F09" w:rsidRPr="004F0F09" w:rsidRDefault="004F0F09" w:rsidP="004F0F09">
                    <w:pPr>
                      <w:spacing w:after="0"/>
                      <w:rPr>
                        <w:rFonts w:ascii="Calibri" w:eastAsia="Calibri" w:hAnsi="Calibri" w:cs="Calibri"/>
                        <w:noProof/>
                        <w:color w:val="000000"/>
                        <w:sz w:val="20"/>
                        <w:szCs w:val="20"/>
                      </w:rPr>
                    </w:pPr>
                    <w:r w:rsidRPr="004F0F09">
                      <w:rPr>
                        <w:rFonts w:ascii="Calibri" w:eastAsia="Calibri" w:hAnsi="Calibri" w:cs="Calibri"/>
                        <w:noProof/>
                        <w:color w:val="000000"/>
                        <w:sz w:val="20"/>
                        <w:szCs w:val="20"/>
                      </w:rPr>
                      <w:t>DEWA-Confidential</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5F5866" w14:textId="590B0C11" w:rsidR="004F0F09" w:rsidRDefault="004F0F09">
    <w:pPr>
      <w:pStyle w:val="Footer"/>
    </w:pPr>
    <w:r>
      <w:rPr>
        <w:noProof/>
      </w:rPr>
      <mc:AlternateContent>
        <mc:Choice Requires="wps">
          <w:drawing>
            <wp:anchor distT="0" distB="0" distL="0" distR="0" simplePos="0" relativeHeight="251662336" behindDoc="0" locked="0" layoutInCell="1" allowOverlap="1" wp14:anchorId="17DADC3E" wp14:editId="778DDA0C">
              <wp:simplePos x="635" y="635"/>
              <wp:positionH relativeFrom="page">
                <wp:align>center</wp:align>
              </wp:positionH>
              <wp:positionV relativeFrom="page">
                <wp:align>bottom</wp:align>
              </wp:positionV>
              <wp:extent cx="1353185" cy="678180"/>
              <wp:effectExtent l="0" t="0" r="18415" b="0"/>
              <wp:wrapNone/>
              <wp:docPr id="1249634853" name="Text Box 6" descr="DEWA-Confident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353185" cy="678180"/>
                      </a:xfrm>
                      <a:prstGeom prst="rect">
                        <a:avLst/>
                      </a:prstGeom>
                      <a:noFill/>
                      <a:ln>
                        <a:noFill/>
                      </a:ln>
                    </wps:spPr>
                    <wps:txbx>
                      <w:txbxContent>
                        <w:p w14:paraId="50A7CCA5" w14:textId="5062C31C" w:rsidR="004F0F09" w:rsidRPr="004F0F09" w:rsidRDefault="004F0F09" w:rsidP="004F0F09">
                          <w:pPr>
                            <w:spacing w:after="0"/>
                            <w:rPr>
                              <w:rFonts w:ascii="Calibri" w:eastAsia="Calibri" w:hAnsi="Calibri" w:cs="Calibri"/>
                              <w:noProof/>
                              <w:color w:val="000000"/>
                              <w:sz w:val="20"/>
                              <w:szCs w:val="20"/>
                            </w:rPr>
                          </w:pPr>
                          <w:r w:rsidRPr="004F0F09">
                            <w:rPr>
                              <w:rFonts w:ascii="Calibri" w:eastAsia="Calibri" w:hAnsi="Calibri" w:cs="Calibri"/>
                              <w:noProof/>
                              <w:color w:val="000000"/>
                              <w:sz w:val="20"/>
                              <w:szCs w:val="20"/>
                            </w:rPr>
                            <w:t>DEWA-Confidential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17DADC3E" id="_x0000_t202" coordsize="21600,21600" o:spt="202" path="m,l,21600r21600,l21600,xe">
              <v:stroke joinstyle="miter"/>
              <v:path gradientshapeok="t" o:connecttype="rect"/>
            </v:shapetype>
            <v:shape id="Text Box 6" o:spid="_x0000_s1028" type="#_x0000_t202" alt="DEWA-Confidential" style="position:absolute;left:0;text-align:left;margin-left:0;margin-top:0;width:106.55pt;height:53.4pt;z-index:25166233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" filled="f" stroked="f">
              <v:textbox style="mso-fit-shape-to-text:t" inset="0,0,0,15pt">
                <w:txbxContent>
                  <w:p w14:paraId="50A7CCA5" w14:textId="5062C31C" w:rsidR="004F0F09" w:rsidRPr="004F0F09" w:rsidRDefault="004F0F09" w:rsidP="004F0F09">
                    <w:pPr>
                      <w:spacing w:after="0"/>
                      <w:rPr>
                        <w:rFonts w:ascii="Calibri" w:eastAsia="Calibri" w:hAnsi="Calibri" w:cs="Calibri"/>
                        <w:noProof/>
                        <w:color w:val="000000"/>
                        <w:sz w:val="20"/>
                        <w:szCs w:val="20"/>
                      </w:rPr>
                    </w:pPr>
                    <w:r w:rsidRPr="004F0F09">
                      <w:rPr>
                        <w:rFonts w:ascii="Calibri" w:eastAsia="Calibri" w:hAnsi="Calibri" w:cs="Calibri"/>
                        <w:noProof/>
                        <w:color w:val="000000"/>
                        <w:sz w:val="20"/>
                        <w:szCs w:val="20"/>
                      </w:rPr>
                      <w:t>DEWA-Confidential</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151A32" w14:textId="05EBEF7C" w:rsidR="0045485B" w:rsidRDefault="0045485B">
    <w:pPr>
      <w:pStyle w:val="Footer"/>
      <w:jc w:val="center"/>
    </w:pPr>
  </w:p>
  <w:p w14:paraId="789AC428" w14:textId="77777777" w:rsidR="0045485B" w:rsidRDefault="0045485B">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6AB3A5" w14:textId="05480604" w:rsidR="004F0F09" w:rsidRDefault="004F0F09">
    <w:pPr>
      <w:pStyle w:val="Footer"/>
    </w:pPr>
    <w:r>
      <w:rPr>
        <w:noProof/>
      </w:rPr>
      <mc:AlternateContent>
        <mc:Choice Requires="wps">
          <w:drawing>
            <wp:anchor distT="0" distB="0" distL="0" distR="0" simplePos="0" relativeHeight="251661312" behindDoc="0" locked="0" layoutInCell="1" allowOverlap="1" wp14:anchorId="371B75FC" wp14:editId="038DF456">
              <wp:simplePos x="635" y="635"/>
              <wp:positionH relativeFrom="page">
                <wp:align>center</wp:align>
              </wp:positionH>
              <wp:positionV relativeFrom="page">
                <wp:align>bottom</wp:align>
              </wp:positionV>
              <wp:extent cx="1353185" cy="678180"/>
              <wp:effectExtent l="0" t="0" r="18415" b="0"/>
              <wp:wrapNone/>
              <wp:docPr id="1182038730" name="Text Box 5" descr="DEWA-Confident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353185" cy="678180"/>
                      </a:xfrm>
                      <a:prstGeom prst="rect">
                        <a:avLst/>
                      </a:prstGeom>
                      <a:noFill/>
                      <a:ln>
                        <a:noFill/>
                      </a:ln>
                    </wps:spPr>
                    <wps:txbx>
                      <w:txbxContent>
                        <w:p w14:paraId="023DE4DF" w14:textId="1B81E6A7" w:rsidR="004F0F09" w:rsidRPr="004F0F09" w:rsidRDefault="004F0F09" w:rsidP="004F0F09">
                          <w:pPr>
                            <w:spacing w:after="0"/>
                            <w:rPr>
                              <w:rFonts w:ascii="Calibri" w:eastAsia="Calibri" w:hAnsi="Calibri" w:cs="Calibri"/>
                              <w:noProof/>
                              <w:color w:val="000000"/>
                              <w:sz w:val="20"/>
                              <w:szCs w:val="20"/>
                            </w:rPr>
                          </w:pPr>
                          <w:r w:rsidRPr="004F0F09">
                            <w:rPr>
                              <w:rFonts w:ascii="Calibri" w:eastAsia="Calibri" w:hAnsi="Calibri" w:cs="Calibri"/>
                              <w:noProof/>
                              <w:color w:val="000000"/>
                              <w:sz w:val="20"/>
                              <w:szCs w:val="20"/>
                            </w:rPr>
                            <w:t>DEWA-Confidential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371B75FC" id="_x0000_t202" coordsize="21600,21600" o:spt="202" path="m,l,21600r21600,l21600,xe">
              <v:stroke joinstyle="miter"/>
              <v:path gradientshapeok="t" o:connecttype="rect"/>
            </v:shapetype>
            <v:shape id="Text Box 5" o:spid="_x0000_s1029" type="#_x0000_t202" alt="DEWA-Confidential" style="position:absolute;left:0;text-align:left;margin-left:0;margin-top:0;width:106.55pt;height:53.4pt;z-index:25166131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" filled="f" stroked="f">
              <v:textbox style="mso-fit-shape-to-text:t" inset="0,0,0,15pt">
                <w:txbxContent>
                  <w:p w14:paraId="023DE4DF" w14:textId="1B81E6A7" w:rsidR="004F0F09" w:rsidRPr="004F0F09" w:rsidRDefault="004F0F09" w:rsidP="004F0F09">
                    <w:pPr>
                      <w:spacing w:after="0"/>
                      <w:rPr>
                        <w:rFonts w:ascii="Calibri" w:eastAsia="Calibri" w:hAnsi="Calibri" w:cs="Calibri"/>
                        <w:noProof/>
                        <w:color w:val="000000"/>
                        <w:sz w:val="20"/>
                        <w:szCs w:val="20"/>
                      </w:rPr>
                    </w:pPr>
                    <w:r w:rsidRPr="004F0F09">
                      <w:rPr>
                        <w:rFonts w:ascii="Calibri" w:eastAsia="Calibri" w:hAnsi="Calibri" w:cs="Calibri"/>
                        <w:noProof/>
                        <w:color w:val="000000"/>
                        <w:sz w:val="20"/>
                        <w:szCs w:val="20"/>
                      </w:rPr>
                      <w:t>DEWA-Confidential</w:t>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8F1924" w14:textId="0B5DD2E5" w:rsidR="004F0F09" w:rsidRDefault="004F0F09">
    <w:pPr>
      <w:pStyle w:val="Footer"/>
    </w:pPr>
    <w:r>
      <w:rPr>
        <w:noProof/>
      </w:rPr>
      <mc:AlternateContent>
        <mc:Choice Requires="wps">
          <w:drawing>
            <wp:anchor distT="0" distB="0" distL="0" distR="0" simplePos="0" relativeHeight="251665408" behindDoc="0" locked="0" layoutInCell="1" allowOverlap="1" wp14:anchorId="29704A9F" wp14:editId="241319A5">
              <wp:simplePos x="635" y="635"/>
              <wp:positionH relativeFrom="page">
                <wp:align>center</wp:align>
              </wp:positionH>
              <wp:positionV relativeFrom="page">
                <wp:align>bottom</wp:align>
              </wp:positionV>
              <wp:extent cx="1353185" cy="678180"/>
              <wp:effectExtent l="0" t="0" r="18415" b="0"/>
              <wp:wrapNone/>
              <wp:docPr id="1053054384" name="Text Box 9" descr="DEWA-Confident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353185" cy="678180"/>
                      </a:xfrm>
                      <a:prstGeom prst="rect">
                        <a:avLst/>
                      </a:prstGeom>
                      <a:noFill/>
                      <a:ln>
                        <a:noFill/>
                      </a:ln>
                    </wps:spPr>
                    <wps:txbx>
                      <w:txbxContent>
                        <w:p w14:paraId="0BAC71FE" w14:textId="719DE760" w:rsidR="004F0F09" w:rsidRPr="004F0F09" w:rsidRDefault="004F0F09" w:rsidP="004F0F09">
                          <w:pPr>
                            <w:spacing w:after="0"/>
                            <w:rPr>
                              <w:rFonts w:ascii="Calibri" w:eastAsia="Calibri" w:hAnsi="Calibri" w:cs="Calibri"/>
                              <w:noProof/>
                              <w:color w:val="000000"/>
                              <w:sz w:val="20"/>
                              <w:szCs w:val="20"/>
                            </w:rPr>
                          </w:pPr>
                          <w:r w:rsidRPr="004F0F09">
                            <w:rPr>
                              <w:rFonts w:ascii="Calibri" w:eastAsia="Calibri" w:hAnsi="Calibri" w:cs="Calibri"/>
                              <w:noProof/>
                              <w:color w:val="000000"/>
                              <w:sz w:val="20"/>
                              <w:szCs w:val="20"/>
                            </w:rPr>
                            <w:t>DEWA-Confidential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9704A9F" id="_x0000_t202" coordsize="21600,21600" o:spt="202" path="m,l,21600r21600,l21600,xe">
              <v:stroke joinstyle="miter"/>
              <v:path gradientshapeok="t" o:connecttype="rect"/>
            </v:shapetype>
            <v:shape id="Text Box 9" o:spid="_x0000_s1030" type="#_x0000_t202" alt="DEWA-Confidential" style="position:absolute;left:0;text-align:left;margin-left:0;margin-top:0;width:106.55pt;height:53.4pt;z-index:25166540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" filled="f" stroked="f">
              <v:textbox style="mso-fit-shape-to-text:t" inset="0,0,0,15pt">
                <w:txbxContent>
                  <w:p w14:paraId="0BAC71FE" w14:textId="719DE760" w:rsidR="004F0F09" w:rsidRPr="004F0F09" w:rsidRDefault="004F0F09" w:rsidP="004F0F09">
                    <w:pPr>
                      <w:spacing w:after="0"/>
                      <w:rPr>
                        <w:rFonts w:ascii="Calibri" w:eastAsia="Calibri" w:hAnsi="Calibri" w:cs="Calibri"/>
                        <w:noProof/>
                        <w:color w:val="000000"/>
                        <w:sz w:val="20"/>
                        <w:szCs w:val="20"/>
                      </w:rPr>
                    </w:pPr>
                    <w:r w:rsidRPr="004F0F09">
                      <w:rPr>
                        <w:rFonts w:ascii="Calibri" w:eastAsia="Calibri" w:hAnsi="Calibri" w:cs="Calibri"/>
                        <w:noProof/>
                        <w:color w:val="000000"/>
                        <w:sz w:val="20"/>
                        <w:szCs w:val="20"/>
                      </w:rPr>
                      <w:t>DEWA-Confidential</w:t>
                    </w:r>
                  </w:p>
                </w:txbxContent>
              </v:textbox>
              <w10:wrap anchorx="page" anchory="page"/>
            </v:shape>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8D10F9" w14:textId="6CF205C7" w:rsidR="0045485B" w:rsidRDefault="0045485B">
    <w:pPr>
      <w:pStyle w:val="Footer"/>
      <w:jc w:val="center"/>
    </w:pPr>
  </w:p>
  <w:p w14:paraId="51D0DA13" w14:textId="77777777" w:rsidR="0045485B" w:rsidRDefault="0045485B">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8E6B25" w14:textId="410465BA" w:rsidR="004F0F09" w:rsidRDefault="004F0F09">
    <w:pPr>
      <w:pStyle w:val="Footer"/>
    </w:pPr>
    <w:r>
      <w:rPr>
        <w:noProof/>
      </w:rPr>
      <mc:AlternateContent>
        <mc:Choice Requires="wps">
          <w:drawing>
            <wp:anchor distT="0" distB="0" distL="0" distR="0" simplePos="0" relativeHeight="251664384" behindDoc="0" locked="0" layoutInCell="1" allowOverlap="1" wp14:anchorId="60BF54C1" wp14:editId="4028F7A6">
              <wp:simplePos x="635" y="635"/>
              <wp:positionH relativeFrom="page">
                <wp:align>center</wp:align>
              </wp:positionH>
              <wp:positionV relativeFrom="page">
                <wp:align>bottom</wp:align>
              </wp:positionV>
              <wp:extent cx="1353185" cy="678180"/>
              <wp:effectExtent l="0" t="0" r="18415" b="0"/>
              <wp:wrapNone/>
              <wp:docPr id="647593930" name="Text Box 8" descr="DEWA-Confident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353185" cy="678180"/>
                      </a:xfrm>
                      <a:prstGeom prst="rect">
                        <a:avLst/>
                      </a:prstGeom>
                      <a:noFill/>
                      <a:ln>
                        <a:noFill/>
                      </a:ln>
                    </wps:spPr>
                    <wps:txbx>
                      <w:txbxContent>
                        <w:p w14:paraId="2C70CD0E" w14:textId="7E774BC7" w:rsidR="004F0F09" w:rsidRPr="004F0F09" w:rsidRDefault="004F0F09" w:rsidP="004F0F09">
                          <w:pPr>
                            <w:spacing w:after="0"/>
                            <w:rPr>
                              <w:rFonts w:ascii="Calibri" w:eastAsia="Calibri" w:hAnsi="Calibri" w:cs="Calibri"/>
                              <w:noProof/>
                              <w:color w:val="000000"/>
                              <w:sz w:val="20"/>
                              <w:szCs w:val="20"/>
                            </w:rPr>
                          </w:pPr>
                          <w:r w:rsidRPr="004F0F09">
                            <w:rPr>
                              <w:rFonts w:ascii="Calibri" w:eastAsia="Calibri" w:hAnsi="Calibri" w:cs="Calibri"/>
                              <w:noProof/>
                              <w:color w:val="000000"/>
                              <w:sz w:val="20"/>
                              <w:szCs w:val="20"/>
                            </w:rPr>
                            <w:t>DEWA-Confidential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0BF54C1" id="_x0000_t202" coordsize="21600,21600" o:spt="202" path="m,l,21600r21600,l21600,xe">
              <v:stroke joinstyle="miter"/>
              <v:path gradientshapeok="t" o:connecttype="rect"/>
            </v:shapetype>
            <v:shape id="Text Box 8" o:spid="_x0000_s1031" type="#_x0000_t202" alt="DEWA-Confidential" style="position:absolute;left:0;text-align:left;margin-left:0;margin-top:0;width:106.55pt;height:53.4pt;z-index:25166438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" filled="f" stroked="f">
              <v:textbox style="mso-fit-shape-to-text:t" inset="0,0,0,15pt">
                <w:txbxContent>
                  <w:p w14:paraId="2C70CD0E" w14:textId="7E774BC7" w:rsidR="004F0F09" w:rsidRPr="004F0F09" w:rsidRDefault="004F0F09" w:rsidP="004F0F09">
                    <w:pPr>
                      <w:spacing w:after="0"/>
                      <w:rPr>
                        <w:rFonts w:ascii="Calibri" w:eastAsia="Calibri" w:hAnsi="Calibri" w:cs="Calibri"/>
                        <w:noProof/>
                        <w:color w:val="000000"/>
                        <w:sz w:val="20"/>
                        <w:szCs w:val="20"/>
                      </w:rPr>
                    </w:pPr>
                    <w:r w:rsidRPr="004F0F09">
                      <w:rPr>
                        <w:rFonts w:ascii="Calibri" w:eastAsia="Calibri" w:hAnsi="Calibri" w:cs="Calibri"/>
                        <w:noProof/>
                        <w:color w:val="000000"/>
                        <w:sz w:val="20"/>
                        <w:szCs w:val="20"/>
                      </w:rPr>
                      <w:t>DEWA-Confidential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36F294" w14:textId="77777777" w:rsidR="00187DDA" w:rsidRDefault="00187DDA" w:rsidP="00A066C8">
      <w:pPr>
        <w:spacing w:before="0" w:after="0" w:line="240" w:lineRule="auto"/>
      </w:pPr>
      <w:r>
        <w:separator/>
      </w:r>
    </w:p>
  </w:footnote>
  <w:footnote w:type="continuationSeparator" w:id="0">
    <w:p w14:paraId="20113DD3" w14:textId="77777777" w:rsidR="00187DDA" w:rsidRDefault="00187DDA" w:rsidP="00A066C8">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59361859"/>
      <w:docPartObj>
        <w:docPartGallery w:val="Page Numbers (Top of Page)"/>
        <w:docPartUnique/>
      </w:docPartObj>
    </w:sdtPr>
    <w:sdtEndPr>
      <w:rPr>
        <w:noProof/>
      </w:rPr>
    </w:sdtEndPr>
    <w:sdtContent>
      <w:p w14:paraId="4A03C100" w14:textId="77777777" w:rsidR="0045485B" w:rsidRDefault="0045485B">
        <w:pPr>
          <w:pStyle w:val="Header"/>
          <w:jc w:val="right"/>
        </w:pPr>
        <w:r>
          <w:fldChar w:fldCharType="begin"/>
        </w:r>
        <w:r>
          <w:instrText xml:space="preserve"> PAGE   \* MERGEFORMAT </w:instrText>
        </w:r>
        <w:r>
          <w:fldChar w:fldCharType="separate"/>
        </w:r>
        <w:r w:rsidR="007B5A06">
          <w:rPr>
            <w:noProof/>
          </w:rPr>
          <w:t>iv</w:t>
        </w:r>
        <w:r>
          <w:rPr>
            <w:noProof/>
          </w:rPr>
          <w:fldChar w:fldCharType="end"/>
        </w:r>
      </w:p>
    </w:sdtContent>
  </w:sdt>
  <w:p w14:paraId="0D0FF053" w14:textId="77777777" w:rsidR="0045485B" w:rsidRDefault="0045485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08692247"/>
      <w:docPartObj>
        <w:docPartGallery w:val="Page Numbers (Top of Page)"/>
        <w:docPartUnique/>
      </w:docPartObj>
    </w:sdtPr>
    <w:sdtEndPr>
      <w:rPr>
        <w:noProof/>
      </w:rPr>
    </w:sdtEndPr>
    <w:sdtContent>
      <w:p w14:paraId="70CAA12F" w14:textId="77777777" w:rsidR="0045485B" w:rsidRDefault="0045485B">
        <w:pPr>
          <w:pStyle w:val="Header"/>
          <w:jc w:val="right"/>
        </w:pPr>
        <w:r>
          <w:fldChar w:fldCharType="begin"/>
        </w:r>
        <w:r>
          <w:instrText xml:space="preserve"> PAGE   \* MERGEFORMAT </w:instrText>
        </w:r>
        <w:r>
          <w:fldChar w:fldCharType="separate"/>
        </w:r>
        <w:r w:rsidR="007B5A06">
          <w:rPr>
            <w:noProof/>
          </w:rPr>
          <w:t>3</w:t>
        </w:r>
        <w:r>
          <w:rPr>
            <w:noProof/>
          </w:rPr>
          <w:fldChar w:fldCharType="end"/>
        </w:r>
      </w:p>
    </w:sdtContent>
  </w:sdt>
  <w:p w14:paraId="289685CE" w14:textId="77777777" w:rsidR="0045485B" w:rsidRDefault="0045485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433361"/>
    <w:multiLevelType w:val="hybridMultilevel"/>
    <w:tmpl w:val="A4C8FCB6"/>
    <w:lvl w:ilvl="0" w:tplc="80EC70FC">
      <w:start w:val="1"/>
      <w:numFmt w:val="decimal"/>
      <w:pStyle w:val="Heading1"/>
      <w:suff w:val="space"/>
      <w:lvlText w:val="Chapter %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12532922"/>
    <w:multiLevelType w:val="hybridMultilevel"/>
    <w:tmpl w:val="67744AA0"/>
    <w:lvl w:ilvl="0" w:tplc="3E22F76C">
      <w:start w:val="1"/>
      <w:numFmt w:val="decimal"/>
      <w:lvlText w:val="%1."/>
      <w:lvlJc w:val="left"/>
      <w:pPr>
        <w:ind w:left="720" w:hanging="360"/>
      </w:pPr>
      <w:rPr>
        <w:b w:val="0"/>
        <w:bCs w:val="0"/>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2" w15:restartNumberingAfterBreak="0">
    <w:nsid w:val="5B175D10"/>
    <w:multiLevelType w:val="hybridMultilevel"/>
    <w:tmpl w:val="FAB23132"/>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 w15:restartNumberingAfterBreak="0">
    <w:nsid w:val="7738779A"/>
    <w:multiLevelType w:val="multilevel"/>
    <w:tmpl w:val="C532AF50"/>
    <w:styleLink w:val="headings"/>
    <w:lvl w:ilvl="0">
      <w:start w:val="1"/>
      <w:numFmt w:val="decimal"/>
      <w:pStyle w:val="heading10"/>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pStyle w:val="Heading3"/>
      <w:lvlText w:val="%1.%2.%3"/>
      <w:lvlJc w:val="left"/>
      <w:pPr>
        <w:tabs>
          <w:tab w:val="num" w:pos="851"/>
        </w:tabs>
        <w:ind w:left="851" w:hanging="851"/>
      </w:pPr>
      <w:rPr>
        <w:rFonts w:hint="default"/>
      </w:rPr>
    </w:lvl>
    <w:lvl w:ilvl="3">
      <w:start w:val="1"/>
      <w:numFmt w:val="decimal"/>
      <w:lvlText w:val="%1.%2.%3.%4"/>
      <w:lvlJc w:val="left"/>
      <w:pPr>
        <w:tabs>
          <w:tab w:val="num" w:pos="851"/>
        </w:tabs>
        <w:ind w:left="851" w:hanging="851"/>
      </w:pPr>
      <w:rPr>
        <w:rFonts w:hint="default"/>
      </w:rPr>
    </w:lvl>
    <w:lvl w:ilvl="4">
      <w:start w:val="1"/>
      <w:numFmt w:val="decimal"/>
      <w:lvlText w:val="%1.%2.%3.%4.%5"/>
      <w:lvlJc w:val="left"/>
      <w:pPr>
        <w:tabs>
          <w:tab w:val="num" w:pos="964"/>
        </w:tabs>
        <w:ind w:left="964" w:hanging="964"/>
      </w:pPr>
      <w:rPr>
        <w:rFonts w:ascii="Times New Roman" w:hAnsi="Times New Roman" w:hint="default"/>
        <w:b w:val="0"/>
        <w:i/>
        <w:sz w:val="20"/>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16cid:durableId="1297297231">
    <w:abstractNumId w:val="3"/>
  </w:num>
  <w:num w:numId="2" w16cid:durableId="1376347151">
    <w:abstractNumId w:val="2"/>
  </w:num>
  <w:num w:numId="3" w16cid:durableId="1198198637">
    <w:abstractNumId w:val="1"/>
  </w:num>
  <w:num w:numId="4" w16cid:durableId="309553385">
    <w:abstractNumId w:val="0"/>
  </w:num>
  <w:num w:numId="5" w16cid:durableId="1603679819">
    <w:abstractNumId w:val="3"/>
    <w:lvlOverride w:ilvl="0">
      <w:startOverride w:val="3"/>
    </w:lvlOverride>
    <w:lvlOverride w:ilvl="1">
      <w:startOverride w:val="1"/>
    </w:lvlOverride>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MbI0MTIwNrI0MDAxNrdU0lEKTi0uzszPAymwrAUAHz01vSwAAAA="/>
  </w:docVars>
  <w:rsids>
    <w:rsidRoot w:val="007B6EE3"/>
    <w:rsid w:val="00000DA6"/>
    <w:rsid w:val="000035B4"/>
    <w:rsid w:val="00004EBA"/>
    <w:rsid w:val="00007936"/>
    <w:rsid w:val="00010C6F"/>
    <w:rsid w:val="00013B33"/>
    <w:rsid w:val="0001477E"/>
    <w:rsid w:val="00015619"/>
    <w:rsid w:val="000303E7"/>
    <w:rsid w:val="00035878"/>
    <w:rsid w:val="00036943"/>
    <w:rsid w:val="00037A85"/>
    <w:rsid w:val="00040A3C"/>
    <w:rsid w:val="00041406"/>
    <w:rsid w:val="00043549"/>
    <w:rsid w:val="00043F5E"/>
    <w:rsid w:val="000471FB"/>
    <w:rsid w:val="000505B8"/>
    <w:rsid w:val="00055399"/>
    <w:rsid w:val="00055C09"/>
    <w:rsid w:val="0005616E"/>
    <w:rsid w:val="0006080E"/>
    <w:rsid w:val="00060D63"/>
    <w:rsid w:val="00061A53"/>
    <w:rsid w:val="00061A54"/>
    <w:rsid w:val="00064A5E"/>
    <w:rsid w:val="000654B9"/>
    <w:rsid w:val="000677A9"/>
    <w:rsid w:val="000679B1"/>
    <w:rsid w:val="00067F6E"/>
    <w:rsid w:val="00073730"/>
    <w:rsid w:val="00073AE5"/>
    <w:rsid w:val="00074A91"/>
    <w:rsid w:val="0008001B"/>
    <w:rsid w:val="000857D8"/>
    <w:rsid w:val="00086265"/>
    <w:rsid w:val="0008742C"/>
    <w:rsid w:val="00092AF1"/>
    <w:rsid w:val="00096218"/>
    <w:rsid w:val="00097CC1"/>
    <w:rsid w:val="000A1D76"/>
    <w:rsid w:val="000A291B"/>
    <w:rsid w:val="000A29BF"/>
    <w:rsid w:val="000A3A82"/>
    <w:rsid w:val="000A3CA2"/>
    <w:rsid w:val="000A4803"/>
    <w:rsid w:val="000B12D2"/>
    <w:rsid w:val="000B31D7"/>
    <w:rsid w:val="000C3184"/>
    <w:rsid w:val="000C3960"/>
    <w:rsid w:val="000C6746"/>
    <w:rsid w:val="000C7AE7"/>
    <w:rsid w:val="000D2600"/>
    <w:rsid w:val="000D2CC4"/>
    <w:rsid w:val="000D3015"/>
    <w:rsid w:val="000D389E"/>
    <w:rsid w:val="000D79D4"/>
    <w:rsid w:val="000E35BE"/>
    <w:rsid w:val="000E6C2D"/>
    <w:rsid w:val="000E77EC"/>
    <w:rsid w:val="000F0425"/>
    <w:rsid w:val="000F08AE"/>
    <w:rsid w:val="000F08E4"/>
    <w:rsid w:val="000F124A"/>
    <w:rsid w:val="001012B0"/>
    <w:rsid w:val="00104CC4"/>
    <w:rsid w:val="00106FE5"/>
    <w:rsid w:val="00111B50"/>
    <w:rsid w:val="00112A97"/>
    <w:rsid w:val="00114FCD"/>
    <w:rsid w:val="00116B7B"/>
    <w:rsid w:val="001241B2"/>
    <w:rsid w:val="00127FE5"/>
    <w:rsid w:val="00132E22"/>
    <w:rsid w:val="001339FF"/>
    <w:rsid w:val="0013410B"/>
    <w:rsid w:val="00134556"/>
    <w:rsid w:val="00134F3A"/>
    <w:rsid w:val="00140D35"/>
    <w:rsid w:val="00141E2C"/>
    <w:rsid w:val="00142671"/>
    <w:rsid w:val="00142C74"/>
    <w:rsid w:val="0014317F"/>
    <w:rsid w:val="00144CDD"/>
    <w:rsid w:val="001468EC"/>
    <w:rsid w:val="001555C4"/>
    <w:rsid w:val="001624A4"/>
    <w:rsid w:val="00163100"/>
    <w:rsid w:val="00165A3C"/>
    <w:rsid w:val="0016612B"/>
    <w:rsid w:val="001673F0"/>
    <w:rsid w:val="00170A80"/>
    <w:rsid w:val="001714F8"/>
    <w:rsid w:val="00171797"/>
    <w:rsid w:val="00171981"/>
    <w:rsid w:val="00175A70"/>
    <w:rsid w:val="00177D49"/>
    <w:rsid w:val="00180061"/>
    <w:rsid w:val="00180978"/>
    <w:rsid w:val="00185FAD"/>
    <w:rsid w:val="00186585"/>
    <w:rsid w:val="00187B1E"/>
    <w:rsid w:val="00187B22"/>
    <w:rsid w:val="00187DDA"/>
    <w:rsid w:val="00190EEA"/>
    <w:rsid w:val="00195AA0"/>
    <w:rsid w:val="00195E78"/>
    <w:rsid w:val="001A1ACC"/>
    <w:rsid w:val="001A3CDE"/>
    <w:rsid w:val="001A442A"/>
    <w:rsid w:val="001B3821"/>
    <w:rsid w:val="001B4B0C"/>
    <w:rsid w:val="001C0E31"/>
    <w:rsid w:val="001C1C8A"/>
    <w:rsid w:val="001D0326"/>
    <w:rsid w:val="001D20D2"/>
    <w:rsid w:val="001D5058"/>
    <w:rsid w:val="001D53CA"/>
    <w:rsid w:val="001D7949"/>
    <w:rsid w:val="001E00D0"/>
    <w:rsid w:val="001E1F08"/>
    <w:rsid w:val="001E2322"/>
    <w:rsid w:val="001E5D53"/>
    <w:rsid w:val="001E65A9"/>
    <w:rsid w:val="001F1EFB"/>
    <w:rsid w:val="001F3E8E"/>
    <w:rsid w:val="001F6675"/>
    <w:rsid w:val="001F67F4"/>
    <w:rsid w:val="001F6D61"/>
    <w:rsid w:val="001F74E9"/>
    <w:rsid w:val="001F789F"/>
    <w:rsid w:val="00201763"/>
    <w:rsid w:val="00201C75"/>
    <w:rsid w:val="002030B3"/>
    <w:rsid w:val="0020366A"/>
    <w:rsid w:val="00203CC6"/>
    <w:rsid w:val="002041DE"/>
    <w:rsid w:val="00204BDD"/>
    <w:rsid w:val="00207E48"/>
    <w:rsid w:val="0021023C"/>
    <w:rsid w:val="00210E8E"/>
    <w:rsid w:val="00211447"/>
    <w:rsid w:val="00211CDB"/>
    <w:rsid w:val="00213D36"/>
    <w:rsid w:val="00214000"/>
    <w:rsid w:val="00214058"/>
    <w:rsid w:val="00216446"/>
    <w:rsid w:val="0021688C"/>
    <w:rsid w:val="00216DD8"/>
    <w:rsid w:val="002172CF"/>
    <w:rsid w:val="0021752B"/>
    <w:rsid w:val="00220010"/>
    <w:rsid w:val="00220B0F"/>
    <w:rsid w:val="00225DE6"/>
    <w:rsid w:val="002279D5"/>
    <w:rsid w:val="00227F69"/>
    <w:rsid w:val="0023222C"/>
    <w:rsid w:val="002330C7"/>
    <w:rsid w:val="002366EE"/>
    <w:rsid w:val="00237917"/>
    <w:rsid w:val="00237CED"/>
    <w:rsid w:val="00242B57"/>
    <w:rsid w:val="00243902"/>
    <w:rsid w:val="00245426"/>
    <w:rsid w:val="00245947"/>
    <w:rsid w:val="00245A4B"/>
    <w:rsid w:val="0025085B"/>
    <w:rsid w:val="00252671"/>
    <w:rsid w:val="00261013"/>
    <w:rsid w:val="00264424"/>
    <w:rsid w:val="00270EA3"/>
    <w:rsid w:val="00271B01"/>
    <w:rsid w:val="002735E1"/>
    <w:rsid w:val="00273C73"/>
    <w:rsid w:val="00274898"/>
    <w:rsid w:val="002771F0"/>
    <w:rsid w:val="002819FD"/>
    <w:rsid w:val="00282E8D"/>
    <w:rsid w:val="00285AAB"/>
    <w:rsid w:val="00287118"/>
    <w:rsid w:val="00287444"/>
    <w:rsid w:val="002904D9"/>
    <w:rsid w:val="002909DF"/>
    <w:rsid w:val="0029578D"/>
    <w:rsid w:val="002978CE"/>
    <w:rsid w:val="002A00A4"/>
    <w:rsid w:val="002A1828"/>
    <w:rsid w:val="002A3B4D"/>
    <w:rsid w:val="002A4FAE"/>
    <w:rsid w:val="002B1A0E"/>
    <w:rsid w:val="002B3B5A"/>
    <w:rsid w:val="002B4251"/>
    <w:rsid w:val="002B4BCF"/>
    <w:rsid w:val="002B7329"/>
    <w:rsid w:val="002B7B2F"/>
    <w:rsid w:val="002C32F5"/>
    <w:rsid w:val="002C4982"/>
    <w:rsid w:val="002C77C5"/>
    <w:rsid w:val="002D1447"/>
    <w:rsid w:val="002D3245"/>
    <w:rsid w:val="002D3419"/>
    <w:rsid w:val="002D45CB"/>
    <w:rsid w:val="002D4B1E"/>
    <w:rsid w:val="002D5316"/>
    <w:rsid w:val="002D6753"/>
    <w:rsid w:val="002D72E8"/>
    <w:rsid w:val="002E077D"/>
    <w:rsid w:val="002E0EE2"/>
    <w:rsid w:val="002E1E86"/>
    <w:rsid w:val="002E6BA7"/>
    <w:rsid w:val="002F1E44"/>
    <w:rsid w:val="002F6BDF"/>
    <w:rsid w:val="002F7610"/>
    <w:rsid w:val="002F7C5B"/>
    <w:rsid w:val="00303659"/>
    <w:rsid w:val="0030447D"/>
    <w:rsid w:val="00313525"/>
    <w:rsid w:val="003148AD"/>
    <w:rsid w:val="00315C69"/>
    <w:rsid w:val="00316360"/>
    <w:rsid w:val="00317559"/>
    <w:rsid w:val="00317AFE"/>
    <w:rsid w:val="00320454"/>
    <w:rsid w:val="003231DD"/>
    <w:rsid w:val="00324379"/>
    <w:rsid w:val="003266FE"/>
    <w:rsid w:val="003267D4"/>
    <w:rsid w:val="00327798"/>
    <w:rsid w:val="003301FD"/>
    <w:rsid w:val="00331C18"/>
    <w:rsid w:val="00334E8C"/>
    <w:rsid w:val="0033528A"/>
    <w:rsid w:val="00335435"/>
    <w:rsid w:val="00335AA4"/>
    <w:rsid w:val="00336E4A"/>
    <w:rsid w:val="003405C4"/>
    <w:rsid w:val="00340C43"/>
    <w:rsid w:val="00343A9E"/>
    <w:rsid w:val="00344470"/>
    <w:rsid w:val="00344B86"/>
    <w:rsid w:val="00346AA6"/>
    <w:rsid w:val="003476BC"/>
    <w:rsid w:val="00347731"/>
    <w:rsid w:val="00351368"/>
    <w:rsid w:val="00355B80"/>
    <w:rsid w:val="00355C08"/>
    <w:rsid w:val="00356545"/>
    <w:rsid w:val="00357E6A"/>
    <w:rsid w:val="003632E8"/>
    <w:rsid w:val="00363C81"/>
    <w:rsid w:val="003642BB"/>
    <w:rsid w:val="00366025"/>
    <w:rsid w:val="00370F2C"/>
    <w:rsid w:val="00375272"/>
    <w:rsid w:val="0037595F"/>
    <w:rsid w:val="003759D1"/>
    <w:rsid w:val="00383C44"/>
    <w:rsid w:val="00385304"/>
    <w:rsid w:val="00387FC4"/>
    <w:rsid w:val="00396676"/>
    <w:rsid w:val="003A2127"/>
    <w:rsid w:val="003A268E"/>
    <w:rsid w:val="003A2E74"/>
    <w:rsid w:val="003A7565"/>
    <w:rsid w:val="003A7DD3"/>
    <w:rsid w:val="003B1BCC"/>
    <w:rsid w:val="003C14EA"/>
    <w:rsid w:val="003D055A"/>
    <w:rsid w:val="003D2414"/>
    <w:rsid w:val="003D3A0B"/>
    <w:rsid w:val="003D4096"/>
    <w:rsid w:val="003D536B"/>
    <w:rsid w:val="003D6426"/>
    <w:rsid w:val="003D6D22"/>
    <w:rsid w:val="003E0CF5"/>
    <w:rsid w:val="003E2F66"/>
    <w:rsid w:val="003E4D6A"/>
    <w:rsid w:val="003F0581"/>
    <w:rsid w:val="003F171C"/>
    <w:rsid w:val="003F3A47"/>
    <w:rsid w:val="003F5B1B"/>
    <w:rsid w:val="003F6583"/>
    <w:rsid w:val="00401291"/>
    <w:rsid w:val="004032AF"/>
    <w:rsid w:val="00406DED"/>
    <w:rsid w:val="0041364A"/>
    <w:rsid w:val="00414B26"/>
    <w:rsid w:val="004162FF"/>
    <w:rsid w:val="004207D2"/>
    <w:rsid w:val="00420B51"/>
    <w:rsid w:val="00420E2B"/>
    <w:rsid w:val="00420E9F"/>
    <w:rsid w:val="00420F0E"/>
    <w:rsid w:val="00423F3B"/>
    <w:rsid w:val="00425103"/>
    <w:rsid w:val="0043544E"/>
    <w:rsid w:val="0044090B"/>
    <w:rsid w:val="00440ECB"/>
    <w:rsid w:val="004429B8"/>
    <w:rsid w:val="00443AA5"/>
    <w:rsid w:val="00453B6E"/>
    <w:rsid w:val="0045437D"/>
    <w:rsid w:val="0045485B"/>
    <w:rsid w:val="0045507D"/>
    <w:rsid w:val="00455512"/>
    <w:rsid w:val="0045722D"/>
    <w:rsid w:val="0045725C"/>
    <w:rsid w:val="00460BB7"/>
    <w:rsid w:val="00462247"/>
    <w:rsid w:val="004626B6"/>
    <w:rsid w:val="0046469F"/>
    <w:rsid w:val="0046688A"/>
    <w:rsid w:val="00467E13"/>
    <w:rsid w:val="00470804"/>
    <w:rsid w:val="004708DC"/>
    <w:rsid w:val="00472F5B"/>
    <w:rsid w:val="00474B93"/>
    <w:rsid w:val="00476933"/>
    <w:rsid w:val="00481DE6"/>
    <w:rsid w:val="004837D9"/>
    <w:rsid w:val="00483B5D"/>
    <w:rsid w:val="0048402E"/>
    <w:rsid w:val="00484EA9"/>
    <w:rsid w:val="00486F85"/>
    <w:rsid w:val="00492292"/>
    <w:rsid w:val="00493247"/>
    <w:rsid w:val="00496243"/>
    <w:rsid w:val="004A0B2E"/>
    <w:rsid w:val="004A12CD"/>
    <w:rsid w:val="004A176C"/>
    <w:rsid w:val="004A5016"/>
    <w:rsid w:val="004A62DF"/>
    <w:rsid w:val="004A70E3"/>
    <w:rsid w:val="004B093C"/>
    <w:rsid w:val="004B1E42"/>
    <w:rsid w:val="004B2693"/>
    <w:rsid w:val="004B286A"/>
    <w:rsid w:val="004B28C2"/>
    <w:rsid w:val="004B2EB6"/>
    <w:rsid w:val="004B5DD5"/>
    <w:rsid w:val="004B5E54"/>
    <w:rsid w:val="004B72F1"/>
    <w:rsid w:val="004B7ABE"/>
    <w:rsid w:val="004C1CB1"/>
    <w:rsid w:val="004D01CB"/>
    <w:rsid w:val="004D2056"/>
    <w:rsid w:val="004D2685"/>
    <w:rsid w:val="004D58E5"/>
    <w:rsid w:val="004D5E5B"/>
    <w:rsid w:val="004E04EE"/>
    <w:rsid w:val="004E3527"/>
    <w:rsid w:val="004E3A9F"/>
    <w:rsid w:val="004E7211"/>
    <w:rsid w:val="004F0F09"/>
    <w:rsid w:val="004F1936"/>
    <w:rsid w:val="004F22AE"/>
    <w:rsid w:val="004F4278"/>
    <w:rsid w:val="00502A53"/>
    <w:rsid w:val="00502C84"/>
    <w:rsid w:val="00503813"/>
    <w:rsid w:val="00503E37"/>
    <w:rsid w:val="00506AE6"/>
    <w:rsid w:val="00506C54"/>
    <w:rsid w:val="0050761F"/>
    <w:rsid w:val="00507EDF"/>
    <w:rsid w:val="005126F6"/>
    <w:rsid w:val="00512BAB"/>
    <w:rsid w:val="00521208"/>
    <w:rsid w:val="00526B2A"/>
    <w:rsid w:val="00527B51"/>
    <w:rsid w:val="0053333D"/>
    <w:rsid w:val="005339BD"/>
    <w:rsid w:val="0053533C"/>
    <w:rsid w:val="00535D4E"/>
    <w:rsid w:val="00536A9D"/>
    <w:rsid w:val="005408DD"/>
    <w:rsid w:val="00542158"/>
    <w:rsid w:val="00542A52"/>
    <w:rsid w:val="0054317B"/>
    <w:rsid w:val="005441AB"/>
    <w:rsid w:val="00546E53"/>
    <w:rsid w:val="00547ACF"/>
    <w:rsid w:val="005502CD"/>
    <w:rsid w:val="0055371E"/>
    <w:rsid w:val="00572C14"/>
    <w:rsid w:val="0057390E"/>
    <w:rsid w:val="00574E60"/>
    <w:rsid w:val="005765FA"/>
    <w:rsid w:val="00576F8D"/>
    <w:rsid w:val="005773E1"/>
    <w:rsid w:val="00580EFD"/>
    <w:rsid w:val="00582BF7"/>
    <w:rsid w:val="0058573A"/>
    <w:rsid w:val="00590994"/>
    <w:rsid w:val="00593F69"/>
    <w:rsid w:val="00595A43"/>
    <w:rsid w:val="005A12DE"/>
    <w:rsid w:val="005A45E9"/>
    <w:rsid w:val="005A4B10"/>
    <w:rsid w:val="005B204F"/>
    <w:rsid w:val="005B292B"/>
    <w:rsid w:val="005B609B"/>
    <w:rsid w:val="005C1A31"/>
    <w:rsid w:val="005C1C73"/>
    <w:rsid w:val="005C2422"/>
    <w:rsid w:val="005C259F"/>
    <w:rsid w:val="005C2700"/>
    <w:rsid w:val="005C3822"/>
    <w:rsid w:val="005C575E"/>
    <w:rsid w:val="005C5AAF"/>
    <w:rsid w:val="005D12B6"/>
    <w:rsid w:val="005D420D"/>
    <w:rsid w:val="005D4F3F"/>
    <w:rsid w:val="005D6E84"/>
    <w:rsid w:val="005E072A"/>
    <w:rsid w:val="005E15F9"/>
    <w:rsid w:val="005E7F58"/>
    <w:rsid w:val="005F2047"/>
    <w:rsid w:val="005F2BAF"/>
    <w:rsid w:val="005F5664"/>
    <w:rsid w:val="005F5D0B"/>
    <w:rsid w:val="00600608"/>
    <w:rsid w:val="00601ECB"/>
    <w:rsid w:val="00602A13"/>
    <w:rsid w:val="006030DE"/>
    <w:rsid w:val="00604300"/>
    <w:rsid w:val="00606F8F"/>
    <w:rsid w:val="00607C62"/>
    <w:rsid w:val="00612324"/>
    <w:rsid w:val="00613B7E"/>
    <w:rsid w:val="00614B8D"/>
    <w:rsid w:val="00620032"/>
    <w:rsid w:val="006203AC"/>
    <w:rsid w:val="006216E9"/>
    <w:rsid w:val="0062381F"/>
    <w:rsid w:val="006244D9"/>
    <w:rsid w:val="00633240"/>
    <w:rsid w:val="00635770"/>
    <w:rsid w:val="00641AE2"/>
    <w:rsid w:val="00643861"/>
    <w:rsid w:val="0064538D"/>
    <w:rsid w:val="00652237"/>
    <w:rsid w:val="00652F72"/>
    <w:rsid w:val="00662202"/>
    <w:rsid w:val="00662826"/>
    <w:rsid w:val="00662FA3"/>
    <w:rsid w:val="0066353D"/>
    <w:rsid w:val="00671941"/>
    <w:rsid w:val="00672B0D"/>
    <w:rsid w:val="006763B9"/>
    <w:rsid w:val="00676E10"/>
    <w:rsid w:val="00680460"/>
    <w:rsid w:val="00686B76"/>
    <w:rsid w:val="00690923"/>
    <w:rsid w:val="00692DCE"/>
    <w:rsid w:val="00694A13"/>
    <w:rsid w:val="00697E8C"/>
    <w:rsid w:val="006A19D9"/>
    <w:rsid w:val="006A1F1E"/>
    <w:rsid w:val="006A36DC"/>
    <w:rsid w:val="006A39E1"/>
    <w:rsid w:val="006A4C2C"/>
    <w:rsid w:val="006A5FE7"/>
    <w:rsid w:val="006A6331"/>
    <w:rsid w:val="006A6BC8"/>
    <w:rsid w:val="006B62A0"/>
    <w:rsid w:val="006C0267"/>
    <w:rsid w:val="006C045E"/>
    <w:rsid w:val="006C61FA"/>
    <w:rsid w:val="006D2000"/>
    <w:rsid w:val="006D729C"/>
    <w:rsid w:val="006E25CF"/>
    <w:rsid w:val="006E44DB"/>
    <w:rsid w:val="006E5E43"/>
    <w:rsid w:val="006E6D9A"/>
    <w:rsid w:val="006E7B48"/>
    <w:rsid w:val="006F0D0B"/>
    <w:rsid w:val="006F1282"/>
    <w:rsid w:val="006F14D3"/>
    <w:rsid w:val="006F2321"/>
    <w:rsid w:val="006F5657"/>
    <w:rsid w:val="006F6C7C"/>
    <w:rsid w:val="007018A2"/>
    <w:rsid w:val="00702D5E"/>
    <w:rsid w:val="007034DD"/>
    <w:rsid w:val="0070393C"/>
    <w:rsid w:val="0070670F"/>
    <w:rsid w:val="00706F12"/>
    <w:rsid w:val="007070C9"/>
    <w:rsid w:val="00711398"/>
    <w:rsid w:val="00716EE2"/>
    <w:rsid w:val="00720C30"/>
    <w:rsid w:val="00721B56"/>
    <w:rsid w:val="0072317D"/>
    <w:rsid w:val="00724626"/>
    <w:rsid w:val="00730B4F"/>
    <w:rsid w:val="00733B16"/>
    <w:rsid w:val="007400E9"/>
    <w:rsid w:val="00742DE7"/>
    <w:rsid w:val="00743E67"/>
    <w:rsid w:val="0074426A"/>
    <w:rsid w:val="00747658"/>
    <w:rsid w:val="0075330E"/>
    <w:rsid w:val="00756DD1"/>
    <w:rsid w:val="00757A14"/>
    <w:rsid w:val="00760060"/>
    <w:rsid w:val="007609D1"/>
    <w:rsid w:val="00763051"/>
    <w:rsid w:val="00764B15"/>
    <w:rsid w:val="00766FAB"/>
    <w:rsid w:val="007709A7"/>
    <w:rsid w:val="00771BC6"/>
    <w:rsid w:val="00773A2B"/>
    <w:rsid w:val="00773DCC"/>
    <w:rsid w:val="00773F70"/>
    <w:rsid w:val="00775EC3"/>
    <w:rsid w:val="0078115C"/>
    <w:rsid w:val="00782EAE"/>
    <w:rsid w:val="007856E7"/>
    <w:rsid w:val="00785F5E"/>
    <w:rsid w:val="00786C02"/>
    <w:rsid w:val="00786DEB"/>
    <w:rsid w:val="007927B7"/>
    <w:rsid w:val="007938BA"/>
    <w:rsid w:val="00797EAC"/>
    <w:rsid w:val="007A0031"/>
    <w:rsid w:val="007A34E1"/>
    <w:rsid w:val="007A406A"/>
    <w:rsid w:val="007B5A06"/>
    <w:rsid w:val="007B67B2"/>
    <w:rsid w:val="007B6EE3"/>
    <w:rsid w:val="007C0705"/>
    <w:rsid w:val="007C1704"/>
    <w:rsid w:val="007C1AC7"/>
    <w:rsid w:val="007C4728"/>
    <w:rsid w:val="007D04D1"/>
    <w:rsid w:val="007D06AE"/>
    <w:rsid w:val="007D35A5"/>
    <w:rsid w:val="007D4ECF"/>
    <w:rsid w:val="007E1414"/>
    <w:rsid w:val="007E3F43"/>
    <w:rsid w:val="007F095B"/>
    <w:rsid w:val="007F139E"/>
    <w:rsid w:val="007F3213"/>
    <w:rsid w:val="007F3225"/>
    <w:rsid w:val="007F34FC"/>
    <w:rsid w:val="007F4088"/>
    <w:rsid w:val="007F4B00"/>
    <w:rsid w:val="007F5D15"/>
    <w:rsid w:val="007F5DFA"/>
    <w:rsid w:val="007F6ECC"/>
    <w:rsid w:val="007F713A"/>
    <w:rsid w:val="007F741E"/>
    <w:rsid w:val="008017FE"/>
    <w:rsid w:val="00801F8E"/>
    <w:rsid w:val="00803088"/>
    <w:rsid w:val="00803C0A"/>
    <w:rsid w:val="00804DE6"/>
    <w:rsid w:val="00805685"/>
    <w:rsid w:val="00805968"/>
    <w:rsid w:val="008111F3"/>
    <w:rsid w:val="008171F6"/>
    <w:rsid w:val="008176BB"/>
    <w:rsid w:val="00820265"/>
    <w:rsid w:val="00824320"/>
    <w:rsid w:val="00825650"/>
    <w:rsid w:val="00831C87"/>
    <w:rsid w:val="00832FB6"/>
    <w:rsid w:val="00833BA8"/>
    <w:rsid w:val="00834316"/>
    <w:rsid w:val="0083563E"/>
    <w:rsid w:val="00837933"/>
    <w:rsid w:val="00837FDA"/>
    <w:rsid w:val="00840476"/>
    <w:rsid w:val="00841D0B"/>
    <w:rsid w:val="00846372"/>
    <w:rsid w:val="00847079"/>
    <w:rsid w:val="00850003"/>
    <w:rsid w:val="00850A2E"/>
    <w:rsid w:val="00851AA9"/>
    <w:rsid w:val="00854AB3"/>
    <w:rsid w:val="00854E9F"/>
    <w:rsid w:val="00856DD5"/>
    <w:rsid w:val="00863862"/>
    <w:rsid w:val="00864ECA"/>
    <w:rsid w:val="00867871"/>
    <w:rsid w:val="00867F00"/>
    <w:rsid w:val="00871BF1"/>
    <w:rsid w:val="00872723"/>
    <w:rsid w:val="00872755"/>
    <w:rsid w:val="00881BED"/>
    <w:rsid w:val="008847B0"/>
    <w:rsid w:val="00885528"/>
    <w:rsid w:val="008877A6"/>
    <w:rsid w:val="008A74BD"/>
    <w:rsid w:val="008B45C3"/>
    <w:rsid w:val="008B4767"/>
    <w:rsid w:val="008B5533"/>
    <w:rsid w:val="008C2B9E"/>
    <w:rsid w:val="008C3C17"/>
    <w:rsid w:val="008C4B7E"/>
    <w:rsid w:val="008C6F37"/>
    <w:rsid w:val="008D0756"/>
    <w:rsid w:val="008D1A29"/>
    <w:rsid w:val="008D35C5"/>
    <w:rsid w:val="008D4E90"/>
    <w:rsid w:val="008D7CF3"/>
    <w:rsid w:val="008E0A07"/>
    <w:rsid w:val="008E3581"/>
    <w:rsid w:val="008E65A1"/>
    <w:rsid w:val="008F09E2"/>
    <w:rsid w:val="008F44B7"/>
    <w:rsid w:val="008F4CDF"/>
    <w:rsid w:val="008F57F7"/>
    <w:rsid w:val="008F6360"/>
    <w:rsid w:val="008F690A"/>
    <w:rsid w:val="008F7386"/>
    <w:rsid w:val="008F798D"/>
    <w:rsid w:val="00902B07"/>
    <w:rsid w:val="0090378A"/>
    <w:rsid w:val="00904879"/>
    <w:rsid w:val="00905DE4"/>
    <w:rsid w:val="00912AC0"/>
    <w:rsid w:val="00914312"/>
    <w:rsid w:val="00914728"/>
    <w:rsid w:val="00915EBD"/>
    <w:rsid w:val="0092078C"/>
    <w:rsid w:val="00920ED0"/>
    <w:rsid w:val="00922173"/>
    <w:rsid w:val="009230C4"/>
    <w:rsid w:val="009245A7"/>
    <w:rsid w:val="00925912"/>
    <w:rsid w:val="00926569"/>
    <w:rsid w:val="00926971"/>
    <w:rsid w:val="00926AF0"/>
    <w:rsid w:val="00927966"/>
    <w:rsid w:val="00931A0A"/>
    <w:rsid w:val="009324FD"/>
    <w:rsid w:val="009333EF"/>
    <w:rsid w:val="0093448B"/>
    <w:rsid w:val="009349B6"/>
    <w:rsid w:val="00944CD5"/>
    <w:rsid w:val="009527FC"/>
    <w:rsid w:val="0096109B"/>
    <w:rsid w:val="00965313"/>
    <w:rsid w:val="00971A7E"/>
    <w:rsid w:val="00972827"/>
    <w:rsid w:val="00981AA4"/>
    <w:rsid w:val="009826D2"/>
    <w:rsid w:val="009829F1"/>
    <w:rsid w:val="00982CCD"/>
    <w:rsid w:val="00982DA1"/>
    <w:rsid w:val="0098389B"/>
    <w:rsid w:val="009838E6"/>
    <w:rsid w:val="00991564"/>
    <w:rsid w:val="009916C6"/>
    <w:rsid w:val="00992C6A"/>
    <w:rsid w:val="009949ED"/>
    <w:rsid w:val="00995887"/>
    <w:rsid w:val="00997618"/>
    <w:rsid w:val="009A109A"/>
    <w:rsid w:val="009A1C97"/>
    <w:rsid w:val="009A1EA0"/>
    <w:rsid w:val="009A22F4"/>
    <w:rsid w:val="009A538F"/>
    <w:rsid w:val="009B3600"/>
    <w:rsid w:val="009B4693"/>
    <w:rsid w:val="009B49AE"/>
    <w:rsid w:val="009B7A90"/>
    <w:rsid w:val="009C3B1A"/>
    <w:rsid w:val="009C6A86"/>
    <w:rsid w:val="009D0F03"/>
    <w:rsid w:val="009D4FC8"/>
    <w:rsid w:val="009D52E1"/>
    <w:rsid w:val="009D56D0"/>
    <w:rsid w:val="009D5DAA"/>
    <w:rsid w:val="009D72A3"/>
    <w:rsid w:val="009D79EE"/>
    <w:rsid w:val="009E13AD"/>
    <w:rsid w:val="009E195D"/>
    <w:rsid w:val="009E350D"/>
    <w:rsid w:val="009E431A"/>
    <w:rsid w:val="009F16D3"/>
    <w:rsid w:val="009F29C7"/>
    <w:rsid w:val="009F2B2F"/>
    <w:rsid w:val="009F3678"/>
    <w:rsid w:val="00A04D19"/>
    <w:rsid w:val="00A066C8"/>
    <w:rsid w:val="00A067D0"/>
    <w:rsid w:val="00A06C3E"/>
    <w:rsid w:val="00A0728A"/>
    <w:rsid w:val="00A119A6"/>
    <w:rsid w:val="00A13B9A"/>
    <w:rsid w:val="00A14723"/>
    <w:rsid w:val="00A14CAB"/>
    <w:rsid w:val="00A16365"/>
    <w:rsid w:val="00A21B72"/>
    <w:rsid w:val="00A22526"/>
    <w:rsid w:val="00A226B8"/>
    <w:rsid w:val="00A251B8"/>
    <w:rsid w:val="00A255D0"/>
    <w:rsid w:val="00A256A8"/>
    <w:rsid w:val="00A3290B"/>
    <w:rsid w:val="00A33A55"/>
    <w:rsid w:val="00A348F4"/>
    <w:rsid w:val="00A36C27"/>
    <w:rsid w:val="00A3743C"/>
    <w:rsid w:val="00A41D74"/>
    <w:rsid w:val="00A420E2"/>
    <w:rsid w:val="00A42134"/>
    <w:rsid w:val="00A43F50"/>
    <w:rsid w:val="00A45B78"/>
    <w:rsid w:val="00A45BB0"/>
    <w:rsid w:val="00A46E53"/>
    <w:rsid w:val="00A5303E"/>
    <w:rsid w:val="00A55604"/>
    <w:rsid w:val="00A561AA"/>
    <w:rsid w:val="00A60904"/>
    <w:rsid w:val="00A61F6A"/>
    <w:rsid w:val="00A64854"/>
    <w:rsid w:val="00A64BE5"/>
    <w:rsid w:val="00A65221"/>
    <w:rsid w:val="00A67A2F"/>
    <w:rsid w:val="00A7460B"/>
    <w:rsid w:val="00A75FA9"/>
    <w:rsid w:val="00A769A0"/>
    <w:rsid w:val="00A87332"/>
    <w:rsid w:val="00A93E8C"/>
    <w:rsid w:val="00A9408F"/>
    <w:rsid w:val="00A96DBC"/>
    <w:rsid w:val="00AA30C7"/>
    <w:rsid w:val="00AA42FA"/>
    <w:rsid w:val="00AA59A0"/>
    <w:rsid w:val="00AA75CD"/>
    <w:rsid w:val="00AB1FAD"/>
    <w:rsid w:val="00AB2015"/>
    <w:rsid w:val="00AB2DB9"/>
    <w:rsid w:val="00AB408D"/>
    <w:rsid w:val="00AB4D2C"/>
    <w:rsid w:val="00AB5C93"/>
    <w:rsid w:val="00AB7158"/>
    <w:rsid w:val="00AC083A"/>
    <w:rsid w:val="00AC3941"/>
    <w:rsid w:val="00AC7225"/>
    <w:rsid w:val="00AD073A"/>
    <w:rsid w:val="00AD1722"/>
    <w:rsid w:val="00AD3BA8"/>
    <w:rsid w:val="00AD4CAC"/>
    <w:rsid w:val="00AD544A"/>
    <w:rsid w:val="00AD5E40"/>
    <w:rsid w:val="00AE0361"/>
    <w:rsid w:val="00AE2629"/>
    <w:rsid w:val="00AE2649"/>
    <w:rsid w:val="00AE3879"/>
    <w:rsid w:val="00AE39AF"/>
    <w:rsid w:val="00AE4A77"/>
    <w:rsid w:val="00AE5E97"/>
    <w:rsid w:val="00AE69FD"/>
    <w:rsid w:val="00AE78D3"/>
    <w:rsid w:val="00AF1F22"/>
    <w:rsid w:val="00AF3394"/>
    <w:rsid w:val="00AF449B"/>
    <w:rsid w:val="00AF4870"/>
    <w:rsid w:val="00AF6E0A"/>
    <w:rsid w:val="00B02EB0"/>
    <w:rsid w:val="00B04F43"/>
    <w:rsid w:val="00B10991"/>
    <w:rsid w:val="00B21999"/>
    <w:rsid w:val="00B21E6B"/>
    <w:rsid w:val="00B249CD"/>
    <w:rsid w:val="00B24FA6"/>
    <w:rsid w:val="00B25F64"/>
    <w:rsid w:val="00B27ED0"/>
    <w:rsid w:val="00B3031A"/>
    <w:rsid w:val="00B327BD"/>
    <w:rsid w:val="00B33722"/>
    <w:rsid w:val="00B351E5"/>
    <w:rsid w:val="00B37C4D"/>
    <w:rsid w:val="00B421C5"/>
    <w:rsid w:val="00B4537B"/>
    <w:rsid w:val="00B479F9"/>
    <w:rsid w:val="00B50D76"/>
    <w:rsid w:val="00B51620"/>
    <w:rsid w:val="00B52DE7"/>
    <w:rsid w:val="00B55A61"/>
    <w:rsid w:val="00B57A3B"/>
    <w:rsid w:val="00B60801"/>
    <w:rsid w:val="00B61E9D"/>
    <w:rsid w:val="00B626D9"/>
    <w:rsid w:val="00B64A7A"/>
    <w:rsid w:val="00B7041C"/>
    <w:rsid w:val="00B76138"/>
    <w:rsid w:val="00B76DE3"/>
    <w:rsid w:val="00B80CEA"/>
    <w:rsid w:val="00B822D8"/>
    <w:rsid w:val="00B8352C"/>
    <w:rsid w:val="00B869ED"/>
    <w:rsid w:val="00B8768D"/>
    <w:rsid w:val="00B9104D"/>
    <w:rsid w:val="00B968FB"/>
    <w:rsid w:val="00B9690B"/>
    <w:rsid w:val="00BA01F1"/>
    <w:rsid w:val="00BA28B9"/>
    <w:rsid w:val="00BA30A6"/>
    <w:rsid w:val="00BA5CEE"/>
    <w:rsid w:val="00BA7F1E"/>
    <w:rsid w:val="00BB036F"/>
    <w:rsid w:val="00BB45A4"/>
    <w:rsid w:val="00BB4CA4"/>
    <w:rsid w:val="00BB66D3"/>
    <w:rsid w:val="00BB7673"/>
    <w:rsid w:val="00BC13EC"/>
    <w:rsid w:val="00BC40CC"/>
    <w:rsid w:val="00BC63DC"/>
    <w:rsid w:val="00BC7669"/>
    <w:rsid w:val="00BC7A55"/>
    <w:rsid w:val="00BC7AC0"/>
    <w:rsid w:val="00BD0665"/>
    <w:rsid w:val="00BD17B8"/>
    <w:rsid w:val="00BD1A0A"/>
    <w:rsid w:val="00BD2DB3"/>
    <w:rsid w:val="00BE1491"/>
    <w:rsid w:val="00BE376A"/>
    <w:rsid w:val="00BE48D4"/>
    <w:rsid w:val="00BE4B3D"/>
    <w:rsid w:val="00BE64BA"/>
    <w:rsid w:val="00BF174C"/>
    <w:rsid w:val="00BF1CEC"/>
    <w:rsid w:val="00BF2BB3"/>
    <w:rsid w:val="00BF5C73"/>
    <w:rsid w:val="00BF6859"/>
    <w:rsid w:val="00C00CDB"/>
    <w:rsid w:val="00C00FBA"/>
    <w:rsid w:val="00C04F61"/>
    <w:rsid w:val="00C056F9"/>
    <w:rsid w:val="00C07FE6"/>
    <w:rsid w:val="00C105BA"/>
    <w:rsid w:val="00C112B8"/>
    <w:rsid w:val="00C114F9"/>
    <w:rsid w:val="00C17B29"/>
    <w:rsid w:val="00C20D2F"/>
    <w:rsid w:val="00C22C0A"/>
    <w:rsid w:val="00C23FF0"/>
    <w:rsid w:val="00C27C90"/>
    <w:rsid w:val="00C3199A"/>
    <w:rsid w:val="00C375CA"/>
    <w:rsid w:val="00C52540"/>
    <w:rsid w:val="00C61CD4"/>
    <w:rsid w:val="00C622D1"/>
    <w:rsid w:val="00C64E90"/>
    <w:rsid w:val="00C66D81"/>
    <w:rsid w:val="00C66E3A"/>
    <w:rsid w:val="00C7096A"/>
    <w:rsid w:val="00C73390"/>
    <w:rsid w:val="00C7347E"/>
    <w:rsid w:val="00C73A65"/>
    <w:rsid w:val="00C75D57"/>
    <w:rsid w:val="00C760EA"/>
    <w:rsid w:val="00C815F9"/>
    <w:rsid w:val="00C817E4"/>
    <w:rsid w:val="00C82383"/>
    <w:rsid w:val="00C826DC"/>
    <w:rsid w:val="00C84AEE"/>
    <w:rsid w:val="00C8534C"/>
    <w:rsid w:val="00C867A4"/>
    <w:rsid w:val="00C86F8B"/>
    <w:rsid w:val="00C87227"/>
    <w:rsid w:val="00C91305"/>
    <w:rsid w:val="00C93E9E"/>
    <w:rsid w:val="00C94B71"/>
    <w:rsid w:val="00C96620"/>
    <w:rsid w:val="00C968AB"/>
    <w:rsid w:val="00C97227"/>
    <w:rsid w:val="00CB02E1"/>
    <w:rsid w:val="00CB1682"/>
    <w:rsid w:val="00CB578E"/>
    <w:rsid w:val="00CB774C"/>
    <w:rsid w:val="00CC0645"/>
    <w:rsid w:val="00CC29A4"/>
    <w:rsid w:val="00CC3790"/>
    <w:rsid w:val="00CC455F"/>
    <w:rsid w:val="00CC621C"/>
    <w:rsid w:val="00CC6BC5"/>
    <w:rsid w:val="00CC7E6E"/>
    <w:rsid w:val="00CD2A5A"/>
    <w:rsid w:val="00CD3872"/>
    <w:rsid w:val="00CD594C"/>
    <w:rsid w:val="00CD6E34"/>
    <w:rsid w:val="00CE0309"/>
    <w:rsid w:val="00CE0F25"/>
    <w:rsid w:val="00CE1D26"/>
    <w:rsid w:val="00CE4FBA"/>
    <w:rsid w:val="00CF2CE4"/>
    <w:rsid w:val="00CF30BA"/>
    <w:rsid w:val="00CF4C3F"/>
    <w:rsid w:val="00CF5852"/>
    <w:rsid w:val="00CF5F66"/>
    <w:rsid w:val="00D00717"/>
    <w:rsid w:val="00D06F6A"/>
    <w:rsid w:val="00D1183C"/>
    <w:rsid w:val="00D1287F"/>
    <w:rsid w:val="00D12D94"/>
    <w:rsid w:val="00D1397A"/>
    <w:rsid w:val="00D13C36"/>
    <w:rsid w:val="00D142F6"/>
    <w:rsid w:val="00D158B4"/>
    <w:rsid w:val="00D158D3"/>
    <w:rsid w:val="00D174F5"/>
    <w:rsid w:val="00D2009E"/>
    <w:rsid w:val="00D22C34"/>
    <w:rsid w:val="00D24284"/>
    <w:rsid w:val="00D25E1E"/>
    <w:rsid w:val="00D26274"/>
    <w:rsid w:val="00D3020A"/>
    <w:rsid w:val="00D30988"/>
    <w:rsid w:val="00D31692"/>
    <w:rsid w:val="00D33320"/>
    <w:rsid w:val="00D353BA"/>
    <w:rsid w:val="00D4385F"/>
    <w:rsid w:val="00D53DF6"/>
    <w:rsid w:val="00D5522F"/>
    <w:rsid w:val="00D579D9"/>
    <w:rsid w:val="00D63AE8"/>
    <w:rsid w:val="00D6469D"/>
    <w:rsid w:val="00D64C85"/>
    <w:rsid w:val="00D67CA4"/>
    <w:rsid w:val="00D700EB"/>
    <w:rsid w:val="00D74EE5"/>
    <w:rsid w:val="00D75709"/>
    <w:rsid w:val="00D764EF"/>
    <w:rsid w:val="00D766E4"/>
    <w:rsid w:val="00D76842"/>
    <w:rsid w:val="00D77795"/>
    <w:rsid w:val="00D779D4"/>
    <w:rsid w:val="00D825BA"/>
    <w:rsid w:val="00D85036"/>
    <w:rsid w:val="00D900A6"/>
    <w:rsid w:val="00D90489"/>
    <w:rsid w:val="00DA0377"/>
    <w:rsid w:val="00DA0F38"/>
    <w:rsid w:val="00DA7121"/>
    <w:rsid w:val="00DA78C3"/>
    <w:rsid w:val="00DB2800"/>
    <w:rsid w:val="00DB30B0"/>
    <w:rsid w:val="00DB6228"/>
    <w:rsid w:val="00DB7B94"/>
    <w:rsid w:val="00DC2170"/>
    <w:rsid w:val="00DC38A3"/>
    <w:rsid w:val="00DC79D6"/>
    <w:rsid w:val="00DD1CAA"/>
    <w:rsid w:val="00DD32DE"/>
    <w:rsid w:val="00DD66E2"/>
    <w:rsid w:val="00DD739B"/>
    <w:rsid w:val="00DD760D"/>
    <w:rsid w:val="00DE01A0"/>
    <w:rsid w:val="00DE05BD"/>
    <w:rsid w:val="00DE20E2"/>
    <w:rsid w:val="00DE242C"/>
    <w:rsid w:val="00DE4DD5"/>
    <w:rsid w:val="00DE5863"/>
    <w:rsid w:val="00DE5C93"/>
    <w:rsid w:val="00DE714B"/>
    <w:rsid w:val="00DE7C60"/>
    <w:rsid w:val="00DF3242"/>
    <w:rsid w:val="00DF3C10"/>
    <w:rsid w:val="00DF4F8B"/>
    <w:rsid w:val="00DF6300"/>
    <w:rsid w:val="00E0139F"/>
    <w:rsid w:val="00E05FDC"/>
    <w:rsid w:val="00E1028B"/>
    <w:rsid w:val="00E10ED1"/>
    <w:rsid w:val="00E10F18"/>
    <w:rsid w:val="00E114A9"/>
    <w:rsid w:val="00E12F89"/>
    <w:rsid w:val="00E14950"/>
    <w:rsid w:val="00E165BD"/>
    <w:rsid w:val="00E17514"/>
    <w:rsid w:val="00E17C17"/>
    <w:rsid w:val="00E20D45"/>
    <w:rsid w:val="00E22370"/>
    <w:rsid w:val="00E31181"/>
    <w:rsid w:val="00E31F33"/>
    <w:rsid w:val="00E3330C"/>
    <w:rsid w:val="00E33603"/>
    <w:rsid w:val="00E41534"/>
    <w:rsid w:val="00E43273"/>
    <w:rsid w:val="00E456A5"/>
    <w:rsid w:val="00E47D06"/>
    <w:rsid w:val="00E5030F"/>
    <w:rsid w:val="00E52B02"/>
    <w:rsid w:val="00E53AFC"/>
    <w:rsid w:val="00E560F0"/>
    <w:rsid w:val="00E6170E"/>
    <w:rsid w:val="00E6626B"/>
    <w:rsid w:val="00E673DC"/>
    <w:rsid w:val="00E70C62"/>
    <w:rsid w:val="00E72F10"/>
    <w:rsid w:val="00E76DB4"/>
    <w:rsid w:val="00E81290"/>
    <w:rsid w:val="00E82D0C"/>
    <w:rsid w:val="00E83DD1"/>
    <w:rsid w:val="00E83EA3"/>
    <w:rsid w:val="00E86123"/>
    <w:rsid w:val="00E8667C"/>
    <w:rsid w:val="00E8678D"/>
    <w:rsid w:val="00E91027"/>
    <w:rsid w:val="00E928DB"/>
    <w:rsid w:val="00EA0BCF"/>
    <w:rsid w:val="00EA3E67"/>
    <w:rsid w:val="00EA714E"/>
    <w:rsid w:val="00EA779B"/>
    <w:rsid w:val="00EB07A5"/>
    <w:rsid w:val="00EB0C91"/>
    <w:rsid w:val="00EB19CA"/>
    <w:rsid w:val="00EB1CC7"/>
    <w:rsid w:val="00EB1F34"/>
    <w:rsid w:val="00EB200E"/>
    <w:rsid w:val="00EB4A2D"/>
    <w:rsid w:val="00EC2F0C"/>
    <w:rsid w:val="00EC32C5"/>
    <w:rsid w:val="00EC3652"/>
    <w:rsid w:val="00EC5B28"/>
    <w:rsid w:val="00ED0659"/>
    <w:rsid w:val="00ED1E2C"/>
    <w:rsid w:val="00ED66E1"/>
    <w:rsid w:val="00ED77B2"/>
    <w:rsid w:val="00EE0C04"/>
    <w:rsid w:val="00EE21FA"/>
    <w:rsid w:val="00EE404F"/>
    <w:rsid w:val="00EE7C4D"/>
    <w:rsid w:val="00EF21C2"/>
    <w:rsid w:val="00EF30D8"/>
    <w:rsid w:val="00EF371B"/>
    <w:rsid w:val="00EF4A4C"/>
    <w:rsid w:val="00F01FF7"/>
    <w:rsid w:val="00F022B2"/>
    <w:rsid w:val="00F02374"/>
    <w:rsid w:val="00F02714"/>
    <w:rsid w:val="00F03AC9"/>
    <w:rsid w:val="00F03DD5"/>
    <w:rsid w:val="00F07C30"/>
    <w:rsid w:val="00F10207"/>
    <w:rsid w:val="00F1262E"/>
    <w:rsid w:val="00F13708"/>
    <w:rsid w:val="00F214F7"/>
    <w:rsid w:val="00F22930"/>
    <w:rsid w:val="00F250FC"/>
    <w:rsid w:val="00F259F3"/>
    <w:rsid w:val="00F259F8"/>
    <w:rsid w:val="00F26704"/>
    <w:rsid w:val="00F32EF5"/>
    <w:rsid w:val="00F34059"/>
    <w:rsid w:val="00F35677"/>
    <w:rsid w:val="00F36544"/>
    <w:rsid w:val="00F36BA2"/>
    <w:rsid w:val="00F37C2C"/>
    <w:rsid w:val="00F440EF"/>
    <w:rsid w:val="00F4431E"/>
    <w:rsid w:val="00F478CA"/>
    <w:rsid w:val="00F51800"/>
    <w:rsid w:val="00F524A1"/>
    <w:rsid w:val="00F529DA"/>
    <w:rsid w:val="00F562FA"/>
    <w:rsid w:val="00F6041D"/>
    <w:rsid w:val="00F61D99"/>
    <w:rsid w:val="00F620E6"/>
    <w:rsid w:val="00F62BA5"/>
    <w:rsid w:val="00F66D53"/>
    <w:rsid w:val="00F67B51"/>
    <w:rsid w:val="00F73B45"/>
    <w:rsid w:val="00F743AB"/>
    <w:rsid w:val="00F760B1"/>
    <w:rsid w:val="00F761F9"/>
    <w:rsid w:val="00F76B69"/>
    <w:rsid w:val="00F773C6"/>
    <w:rsid w:val="00F803BF"/>
    <w:rsid w:val="00F804A7"/>
    <w:rsid w:val="00F81BEF"/>
    <w:rsid w:val="00F8610F"/>
    <w:rsid w:val="00F86DC7"/>
    <w:rsid w:val="00F90F3C"/>
    <w:rsid w:val="00F91A69"/>
    <w:rsid w:val="00F92EA2"/>
    <w:rsid w:val="00F96019"/>
    <w:rsid w:val="00F97253"/>
    <w:rsid w:val="00F9759E"/>
    <w:rsid w:val="00FA6564"/>
    <w:rsid w:val="00FA6EE2"/>
    <w:rsid w:val="00FA72EC"/>
    <w:rsid w:val="00FB03C7"/>
    <w:rsid w:val="00FB05C9"/>
    <w:rsid w:val="00FB0D44"/>
    <w:rsid w:val="00FB126B"/>
    <w:rsid w:val="00FB3A52"/>
    <w:rsid w:val="00FB523D"/>
    <w:rsid w:val="00FC123C"/>
    <w:rsid w:val="00FC13F7"/>
    <w:rsid w:val="00FC27E4"/>
    <w:rsid w:val="00FC3433"/>
    <w:rsid w:val="00FC533F"/>
    <w:rsid w:val="00FC5487"/>
    <w:rsid w:val="00FC78F5"/>
    <w:rsid w:val="00FD203C"/>
    <w:rsid w:val="00FD31B5"/>
    <w:rsid w:val="00FD4B0A"/>
    <w:rsid w:val="00FD7179"/>
    <w:rsid w:val="00FD7521"/>
    <w:rsid w:val="00FE1CBE"/>
    <w:rsid w:val="00FE455D"/>
    <w:rsid w:val="00FE5D2E"/>
    <w:rsid w:val="00FE7C1B"/>
    <w:rsid w:val="00FF0445"/>
    <w:rsid w:val="00FF3793"/>
    <w:rsid w:val="00FF4E35"/>
    <w:rsid w:val="00FF77A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FB7A13"/>
  <w15:chartTrackingRefBased/>
  <w15:docId w15:val="{975C9BDE-C493-4F40-A211-5B1A2CA951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76138"/>
    <w:pPr>
      <w:spacing w:before="100" w:beforeAutospacing="1" w:after="100" w:afterAutospacing="1" w:line="480" w:lineRule="auto"/>
      <w:ind w:firstLine="567"/>
      <w:contextualSpacing/>
    </w:pPr>
    <w:rPr>
      <w:rFonts w:ascii="Times New Roman" w:hAnsi="Times New Roman" w:cs="Times New Roman"/>
      <w:sz w:val="24"/>
      <w:szCs w:val="24"/>
    </w:rPr>
  </w:style>
  <w:style w:type="paragraph" w:styleId="Heading1">
    <w:name w:val="heading 1"/>
    <w:basedOn w:val="TOC2"/>
    <w:next w:val="Normal"/>
    <w:link w:val="Heading1Char"/>
    <w:autoRedefine/>
    <w:uiPriority w:val="9"/>
    <w:qFormat/>
    <w:rsid w:val="00CD6E34"/>
    <w:pPr>
      <w:keepNext/>
      <w:keepLines/>
      <w:numPr>
        <w:numId w:val="4"/>
      </w:numPr>
      <w:tabs>
        <w:tab w:val="clear" w:pos="1440"/>
      </w:tabs>
      <w:spacing w:line="480" w:lineRule="auto"/>
      <w:jc w:val="center"/>
      <w:outlineLvl w:val="0"/>
    </w:pPr>
    <w:rPr>
      <w:rFonts w:eastAsiaTheme="majorEastAsia"/>
      <w:b/>
      <w:szCs w:val="32"/>
    </w:rPr>
  </w:style>
  <w:style w:type="paragraph" w:styleId="Heading20">
    <w:name w:val="heading 2"/>
    <w:basedOn w:val="TOC2"/>
    <w:next w:val="Normal"/>
    <w:link w:val="Heading2Char"/>
    <w:autoRedefine/>
    <w:uiPriority w:val="9"/>
    <w:unhideWhenUsed/>
    <w:qFormat/>
    <w:rsid w:val="00A43F50"/>
    <w:pPr>
      <w:keepNext/>
      <w:keepLines/>
      <w:tabs>
        <w:tab w:val="clear" w:pos="9015"/>
      </w:tabs>
      <w:spacing w:after="0" w:afterAutospacing="0"/>
      <w:ind w:left="0" w:firstLine="0"/>
      <w:outlineLvl w:val="1"/>
    </w:pPr>
    <w:rPr>
      <w:rFonts w:eastAsiaTheme="majorEastAsia"/>
      <w:b/>
      <w:szCs w:val="28"/>
    </w:rPr>
  </w:style>
  <w:style w:type="paragraph" w:styleId="Heading3">
    <w:name w:val="heading 3"/>
    <w:basedOn w:val="TOC2"/>
    <w:next w:val="Normal"/>
    <w:link w:val="Heading3Char"/>
    <w:autoRedefine/>
    <w:uiPriority w:val="9"/>
    <w:unhideWhenUsed/>
    <w:qFormat/>
    <w:rsid w:val="00716EE2"/>
    <w:pPr>
      <w:keepNext/>
      <w:keepLines/>
      <w:numPr>
        <w:ilvl w:val="2"/>
        <w:numId w:val="1"/>
      </w:numPr>
      <w:tabs>
        <w:tab w:val="clear" w:pos="9015"/>
      </w:tabs>
      <w:outlineLvl w:val="2"/>
    </w:pPr>
    <w:rPr>
      <w:rFonts w:eastAsiaTheme="majorEastAsia"/>
      <w:b/>
      <w:i/>
    </w:rPr>
  </w:style>
  <w:style w:type="paragraph" w:styleId="Heading4">
    <w:name w:val="heading 4"/>
    <w:basedOn w:val="TOC2"/>
    <w:next w:val="Normal"/>
    <w:link w:val="Heading4Char"/>
    <w:autoRedefine/>
    <w:uiPriority w:val="9"/>
    <w:unhideWhenUsed/>
    <w:qFormat/>
    <w:rsid w:val="009916C6"/>
    <w:pPr>
      <w:keepNext/>
      <w:keepLines/>
      <w:tabs>
        <w:tab w:val="clear" w:pos="9015"/>
      </w:tabs>
      <w:spacing w:before="0" w:beforeAutospacing="0" w:after="0" w:afterAutospacing="0" w:line="480" w:lineRule="auto"/>
      <w:ind w:left="0" w:firstLine="0"/>
      <w:outlineLvl w:val="3"/>
    </w:pPr>
    <w:rPr>
      <w:rFonts w:eastAsiaTheme="majorEastAsia" w:cstheme="majorBidi"/>
      <w:b/>
      <w:iCs/>
    </w:rPr>
  </w:style>
  <w:style w:type="paragraph" w:styleId="Heading5">
    <w:name w:val="heading 5"/>
    <w:basedOn w:val="TOC2"/>
    <w:next w:val="Normal"/>
    <w:link w:val="Heading5Char"/>
    <w:autoRedefine/>
    <w:uiPriority w:val="9"/>
    <w:unhideWhenUsed/>
    <w:qFormat/>
    <w:rsid w:val="009916C6"/>
    <w:pPr>
      <w:keepNext/>
      <w:keepLines/>
      <w:tabs>
        <w:tab w:val="clear" w:pos="9015"/>
      </w:tabs>
      <w:spacing w:before="0" w:beforeAutospacing="0" w:after="0" w:afterAutospacing="0" w:line="480" w:lineRule="auto"/>
      <w:ind w:left="0" w:firstLine="0"/>
      <w:outlineLvl w:val="4"/>
    </w:pPr>
    <w:rPr>
      <w:rFonts w:eastAsiaTheme="majorEastAsia" w:cstheme="majorBidi"/>
      <w:b/>
      <w:i/>
    </w:rPr>
  </w:style>
  <w:style w:type="paragraph" w:styleId="Heading6">
    <w:name w:val="heading 6"/>
    <w:basedOn w:val="Normal"/>
    <w:next w:val="Normal"/>
    <w:link w:val="Heading6Char"/>
    <w:uiPriority w:val="9"/>
    <w:semiHidden/>
    <w:unhideWhenUsed/>
    <w:qFormat/>
    <w:rsid w:val="00F34059"/>
    <w:pPr>
      <w:keepNext/>
      <w:keepLines/>
      <w:spacing w:before="40" w:after="0"/>
      <w:ind w:firstLine="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F34059"/>
    <w:pPr>
      <w:keepNext/>
      <w:keepLines/>
      <w:spacing w:before="40" w:after="0"/>
      <w:ind w:firstLine="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F34059"/>
    <w:pPr>
      <w:keepNext/>
      <w:keepLines/>
      <w:spacing w:before="40" w:after="0"/>
      <w:ind w:firstLine="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F34059"/>
    <w:pPr>
      <w:keepNext/>
      <w:keepLines/>
      <w:spacing w:before="40" w:after="0"/>
      <w:ind w:firstLine="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B6EE3"/>
    <w:rPr>
      <w:color w:val="0563C1" w:themeColor="hyperlink"/>
      <w:u w:val="single"/>
    </w:rPr>
  </w:style>
  <w:style w:type="paragraph" w:styleId="ListParagraph">
    <w:name w:val="List Paragraph"/>
    <w:basedOn w:val="Normal"/>
    <w:uiPriority w:val="34"/>
    <w:qFormat/>
    <w:rsid w:val="007B6EE3"/>
    <w:pPr>
      <w:spacing w:before="0" w:after="240" w:line="240" w:lineRule="auto"/>
      <w:ind w:left="720"/>
    </w:pPr>
    <w:rPr>
      <w:rFonts w:eastAsia="Times New Roman"/>
      <w:bCs/>
      <w:lang w:bidi="en-US"/>
    </w:rPr>
  </w:style>
  <w:style w:type="paragraph" w:styleId="NormalWeb">
    <w:name w:val="Normal (Web)"/>
    <w:basedOn w:val="Normal"/>
    <w:uiPriority w:val="99"/>
    <w:unhideWhenUsed/>
    <w:rsid w:val="007B6EE3"/>
    <w:pPr>
      <w:spacing w:line="240" w:lineRule="auto"/>
    </w:pPr>
    <w:rPr>
      <w:rFonts w:eastAsia="Times New Roman"/>
    </w:rPr>
  </w:style>
  <w:style w:type="character" w:customStyle="1" w:styleId="Heading1Char">
    <w:name w:val="Heading 1 Char"/>
    <w:basedOn w:val="DefaultParagraphFont"/>
    <w:link w:val="Heading1"/>
    <w:uiPriority w:val="9"/>
    <w:rsid w:val="00CD6E34"/>
    <w:rPr>
      <w:rFonts w:ascii="Times New Roman" w:eastAsiaTheme="majorEastAsia" w:hAnsi="Times New Roman" w:cs="Times New Roman"/>
      <w:b/>
      <w:sz w:val="24"/>
      <w:szCs w:val="32"/>
    </w:rPr>
  </w:style>
  <w:style w:type="character" w:customStyle="1" w:styleId="Heading2Char">
    <w:name w:val="Heading 2 Char"/>
    <w:basedOn w:val="DefaultParagraphFont"/>
    <w:link w:val="Heading20"/>
    <w:uiPriority w:val="9"/>
    <w:rsid w:val="00A43F50"/>
    <w:rPr>
      <w:rFonts w:ascii="Times New Roman" w:eastAsiaTheme="majorEastAsia" w:hAnsi="Times New Roman" w:cs="Times New Roman"/>
      <w:b/>
      <w:sz w:val="24"/>
      <w:szCs w:val="28"/>
    </w:rPr>
  </w:style>
  <w:style w:type="character" w:customStyle="1" w:styleId="Heading3Char">
    <w:name w:val="Heading 3 Char"/>
    <w:basedOn w:val="DefaultParagraphFont"/>
    <w:link w:val="Heading3"/>
    <w:uiPriority w:val="9"/>
    <w:rsid w:val="00716EE2"/>
    <w:rPr>
      <w:rFonts w:ascii="Times New Roman" w:eastAsiaTheme="majorEastAsia" w:hAnsi="Times New Roman" w:cs="Times New Roman"/>
      <w:b/>
      <w:i/>
      <w:sz w:val="24"/>
      <w:szCs w:val="24"/>
    </w:rPr>
  </w:style>
  <w:style w:type="character" w:customStyle="1" w:styleId="Heading4Char">
    <w:name w:val="Heading 4 Char"/>
    <w:basedOn w:val="DefaultParagraphFont"/>
    <w:link w:val="Heading4"/>
    <w:uiPriority w:val="9"/>
    <w:rsid w:val="009916C6"/>
    <w:rPr>
      <w:rFonts w:ascii="Times New Roman" w:eastAsiaTheme="majorEastAsia" w:hAnsi="Times New Roman" w:cstheme="majorBidi"/>
      <w:b/>
      <w:iCs/>
      <w:sz w:val="24"/>
      <w:szCs w:val="24"/>
    </w:rPr>
  </w:style>
  <w:style w:type="character" w:customStyle="1" w:styleId="Heading5Char">
    <w:name w:val="Heading 5 Char"/>
    <w:basedOn w:val="DefaultParagraphFont"/>
    <w:link w:val="Heading5"/>
    <w:uiPriority w:val="9"/>
    <w:rsid w:val="009916C6"/>
    <w:rPr>
      <w:rFonts w:ascii="Times New Roman" w:eastAsiaTheme="majorEastAsia" w:hAnsi="Times New Roman" w:cstheme="majorBidi"/>
      <w:b/>
      <w:i/>
      <w:sz w:val="24"/>
      <w:szCs w:val="24"/>
    </w:rPr>
  </w:style>
  <w:style w:type="character" w:customStyle="1" w:styleId="Heading6Char">
    <w:name w:val="Heading 6 Char"/>
    <w:basedOn w:val="DefaultParagraphFont"/>
    <w:link w:val="Heading6"/>
    <w:uiPriority w:val="9"/>
    <w:semiHidden/>
    <w:rsid w:val="00F34059"/>
    <w:rPr>
      <w:rFonts w:asciiTheme="majorHAnsi" w:eastAsiaTheme="majorEastAsia" w:hAnsiTheme="majorHAnsi" w:cstheme="majorBidi"/>
      <w:color w:val="1F4D78" w:themeColor="accent1" w:themeShade="7F"/>
      <w:sz w:val="24"/>
      <w:szCs w:val="24"/>
    </w:rPr>
  </w:style>
  <w:style w:type="character" w:customStyle="1" w:styleId="Heading7Char">
    <w:name w:val="Heading 7 Char"/>
    <w:basedOn w:val="DefaultParagraphFont"/>
    <w:link w:val="Heading7"/>
    <w:uiPriority w:val="9"/>
    <w:semiHidden/>
    <w:rsid w:val="00F34059"/>
    <w:rPr>
      <w:rFonts w:asciiTheme="majorHAnsi" w:eastAsiaTheme="majorEastAsia" w:hAnsiTheme="majorHAnsi" w:cstheme="majorBidi"/>
      <w:i/>
      <w:iCs/>
      <w:color w:val="1F4D78" w:themeColor="accent1" w:themeShade="7F"/>
      <w:sz w:val="24"/>
      <w:szCs w:val="24"/>
    </w:rPr>
  </w:style>
  <w:style w:type="character" w:customStyle="1" w:styleId="Heading8Char">
    <w:name w:val="Heading 8 Char"/>
    <w:basedOn w:val="DefaultParagraphFont"/>
    <w:link w:val="Heading8"/>
    <w:uiPriority w:val="9"/>
    <w:semiHidden/>
    <w:rsid w:val="00F34059"/>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F34059"/>
    <w:rPr>
      <w:rFonts w:asciiTheme="majorHAnsi" w:eastAsiaTheme="majorEastAsia" w:hAnsiTheme="majorHAnsi" w:cstheme="majorBidi"/>
      <w:i/>
      <w:iCs/>
      <w:color w:val="272727" w:themeColor="text1" w:themeTint="D8"/>
      <w:sz w:val="21"/>
      <w:szCs w:val="21"/>
    </w:rPr>
  </w:style>
  <w:style w:type="paragraph" w:styleId="TOCHeading">
    <w:name w:val="TOC Heading"/>
    <w:basedOn w:val="Normal"/>
    <w:next w:val="Normal"/>
    <w:uiPriority w:val="39"/>
    <w:unhideWhenUsed/>
    <w:qFormat/>
    <w:rsid w:val="00F250FC"/>
    <w:pPr>
      <w:spacing w:line="259" w:lineRule="auto"/>
      <w:jc w:val="center"/>
    </w:pPr>
    <w:rPr>
      <w:rFonts w:cstheme="majorBidi"/>
      <w:b/>
    </w:rPr>
  </w:style>
  <w:style w:type="paragraph" w:styleId="TOC1">
    <w:name w:val="toc 1"/>
    <w:basedOn w:val="Normal"/>
    <w:next w:val="Normal"/>
    <w:link w:val="TOC1Char"/>
    <w:autoRedefine/>
    <w:uiPriority w:val="39"/>
    <w:unhideWhenUsed/>
    <w:rsid w:val="00064A5E"/>
    <w:pPr>
      <w:tabs>
        <w:tab w:val="right" w:leader="dot" w:pos="9015"/>
      </w:tabs>
      <w:spacing w:before="0" w:beforeAutospacing="0" w:line="240" w:lineRule="auto"/>
      <w:ind w:firstLine="0"/>
      <w:jc w:val="both"/>
    </w:pPr>
    <w:rPr>
      <w:b/>
      <w:bCs/>
      <w:noProof/>
      <w:lang w:val="en-GB"/>
    </w:rPr>
  </w:style>
  <w:style w:type="paragraph" w:styleId="TOC2">
    <w:name w:val="toc 2"/>
    <w:basedOn w:val="Normal"/>
    <w:next w:val="Normal"/>
    <w:autoRedefine/>
    <w:uiPriority w:val="39"/>
    <w:unhideWhenUsed/>
    <w:rsid w:val="003A7565"/>
    <w:pPr>
      <w:tabs>
        <w:tab w:val="left" w:pos="1440"/>
        <w:tab w:val="right" w:leader="dot" w:pos="9015"/>
      </w:tabs>
      <w:spacing w:line="240" w:lineRule="auto"/>
      <w:ind w:left="238"/>
    </w:pPr>
  </w:style>
  <w:style w:type="paragraph" w:styleId="TOC3">
    <w:name w:val="toc 3"/>
    <w:basedOn w:val="Normal"/>
    <w:next w:val="Normal"/>
    <w:autoRedefine/>
    <w:uiPriority w:val="39"/>
    <w:unhideWhenUsed/>
    <w:rsid w:val="003A7565"/>
    <w:pPr>
      <w:tabs>
        <w:tab w:val="left" w:pos="1760"/>
        <w:tab w:val="right" w:leader="dot" w:pos="9015"/>
      </w:tabs>
      <w:spacing w:before="0" w:beforeAutospacing="0" w:after="0" w:afterAutospacing="0"/>
      <w:ind w:left="482"/>
    </w:pPr>
    <w:rPr>
      <w:sz w:val="22"/>
    </w:rPr>
  </w:style>
  <w:style w:type="paragraph" w:styleId="Caption">
    <w:name w:val="caption"/>
    <w:aliases w:val="Figure caption"/>
    <w:basedOn w:val="Normal"/>
    <w:next w:val="Normal"/>
    <w:link w:val="CaptionChar"/>
    <w:autoRedefine/>
    <w:uiPriority w:val="35"/>
    <w:unhideWhenUsed/>
    <w:qFormat/>
    <w:rsid w:val="00FE455D"/>
    <w:pPr>
      <w:keepNext/>
      <w:spacing w:before="0" w:beforeAutospacing="0" w:after="0" w:afterAutospacing="0"/>
      <w:ind w:firstLine="0"/>
    </w:pPr>
    <w:rPr>
      <w:i/>
    </w:rPr>
  </w:style>
  <w:style w:type="table" w:styleId="TableGrid">
    <w:name w:val="Table Grid"/>
    <w:basedOn w:val="TableNormal"/>
    <w:uiPriority w:val="39"/>
    <w:rsid w:val="00DB7B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066C8"/>
    <w:pPr>
      <w:tabs>
        <w:tab w:val="center" w:pos="4680"/>
        <w:tab w:val="right" w:pos="9360"/>
      </w:tabs>
      <w:spacing w:before="0" w:after="0" w:line="240" w:lineRule="auto"/>
    </w:pPr>
  </w:style>
  <w:style w:type="character" w:customStyle="1" w:styleId="HeaderChar">
    <w:name w:val="Header Char"/>
    <w:basedOn w:val="DefaultParagraphFont"/>
    <w:link w:val="Header"/>
    <w:uiPriority w:val="99"/>
    <w:rsid w:val="00A066C8"/>
    <w:rPr>
      <w:rFonts w:ascii="Times New Roman" w:hAnsi="Times New Roman" w:cs="Times New Roman"/>
      <w:sz w:val="24"/>
      <w:szCs w:val="24"/>
    </w:rPr>
  </w:style>
  <w:style w:type="paragraph" w:styleId="Footer">
    <w:name w:val="footer"/>
    <w:basedOn w:val="Normal"/>
    <w:link w:val="FooterChar"/>
    <w:uiPriority w:val="99"/>
    <w:unhideWhenUsed/>
    <w:rsid w:val="00A066C8"/>
    <w:pPr>
      <w:tabs>
        <w:tab w:val="center" w:pos="4680"/>
        <w:tab w:val="right" w:pos="9360"/>
      </w:tabs>
      <w:spacing w:before="0" w:after="0" w:line="240" w:lineRule="auto"/>
    </w:pPr>
  </w:style>
  <w:style w:type="character" w:customStyle="1" w:styleId="FooterChar">
    <w:name w:val="Footer Char"/>
    <w:basedOn w:val="DefaultParagraphFont"/>
    <w:link w:val="Footer"/>
    <w:uiPriority w:val="99"/>
    <w:rsid w:val="00A066C8"/>
    <w:rPr>
      <w:rFonts w:ascii="Times New Roman" w:hAnsi="Times New Roman" w:cs="Times New Roman"/>
      <w:sz w:val="24"/>
      <w:szCs w:val="24"/>
    </w:rPr>
  </w:style>
  <w:style w:type="paragraph" w:styleId="TableofFigures">
    <w:name w:val="table of figures"/>
    <w:basedOn w:val="Normal"/>
    <w:next w:val="Normal"/>
    <w:autoRedefine/>
    <w:uiPriority w:val="99"/>
    <w:unhideWhenUsed/>
    <w:rsid w:val="00A64BE5"/>
    <w:pPr>
      <w:tabs>
        <w:tab w:val="right" w:leader="dot" w:pos="9111"/>
      </w:tabs>
      <w:ind w:firstLine="0"/>
    </w:pPr>
    <w:rPr>
      <w:noProof/>
    </w:rPr>
  </w:style>
  <w:style w:type="paragraph" w:customStyle="1" w:styleId="References">
    <w:name w:val="References"/>
    <w:basedOn w:val="Normal"/>
    <w:link w:val="ReferencesChar"/>
    <w:qFormat/>
    <w:rsid w:val="00067F6E"/>
    <w:rPr>
      <w:b/>
      <w:sz w:val="28"/>
      <w:szCs w:val="28"/>
    </w:rPr>
  </w:style>
  <w:style w:type="paragraph" w:customStyle="1" w:styleId="Appendices">
    <w:name w:val="Appendices"/>
    <w:basedOn w:val="Normal"/>
    <w:link w:val="AppendicesChar"/>
    <w:autoRedefine/>
    <w:qFormat/>
    <w:rsid w:val="003266FE"/>
    <w:pPr>
      <w:ind w:firstLine="0"/>
      <w:jc w:val="center"/>
    </w:pPr>
    <w:rPr>
      <w:b/>
    </w:rPr>
  </w:style>
  <w:style w:type="character" w:customStyle="1" w:styleId="ReferencesChar">
    <w:name w:val="References Char"/>
    <w:basedOn w:val="DefaultParagraphFont"/>
    <w:link w:val="References"/>
    <w:rsid w:val="00067F6E"/>
    <w:rPr>
      <w:rFonts w:ascii="Times New Roman" w:hAnsi="Times New Roman" w:cs="Times New Roman"/>
      <w:b/>
      <w:sz w:val="28"/>
      <w:szCs w:val="28"/>
    </w:rPr>
  </w:style>
  <w:style w:type="paragraph" w:customStyle="1" w:styleId="Appendix">
    <w:name w:val="Appendix"/>
    <w:basedOn w:val="TOC1"/>
    <w:link w:val="AppendixChar"/>
    <w:autoRedefine/>
    <w:qFormat/>
    <w:rsid w:val="00BF2BB3"/>
    <w:pPr>
      <w:spacing w:line="480" w:lineRule="auto"/>
    </w:pPr>
    <w:rPr>
      <w:b w:val="0"/>
    </w:rPr>
  </w:style>
  <w:style w:type="character" w:customStyle="1" w:styleId="AppendicesChar">
    <w:name w:val="Appendices Char"/>
    <w:basedOn w:val="DefaultParagraphFont"/>
    <w:link w:val="Appendices"/>
    <w:rsid w:val="003266FE"/>
    <w:rPr>
      <w:rFonts w:ascii="Times New Roman" w:hAnsi="Times New Roman" w:cs="Times New Roman"/>
      <w:b/>
      <w:sz w:val="24"/>
      <w:szCs w:val="24"/>
    </w:rPr>
  </w:style>
  <w:style w:type="character" w:customStyle="1" w:styleId="TOC1Char">
    <w:name w:val="TOC 1 Char"/>
    <w:basedOn w:val="DefaultParagraphFont"/>
    <w:link w:val="TOC1"/>
    <w:uiPriority w:val="39"/>
    <w:rsid w:val="00064A5E"/>
    <w:rPr>
      <w:rFonts w:ascii="Times New Roman" w:hAnsi="Times New Roman" w:cs="Times New Roman"/>
      <w:b/>
      <w:bCs/>
      <w:noProof/>
      <w:sz w:val="24"/>
      <w:szCs w:val="24"/>
      <w:lang w:val="en-GB"/>
    </w:rPr>
  </w:style>
  <w:style w:type="character" w:customStyle="1" w:styleId="AppendixChar">
    <w:name w:val="Appendix Char"/>
    <w:basedOn w:val="TOC1Char"/>
    <w:link w:val="Appendix"/>
    <w:rsid w:val="00BF2BB3"/>
    <w:rPr>
      <w:rFonts w:ascii="Times New Roman" w:hAnsi="Times New Roman" w:cs="Times New Roman"/>
      <w:b w:val="0"/>
      <w:bCs/>
      <w:noProof/>
      <w:sz w:val="24"/>
      <w:szCs w:val="24"/>
      <w:lang w:val="en-GB"/>
    </w:rPr>
  </w:style>
  <w:style w:type="paragraph" w:customStyle="1" w:styleId="Sourcecaption">
    <w:name w:val="Source caption"/>
    <w:basedOn w:val="Normal"/>
    <w:link w:val="SourcecaptionChar"/>
    <w:autoRedefine/>
    <w:qFormat/>
    <w:rsid w:val="00AE39AF"/>
    <w:pPr>
      <w:spacing w:before="0" w:after="360" w:line="240" w:lineRule="auto"/>
    </w:pPr>
    <w:rPr>
      <w:i/>
    </w:rPr>
  </w:style>
  <w:style w:type="character" w:customStyle="1" w:styleId="SourcecaptionChar">
    <w:name w:val="Source caption Char"/>
    <w:basedOn w:val="DefaultParagraphFont"/>
    <w:link w:val="Sourcecaption"/>
    <w:rsid w:val="00AE39AF"/>
    <w:rPr>
      <w:rFonts w:ascii="Times New Roman" w:hAnsi="Times New Roman" w:cs="Times New Roman"/>
      <w:i/>
      <w:sz w:val="24"/>
      <w:szCs w:val="24"/>
    </w:rPr>
  </w:style>
  <w:style w:type="paragraph" w:customStyle="1" w:styleId="Tablecaption">
    <w:name w:val="Table caption"/>
    <w:basedOn w:val="Caption"/>
    <w:link w:val="TablecaptionChar"/>
    <w:autoRedefine/>
    <w:qFormat/>
    <w:rsid w:val="0046688A"/>
    <w:pPr>
      <w:keepLines/>
      <w:spacing w:before="240"/>
    </w:pPr>
  </w:style>
  <w:style w:type="character" w:customStyle="1" w:styleId="CaptionChar">
    <w:name w:val="Caption Char"/>
    <w:aliases w:val="Figure caption Char"/>
    <w:basedOn w:val="SourcecaptionChar"/>
    <w:link w:val="Caption"/>
    <w:uiPriority w:val="35"/>
    <w:rsid w:val="00FE455D"/>
    <w:rPr>
      <w:rFonts w:ascii="Times New Roman" w:hAnsi="Times New Roman" w:cs="Times New Roman"/>
      <w:i/>
      <w:sz w:val="24"/>
      <w:szCs w:val="24"/>
    </w:rPr>
  </w:style>
  <w:style w:type="character" w:customStyle="1" w:styleId="TablecaptionChar">
    <w:name w:val="Table caption Char"/>
    <w:basedOn w:val="CaptionChar"/>
    <w:link w:val="Tablecaption"/>
    <w:rsid w:val="0046688A"/>
    <w:rPr>
      <w:rFonts w:ascii="Times New Roman" w:hAnsi="Times New Roman" w:cs="Times New Roman"/>
      <w:i/>
      <w:sz w:val="24"/>
      <w:szCs w:val="24"/>
    </w:rPr>
  </w:style>
  <w:style w:type="paragraph" w:customStyle="1" w:styleId="Captionfortable">
    <w:name w:val="Caption for table"/>
    <w:basedOn w:val="Caption"/>
    <w:link w:val="CaptionfortableChar"/>
    <w:autoRedefine/>
    <w:rsid w:val="00F524A1"/>
    <w:pPr>
      <w:spacing w:after="240" w:line="360" w:lineRule="auto"/>
    </w:pPr>
  </w:style>
  <w:style w:type="character" w:customStyle="1" w:styleId="CaptionfortableChar">
    <w:name w:val="Caption for table Char"/>
    <w:basedOn w:val="DefaultParagraphFont"/>
    <w:link w:val="Captionfortable"/>
    <w:rsid w:val="00F524A1"/>
    <w:rPr>
      <w:rFonts w:ascii="Times New Roman" w:hAnsi="Times New Roman" w:cs="Times New Roman"/>
      <w:sz w:val="24"/>
      <w:szCs w:val="24"/>
    </w:rPr>
  </w:style>
  <w:style w:type="character" w:styleId="FollowedHyperlink">
    <w:name w:val="FollowedHyperlink"/>
    <w:basedOn w:val="DefaultParagraphFont"/>
    <w:uiPriority w:val="99"/>
    <w:semiHidden/>
    <w:unhideWhenUsed/>
    <w:rsid w:val="0008742C"/>
    <w:rPr>
      <w:color w:val="954F72" w:themeColor="followedHyperlink"/>
      <w:u w:val="single"/>
    </w:rPr>
  </w:style>
  <w:style w:type="paragraph" w:customStyle="1" w:styleId="Tabletext">
    <w:name w:val="Table text"/>
    <w:basedOn w:val="Normal"/>
    <w:link w:val="TabletextChar"/>
    <w:autoRedefine/>
    <w:qFormat/>
    <w:rsid w:val="00285AAB"/>
    <w:pPr>
      <w:spacing w:line="240" w:lineRule="auto"/>
    </w:pPr>
    <w:rPr>
      <w:sz w:val="20"/>
    </w:rPr>
  </w:style>
  <w:style w:type="character" w:customStyle="1" w:styleId="TabletextChar">
    <w:name w:val="Table text Char"/>
    <w:basedOn w:val="DefaultParagraphFont"/>
    <w:link w:val="Tabletext"/>
    <w:rsid w:val="00285AAB"/>
    <w:rPr>
      <w:rFonts w:ascii="Times New Roman" w:hAnsi="Times New Roman" w:cs="Times New Roman"/>
      <w:sz w:val="20"/>
      <w:szCs w:val="24"/>
    </w:rPr>
  </w:style>
  <w:style w:type="paragraph" w:customStyle="1" w:styleId="Nameofprogramme">
    <w:name w:val="Name of programme"/>
    <w:basedOn w:val="Normal"/>
    <w:link w:val="NameofprogrammeChar"/>
    <w:autoRedefine/>
    <w:qFormat/>
    <w:rsid w:val="00C96620"/>
    <w:pPr>
      <w:jc w:val="center"/>
    </w:pPr>
    <w:rPr>
      <w:b/>
      <w:sz w:val="36"/>
      <w:szCs w:val="32"/>
      <w:lang w:val="en-GB"/>
    </w:rPr>
  </w:style>
  <w:style w:type="character" w:styleId="PlaceholderText">
    <w:name w:val="Placeholder Text"/>
    <w:basedOn w:val="DefaultParagraphFont"/>
    <w:uiPriority w:val="99"/>
    <w:semiHidden/>
    <w:rsid w:val="00C96620"/>
    <w:rPr>
      <w:color w:val="808080"/>
    </w:rPr>
  </w:style>
  <w:style w:type="character" w:customStyle="1" w:styleId="NameofprogrammeChar">
    <w:name w:val="Name of programme Char"/>
    <w:basedOn w:val="DefaultParagraphFont"/>
    <w:link w:val="Nameofprogramme"/>
    <w:rsid w:val="00C96620"/>
    <w:rPr>
      <w:rFonts w:ascii="Times New Roman" w:hAnsi="Times New Roman" w:cs="Times New Roman"/>
      <w:b/>
      <w:sz w:val="36"/>
      <w:szCs w:val="32"/>
      <w:lang w:val="en-GB"/>
    </w:rPr>
  </w:style>
  <w:style w:type="paragraph" w:styleId="BalloonText">
    <w:name w:val="Balloon Text"/>
    <w:basedOn w:val="Normal"/>
    <w:link w:val="BalloonTextChar"/>
    <w:uiPriority w:val="99"/>
    <w:semiHidden/>
    <w:unhideWhenUsed/>
    <w:rsid w:val="00A769A0"/>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769A0"/>
    <w:rPr>
      <w:rFonts w:ascii="Segoe UI" w:hAnsi="Segoe UI" w:cs="Segoe UI"/>
      <w:sz w:val="18"/>
      <w:szCs w:val="18"/>
    </w:rPr>
  </w:style>
  <w:style w:type="character" w:styleId="Emphasis">
    <w:name w:val="Emphasis"/>
    <w:basedOn w:val="DefaultParagraphFont"/>
    <w:uiPriority w:val="20"/>
    <w:qFormat/>
    <w:rsid w:val="00AB408D"/>
    <w:rPr>
      <w:i/>
      <w:iCs/>
    </w:rPr>
  </w:style>
  <w:style w:type="character" w:customStyle="1" w:styleId="annotated">
    <w:name w:val="annotated"/>
    <w:basedOn w:val="DefaultParagraphFont"/>
    <w:rsid w:val="00092AF1"/>
  </w:style>
  <w:style w:type="character" w:customStyle="1" w:styleId="dont-break-out">
    <w:name w:val="dont-break-out"/>
    <w:basedOn w:val="DefaultParagraphFont"/>
    <w:rsid w:val="003E4D6A"/>
  </w:style>
  <w:style w:type="paragraph" w:customStyle="1" w:styleId="BodyA">
    <w:name w:val="Body A"/>
    <w:rsid w:val="000C3960"/>
    <w:pPr>
      <w:pBdr>
        <w:top w:val="nil"/>
        <w:left w:val="nil"/>
        <w:bottom w:val="nil"/>
        <w:right w:val="nil"/>
        <w:between w:val="nil"/>
        <w:bar w:val="nil"/>
      </w:pBdr>
      <w:spacing w:after="0" w:line="240" w:lineRule="auto"/>
    </w:pPr>
    <w:rPr>
      <w:rFonts w:ascii="Helvetica" w:eastAsia="Arial Unicode MS" w:hAnsi="Helvetica" w:cs="Arial Unicode MS"/>
      <w:color w:val="000000"/>
      <w:u w:color="000000"/>
      <w:bdr w:val="nil"/>
      <w:lang w:eastAsia="en-GB"/>
    </w:rPr>
  </w:style>
  <w:style w:type="paragraph" w:customStyle="1" w:styleId="Default">
    <w:name w:val="Default"/>
    <w:rsid w:val="001D7949"/>
    <w:pPr>
      <w:autoSpaceDE w:val="0"/>
      <w:autoSpaceDN w:val="0"/>
      <w:adjustRightInd w:val="0"/>
      <w:spacing w:after="0" w:line="240" w:lineRule="auto"/>
    </w:pPr>
    <w:rPr>
      <w:rFonts w:ascii="Times New Roman" w:hAnsi="Times New Roman" w:cs="Times New Roman"/>
      <w:color w:val="000000"/>
      <w:sz w:val="24"/>
      <w:szCs w:val="24"/>
    </w:rPr>
  </w:style>
  <w:style w:type="paragraph" w:styleId="HTMLPreformatted">
    <w:name w:val="HTML Preformatted"/>
    <w:basedOn w:val="Normal"/>
    <w:link w:val="HTMLPreformattedChar"/>
    <w:uiPriority w:val="99"/>
    <w:semiHidden/>
    <w:unhideWhenUsed/>
    <w:rsid w:val="004B09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240" w:lineRule="auto"/>
      <w:ind w:firstLine="0"/>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4B093C"/>
    <w:rPr>
      <w:rFonts w:ascii="Courier New" w:eastAsia="Times New Roman" w:hAnsi="Courier New" w:cs="Courier New"/>
      <w:sz w:val="20"/>
      <w:szCs w:val="20"/>
    </w:rPr>
  </w:style>
  <w:style w:type="character" w:customStyle="1" w:styleId="y2iqfc">
    <w:name w:val="y2iqfc"/>
    <w:basedOn w:val="DefaultParagraphFont"/>
    <w:rsid w:val="004B093C"/>
  </w:style>
  <w:style w:type="character" w:styleId="CommentReference">
    <w:name w:val="annotation reference"/>
    <w:basedOn w:val="DefaultParagraphFont"/>
    <w:uiPriority w:val="99"/>
    <w:semiHidden/>
    <w:unhideWhenUsed/>
    <w:rsid w:val="00F6041D"/>
    <w:rPr>
      <w:sz w:val="16"/>
      <w:szCs w:val="16"/>
    </w:rPr>
  </w:style>
  <w:style w:type="paragraph" w:styleId="CommentText">
    <w:name w:val="annotation text"/>
    <w:basedOn w:val="Normal"/>
    <w:link w:val="CommentTextChar"/>
    <w:uiPriority w:val="99"/>
    <w:unhideWhenUsed/>
    <w:rsid w:val="00965313"/>
    <w:pPr>
      <w:spacing w:line="240" w:lineRule="auto"/>
    </w:pPr>
    <w:rPr>
      <w:sz w:val="20"/>
      <w:szCs w:val="20"/>
      <w:lang w:val="en-GB"/>
    </w:rPr>
  </w:style>
  <w:style w:type="character" w:customStyle="1" w:styleId="CommentTextChar">
    <w:name w:val="Comment Text Char"/>
    <w:basedOn w:val="DefaultParagraphFont"/>
    <w:link w:val="CommentText"/>
    <w:uiPriority w:val="99"/>
    <w:rsid w:val="00965313"/>
    <w:rPr>
      <w:rFonts w:ascii="Times New Roman" w:hAnsi="Times New Roman" w:cs="Times New Roman"/>
      <w:sz w:val="20"/>
      <w:szCs w:val="20"/>
      <w:lang w:val="en-GB"/>
    </w:rPr>
  </w:style>
  <w:style w:type="paragraph" w:styleId="CommentSubject">
    <w:name w:val="annotation subject"/>
    <w:basedOn w:val="CommentText"/>
    <w:next w:val="CommentText"/>
    <w:link w:val="CommentSubjectChar"/>
    <w:uiPriority w:val="99"/>
    <w:semiHidden/>
    <w:unhideWhenUsed/>
    <w:rsid w:val="00F6041D"/>
    <w:rPr>
      <w:b/>
      <w:bCs/>
    </w:rPr>
  </w:style>
  <w:style w:type="character" w:customStyle="1" w:styleId="CommentSubjectChar">
    <w:name w:val="Comment Subject Char"/>
    <w:basedOn w:val="CommentTextChar"/>
    <w:link w:val="CommentSubject"/>
    <w:uiPriority w:val="99"/>
    <w:semiHidden/>
    <w:rsid w:val="00F6041D"/>
    <w:rPr>
      <w:rFonts w:ascii="Times New Roman" w:hAnsi="Times New Roman" w:cs="Times New Roman"/>
      <w:b/>
      <w:bCs/>
      <w:sz w:val="20"/>
      <w:szCs w:val="20"/>
      <w:lang w:val="en-GB"/>
    </w:rPr>
  </w:style>
  <w:style w:type="paragraph" w:styleId="TOC4">
    <w:name w:val="toc 4"/>
    <w:basedOn w:val="Normal"/>
    <w:next w:val="Normal"/>
    <w:autoRedefine/>
    <w:uiPriority w:val="39"/>
    <w:unhideWhenUsed/>
    <w:rsid w:val="00064A5E"/>
    <w:pPr>
      <w:tabs>
        <w:tab w:val="right" w:leader="dot" w:pos="9111"/>
      </w:tabs>
      <w:spacing w:after="0" w:afterAutospacing="0"/>
      <w:ind w:firstLine="0"/>
    </w:pPr>
    <w:rPr>
      <w:b/>
      <w:bCs/>
      <w:noProof/>
      <w:lang w:val="en-GB"/>
    </w:rPr>
  </w:style>
  <w:style w:type="paragraph" w:styleId="TOC5">
    <w:name w:val="toc 5"/>
    <w:basedOn w:val="Normal"/>
    <w:next w:val="Normal"/>
    <w:autoRedefine/>
    <w:uiPriority w:val="39"/>
    <w:unhideWhenUsed/>
    <w:rsid w:val="00CF30BA"/>
    <w:pPr>
      <w:tabs>
        <w:tab w:val="right" w:leader="dot" w:pos="9111"/>
      </w:tabs>
      <w:spacing w:before="0" w:beforeAutospacing="0"/>
      <w:ind w:firstLine="0"/>
    </w:pPr>
    <w:rPr>
      <w:noProof/>
    </w:rPr>
  </w:style>
  <w:style w:type="paragraph" w:customStyle="1" w:styleId="heading10">
    <w:name w:val="heading1"/>
    <w:basedOn w:val="Normal"/>
    <w:next w:val="Normal"/>
    <w:qFormat/>
    <w:rsid w:val="00D13C36"/>
    <w:pPr>
      <w:keepNext/>
      <w:keepLines/>
      <w:numPr>
        <w:numId w:val="1"/>
      </w:numPr>
      <w:suppressAutoHyphens/>
      <w:overflowPunct w:val="0"/>
      <w:autoSpaceDE w:val="0"/>
      <w:autoSpaceDN w:val="0"/>
      <w:adjustRightInd w:val="0"/>
      <w:spacing w:before="360" w:beforeAutospacing="0" w:after="240" w:afterAutospacing="0" w:line="300" w:lineRule="atLeast"/>
      <w:contextualSpacing w:val="0"/>
      <w:textAlignment w:val="baseline"/>
      <w:outlineLvl w:val="0"/>
    </w:pPr>
    <w:rPr>
      <w:rFonts w:eastAsia="Times New Roman"/>
      <w:b/>
      <w:szCs w:val="20"/>
    </w:rPr>
  </w:style>
  <w:style w:type="paragraph" w:customStyle="1" w:styleId="heading2">
    <w:name w:val="heading2"/>
    <w:basedOn w:val="Normal"/>
    <w:next w:val="Normal"/>
    <w:qFormat/>
    <w:rsid w:val="00D13C36"/>
    <w:pPr>
      <w:keepNext/>
      <w:keepLines/>
      <w:numPr>
        <w:ilvl w:val="1"/>
        <w:numId w:val="1"/>
      </w:numPr>
      <w:suppressAutoHyphens/>
      <w:overflowPunct w:val="0"/>
      <w:autoSpaceDE w:val="0"/>
      <w:autoSpaceDN w:val="0"/>
      <w:adjustRightInd w:val="0"/>
      <w:spacing w:before="360" w:beforeAutospacing="0" w:after="160" w:afterAutospacing="0" w:line="240" w:lineRule="atLeast"/>
      <w:contextualSpacing w:val="0"/>
      <w:textAlignment w:val="baseline"/>
      <w:outlineLvl w:val="1"/>
    </w:pPr>
    <w:rPr>
      <w:rFonts w:eastAsia="Times New Roman"/>
      <w:b/>
      <w:sz w:val="20"/>
      <w:szCs w:val="20"/>
    </w:rPr>
  </w:style>
  <w:style w:type="numbering" w:customStyle="1" w:styleId="headings">
    <w:name w:val="headings"/>
    <w:basedOn w:val="NoList"/>
    <w:rsid w:val="00D13C36"/>
    <w:pPr>
      <w:numPr>
        <w:numId w:val="1"/>
      </w:numPr>
    </w:pPr>
  </w:style>
  <w:style w:type="paragraph" w:styleId="BodyText">
    <w:name w:val="Body Text"/>
    <w:basedOn w:val="Normal"/>
    <w:link w:val="BodyTextChar"/>
    <w:uiPriority w:val="1"/>
    <w:qFormat/>
    <w:rsid w:val="00D13C36"/>
    <w:pPr>
      <w:widowControl w:val="0"/>
      <w:autoSpaceDE w:val="0"/>
      <w:autoSpaceDN w:val="0"/>
      <w:spacing w:before="0" w:beforeAutospacing="0" w:after="0" w:afterAutospacing="0" w:line="240" w:lineRule="auto"/>
      <w:ind w:firstLine="0"/>
      <w:contextualSpacing w:val="0"/>
    </w:pPr>
    <w:rPr>
      <w:rFonts w:eastAsia="Times New Roman"/>
    </w:rPr>
  </w:style>
  <w:style w:type="character" w:customStyle="1" w:styleId="BodyTextChar">
    <w:name w:val="Body Text Char"/>
    <w:basedOn w:val="DefaultParagraphFont"/>
    <w:link w:val="BodyText"/>
    <w:uiPriority w:val="1"/>
    <w:rsid w:val="00D13C36"/>
    <w:rPr>
      <w:rFonts w:ascii="Times New Roman" w:eastAsia="Times New Roman" w:hAnsi="Times New Roman" w:cs="Times New Roman"/>
      <w:sz w:val="24"/>
      <w:szCs w:val="24"/>
    </w:rPr>
  </w:style>
  <w:style w:type="table" w:styleId="PlainTable2">
    <w:name w:val="Plain Table 2"/>
    <w:basedOn w:val="TableNormal"/>
    <w:uiPriority w:val="42"/>
    <w:rsid w:val="00D13C36"/>
    <w:pPr>
      <w:spacing w:after="0" w:line="240" w:lineRule="auto"/>
    </w:pPr>
    <w:rPr>
      <w:kern w:val="2"/>
      <w14:ligatures w14:val="standardContextual"/>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Bibliography">
    <w:name w:val="Bibliography"/>
    <w:basedOn w:val="Normal"/>
    <w:next w:val="Normal"/>
    <w:uiPriority w:val="37"/>
    <w:unhideWhenUsed/>
    <w:rsid w:val="000654B9"/>
    <w:pPr>
      <w:spacing w:after="0"/>
      <w:ind w:left="720" w:hanging="720"/>
    </w:pPr>
  </w:style>
  <w:style w:type="paragraph" w:styleId="Revision">
    <w:name w:val="Revision"/>
    <w:hidden/>
    <w:uiPriority w:val="99"/>
    <w:semiHidden/>
    <w:rsid w:val="00CF5F66"/>
    <w:pPr>
      <w:spacing w:after="0" w:line="240" w:lineRule="auto"/>
    </w:pPr>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4785042">
      <w:bodyDiv w:val="1"/>
      <w:marLeft w:val="0"/>
      <w:marRight w:val="0"/>
      <w:marTop w:val="0"/>
      <w:marBottom w:val="0"/>
      <w:divBdr>
        <w:top w:val="none" w:sz="0" w:space="0" w:color="auto"/>
        <w:left w:val="none" w:sz="0" w:space="0" w:color="auto"/>
        <w:bottom w:val="none" w:sz="0" w:space="0" w:color="auto"/>
        <w:right w:val="none" w:sz="0" w:space="0" w:color="auto"/>
      </w:divBdr>
      <w:divsChild>
        <w:div w:id="336931533">
          <w:marLeft w:val="-720"/>
          <w:marRight w:val="0"/>
          <w:marTop w:val="0"/>
          <w:marBottom w:val="0"/>
          <w:divBdr>
            <w:top w:val="none" w:sz="0" w:space="0" w:color="auto"/>
            <w:left w:val="none" w:sz="0" w:space="0" w:color="auto"/>
            <w:bottom w:val="none" w:sz="0" w:space="0" w:color="auto"/>
            <w:right w:val="none" w:sz="0" w:space="0" w:color="auto"/>
          </w:divBdr>
        </w:div>
      </w:divsChild>
    </w:div>
    <w:div w:id="197013474">
      <w:bodyDiv w:val="1"/>
      <w:marLeft w:val="0"/>
      <w:marRight w:val="0"/>
      <w:marTop w:val="0"/>
      <w:marBottom w:val="0"/>
      <w:divBdr>
        <w:top w:val="none" w:sz="0" w:space="0" w:color="auto"/>
        <w:left w:val="none" w:sz="0" w:space="0" w:color="auto"/>
        <w:bottom w:val="none" w:sz="0" w:space="0" w:color="auto"/>
        <w:right w:val="none" w:sz="0" w:space="0" w:color="auto"/>
      </w:divBdr>
      <w:divsChild>
        <w:div w:id="751002775">
          <w:marLeft w:val="0"/>
          <w:marRight w:val="0"/>
          <w:marTop w:val="0"/>
          <w:marBottom w:val="0"/>
          <w:divBdr>
            <w:top w:val="none" w:sz="0" w:space="0" w:color="auto"/>
            <w:left w:val="none" w:sz="0" w:space="0" w:color="auto"/>
            <w:bottom w:val="none" w:sz="0" w:space="0" w:color="auto"/>
            <w:right w:val="none" w:sz="0" w:space="0" w:color="auto"/>
          </w:divBdr>
          <w:divsChild>
            <w:div w:id="981957875">
              <w:marLeft w:val="0"/>
              <w:marRight w:val="0"/>
              <w:marTop w:val="0"/>
              <w:marBottom w:val="0"/>
              <w:divBdr>
                <w:top w:val="none" w:sz="0" w:space="0" w:color="auto"/>
                <w:left w:val="none" w:sz="0" w:space="0" w:color="auto"/>
                <w:bottom w:val="none" w:sz="0" w:space="0" w:color="auto"/>
                <w:right w:val="none" w:sz="0" w:space="0" w:color="auto"/>
              </w:divBdr>
              <w:divsChild>
                <w:div w:id="1543398035">
                  <w:marLeft w:val="0"/>
                  <w:marRight w:val="0"/>
                  <w:marTop w:val="0"/>
                  <w:marBottom w:val="0"/>
                  <w:divBdr>
                    <w:top w:val="none" w:sz="0" w:space="0" w:color="auto"/>
                    <w:left w:val="none" w:sz="0" w:space="0" w:color="auto"/>
                    <w:bottom w:val="none" w:sz="0" w:space="0" w:color="auto"/>
                    <w:right w:val="none" w:sz="0" w:space="0" w:color="auto"/>
                  </w:divBdr>
                  <w:divsChild>
                    <w:div w:id="1232421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8943586">
      <w:bodyDiv w:val="1"/>
      <w:marLeft w:val="0"/>
      <w:marRight w:val="0"/>
      <w:marTop w:val="0"/>
      <w:marBottom w:val="0"/>
      <w:divBdr>
        <w:top w:val="none" w:sz="0" w:space="0" w:color="auto"/>
        <w:left w:val="none" w:sz="0" w:space="0" w:color="auto"/>
        <w:bottom w:val="none" w:sz="0" w:space="0" w:color="auto"/>
        <w:right w:val="none" w:sz="0" w:space="0" w:color="auto"/>
      </w:divBdr>
    </w:div>
    <w:div w:id="417798091">
      <w:bodyDiv w:val="1"/>
      <w:marLeft w:val="0"/>
      <w:marRight w:val="0"/>
      <w:marTop w:val="0"/>
      <w:marBottom w:val="0"/>
      <w:divBdr>
        <w:top w:val="none" w:sz="0" w:space="0" w:color="auto"/>
        <w:left w:val="none" w:sz="0" w:space="0" w:color="auto"/>
        <w:bottom w:val="none" w:sz="0" w:space="0" w:color="auto"/>
        <w:right w:val="none" w:sz="0" w:space="0" w:color="auto"/>
      </w:divBdr>
    </w:div>
    <w:div w:id="458493943">
      <w:bodyDiv w:val="1"/>
      <w:marLeft w:val="0"/>
      <w:marRight w:val="0"/>
      <w:marTop w:val="0"/>
      <w:marBottom w:val="0"/>
      <w:divBdr>
        <w:top w:val="none" w:sz="0" w:space="0" w:color="auto"/>
        <w:left w:val="none" w:sz="0" w:space="0" w:color="auto"/>
        <w:bottom w:val="none" w:sz="0" w:space="0" w:color="auto"/>
        <w:right w:val="none" w:sz="0" w:space="0" w:color="auto"/>
      </w:divBdr>
      <w:divsChild>
        <w:div w:id="590747056">
          <w:marLeft w:val="0"/>
          <w:marRight w:val="0"/>
          <w:marTop w:val="0"/>
          <w:marBottom w:val="0"/>
          <w:divBdr>
            <w:top w:val="none" w:sz="0" w:space="0" w:color="auto"/>
            <w:left w:val="none" w:sz="0" w:space="0" w:color="auto"/>
            <w:bottom w:val="none" w:sz="0" w:space="0" w:color="auto"/>
            <w:right w:val="none" w:sz="0" w:space="0" w:color="auto"/>
          </w:divBdr>
          <w:divsChild>
            <w:div w:id="917248456">
              <w:marLeft w:val="0"/>
              <w:marRight w:val="0"/>
              <w:marTop w:val="0"/>
              <w:marBottom w:val="0"/>
              <w:divBdr>
                <w:top w:val="none" w:sz="0" w:space="0" w:color="auto"/>
                <w:left w:val="none" w:sz="0" w:space="0" w:color="auto"/>
                <w:bottom w:val="none" w:sz="0" w:space="0" w:color="auto"/>
                <w:right w:val="none" w:sz="0" w:space="0" w:color="auto"/>
              </w:divBdr>
              <w:divsChild>
                <w:div w:id="160005917">
                  <w:marLeft w:val="0"/>
                  <w:marRight w:val="0"/>
                  <w:marTop w:val="0"/>
                  <w:marBottom w:val="0"/>
                  <w:divBdr>
                    <w:top w:val="none" w:sz="0" w:space="0" w:color="auto"/>
                    <w:left w:val="none" w:sz="0" w:space="0" w:color="auto"/>
                    <w:bottom w:val="none" w:sz="0" w:space="0" w:color="auto"/>
                    <w:right w:val="none" w:sz="0" w:space="0" w:color="auto"/>
                  </w:divBdr>
                  <w:divsChild>
                    <w:div w:id="1829322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9147265">
      <w:bodyDiv w:val="1"/>
      <w:marLeft w:val="0"/>
      <w:marRight w:val="0"/>
      <w:marTop w:val="0"/>
      <w:marBottom w:val="0"/>
      <w:divBdr>
        <w:top w:val="none" w:sz="0" w:space="0" w:color="auto"/>
        <w:left w:val="none" w:sz="0" w:space="0" w:color="auto"/>
        <w:bottom w:val="none" w:sz="0" w:space="0" w:color="auto"/>
        <w:right w:val="none" w:sz="0" w:space="0" w:color="auto"/>
      </w:divBdr>
    </w:div>
    <w:div w:id="540677772">
      <w:bodyDiv w:val="1"/>
      <w:marLeft w:val="0"/>
      <w:marRight w:val="0"/>
      <w:marTop w:val="0"/>
      <w:marBottom w:val="0"/>
      <w:divBdr>
        <w:top w:val="none" w:sz="0" w:space="0" w:color="auto"/>
        <w:left w:val="none" w:sz="0" w:space="0" w:color="auto"/>
        <w:bottom w:val="none" w:sz="0" w:space="0" w:color="auto"/>
        <w:right w:val="none" w:sz="0" w:space="0" w:color="auto"/>
      </w:divBdr>
    </w:div>
    <w:div w:id="591739004">
      <w:bodyDiv w:val="1"/>
      <w:marLeft w:val="0"/>
      <w:marRight w:val="0"/>
      <w:marTop w:val="0"/>
      <w:marBottom w:val="0"/>
      <w:divBdr>
        <w:top w:val="none" w:sz="0" w:space="0" w:color="auto"/>
        <w:left w:val="none" w:sz="0" w:space="0" w:color="auto"/>
        <w:bottom w:val="none" w:sz="0" w:space="0" w:color="auto"/>
        <w:right w:val="none" w:sz="0" w:space="0" w:color="auto"/>
      </w:divBdr>
    </w:div>
    <w:div w:id="965350171">
      <w:bodyDiv w:val="1"/>
      <w:marLeft w:val="0"/>
      <w:marRight w:val="0"/>
      <w:marTop w:val="0"/>
      <w:marBottom w:val="0"/>
      <w:divBdr>
        <w:top w:val="none" w:sz="0" w:space="0" w:color="auto"/>
        <w:left w:val="none" w:sz="0" w:space="0" w:color="auto"/>
        <w:bottom w:val="none" w:sz="0" w:space="0" w:color="auto"/>
        <w:right w:val="none" w:sz="0" w:space="0" w:color="auto"/>
      </w:divBdr>
    </w:div>
    <w:div w:id="1012487530">
      <w:bodyDiv w:val="1"/>
      <w:marLeft w:val="0"/>
      <w:marRight w:val="0"/>
      <w:marTop w:val="0"/>
      <w:marBottom w:val="0"/>
      <w:divBdr>
        <w:top w:val="none" w:sz="0" w:space="0" w:color="auto"/>
        <w:left w:val="none" w:sz="0" w:space="0" w:color="auto"/>
        <w:bottom w:val="none" w:sz="0" w:space="0" w:color="auto"/>
        <w:right w:val="none" w:sz="0" w:space="0" w:color="auto"/>
      </w:divBdr>
      <w:divsChild>
        <w:div w:id="152837754">
          <w:marLeft w:val="0"/>
          <w:marRight w:val="0"/>
          <w:marTop w:val="0"/>
          <w:marBottom w:val="0"/>
          <w:divBdr>
            <w:top w:val="none" w:sz="0" w:space="0" w:color="auto"/>
            <w:left w:val="none" w:sz="0" w:space="0" w:color="auto"/>
            <w:bottom w:val="none" w:sz="0" w:space="0" w:color="auto"/>
            <w:right w:val="none" w:sz="0" w:space="0" w:color="auto"/>
          </w:divBdr>
          <w:divsChild>
            <w:div w:id="1305282614">
              <w:marLeft w:val="0"/>
              <w:marRight w:val="0"/>
              <w:marTop w:val="0"/>
              <w:marBottom w:val="0"/>
              <w:divBdr>
                <w:top w:val="none" w:sz="0" w:space="0" w:color="auto"/>
                <w:left w:val="none" w:sz="0" w:space="0" w:color="auto"/>
                <w:bottom w:val="none" w:sz="0" w:space="0" w:color="auto"/>
                <w:right w:val="none" w:sz="0" w:space="0" w:color="auto"/>
              </w:divBdr>
              <w:divsChild>
                <w:div w:id="1955673370">
                  <w:marLeft w:val="0"/>
                  <w:marRight w:val="0"/>
                  <w:marTop w:val="0"/>
                  <w:marBottom w:val="0"/>
                  <w:divBdr>
                    <w:top w:val="none" w:sz="0" w:space="0" w:color="auto"/>
                    <w:left w:val="none" w:sz="0" w:space="0" w:color="auto"/>
                    <w:bottom w:val="none" w:sz="0" w:space="0" w:color="auto"/>
                    <w:right w:val="none" w:sz="0" w:space="0" w:color="auto"/>
                  </w:divBdr>
                  <w:divsChild>
                    <w:div w:id="1961256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9171371">
      <w:bodyDiv w:val="1"/>
      <w:marLeft w:val="0"/>
      <w:marRight w:val="0"/>
      <w:marTop w:val="0"/>
      <w:marBottom w:val="0"/>
      <w:divBdr>
        <w:top w:val="none" w:sz="0" w:space="0" w:color="auto"/>
        <w:left w:val="none" w:sz="0" w:space="0" w:color="auto"/>
        <w:bottom w:val="none" w:sz="0" w:space="0" w:color="auto"/>
        <w:right w:val="none" w:sz="0" w:space="0" w:color="auto"/>
      </w:divBdr>
      <w:divsChild>
        <w:div w:id="224148469">
          <w:marLeft w:val="0"/>
          <w:marRight w:val="0"/>
          <w:marTop w:val="0"/>
          <w:marBottom w:val="0"/>
          <w:divBdr>
            <w:top w:val="none" w:sz="0" w:space="0" w:color="auto"/>
            <w:left w:val="none" w:sz="0" w:space="0" w:color="auto"/>
            <w:bottom w:val="none" w:sz="0" w:space="0" w:color="auto"/>
            <w:right w:val="none" w:sz="0" w:space="0" w:color="auto"/>
          </w:divBdr>
          <w:divsChild>
            <w:div w:id="1076125970">
              <w:marLeft w:val="0"/>
              <w:marRight w:val="0"/>
              <w:marTop w:val="0"/>
              <w:marBottom w:val="0"/>
              <w:divBdr>
                <w:top w:val="none" w:sz="0" w:space="0" w:color="auto"/>
                <w:left w:val="none" w:sz="0" w:space="0" w:color="auto"/>
                <w:bottom w:val="none" w:sz="0" w:space="0" w:color="auto"/>
                <w:right w:val="none" w:sz="0" w:space="0" w:color="auto"/>
              </w:divBdr>
              <w:divsChild>
                <w:div w:id="2010863133">
                  <w:marLeft w:val="0"/>
                  <w:marRight w:val="0"/>
                  <w:marTop w:val="0"/>
                  <w:marBottom w:val="0"/>
                  <w:divBdr>
                    <w:top w:val="none" w:sz="0" w:space="0" w:color="auto"/>
                    <w:left w:val="none" w:sz="0" w:space="0" w:color="auto"/>
                    <w:bottom w:val="none" w:sz="0" w:space="0" w:color="auto"/>
                    <w:right w:val="none" w:sz="0" w:space="0" w:color="auto"/>
                  </w:divBdr>
                  <w:divsChild>
                    <w:div w:id="1852794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4920083">
      <w:bodyDiv w:val="1"/>
      <w:marLeft w:val="0"/>
      <w:marRight w:val="0"/>
      <w:marTop w:val="0"/>
      <w:marBottom w:val="0"/>
      <w:divBdr>
        <w:top w:val="none" w:sz="0" w:space="0" w:color="auto"/>
        <w:left w:val="none" w:sz="0" w:space="0" w:color="auto"/>
        <w:bottom w:val="none" w:sz="0" w:space="0" w:color="auto"/>
        <w:right w:val="none" w:sz="0" w:space="0" w:color="auto"/>
      </w:divBdr>
    </w:div>
    <w:div w:id="1428232531">
      <w:bodyDiv w:val="1"/>
      <w:marLeft w:val="0"/>
      <w:marRight w:val="0"/>
      <w:marTop w:val="0"/>
      <w:marBottom w:val="0"/>
      <w:divBdr>
        <w:top w:val="none" w:sz="0" w:space="0" w:color="auto"/>
        <w:left w:val="none" w:sz="0" w:space="0" w:color="auto"/>
        <w:bottom w:val="none" w:sz="0" w:space="0" w:color="auto"/>
        <w:right w:val="none" w:sz="0" w:space="0" w:color="auto"/>
      </w:divBdr>
    </w:div>
    <w:div w:id="1446803374">
      <w:bodyDiv w:val="1"/>
      <w:marLeft w:val="0"/>
      <w:marRight w:val="0"/>
      <w:marTop w:val="0"/>
      <w:marBottom w:val="0"/>
      <w:divBdr>
        <w:top w:val="none" w:sz="0" w:space="0" w:color="auto"/>
        <w:left w:val="none" w:sz="0" w:space="0" w:color="auto"/>
        <w:bottom w:val="none" w:sz="0" w:space="0" w:color="auto"/>
        <w:right w:val="none" w:sz="0" w:space="0" w:color="auto"/>
      </w:divBdr>
    </w:div>
    <w:div w:id="1526943308">
      <w:bodyDiv w:val="1"/>
      <w:marLeft w:val="0"/>
      <w:marRight w:val="0"/>
      <w:marTop w:val="0"/>
      <w:marBottom w:val="0"/>
      <w:divBdr>
        <w:top w:val="none" w:sz="0" w:space="0" w:color="auto"/>
        <w:left w:val="none" w:sz="0" w:space="0" w:color="auto"/>
        <w:bottom w:val="none" w:sz="0" w:space="0" w:color="auto"/>
        <w:right w:val="none" w:sz="0" w:space="0" w:color="auto"/>
      </w:divBdr>
    </w:div>
    <w:div w:id="1532842686">
      <w:bodyDiv w:val="1"/>
      <w:marLeft w:val="0"/>
      <w:marRight w:val="0"/>
      <w:marTop w:val="0"/>
      <w:marBottom w:val="0"/>
      <w:divBdr>
        <w:top w:val="none" w:sz="0" w:space="0" w:color="auto"/>
        <w:left w:val="none" w:sz="0" w:space="0" w:color="auto"/>
        <w:bottom w:val="none" w:sz="0" w:space="0" w:color="auto"/>
        <w:right w:val="none" w:sz="0" w:space="0" w:color="auto"/>
      </w:divBdr>
    </w:div>
    <w:div w:id="1542471308">
      <w:bodyDiv w:val="1"/>
      <w:marLeft w:val="0"/>
      <w:marRight w:val="0"/>
      <w:marTop w:val="0"/>
      <w:marBottom w:val="0"/>
      <w:divBdr>
        <w:top w:val="none" w:sz="0" w:space="0" w:color="auto"/>
        <w:left w:val="none" w:sz="0" w:space="0" w:color="auto"/>
        <w:bottom w:val="none" w:sz="0" w:space="0" w:color="auto"/>
        <w:right w:val="none" w:sz="0" w:space="0" w:color="auto"/>
      </w:divBdr>
    </w:div>
    <w:div w:id="1711148943">
      <w:bodyDiv w:val="1"/>
      <w:marLeft w:val="0"/>
      <w:marRight w:val="0"/>
      <w:marTop w:val="0"/>
      <w:marBottom w:val="0"/>
      <w:divBdr>
        <w:top w:val="none" w:sz="0" w:space="0" w:color="auto"/>
        <w:left w:val="none" w:sz="0" w:space="0" w:color="auto"/>
        <w:bottom w:val="none" w:sz="0" w:space="0" w:color="auto"/>
        <w:right w:val="none" w:sz="0" w:space="0" w:color="auto"/>
      </w:divBdr>
    </w:div>
    <w:div w:id="1738937210">
      <w:bodyDiv w:val="1"/>
      <w:marLeft w:val="0"/>
      <w:marRight w:val="0"/>
      <w:marTop w:val="0"/>
      <w:marBottom w:val="0"/>
      <w:divBdr>
        <w:top w:val="none" w:sz="0" w:space="0" w:color="auto"/>
        <w:left w:val="none" w:sz="0" w:space="0" w:color="auto"/>
        <w:bottom w:val="none" w:sz="0" w:space="0" w:color="auto"/>
        <w:right w:val="none" w:sz="0" w:space="0" w:color="auto"/>
      </w:divBdr>
    </w:div>
    <w:div w:id="1746493565">
      <w:bodyDiv w:val="1"/>
      <w:marLeft w:val="0"/>
      <w:marRight w:val="0"/>
      <w:marTop w:val="0"/>
      <w:marBottom w:val="0"/>
      <w:divBdr>
        <w:top w:val="none" w:sz="0" w:space="0" w:color="auto"/>
        <w:left w:val="none" w:sz="0" w:space="0" w:color="auto"/>
        <w:bottom w:val="none" w:sz="0" w:space="0" w:color="auto"/>
        <w:right w:val="none" w:sz="0" w:space="0" w:color="auto"/>
      </w:divBdr>
    </w:div>
    <w:div w:id="1812794557">
      <w:bodyDiv w:val="1"/>
      <w:marLeft w:val="0"/>
      <w:marRight w:val="0"/>
      <w:marTop w:val="0"/>
      <w:marBottom w:val="0"/>
      <w:divBdr>
        <w:top w:val="none" w:sz="0" w:space="0" w:color="auto"/>
        <w:left w:val="none" w:sz="0" w:space="0" w:color="auto"/>
        <w:bottom w:val="none" w:sz="0" w:space="0" w:color="auto"/>
        <w:right w:val="none" w:sz="0" w:space="0" w:color="auto"/>
      </w:divBdr>
    </w:div>
    <w:div w:id="19174011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18" Type="http://schemas.openxmlformats.org/officeDocument/2006/relationships/image" Target="media/image5.jpg"/><Relationship Id="rId3" Type="http://schemas.openxmlformats.org/officeDocument/2006/relationships/styles" Target="styles.xml"/><Relationship Id="rId21" Type="http://schemas.openxmlformats.org/officeDocument/2006/relationships/footer" Target="footer7.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image" Target="media/image4.jpg"/><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5.xml"/><Relationship Id="rId23"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4.xml"/><Relationship Id="rId22" Type="http://schemas.openxmlformats.org/officeDocument/2006/relationships/footer" Target="footer8.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A099E4-5789-469C-973F-DC5AF3FE89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63</Pages>
  <Words>11871</Words>
  <Characters>74783</Characters>
  <Application>Microsoft Office Word</Application>
  <DocSecurity>0</DocSecurity>
  <Lines>1536</Lines>
  <Paragraphs>529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86202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Simia Kumar</dc:creator>
  <cp:keywords/>
  <dc:description/>
  <cp:lastModifiedBy>Ahmed Mohd Elsayed Mohd Amer</cp:lastModifiedBy>
  <cp:revision>9</cp:revision>
  <dcterms:created xsi:type="dcterms:W3CDTF">2025-05-12T09:43:00Z</dcterms:created>
  <dcterms:modified xsi:type="dcterms:W3CDTF">2025-05-19T05:03:00Z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2fe2eb4f,3817a830,141a18e,46747aca,4a7bea25,2440bd7a,26997fca,3ec455b0,69773ad2</vt:lpwstr>
  </property>
  <property fmtid="{D5CDD505-2E9C-101B-9397-08002B2CF9AE}" pid="3" name="ClassificationContentMarkingFooterFontProps">
    <vt:lpwstr>#000000,10,Calibri</vt:lpwstr>
  </property>
  <property fmtid="{D5CDD505-2E9C-101B-9397-08002B2CF9AE}" pid="4" name="ClassificationContentMarkingFooterText">
    <vt:lpwstr>DEWA-Confidential</vt:lpwstr>
  </property>
  <property fmtid="{D5CDD505-2E9C-101B-9397-08002B2CF9AE}" pid="5" name="MSIP_Label_45dd8829-88e8-4e27-a0c9-5d2bc799f97c_Enabled">
    <vt:lpwstr>true</vt:lpwstr>
  </property>
  <property fmtid="{D5CDD505-2E9C-101B-9397-08002B2CF9AE}" pid="6" name="MSIP_Label_45dd8829-88e8-4e27-a0c9-5d2bc799f97c_SetDate">
    <vt:lpwstr>2024-12-16T07:56:05Z</vt:lpwstr>
  </property>
  <property fmtid="{D5CDD505-2E9C-101B-9397-08002B2CF9AE}" pid="7" name="MSIP_Label_45dd8829-88e8-4e27-a0c9-5d2bc799f97c_Method">
    <vt:lpwstr>Standard</vt:lpwstr>
  </property>
  <property fmtid="{D5CDD505-2E9C-101B-9397-08002B2CF9AE}" pid="8" name="MSIP_Label_45dd8829-88e8-4e27-a0c9-5d2bc799f97c_Name">
    <vt:lpwstr>Confidential</vt:lpwstr>
  </property>
  <property fmtid="{D5CDD505-2E9C-101B-9397-08002B2CF9AE}" pid="9" name="MSIP_Label_45dd8829-88e8-4e27-a0c9-5d2bc799f97c_SiteId">
    <vt:lpwstr>a1104cac-3f3e-4e9d-a251-a93724b1727b</vt:lpwstr>
  </property>
  <property fmtid="{D5CDD505-2E9C-101B-9397-08002B2CF9AE}" pid="10" name="MSIP_Label_45dd8829-88e8-4e27-a0c9-5d2bc799f97c_ActionId">
    <vt:lpwstr>15c90d94-60b5-459e-9e14-396811c9bd32</vt:lpwstr>
  </property>
  <property fmtid="{D5CDD505-2E9C-101B-9397-08002B2CF9AE}" pid="11" name="MSIP_Label_45dd8829-88e8-4e27-a0c9-5d2bc799f97c_ContentBits">
    <vt:lpwstr>2</vt:lpwstr>
  </property>
  <property fmtid="{D5CDD505-2E9C-101B-9397-08002B2CF9AE}" pid="12" name="ZOTERO_PREF_1">
    <vt:lpwstr>&lt;data data-version="3" zotero-version="7.0.15"&gt;&lt;session id="0PGokvMB"/&gt;&lt;style id="http://www.zotero.org/styles/apa" locale="en-US" hasBibliography="1" bibliographyStyleHasBeenSet="1"/&gt;&lt;prefs&gt;&lt;pref name="fieldType" value="Field"/&gt;&lt;pref name="automaticJourn</vt:lpwstr>
  </property>
  <property fmtid="{D5CDD505-2E9C-101B-9397-08002B2CF9AE}" pid="13" name="ZOTERO_PREF_2">
    <vt:lpwstr>alAbbreviations" value="true"/&gt;&lt;/prefs&gt;&lt;/data&gt;</vt:lpwstr>
  </property>
</Properties>
</file>